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519BC" w14:textId="77777777" w:rsidR="00DD0DC9" w:rsidRPr="000675A8" w:rsidRDefault="00DD0DC9" w:rsidP="00014C9F">
      <w:pPr>
        <w:tabs>
          <w:tab w:val="left" w:pos="2250"/>
          <w:tab w:val="left" w:pos="4230"/>
        </w:tabs>
        <w:ind w:right="-180"/>
        <w:jc w:val="center"/>
        <w:rPr>
          <w:rFonts w:ascii="Arial" w:hAnsi="Arial" w:cs="Arial"/>
          <w:b/>
          <w:sz w:val="48"/>
        </w:rPr>
      </w:pPr>
      <w:bookmarkStart w:id="0" w:name="_GoBack"/>
      <w:bookmarkEnd w:id="0"/>
    </w:p>
    <w:p w14:paraId="07993298" w14:textId="77777777" w:rsidR="000341E4" w:rsidRPr="000675A8" w:rsidRDefault="000341E4" w:rsidP="000341E4">
      <w:pPr>
        <w:ind w:right="-180"/>
        <w:jc w:val="center"/>
        <w:rPr>
          <w:rFonts w:ascii="Arial" w:hAnsi="Arial" w:cs="Arial"/>
          <w:b/>
          <w:sz w:val="48"/>
        </w:rPr>
      </w:pPr>
      <w:r w:rsidRPr="000675A8">
        <w:rPr>
          <w:rFonts w:ascii="Arial" w:hAnsi="Arial" w:cs="Arial"/>
          <w:b/>
          <w:sz w:val="48"/>
        </w:rPr>
        <w:t>Southern Company</w:t>
      </w:r>
    </w:p>
    <w:p w14:paraId="1B3696E9" w14:textId="77777777" w:rsidR="00BD6A65" w:rsidRPr="000675A8" w:rsidRDefault="00BD6A65">
      <w:pPr>
        <w:jc w:val="center"/>
        <w:rPr>
          <w:rFonts w:ascii="Arial" w:hAnsi="Arial" w:cs="Arial"/>
        </w:rPr>
      </w:pPr>
    </w:p>
    <w:p w14:paraId="18482A22" w14:textId="1FBB5D3B" w:rsidR="00BD6A65" w:rsidRPr="000675A8" w:rsidRDefault="004A1CDB">
      <w:pPr>
        <w:ind w:right="-180"/>
        <w:jc w:val="center"/>
        <w:rPr>
          <w:rFonts w:ascii="Arial" w:hAnsi="Arial" w:cs="Arial"/>
          <w:b/>
          <w:sz w:val="48"/>
        </w:rPr>
      </w:pPr>
      <w:r w:rsidRPr="000675A8">
        <w:rPr>
          <w:rFonts w:ascii="Arial" w:hAnsi="Arial" w:cs="Arial"/>
          <w:b/>
          <w:sz w:val="48"/>
        </w:rPr>
        <w:t>2019</w:t>
      </w:r>
      <w:r w:rsidR="00E94F4A" w:rsidRPr="000675A8">
        <w:rPr>
          <w:rFonts w:ascii="Arial" w:hAnsi="Arial" w:cs="Arial"/>
          <w:b/>
          <w:sz w:val="48"/>
        </w:rPr>
        <w:t xml:space="preserve"> </w:t>
      </w:r>
      <w:r w:rsidR="00BD6A65" w:rsidRPr="000675A8">
        <w:rPr>
          <w:rFonts w:ascii="Arial" w:hAnsi="Arial" w:cs="Arial"/>
          <w:b/>
          <w:sz w:val="48"/>
        </w:rPr>
        <w:t>Integrated Resource Plan</w:t>
      </w:r>
    </w:p>
    <w:p w14:paraId="23852AC0" w14:textId="77777777" w:rsidR="00BD6A65" w:rsidRPr="000675A8" w:rsidRDefault="00BD6A65">
      <w:pPr>
        <w:spacing w:before="240"/>
        <w:ind w:right="-187"/>
        <w:jc w:val="center"/>
        <w:rPr>
          <w:rFonts w:ascii="Arial" w:hAnsi="Arial" w:cs="Arial"/>
          <w:b/>
          <w:sz w:val="48"/>
        </w:rPr>
      </w:pPr>
      <w:r w:rsidRPr="000675A8">
        <w:rPr>
          <w:rFonts w:ascii="Arial" w:hAnsi="Arial" w:cs="Arial"/>
          <w:b/>
          <w:sz w:val="48"/>
        </w:rPr>
        <w:t>Resource Mix Study</w:t>
      </w:r>
    </w:p>
    <w:p w14:paraId="46C5DDC5" w14:textId="77777777" w:rsidR="00BD6A65" w:rsidRPr="000675A8" w:rsidRDefault="00BD6A65">
      <w:pPr>
        <w:ind w:right="-180"/>
        <w:jc w:val="center"/>
        <w:rPr>
          <w:rFonts w:ascii="Arial" w:hAnsi="Arial" w:cs="Arial"/>
          <w:b/>
          <w:sz w:val="48"/>
        </w:rPr>
      </w:pPr>
    </w:p>
    <w:p w14:paraId="2FD99620" w14:textId="77777777" w:rsidR="00BD6A65" w:rsidRPr="000675A8" w:rsidRDefault="00BD6A65">
      <w:pPr>
        <w:rPr>
          <w:rFonts w:ascii="Arial" w:hAnsi="Arial" w:cs="Arial"/>
        </w:rPr>
      </w:pPr>
    </w:p>
    <w:p w14:paraId="49610F02" w14:textId="77777777" w:rsidR="00BD6A65" w:rsidRPr="000675A8" w:rsidRDefault="00BD6A65">
      <w:pPr>
        <w:rPr>
          <w:rFonts w:ascii="Arial" w:hAnsi="Arial" w:cs="Arial"/>
        </w:rPr>
      </w:pPr>
    </w:p>
    <w:p w14:paraId="2B89A136" w14:textId="77777777" w:rsidR="00BD6A65" w:rsidRPr="000675A8" w:rsidRDefault="00BD6A65">
      <w:pPr>
        <w:rPr>
          <w:rFonts w:ascii="Arial" w:hAnsi="Arial" w:cs="Arial"/>
        </w:rPr>
      </w:pPr>
    </w:p>
    <w:p w14:paraId="59FA5428" w14:textId="77777777" w:rsidR="00BD6A65" w:rsidRPr="000675A8" w:rsidRDefault="00BD6A65">
      <w:pPr>
        <w:rPr>
          <w:rFonts w:ascii="Arial" w:hAnsi="Arial" w:cs="Arial"/>
        </w:rPr>
      </w:pPr>
    </w:p>
    <w:p w14:paraId="737B5D91" w14:textId="77777777" w:rsidR="00BD6A65" w:rsidRPr="000675A8" w:rsidRDefault="00BD6A65">
      <w:pPr>
        <w:rPr>
          <w:rFonts w:ascii="Arial" w:hAnsi="Arial" w:cs="Arial"/>
        </w:rPr>
      </w:pPr>
    </w:p>
    <w:p w14:paraId="5EC1781D" w14:textId="77777777" w:rsidR="00BD6A65" w:rsidRPr="000675A8" w:rsidRDefault="00BD6A65">
      <w:pPr>
        <w:rPr>
          <w:rFonts w:ascii="Arial" w:hAnsi="Arial" w:cs="Arial"/>
        </w:rPr>
      </w:pPr>
    </w:p>
    <w:p w14:paraId="3F29D4DD" w14:textId="77777777" w:rsidR="00BD6A65" w:rsidRPr="000675A8" w:rsidRDefault="00BD6A65">
      <w:pPr>
        <w:rPr>
          <w:rFonts w:ascii="Arial" w:hAnsi="Arial" w:cs="Arial"/>
        </w:rPr>
      </w:pPr>
    </w:p>
    <w:p w14:paraId="42D80471" w14:textId="77777777" w:rsidR="00BD6A65" w:rsidRPr="000675A8" w:rsidRDefault="00BD6A65">
      <w:pPr>
        <w:rPr>
          <w:rFonts w:ascii="Arial" w:hAnsi="Arial" w:cs="Arial"/>
        </w:rPr>
      </w:pPr>
    </w:p>
    <w:p w14:paraId="742F3AF0" w14:textId="77777777" w:rsidR="00BD6A65" w:rsidRPr="000675A8" w:rsidRDefault="00BD6A65">
      <w:pPr>
        <w:rPr>
          <w:rFonts w:ascii="Arial" w:hAnsi="Arial" w:cs="Arial"/>
        </w:rPr>
      </w:pPr>
    </w:p>
    <w:p w14:paraId="52F50BDD" w14:textId="77777777" w:rsidR="00BD6A65" w:rsidRPr="000675A8" w:rsidRDefault="00BD6A65">
      <w:pPr>
        <w:rPr>
          <w:rFonts w:ascii="Arial" w:hAnsi="Arial" w:cs="Arial"/>
        </w:rPr>
      </w:pPr>
    </w:p>
    <w:p w14:paraId="1DD4EEBC" w14:textId="77777777" w:rsidR="00BD6A65" w:rsidRPr="000675A8" w:rsidRDefault="00BD6A65">
      <w:pPr>
        <w:rPr>
          <w:rFonts w:ascii="Arial" w:hAnsi="Arial" w:cs="Arial"/>
        </w:rPr>
      </w:pPr>
    </w:p>
    <w:p w14:paraId="0CD766C9" w14:textId="77777777" w:rsidR="00BD6A65" w:rsidRPr="000675A8" w:rsidRDefault="00BD6A65">
      <w:pPr>
        <w:rPr>
          <w:rFonts w:ascii="Arial" w:hAnsi="Arial" w:cs="Arial"/>
        </w:rPr>
      </w:pPr>
    </w:p>
    <w:p w14:paraId="3E8EE13F" w14:textId="77777777" w:rsidR="00BD6A65" w:rsidRPr="000675A8" w:rsidRDefault="00BD6A65">
      <w:pPr>
        <w:rPr>
          <w:rFonts w:ascii="Arial" w:hAnsi="Arial" w:cs="Arial"/>
        </w:rPr>
      </w:pPr>
    </w:p>
    <w:p w14:paraId="0A63F885" w14:textId="77777777" w:rsidR="00BD6A65" w:rsidRPr="000675A8" w:rsidRDefault="00BD6A65">
      <w:pPr>
        <w:rPr>
          <w:rFonts w:ascii="Arial" w:hAnsi="Arial" w:cs="Arial"/>
        </w:rPr>
      </w:pPr>
    </w:p>
    <w:p w14:paraId="3841B67F" w14:textId="77777777" w:rsidR="00BD6A65" w:rsidRPr="000675A8" w:rsidRDefault="00BD6A65">
      <w:pPr>
        <w:rPr>
          <w:rFonts w:ascii="Arial" w:hAnsi="Arial" w:cs="Arial"/>
        </w:rPr>
      </w:pPr>
    </w:p>
    <w:p w14:paraId="4C02F81C" w14:textId="77777777" w:rsidR="00BD6A65" w:rsidRPr="000675A8" w:rsidRDefault="00BD6A65">
      <w:pPr>
        <w:rPr>
          <w:rFonts w:ascii="Arial" w:hAnsi="Arial" w:cs="Arial"/>
        </w:rPr>
      </w:pPr>
    </w:p>
    <w:p w14:paraId="28F51913" w14:textId="77777777" w:rsidR="00BD6A65" w:rsidRPr="000675A8" w:rsidRDefault="00BD6A65">
      <w:pPr>
        <w:spacing w:before="60"/>
        <w:jc w:val="center"/>
        <w:rPr>
          <w:rFonts w:ascii="Arial" w:hAnsi="Arial" w:cs="Arial"/>
        </w:rPr>
      </w:pPr>
    </w:p>
    <w:p w14:paraId="5DCFABA4" w14:textId="77777777" w:rsidR="00BD6A65" w:rsidRPr="000675A8" w:rsidRDefault="00BD6A65">
      <w:pPr>
        <w:spacing w:before="60"/>
        <w:jc w:val="center"/>
        <w:rPr>
          <w:rFonts w:ascii="Arial" w:hAnsi="Arial" w:cs="Arial"/>
        </w:rPr>
      </w:pPr>
    </w:p>
    <w:p w14:paraId="02F8A632" w14:textId="77777777" w:rsidR="00BD6A65" w:rsidRPr="000675A8" w:rsidRDefault="00BD6A65">
      <w:pPr>
        <w:spacing w:before="60"/>
        <w:jc w:val="center"/>
        <w:rPr>
          <w:rFonts w:ascii="Arial" w:hAnsi="Arial" w:cs="Arial"/>
        </w:rPr>
      </w:pPr>
    </w:p>
    <w:p w14:paraId="180C8A0F" w14:textId="77777777" w:rsidR="00BD6A65" w:rsidRPr="000675A8" w:rsidRDefault="00BD6A65">
      <w:pPr>
        <w:spacing w:before="60"/>
        <w:jc w:val="center"/>
        <w:rPr>
          <w:rFonts w:ascii="Arial" w:hAnsi="Arial" w:cs="Arial"/>
        </w:rPr>
      </w:pPr>
    </w:p>
    <w:p w14:paraId="34191647" w14:textId="77777777" w:rsidR="00BD6A65" w:rsidRPr="000675A8" w:rsidRDefault="00BD6A65">
      <w:pPr>
        <w:spacing w:before="60"/>
        <w:jc w:val="center"/>
        <w:rPr>
          <w:rFonts w:ascii="Arial" w:hAnsi="Arial" w:cs="Arial"/>
        </w:rPr>
      </w:pPr>
    </w:p>
    <w:p w14:paraId="41786E72" w14:textId="77777777" w:rsidR="00BD6A65" w:rsidRPr="000675A8" w:rsidRDefault="00BD6A65">
      <w:pPr>
        <w:spacing w:before="60"/>
        <w:jc w:val="center"/>
        <w:rPr>
          <w:rFonts w:ascii="Arial" w:hAnsi="Arial" w:cs="Arial"/>
        </w:rPr>
      </w:pPr>
    </w:p>
    <w:p w14:paraId="4431DE49" w14:textId="77777777" w:rsidR="00BD6A65" w:rsidRPr="000675A8" w:rsidRDefault="00BD6A65">
      <w:pPr>
        <w:spacing w:before="60"/>
        <w:jc w:val="center"/>
        <w:rPr>
          <w:rFonts w:ascii="Arial" w:hAnsi="Arial" w:cs="Arial"/>
        </w:rPr>
      </w:pPr>
    </w:p>
    <w:p w14:paraId="48296C50" w14:textId="77777777" w:rsidR="00BD6A65" w:rsidRPr="000675A8" w:rsidRDefault="00BD6A65">
      <w:pPr>
        <w:spacing w:before="60"/>
        <w:jc w:val="center"/>
        <w:rPr>
          <w:rFonts w:ascii="Arial" w:hAnsi="Arial" w:cs="Arial"/>
        </w:rPr>
      </w:pPr>
    </w:p>
    <w:p w14:paraId="782D1213" w14:textId="77777777" w:rsidR="00BD6A65" w:rsidRPr="000675A8" w:rsidRDefault="00BD6A65">
      <w:pPr>
        <w:spacing w:before="60"/>
        <w:jc w:val="center"/>
        <w:rPr>
          <w:rFonts w:ascii="Arial" w:hAnsi="Arial" w:cs="Arial"/>
        </w:rPr>
      </w:pPr>
    </w:p>
    <w:p w14:paraId="741B5B02" w14:textId="77777777" w:rsidR="00BD6A65" w:rsidRPr="000675A8" w:rsidRDefault="00BD6A65">
      <w:pPr>
        <w:spacing w:before="60"/>
        <w:jc w:val="center"/>
        <w:rPr>
          <w:rFonts w:ascii="Arial" w:hAnsi="Arial" w:cs="Arial"/>
        </w:rPr>
      </w:pPr>
    </w:p>
    <w:p w14:paraId="587F6285" w14:textId="77777777" w:rsidR="00BD6A65" w:rsidRPr="000675A8" w:rsidRDefault="00BD6A65">
      <w:pPr>
        <w:spacing w:before="60"/>
        <w:jc w:val="center"/>
        <w:rPr>
          <w:rFonts w:ascii="Arial" w:hAnsi="Arial" w:cs="Arial"/>
        </w:rPr>
      </w:pPr>
    </w:p>
    <w:p w14:paraId="29F37FD4" w14:textId="12C42E27" w:rsidR="00BD6A65" w:rsidRPr="000675A8" w:rsidRDefault="005C715C">
      <w:pPr>
        <w:spacing w:before="60"/>
        <w:jc w:val="center"/>
        <w:rPr>
          <w:rFonts w:ascii="Arial" w:hAnsi="Arial" w:cs="Arial"/>
          <w:sz w:val="28"/>
          <w:szCs w:val="28"/>
        </w:rPr>
      </w:pPr>
      <w:r w:rsidRPr="000675A8">
        <w:rPr>
          <w:rFonts w:ascii="Arial" w:hAnsi="Arial" w:cs="Arial"/>
          <w:sz w:val="28"/>
          <w:szCs w:val="28"/>
        </w:rPr>
        <w:t>January</w:t>
      </w:r>
      <w:r w:rsidR="00BD6A65" w:rsidRPr="000675A8">
        <w:rPr>
          <w:rFonts w:ascii="Arial" w:hAnsi="Arial" w:cs="Arial"/>
          <w:sz w:val="28"/>
          <w:szCs w:val="28"/>
        </w:rPr>
        <w:t xml:space="preserve"> </w:t>
      </w:r>
      <w:r w:rsidR="004A1CDB" w:rsidRPr="000675A8">
        <w:rPr>
          <w:rFonts w:ascii="Arial" w:hAnsi="Arial" w:cs="Arial"/>
          <w:sz w:val="28"/>
          <w:szCs w:val="28"/>
        </w:rPr>
        <w:t>2019</w:t>
      </w:r>
    </w:p>
    <w:p w14:paraId="7D7BB6FD" w14:textId="77777777" w:rsidR="00F763AC" w:rsidRPr="000675A8" w:rsidRDefault="00F763AC">
      <w:pPr>
        <w:jc w:val="left"/>
        <w:rPr>
          <w:rFonts w:ascii="Arial" w:hAnsi="Arial" w:cs="Arial"/>
          <w:color w:val="000000"/>
        </w:rPr>
      </w:pPr>
      <w:r w:rsidRPr="000675A8">
        <w:rPr>
          <w:rFonts w:ascii="Arial" w:hAnsi="Arial" w:cs="Arial"/>
        </w:rPr>
        <w:br w:type="page"/>
      </w:r>
    </w:p>
    <w:p w14:paraId="26558F59" w14:textId="77777777" w:rsidR="00BD6A65" w:rsidRPr="000675A8" w:rsidRDefault="00BD6A65" w:rsidP="00236679">
      <w:pPr>
        <w:pStyle w:val="Heading1"/>
        <w:rPr>
          <w:rFonts w:ascii="Arial" w:hAnsi="Arial" w:cs="Arial"/>
          <w:sz w:val="28"/>
        </w:rPr>
      </w:pPr>
      <w:bookmarkStart w:id="1" w:name="_Toc305487185"/>
      <w:r w:rsidRPr="000675A8">
        <w:rPr>
          <w:rFonts w:ascii="Arial" w:hAnsi="Arial" w:cs="Arial"/>
          <w:sz w:val="28"/>
        </w:rPr>
        <w:lastRenderedPageBreak/>
        <w:t>SUMMARY</w:t>
      </w:r>
      <w:bookmarkEnd w:id="1"/>
    </w:p>
    <w:p w14:paraId="3B691CE1" w14:textId="77777777" w:rsidR="00BD6A65" w:rsidRPr="000C0597" w:rsidRDefault="00243513" w:rsidP="00A04A13">
      <w:pPr>
        <w:pStyle w:val="Heading2"/>
        <w:spacing w:line="360" w:lineRule="atLeast"/>
        <w:ind w:left="846"/>
        <w:rPr>
          <w:rFonts w:ascii="Arial" w:hAnsi="Arial" w:cs="Arial"/>
          <w:sz w:val="22"/>
          <w:szCs w:val="22"/>
        </w:rPr>
      </w:pPr>
      <w:bookmarkStart w:id="2" w:name="_Toc305487186"/>
      <w:r w:rsidRPr="000C0597">
        <w:rPr>
          <w:rFonts w:ascii="Arial" w:hAnsi="Arial" w:cs="Arial"/>
          <w:sz w:val="22"/>
          <w:szCs w:val="22"/>
        </w:rPr>
        <w:t>STUDY OBJECTIVE</w:t>
      </w:r>
      <w:bookmarkEnd w:id="2"/>
    </w:p>
    <w:p w14:paraId="4A85AB85" w14:textId="30B5FA9F" w:rsidR="00173D76" w:rsidRPr="000C0597" w:rsidRDefault="00173D76" w:rsidP="00173D76">
      <w:pPr>
        <w:spacing w:line="360" w:lineRule="atLeast"/>
        <w:rPr>
          <w:rFonts w:ascii="Arial" w:hAnsi="Arial" w:cs="Arial"/>
          <w:sz w:val="22"/>
          <w:szCs w:val="22"/>
        </w:rPr>
      </w:pPr>
      <w:r w:rsidRPr="000C0597">
        <w:rPr>
          <w:rFonts w:ascii="Arial" w:hAnsi="Arial" w:cs="Arial"/>
          <w:sz w:val="22"/>
          <w:szCs w:val="22"/>
        </w:rPr>
        <w:t>The primary objective of this study is to provide information regarding the development of an optimum resource addition schedule</w:t>
      </w:r>
      <w:r w:rsidR="008244ED" w:rsidRPr="000C0597">
        <w:rPr>
          <w:rFonts w:ascii="Arial" w:hAnsi="Arial" w:cs="Arial"/>
          <w:sz w:val="22"/>
          <w:szCs w:val="22"/>
        </w:rPr>
        <w:t xml:space="preserve">. </w:t>
      </w:r>
      <w:r w:rsidRPr="000C0597">
        <w:rPr>
          <w:rFonts w:ascii="Arial" w:hAnsi="Arial" w:cs="Arial"/>
          <w:sz w:val="22"/>
          <w:szCs w:val="22"/>
        </w:rPr>
        <w:t xml:space="preserve">The resulting </w:t>
      </w:r>
      <w:r w:rsidR="009D6848" w:rsidRPr="000C0597">
        <w:rPr>
          <w:rFonts w:ascii="Arial" w:hAnsi="Arial" w:cs="Arial"/>
          <w:sz w:val="22"/>
          <w:szCs w:val="22"/>
        </w:rPr>
        <w:t>resource addition</w:t>
      </w:r>
      <w:r w:rsidRPr="000C0597">
        <w:rPr>
          <w:rFonts w:ascii="Arial" w:hAnsi="Arial" w:cs="Arial"/>
          <w:sz w:val="22"/>
          <w:szCs w:val="22"/>
        </w:rPr>
        <w:t xml:space="preserve"> schedule was selected to minimize revenue requirements and electricity rates while complying with reliability guidelines</w:t>
      </w:r>
      <w:r w:rsidR="001A73E0" w:rsidRPr="000C0597">
        <w:rPr>
          <w:rFonts w:ascii="Arial" w:hAnsi="Arial" w:cs="Arial"/>
          <w:sz w:val="22"/>
          <w:szCs w:val="22"/>
        </w:rPr>
        <w:t>,</w:t>
      </w:r>
      <w:r w:rsidRPr="000C0597">
        <w:rPr>
          <w:rFonts w:ascii="Arial" w:hAnsi="Arial" w:cs="Arial"/>
          <w:sz w:val="22"/>
          <w:szCs w:val="22"/>
        </w:rPr>
        <w:t xml:space="preserve"> environmental laws and regulations</w:t>
      </w:r>
      <w:r w:rsidR="001A73E0" w:rsidRPr="000C0597">
        <w:rPr>
          <w:rFonts w:ascii="Arial" w:hAnsi="Arial" w:cs="Arial"/>
          <w:sz w:val="22"/>
          <w:szCs w:val="22"/>
        </w:rPr>
        <w:t>,</w:t>
      </w:r>
      <w:r w:rsidRPr="000C0597">
        <w:rPr>
          <w:rFonts w:ascii="Arial" w:hAnsi="Arial" w:cs="Arial"/>
          <w:sz w:val="22"/>
          <w:szCs w:val="22"/>
        </w:rPr>
        <w:t xml:space="preserve"> considering risk and flexibility</w:t>
      </w:r>
      <w:r w:rsidR="008244ED" w:rsidRPr="000C0597">
        <w:rPr>
          <w:rFonts w:ascii="Arial" w:hAnsi="Arial" w:cs="Arial"/>
          <w:sz w:val="22"/>
          <w:szCs w:val="22"/>
        </w:rPr>
        <w:t xml:space="preserve">. </w:t>
      </w:r>
      <w:r w:rsidRPr="000C0597">
        <w:rPr>
          <w:rFonts w:ascii="Arial" w:hAnsi="Arial" w:cs="Arial"/>
          <w:sz w:val="22"/>
          <w:szCs w:val="22"/>
        </w:rPr>
        <w:t>This supply-side plan will serve as the basis for a variety of financial and engineering studies over the next several years including the consideration of demand-side options (“DSOs”)</w:t>
      </w:r>
      <w:r w:rsidR="008244ED" w:rsidRPr="000C0597">
        <w:rPr>
          <w:rFonts w:ascii="Arial" w:hAnsi="Arial" w:cs="Arial"/>
          <w:sz w:val="22"/>
          <w:szCs w:val="22"/>
        </w:rPr>
        <w:t xml:space="preserve">. </w:t>
      </w:r>
      <w:r w:rsidRPr="000C0597">
        <w:rPr>
          <w:rFonts w:ascii="Arial" w:hAnsi="Arial" w:cs="Arial"/>
          <w:sz w:val="22"/>
          <w:szCs w:val="22"/>
        </w:rPr>
        <w:t xml:space="preserve">The base case and all other cases contained in this </w:t>
      </w:r>
      <w:r w:rsidR="000C25B7">
        <w:rPr>
          <w:rFonts w:ascii="Arial" w:hAnsi="Arial" w:cs="Arial"/>
          <w:sz w:val="22"/>
          <w:szCs w:val="22"/>
        </w:rPr>
        <w:t>M</w:t>
      </w:r>
      <w:r w:rsidRPr="000C0597">
        <w:rPr>
          <w:rFonts w:ascii="Arial" w:hAnsi="Arial" w:cs="Arial"/>
          <w:sz w:val="22"/>
          <w:szCs w:val="22"/>
        </w:rPr>
        <w:t xml:space="preserve">ix </w:t>
      </w:r>
      <w:r w:rsidR="000C25B7">
        <w:rPr>
          <w:rFonts w:ascii="Arial" w:hAnsi="Arial" w:cs="Arial"/>
          <w:sz w:val="22"/>
          <w:szCs w:val="22"/>
        </w:rPr>
        <w:t>S</w:t>
      </w:r>
      <w:r w:rsidRPr="000C0597">
        <w:rPr>
          <w:rFonts w:ascii="Arial" w:hAnsi="Arial" w:cs="Arial"/>
          <w:sz w:val="22"/>
          <w:szCs w:val="22"/>
        </w:rPr>
        <w:t>tudy do not reflect commitments but instead are generic expansion plans used for planning and to support analyses</w:t>
      </w:r>
      <w:r w:rsidR="008244ED" w:rsidRPr="000C0597">
        <w:rPr>
          <w:rFonts w:ascii="Arial" w:hAnsi="Arial" w:cs="Arial"/>
          <w:sz w:val="22"/>
          <w:szCs w:val="22"/>
        </w:rPr>
        <w:t xml:space="preserve">. </w:t>
      </w:r>
      <w:r w:rsidRPr="000C0597">
        <w:rPr>
          <w:rFonts w:ascii="Arial" w:hAnsi="Arial" w:cs="Arial"/>
          <w:sz w:val="22"/>
          <w:szCs w:val="22"/>
        </w:rPr>
        <w:t>Under the framework established in the state of Georgia, when a capacity need is identified through an IRP, Georgia Power Company (“Georgia Power” or the “Company”) will meet such identified need in accordance with the</w:t>
      </w:r>
      <w:r w:rsidR="00812A11" w:rsidRPr="000C0597">
        <w:rPr>
          <w:rFonts w:ascii="Arial" w:hAnsi="Arial" w:cs="Arial"/>
          <w:sz w:val="22"/>
          <w:szCs w:val="22"/>
        </w:rPr>
        <w:t xml:space="preserve"> Georgia Public Service</w:t>
      </w:r>
      <w:r w:rsidRPr="000C0597">
        <w:rPr>
          <w:rFonts w:ascii="Arial" w:hAnsi="Arial" w:cs="Arial"/>
          <w:sz w:val="22"/>
          <w:szCs w:val="22"/>
        </w:rPr>
        <w:t xml:space="preserve"> </w:t>
      </w:r>
      <w:r w:rsidR="00812A11" w:rsidRPr="000C0597">
        <w:rPr>
          <w:rFonts w:ascii="Arial" w:hAnsi="Arial" w:cs="Arial"/>
          <w:sz w:val="22"/>
          <w:szCs w:val="22"/>
        </w:rPr>
        <w:t>Commission (“</w:t>
      </w:r>
      <w:r w:rsidRPr="000C0597">
        <w:rPr>
          <w:rFonts w:ascii="Arial" w:hAnsi="Arial" w:cs="Arial"/>
          <w:sz w:val="22"/>
          <w:szCs w:val="22"/>
        </w:rPr>
        <w:t>Commission</w:t>
      </w:r>
      <w:r w:rsidR="00812A11" w:rsidRPr="000C0597">
        <w:rPr>
          <w:rFonts w:ascii="Arial" w:hAnsi="Arial" w:cs="Arial"/>
          <w:sz w:val="22"/>
          <w:szCs w:val="22"/>
        </w:rPr>
        <w:t>”)</w:t>
      </w:r>
      <w:r w:rsidRPr="000C0597">
        <w:rPr>
          <w:rFonts w:ascii="Arial" w:hAnsi="Arial" w:cs="Arial"/>
          <w:sz w:val="22"/>
          <w:szCs w:val="22"/>
        </w:rPr>
        <w:t xml:space="preserve"> </w:t>
      </w:r>
      <w:r w:rsidR="00812A11" w:rsidRPr="000C0597">
        <w:rPr>
          <w:rFonts w:ascii="Arial" w:hAnsi="Arial" w:cs="Arial"/>
          <w:sz w:val="22"/>
          <w:szCs w:val="22"/>
        </w:rPr>
        <w:t>request for proposal (“</w:t>
      </w:r>
      <w:r w:rsidRPr="000C0597">
        <w:rPr>
          <w:rFonts w:ascii="Arial" w:hAnsi="Arial" w:cs="Arial"/>
          <w:sz w:val="22"/>
          <w:szCs w:val="22"/>
        </w:rPr>
        <w:t>RFP</w:t>
      </w:r>
      <w:r w:rsidR="00812A11" w:rsidRPr="000C0597">
        <w:rPr>
          <w:rFonts w:ascii="Arial" w:hAnsi="Arial" w:cs="Arial"/>
          <w:sz w:val="22"/>
          <w:szCs w:val="22"/>
        </w:rPr>
        <w:t>”)</w:t>
      </w:r>
      <w:r w:rsidRPr="000C0597">
        <w:rPr>
          <w:rFonts w:ascii="Arial" w:hAnsi="Arial" w:cs="Arial"/>
          <w:sz w:val="22"/>
          <w:szCs w:val="22"/>
        </w:rPr>
        <w:t xml:space="preserve"> rules and will utilize Georgia Power specific information as appropriate</w:t>
      </w:r>
      <w:r w:rsidR="008244ED" w:rsidRPr="000C0597">
        <w:rPr>
          <w:rFonts w:ascii="Arial" w:hAnsi="Arial" w:cs="Arial"/>
          <w:sz w:val="22"/>
          <w:szCs w:val="22"/>
        </w:rPr>
        <w:t xml:space="preserve">. </w:t>
      </w:r>
    </w:p>
    <w:p w14:paraId="0511E79C" w14:textId="77777777" w:rsidR="00243513" w:rsidRPr="000C0597" w:rsidRDefault="004122A0" w:rsidP="00243513">
      <w:pPr>
        <w:spacing w:line="360" w:lineRule="atLeast"/>
        <w:rPr>
          <w:rFonts w:ascii="Arial" w:hAnsi="Arial" w:cs="Arial"/>
          <w:sz w:val="22"/>
          <w:szCs w:val="22"/>
        </w:rPr>
      </w:pPr>
      <w:r w:rsidRPr="000C0597">
        <w:rPr>
          <w:rFonts w:ascii="Arial" w:hAnsi="Arial" w:cs="Arial"/>
          <w:sz w:val="22"/>
          <w:szCs w:val="22"/>
        </w:rPr>
        <w:t xml:space="preserve"> </w:t>
      </w:r>
    </w:p>
    <w:p w14:paraId="1AEEFA6E" w14:textId="77777777" w:rsidR="00BD6A65" w:rsidRPr="000C0597" w:rsidRDefault="00243513" w:rsidP="00A04A13">
      <w:pPr>
        <w:pStyle w:val="Heading2"/>
        <w:spacing w:line="360" w:lineRule="atLeast"/>
        <w:ind w:left="846"/>
        <w:rPr>
          <w:rFonts w:ascii="Arial" w:hAnsi="Arial" w:cs="Arial"/>
          <w:sz w:val="22"/>
          <w:szCs w:val="22"/>
        </w:rPr>
      </w:pPr>
      <w:bookmarkStart w:id="3" w:name="_Toc305487187"/>
      <w:r w:rsidRPr="000C0597">
        <w:rPr>
          <w:rFonts w:ascii="Arial" w:hAnsi="Arial" w:cs="Arial"/>
          <w:sz w:val="22"/>
          <w:szCs w:val="22"/>
        </w:rPr>
        <w:t>ASSUMPTIONS</w:t>
      </w:r>
      <w:bookmarkEnd w:id="3"/>
    </w:p>
    <w:p w14:paraId="353AEF8F" w14:textId="09DD8CA6" w:rsidR="00040739" w:rsidRPr="000C0597" w:rsidRDefault="00BD6A65" w:rsidP="00040739">
      <w:pPr>
        <w:spacing w:line="360" w:lineRule="atLeast"/>
        <w:rPr>
          <w:rFonts w:ascii="Arial" w:hAnsi="Arial" w:cs="Arial"/>
          <w:sz w:val="22"/>
          <w:szCs w:val="22"/>
        </w:rPr>
      </w:pPr>
      <w:r w:rsidRPr="000C0597">
        <w:rPr>
          <w:rFonts w:ascii="Arial" w:hAnsi="Arial" w:cs="Arial"/>
          <w:sz w:val="22"/>
          <w:szCs w:val="22"/>
        </w:rPr>
        <w:t>The key inputs to the study are the load forecast</w:t>
      </w:r>
      <w:r w:rsidR="00ED39A7" w:rsidRPr="000C0597">
        <w:rPr>
          <w:rFonts w:ascii="Arial" w:hAnsi="Arial" w:cs="Arial"/>
          <w:sz w:val="22"/>
          <w:szCs w:val="22"/>
        </w:rPr>
        <w:t>s</w:t>
      </w:r>
      <w:r w:rsidRPr="000C0597">
        <w:rPr>
          <w:rFonts w:ascii="Arial" w:hAnsi="Arial" w:cs="Arial"/>
          <w:sz w:val="22"/>
          <w:szCs w:val="22"/>
        </w:rPr>
        <w:t xml:space="preserve">, </w:t>
      </w:r>
      <w:r w:rsidR="007553A0" w:rsidRPr="000C0597">
        <w:rPr>
          <w:rFonts w:ascii="Arial" w:hAnsi="Arial" w:cs="Arial"/>
          <w:sz w:val="22"/>
          <w:szCs w:val="22"/>
        </w:rPr>
        <w:t>projected</w:t>
      </w:r>
      <w:r w:rsidRPr="000C0597">
        <w:rPr>
          <w:rFonts w:ascii="Arial" w:hAnsi="Arial" w:cs="Arial"/>
          <w:sz w:val="22"/>
          <w:szCs w:val="22"/>
        </w:rPr>
        <w:t xml:space="preserve"> DSOs, cost of capital and escalation rates, </w:t>
      </w:r>
      <w:r w:rsidR="00692166" w:rsidRPr="000C0597">
        <w:rPr>
          <w:rFonts w:ascii="Arial" w:hAnsi="Arial" w:cs="Arial"/>
          <w:sz w:val="22"/>
          <w:szCs w:val="22"/>
        </w:rPr>
        <w:t>a reliability criterion</w:t>
      </w:r>
      <w:r w:rsidRPr="000C0597">
        <w:rPr>
          <w:rFonts w:ascii="Arial" w:hAnsi="Arial" w:cs="Arial"/>
          <w:sz w:val="22"/>
          <w:szCs w:val="22"/>
        </w:rPr>
        <w:t>, cost</w:t>
      </w:r>
      <w:r w:rsidR="009D0676" w:rsidRPr="000C0597">
        <w:rPr>
          <w:rFonts w:ascii="Arial" w:hAnsi="Arial" w:cs="Arial"/>
          <w:sz w:val="22"/>
          <w:szCs w:val="22"/>
        </w:rPr>
        <w:t>s</w:t>
      </w:r>
      <w:r w:rsidRPr="000C0597">
        <w:rPr>
          <w:rFonts w:ascii="Arial" w:hAnsi="Arial" w:cs="Arial"/>
          <w:sz w:val="22"/>
          <w:szCs w:val="22"/>
        </w:rPr>
        <w:t xml:space="preserve"> and performance characteristics of candidate generating technologies, environmental compliance strategies, </w:t>
      </w:r>
      <w:r w:rsidR="00FD05CD" w:rsidRPr="000C0597">
        <w:rPr>
          <w:rFonts w:ascii="Arial" w:hAnsi="Arial" w:cs="Arial"/>
          <w:sz w:val="22"/>
          <w:szCs w:val="22"/>
        </w:rPr>
        <w:t xml:space="preserve">fuel forecasts </w:t>
      </w:r>
      <w:r w:rsidRPr="000C0597">
        <w:rPr>
          <w:rFonts w:ascii="Arial" w:hAnsi="Arial" w:cs="Arial"/>
          <w:sz w:val="22"/>
          <w:szCs w:val="22"/>
        </w:rPr>
        <w:t xml:space="preserve">and the operating data </w:t>
      </w:r>
      <w:r w:rsidR="00CA66AB" w:rsidRPr="000C0597">
        <w:rPr>
          <w:rFonts w:ascii="Arial" w:hAnsi="Arial" w:cs="Arial"/>
          <w:sz w:val="22"/>
          <w:szCs w:val="22"/>
        </w:rPr>
        <w:t xml:space="preserve">and </w:t>
      </w:r>
      <w:r w:rsidRPr="000C0597">
        <w:rPr>
          <w:rFonts w:ascii="Arial" w:hAnsi="Arial" w:cs="Arial"/>
          <w:sz w:val="22"/>
          <w:szCs w:val="22"/>
        </w:rPr>
        <w:t xml:space="preserve">retirement </w:t>
      </w:r>
      <w:r w:rsidR="009657F9" w:rsidRPr="000C0597">
        <w:rPr>
          <w:rFonts w:ascii="Arial" w:hAnsi="Arial" w:cs="Arial"/>
          <w:sz w:val="22"/>
          <w:szCs w:val="22"/>
        </w:rPr>
        <w:t xml:space="preserve">or projected unavailability </w:t>
      </w:r>
      <w:r w:rsidRPr="000C0597">
        <w:rPr>
          <w:rFonts w:ascii="Arial" w:hAnsi="Arial" w:cs="Arial"/>
          <w:sz w:val="22"/>
          <w:szCs w:val="22"/>
        </w:rPr>
        <w:t xml:space="preserve">dates of existing </w:t>
      </w:r>
      <w:r w:rsidR="002D5FF7" w:rsidRPr="000C0597">
        <w:rPr>
          <w:rFonts w:ascii="Arial" w:hAnsi="Arial" w:cs="Arial"/>
          <w:sz w:val="22"/>
          <w:szCs w:val="22"/>
        </w:rPr>
        <w:t xml:space="preserve">and committed </w:t>
      </w:r>
      <w:r w:rsidRPr="000C0597">
        <w:rPr>
          <w:rFonts w:ascii="Arial" w:hAnsi="Arial" w:cs="Arial"/>
          <w:sz w:val="22"/>
          <w:szCs w:val="22"/>
        </w:rPr>
        <w:t>generating units</w:t>
      </w:r>
      <w:r w:rsidR="008244ED" w:rsidRPr="000C0597">
        <w:rPr>
          <w:rFonts w:ascii="Arial" w:hAnsi="Arial" w:cs="Arial"/>
          <w:sz w:val="22"/>
          <w:szCs w:val="22"/>
        </w:rPr>
        <w:t xml:space="preserve">. </w:t>
      </w:r>
      <w:r w:rsidR="007A66CD" w:rsidRPr="000C0597">
        <w:rPr>
          <w:rFonts w:ascii="Arial" w:hAnsi="Arial" w:cs="Arial"/>
          <w:sz w:val="22"/>
          <w:szCs w:val="22"/>
        </w:rPr>
        <w:t>For Georgia Power, discrete retirement dates of owned generating units were utilized</w:t>
      </w:r>
      <w:r w:rsidR="00FD05CD" w:rsidRPr="000C0597">
        <w:rPr>
          <w:rFonts w:ascii="Arial" w:hAnsi="Arial" w:cs="Arial"/>
          <w:sz w:val="22"/>
          <w:szCs w:val="22"/>
        </w:rPr>
        <w:t xml:space="preserve"> in the base case</w:t>
      </w:r>
      <w:r w:rsidR="008C5A21" w:rsidRPr="000C0597">
        <w:rPr>
          <w:rFonts w:ascii="Arial" w:hAnsi="Arial" w:cs="Arial"/>
          <w:sz w:val="22"/>
          <w:szCs w:val="22"/>
        </w:rPr>
        <w:t xml:space="preserve"> </w:t>
      </w:r>
      <w:r w:rsidR="00BA29E3" w:rsidRPr="000C0597">
        <w:rPr>
          <w:rFonts w:ascii="Arial" w:hAnsi="Arial" w:cs="Arial"/>
          <w:sz w:val="22"/>
          <w:szCs w:val="22"/>
        </w:rPr>
        <w:t>for</w:t>
      </w:r>
      <w:r w:rsidR="008C5A21" w:rsidRPr="000C0597">
        <w:rPr>
          <w:rFonts w:ascii="Arial" w:hAnsi="Arial" w:cs="Arial"/>
          <w:sz w:val="22"/>
          <w:szCs w:val="22"/>
        </w:rPr>
        <w:t xml:space="preserve"> a</w:t>
      </w:r>
      <w:r w:rsidR="00BA29E3" w:rsidRPr="000C0597">
        <w:rPr>
          <w:rFonts w:ascii="Arial" w:hAnsi="Arial" w:cs="Arial"/>
          <w:sz w:val="22"/>
          <w:szCs w:val="22"/>
        </w:rPr>
        <w:t>ny</w:t>
      </w:r>
      <w:r w:rsidR="008C5A21" w:rsidRPr="000C0597">
        <w:rPr>
          <w:rFonts w:ascii="Arial" w:hAnsi="Arial" w:cs="Arial"/>
          <w:sz w:val="22"/>
          <w:szCs w:val="22"/>
        </w:rPr>
        <w:t xml:space="preserve"> particular</w:t>
      </w:r>
      <w:r w:rsidR="00931306">
        <w:rPr>
          <w:rFonts w:ascii="Arial" w:hAnsi="Arial" w:cs="Arial"/>
          <w:sz w:val="22"/>
          <w:szCs w:val="22"/>
        </w:rPr>
        <w:t xml:space="preserve"> </w:t>
      </w:r>
      <w:r w:rsidR="008C5A21" w:rsidRPr="000C0597">
        <w:rPr>
          <w:rFonts w:ascii="Arial" w:hAnsi="Arial" w:cs="Arial"/>
          <w:sz w:val="22"/>
          <w:szCs w:val="22"/>
        </w:rPr>
        <w:t>unit</w:t>
      </w:r>
      <w:r w:rsidR="00BA29E3" w:rsidRPr="000C0597">
        <w:rPr>
          <w:rFonts w:ascii="Arial" w:hAnsi="Arial" w:cs="Arial"/>
          <w:sz w:val="22"/>
          <w:szCs w:val="22"/>
        </w:rPr>
        <w:t xml:space="preserve"> </w:t>
      </w:r>
      <w:r w:rsidR="00261B37">
        <w:rPr>
          <w:rFonts w:ascii="Arial" w:hAnsi="Arial" w:cs="Arial"/>
          <w:sz w:val="22"/>
          <w:szCs w:val="22"/>
        </w:rPr>
        <w:t xml:space="preserve">for </w:t>
      </w:r>
      <w:r w:rsidR="00BA29E3" w:rsidRPr="000C0597">
        <w:rPr>
          <w:rFonts w:ascii="Arial" w:hAnsi="Arial" w:cs="Arial"/>
          <w:sz w:val="22"/>
          <w:szCs w:val="22"/>
        </w:rPr>
        <w:t>which</w:t>
      </w:r>
      <w:r w:rsidR="008C5A21" w:rsidRPr="000C0597">
        <w:rPr>
          <w:rFonts w:ascii="Arial" w:hAnsi="Arial" w:cs="Arial"/>
          <w:sz w:val="22"/>
          <w:szCs w:val="22"/>
        </w:rPr>
        <w:t xml:space="preserve"> </w:t>
      </w:r>
      <w:r w:rsidR="00261B37">
        <w:rPr>
          <w:rFonts w:ascii="Arial" w:hAnsi="Arial" w:cs="Arial"/>
          <w:sz w:val="22"/>
          <w:szCs w:val="22"/>
        </w:rPr>
        <w:t>decertification is requested in this filing</w:t>
      </w:r>
      <w:r w:rsidR="008244ED" w:rsidRPr="000C0597">
        <w:rPr>
          <w:rFonts w:ascii="Arial" w:hAnsi="Arial" w:cs="Arial"/>
          <w:sz w:val="22"/>
          <w:szCs w:val="22"/>
        </w:rPr>
        <w:t xml:space="preserve">. </w:t>
      </w:r>
      <w:r w:rsidR="00CE5E6F" w:rsidRPr="000C0597">
        <w:rPr>
          <w:rFonts w:ascii="Arial" w:hAnsi="Arial" w:cs="Arial"/>
          <w:sz w:val="22"/>
          <w:szCs w:val="22"/>
        </w:rPr>
        <w:t xml:space="preserve">For remaining </w:t>
      </w:r>
      <w:r w:rsidR="00261B37">
        <w:rPr>
          <w:rFonts w:ascii="Arial" w:hAnsi="Arial" w:cs="Arial"/>
          <w:sz w:val="22"/>
          <w:szCs w:val="22"/>
        </w:rPr>
        <w:t>owned units</w:t>
      </w:r>
      <w:r w:rsidR="007A66CD" w:rsidRPr="000C0597">
        <w:rPr>
          <w:rFonts w:ascii="Arial" w:hAnsi="Arial" w:cs="Arial"/>
          <w:sz w:val="22"/>
          <w:szCs w:val="22"/>
        </w:rPr>
        <w:t xml:space="preserve">, </w:t>
      </w:r>
      <w:r w:rsidR="001B629E" w:rsidRPr="000C0597">
        <w:rPr>
          <w:rFonts w:ascii="Arial" w:hAnsi="Arial" w:cs="Arial"/>
          <w:sz w:val="22"/>
          <w:szCs w:val="22"/>
        </w:rPr>
        <w:t xml:space="preserve">it was assumed that </w:t>
      </w:r>
      <w:r w:rsidR="007A66CD" w:rsidRPr="000C0597">
        <w:rPr>
          <w:rFonts w:ascii="Arial" w:hAnsi="Arial" w:cs="Arial"/>
          <w:sz w:val="22"/>
          <w:szCs w:val="22"/>
        </w:rPr>
        <w:t xml:space="preserve">the respective thermal units </w:t>
      </w:r>
      <w:r w:rsidR="00C10F14" w:rsidRPr="000C0597">
        <w:rPr>
          <w:rFonts w:ascii="Arial" w:hAnsi="Arial" w:cs="Arial"/>
          <w:sz w:val="22"/>
          <w:szCs w:val="22"/>
        </w:rPr>
        <w:t xml:space="preserve">would </w:t>
      </w:r>
      <w:r w:rsidR="007A66CD" w:rsidRPr="000C0597">
        <w:rPr>
          <w:rFonts w:ascii="Arial" w:hAnsi="Arial" w:cs="Arial"/>
          <w:sz w:val="22"/>
          <w:szCs w:val="22"/>
        </w:rPr>
        <w:t xml:space="preserve">continue </w:t>
      </w:r>
      <w:r w:rsidR="00C10F14" w:rsidRPr="000C0597">
        <w:rPr>
          <w:rFonts w:ascii="Arial" w:hAnsi="Arial" w:cs="Arial"/>
          <w:sz w:val="22"/>
          <w:szCs w:val="22"/>
        </w:rPr>
        <w:t xml:space="preserve">to operate </w:t>
      </w:r>
      <w:r w:rsidR="007A66CD" w:rsidRPr="000C0597">
        <w:rPr>
          <w:rFonts w:ascii="Arial" w:hAnsi="Arial" w:cs="Arial"/>
          <w:sz w:val="22"/>
          <w:szCs w:val="22"/>
        </w:rPr>
        <w:t xml:space="preserve">throughout the </w:t>
      </w:r>
      <w:r w:rsidR="008C5A21" w:rsidRPr="000C0597">
        <w:rPr>
          <w:rFonts w:ascii="Arial" w:hAnsi="Arial" w:cs="Arial"/>
          <w:sz w:val="22"/>
          <w:szCs w:val="22"/>
        </w:rPr>
        <w:t xml:space="preserve">planning </w:t>
      </w:r>
      <w:r w:rsidR="007A66CD" w:rsidRPr="000C0597">
        <w:rPr>
          <w:rFonts w:ascii="Arial" w:hAnsi="Arial" w:cs="Arial"/>
          <w:sz w:val="22"/>
          <w:szCs w:val="22"/>
        </w:rPr>
        <w:t>period</w:t>
      </w:r>
      <w:r w:rsidR="00261B37">
        <w:rPr>
          <w:rFonts w:ascii="Arial" w:hAnsi="Arial" w:cs="Arial"/>
          <w:sz w:val="22"/>
          <w:szCs w:val="22"/>
        </w:rPr>
        <w:t xml:space="preserve"> or upon expiration of a nuclear combined license</w:t>
      </w:r>
      <w:r w:rsidR="007A66CD" w:rsidRPr="000C0597">
        <w:rPr>
          <w:rFonts w:ascii="Arial" w:hAnsi="Arial" w:cs="Arial"/>
          <w:sz w:val="22"/>
          <w:szCs w:val="22"/>
        </w:rPr>
        <w:t xml:space="preserve">. </w:t>
      </w:r>
      <w:r w:rsidRPr="000C0597">
        <w:rPr>
          <w:rFonts w:ascii="Arial" w:hAnsi="Arial" w:cs="Arial"/>
          <w:sz w:val="22"/>
          <w:szCs w:val="22"/>
        </w:rPr>
        <w:t>The load forecast</w:t>
      </w:r>
      <w:r w:rsidR="00ED39A7" w:rsidRPr="000C0597">
        <w:rPr>
          <w:rFonts w:ascii="Arial" w:hAnsi="Arial" w:cs="Arial"/>
          <w:sz w:val="22"/>
          <w:szCs w:val="22"/>
        </w:rPr>
        <w:t>s</w:t>
      </w:r>
      <w:r w:rsidRPr="000C0597">
        <w:rPr>
          <w:rFonts w:ascii="Arial" w:hAnsi="Arial" w:cs="Arial"/>
          <w:sz w:val="22"/>
          <w:szCs w:val="22"/>
        </w:rPr>
        <w:t xml:space="preserve"> w</w:t>
      </w:r>
      <w:r w:rsidR="00ED39A7" w:rsidRPr="000C0597">
        <w:rPr>
          <w:rFonts w:ascii="Arial" w:hAnsi="Arial" w:cs="Arial"/>
          <w:sz w:val="22"/>
          <w:szCs w:val="22"/>
        </w:rPr>
        <w:t>ere</w:t>
      </w:r>
      <w:r w:rsidRPr="000C0597">
        <w:rPr>
          <w:rFonts w:ascii="Arial" w:hAnsi="Arial" w:cs="Arial"/>
          <w:sz w:val="22"/>
          <w:szCs w:val="22"/>
        </w:rPr>
        <w:t xml:space="preserve"> completed in fall </w:t>
      </w:r>
      <w:r w:rsidR="004A1CDB" w:rsidRPr="000C0597">
        <w:rPr>
          <w:rFonts w:ascii="Arial" w:hAnsi="Arial" w:cs="Arial"/>
          <w:sz w:val="22"/>
          <w:szCs w:val="22"/>
        </w:rPr>
        <w:t>2018</w:t>
      </w:r>
      <w:r w:rsidR="008244ED" w:rsidRPr="000C0597">
        <w:rPr>
          <w:rFonts w:ascii="Arial" w:hAnsi="Arial" w:cs="Arial"/>
          <w:sz w:val="22"/>
          <w:szCs w:val="22"/>
        </w:rPr>
        <w:t xml:space="preserve">. </w:t>
      </w:r>
      <w:r w:rsidRPr="000C0597">
        <w:rPr>
          <w:rFonts w:ascii="Arial" w:hAnsi="Arial" w:cs="Arial"/>
          <w:sz w:val="22"/>
          <w:szCs w:val="22"/>
        </w:rPr>
        <w:t xml:space="preserve">Escalation and cost of capital rates are based on </w:t>
      </w:r>
      <w:r w:rsidR="00597FE4" w:rsidRPr="000C0597">
        <w:rPr>
          <w:rFonts w:ascii="Arial" w:hAnsi="Arial" w:cs="Arial"/>
          <w:sz w:val="22"/>
          <w:szCs w:val="22"/>
        </w:rPr>
        <w:t xml:space="preserve">the </w:t>
      </w:r>
      <w:r w:rsidR="00DC72A1" w:rsidRPr="000C0597">
        <w:rPr>
          <w:rFonts w:ascii="Arial" w:hAnsi="Arial" w:cs="Arial"/>
          <w:sz w:val="22"/>
          <w:szCs w:val="22"/>
        </w:rPr>
        <w:t xml:space="preserve">IHS </w:t>
      </w:r>
      <w:r w:rsidR="006202F3" w:rsidRPr="000C0597">
        <w:rPr>
          <w:rFonts w:ascii="Arial" w:hAnsi="Arial" w:cs="Arial"/>
          <w:sz w:val="22"/>
          <w:szCs w:val="22"/>
        </w:rPr>
        <w:t>Markit</w:t>
      </w:r>
      <w:r w:rsidR="00A610FB" w:rsidRPr="000C0597">
        <w:rPr>
          <w:rFonts w:ascii="Arial" w:hAnsi="Arial" w:cs="Arial"/>
          <w:sz w:val="22"/>
          <w:szCs w:val="22"/>
        </w:rPr>
        <w:t xml:space="preserve"> </w:t>
      </w:r>
      <w:r w:rsidR="006202F3" w:rsidRPr="000C0597">
        <w:rPr>
          <w:rFonts w:ascii="Arial" w:hAnsi="Arial" w:cs="Arial"/>
          <w:sz w:val="22"/>
          <w:szCs w:val="22"/>
        </w:rPr>
        <w:t>April</w:t>
      </w:r>
      <w:r w:rsidR="00AA430F" w:rsidRPr="000C0597">
        <w:rPr>
          <w:rFonts w:ascii="Arial" w:hAnsi="Arial" w:cs="Arial"/>
          <w:sz w:val="22"/>
          <w:szCs w:val="22"/>
        </w:rPr>
        <w:t xml:space="preserve"> </w:t>
      </w:r>
      <w:r w:rsidR="004A1CDB" w:rsidRPr="000C0597">
        <w:rPr>
          <w:rFonts w:ascii="Arial" w:hAnsi="Arial" w:cs="Arial"/>
          <w:sz w:val="22"/>
          <w:szCs w:val="22"/>
        </w:rPr>
        <w:t xml:space="preserve">2018 </w:t>
      </w:r>
      <w:r w:rsidR="00AA430F" w:rsidRPr="000C0597">
        <w:rPr>
          <w:rFonts w:ascii="Arial" w:hAnsi="Arial" w:cs="Arial"/>
          <w:sz w:val="22"/>
          <w:szCs w:val="22"/>
        </w:rPr>
        <w:t>f</w:t>
      </w:r>
      <w:r w:rsidRPr="000C0597">
        <w:rPr>
          <w:rFonts w:ascii="Arial" w:hAnsi="Arial" w:cs="Arial"/>
          <w:sz w:val="22"/>
          <w:szCs w:val="22"/>
        </w:rPr>
        <w:t>orecast</w:t>
      </w:r>
      <w:r w:rsidR="008244ED" w:rsidRPr="000C0597">
        <w:rPr>
          <w:rFonts w:ascii="Arial" w:hAnsi="Arial" w:cs="Arial"/>
          <w:sz w:val="22"/>
          <w:szCs w:val="22"/>
        </w:rPr>
        <w:t xml:space="preserve">. </w:t>
      </w:r>
      <w:r w:rsidR="00544181" w:rsidRPr="000C0597">
        <w:rPr>
          <w:rFonts w:ascii="Arial" w:hAnsi="Arial" w:cs="Arial"/>
          <w:sz w:val="22"/>
          <w:szCs w:val="22"/>
        </w:rPr>
        <w:t xml:space="preserve">Long term fuel </w:t>
      </w:r>
      <w:r w:rsidRPr="000C0597">
        <w:rPr>
          <w:rFonts w:ascii="Arial" w:hAnsi="Arial" w:cs="Arial"/>
          <w:sz w:val="22"/>
          <w:szCs w:val="22"/>
        </w:rPr>
        <w:t xml:space="preserve">price projections were </w:t>
      </w:r>
      <w:r w:rsidR="00CE6256" w:rsidRPr="000C0597">
        <w:rPr>
          <w:rFonts w:ascii="Arial" w:hAnsi="Arial" w:cs="Arial"/>
          <w:sz w:val="22"/>
          <w:szCs w:val="22"/>
        </w:rPr>
        <w:t xml:space="preserve">developed </w:t>
      </w:r>
      <w:r w:rsidR="00E55A46" w:rsidRPr="000C0597">
        <w:rPr>
          <w:rFonts w:ascii="Arial" w:hAnsi="Arial" w:cs="Arial"/>
          <w:sz w:val="22"/>
          <w:szCs w:val="22"/>
        </w:rPr>
        <w:t>for Southern Company by Charles River Associates (</w:t>
      </w:r>
      <w:r w:rsidR="00061E7D" w:rsidRPr="000C0597">
        <w:rPr>
          <w:rFonts w:ascii="Arial" w:hAnsi="Arial" w:cs="Arial"/>
          <w:sz w:val="22"/>
          <w:szCs w:val="22"/>
        </w:rPr>
        <w:t xml:space="preserve">a.k.a. </w:t>
      </w:r>
      <w:r w:rsidR="00E55A46" w:rsidRPr="000C0597">
        <w:rPr>
          <w:rFonts w:ascii="Arial" w:hAnsi="Arial" w:cs="Arial"/>
          <w:sz w:val="22"/>
          <w:szCs w:val="22"/>
        </w:rPr>
        <w:t>CRA International or “CRA”)</w:t>
      </w:r>
      <w:r w:rsidR="001A73E0" w:rsidRPr="000C0597">
        <w:rPr>
          <w:rFonts w:ascii="Arial" w:hAnsi="Arial" w:cs="Arial"/>
          <w:sz w:val="22"/>
          <w:szCs w:val="22"/>
        </w:rPr>
        <w:t xml:space="preserve"> as described in Technical Appendix Volume 1</w:t>
      </w:r>
      <w:r w:rsidR="008244ED" w:rsidRPr="000C0597">
        <w:rPr>
          <w:rFonts w:ascii="Arial" w:hAnsi="Arial" w:cs="Arial"/>
          <w:sz w:val="22"/>
          <w:szCs w:val="22"/>
        </w:rPr>
        <w:t xml:space="preserve">. </w:t>
      </w:r>
      <w:r w:rsidR="003310E1" w:rsidRPr="000C0597">
        <w:rPr>
          <w:rFonts w:ascii="Arial" w:hAnsi="Arial" w:cs="Arial"/>
          <w:sz w:val="22"/>
          <w:szCs w:val="22"/>
        </w:rPr>
        <w:t>Generation technology capital cost estimates and escalation were developed by Southern Company Engineering and Construction Services</w:t>
      </w:r>
      <w:r w:rsidR="003D755F" w:rsidRPr="000C0597">
        <w:rPr>
          <w:rFonts w:ascii="Arial" w:hAnsi="Arial" w:cs="Arial"/>
          <w:sz w:val="22"/>
          <w:szCs w:val="22"/>
        </w:rPr>
        <w:t xml:space="preserve"> (or “</w:t>
      </w:r>
      <w:r w:rsidR="00634809" w:rsidRPr="000C0597">
        <w:rPr>
          <w:rFonts w:ascii="Arial" w:hAnsi="Arial" w:cs="Arial"/>
          <w:sz w:val="22"/>
          <w:szCs w:val="22"/>
        </w:rPr>
        <w:t>E&amp;CS</w:t>
      </w:r>
      <w:r w:rsidR="003D755F" w:rsidRPr="000C0597">
        <w:rPr>
          <w:rFonts w:ascii="Arial" w:hAnsi="Arial" w:cs="Arial"/>
          <w:sz w:val="22"/>
          <w:szCs w:val="22"/>
        </w:rPr>
        <w:t>”)</w:t>
      </w:r>
      <w:r w:rsidR="009D0676" w:rsidRPr="000C0597">
        <w:rPr>
          <w:rFonts w:ascii="Arial" w:hAnsi="Arial" w:cs="Arial"/>
          <w:sz w:val="22"/>
          <w:szCs w:val="22"/>
        </w:rPr>
        <w:t xml:space="preserve"> and Southern Company Services </w:t>
      </w:r>
      <w:r w:rsidR="004A1CDB" w:rsidRPr="000C0597">
        <w:rPr>
          <w:rFonts w:ascii="Arial" w:hAnsi="Arial" w:cs="Arial"/>
          <w:sz w:val="22"/>
          <w:szCs w:val="22"/>
        </w:rPr>
        <w:t>Generation Planning and Development</w:t>
      </w:r>
      <w:r w:rsidR="00536A43" w:rsidRPr="000C0597">
        <w:rPr>
          <w:rFonts w:ascii="Arial" w:hAnsi="Arial" w:cs="Arial"/>
          <w:sz w:val="22"/>
          <w:szCs w:val="22"/>
        </w:rPr>
        <w:t xml:space="preserve"> (or “</w:t>
      </w:r>
      <w:r w:rsidR="004A1CDB" w:rsidRPr="000C0597">
        <w:rPr>
          <w:rFonts w:ascii="Arial" w:hAnsi="Arial" w:cs="Arial"/>
          <w:sz w:val="22"/>
          <w:szCs w:val="22"/>
        </w:rPr>
        <w:t>GPD</w:t>
      </w:r>
      <w:r w:rsidR="00536A43" w:rsidRPr="000C0597">
        <w:rPr>
          <w:rFonts w:ascii="Arial" w:hAnsi="Arial" w:cs="Arial"/>
          <w:sz w:val="22"/>
          <w:szCs w:val="22"/>
        </w:rPr>
        <w:t>”)</w:t>
      </w:r>
      <w:r w:rsidR="008244ED" w:rsidRPr="000C0597">
        <w:rPr>
          <w:rFonts w:ascii="Arial" w:hAnsi="Arial" w:cs="Arial"/>
          <w:sz w:val="22"/>
          <w:szCs w:val="22"/>
        </w:rPr>
        <w:t xml:space="preserve">. </w:t>
      </w:r>
      <w:r w:rsidR="003310E1" w:rsidRPr="000C0597">
        <w:rPr>
          <w:rFonts w:ascii="Arial" w:hAnsi="Arial" w:cs="Arial"/>
          <w:sz w:val="22"/>
          <w:szCs w:val="22"/>
        </w:rPr>
        <w:t xml:space="preserve">The </w:t>
      </w:r>
      <w:r w:rsidRPr="000C0597">
        <w:rPr>
          <w:rFonts w:ascii="Arial" w:hAnsi="Arial" w:cs="Arial"/>
          <w:sz w:val="22"/>
          <w:szCs w:val="22"/>
        </w:rPr>
        <w:t xml:space="preserve">reserve margin constraint used to develop the least cost </w:t>
      </w:r>
      <w:r w:rsidR="001A73E0" w:rsidRPr="000C0597">
        <w:rPr>
          <w:rFonts w:ascii="Arial" w:hAnsi="Arial" w:cs="Arial"/>
          <w:sz w:val="22"/>
          <w:szCs w:val="22"/>
        </w:rPr>
        <w:t xml:space="preserve">summer </w:t>
      </w:r>
      <w:r w:rsidRPr="000C0597">
        <w:rPr>
          <w:rFonts w:ascii="Arial" w:hAnsi="Arial" w:cs="Arial"/>
          <w:sz w:val="22"/>
          <w:szCs w:val="22"/>
        </w:rPr>
        <w:t>resource</w:t>
      </w:r>
      <w:r w:rsidR="004A1CDB" w:rsidRPr="000C0597">
        <w:rPr>
          <w:rFonts w:ascii="Arial" w:hAnsi="Arial" w:cs="Arial"/>
          <w:sz w:val="22"/>
          <w:szCs w:val="22"/>
        </w:rPr>
        <w:t xml:space="preserve"> </w:t>
      </w:r>
      <w:r w:rsidRPr="000C0597">
        <w:rPr>
          <w:rFonts w:ascii="Arial" w:hAnsi="Arial" w:cs="Arial"/>
          <w:sz w:val="22"/>
          <w:szCs w:val="22"/>
        </w:rPr>
        <w:t>addition schedule coin</w:t>
      </w:r>
      <w:r w:rsidR="002D7ADB" w:rsidRPr="000C0597">
        <w:rPr>
          <w:rFonts w:ascii="Arial" w:hAnsi="Arial" w:cs="Arial"/>
          <w:sz w:val="22"/>
          <w:szCs w:val="22"/>
        </w:rPr>
        <w:t xml:space="preserve">cides with the present planning </w:t>
      </w:r>
      <w:r w:rsidRPr="000C0597">
        <w:rPr>
          <w:rFonts w:ascii="Arial" w:hAnsi="Arial" w:cs="Arial"/>
          <w:sz w:val="22"/>
          <w:szCs w:val="22"/>
        </w:rPr>
        <w:t xml:space="preserve">reserve guideline which recommends a </w:t>
      </w:r>
      <w:r w:rsidR="004A1CDB" w:rsidRPr="000C0597">
        <w:rPr>
          <w:rFonts w:ascii="Arial" w:hAnsi="Arial" w:cs="Arial"/>
          <w:sz w:val="22"/>
          <w:szCs w:val="22"/>
        </w:rPr>
        <w:t>16.25</w:t>
      </w:r>
      <w:r w:rsidRPr="000C0597">
        <w:rPr>
          <w:rFonts w:ascii="Arial" w:hAnsi="Arial" w:cs="Arial"/>
          <w:sz w:val="22"/>
          <w:szCs w:val="22"/>
        </w:rPr>
        <w:t xml:space="preserve">% system </w:t>
      </w:r>
      <w:r w:rsidR="001A73E0" w:rsidRPr="000C0597">
        <w:rPr>
          <w:rFonts w:ascii="Arial" w:hAnsi="Arial" w:cs="Arial"/>
          <w:sz w:val="22"/>
          <w:szCs w:val="22"/>
        </w:rPr>
        <w:t xml:space="preserve">Summer </w:t>
      </w:r>
      <w:r w:rsidR="00DC72A1" w:rsidRPr="000C0597">
        <w:rPr>
          <w:rFonts w:ascii="Arial" w:hAnsi="Arial" w:cs="Arial"/>
          <w:sz w:val="22"/>
          <w:szCs w:val="22"/>
        </w:rPr>
        <w:t>Target Reserve Margin</w:t>
      </w:r>
      <w:r w:rsidR="008244ED" w:rsidRPr="000C0597">
        <w:rPr>
          <w:rFonts w:ascii="Arial" w:hAnsi="Arial" w:cs="Arial"/>
          <w:sz w:val="22"/>
          <w:szCs w:val="22"/>
        </w:rPr>
        <w:t xml:space="preserve">. </w:t>
      </w:r>
      <w:r w:rsidR="004A1CDB" w:rsidRPr="000C0597">
        <w:rPr>
          <w:rFonts w:ascii="Arial" w:hAnsi="Arial" w:cs="Arial"/>
          <w:sz w:val="22"/>
          <w:szCs w:val="22"/>
        </w:rPr>
        <w:t xml:space="preserve">In addition, the Company is </w:t>
      </w:r>
      <w:r w:rsidR="00DC72A1" w:rsidRPr="000C0597">
        <w:rPr>
          <w:rFonts w:ascii="Arial" w:hAnsi="Arial" w:cs="Arial"/>
          <w:sz w:val="22"/>
          <w:szCs w:val="22"/>
        </w:rPr>
        <w:t xml:space="preserve">recommending a long-term </w:t>
      </w:r>
      <w:r w:rsidR="001A73E0" w:rsidRPr="000C0597">
        <w:rPr>
          <w:rFonts w:ascii="Arial" w:hAnsi="Arial" w:cs="Arial"/>
          <w:sz w:val="22"/>
          <w:szCs w:val="22"/>
        </w:rPr>
        <w:t xml:space="preserve">Winter </w:t>
      </w:r>
      <w:r w:rsidR="00DC72A1" w:rsidRPr="000C0597">
        <w:rPr>
          <w:rFonts w:ascii="Arial" w:hAnsi="Arial" w:cs="Arial"/>
          <w:sz w:val="22"/>
          <w:szCs w:val="22"/>
        </w:rPr>
        <w:t>Target Reserve Margin</w:t>
      </w:r>
      <w:r w:rsidR="008244ED" w:rsidRPr="000C0597">
        <w:rPr>
          <w:rFonts w:ascii="Arial" w:hAnsi="Arial" w:cs="Arial"/>
          <w:sz w:val="22"/>
          <w:szCs w:val="22"/>
        </w:rPr>
        <w:t xml:space="preserve">. </w:t>
      </w:r>
      <w:r w:rsidR="004A1CDB" w:rsidRPr="000C0597">
        <w:rPr>
          <w:rFonts w:ascii="Arial" w:hAnsi="Arial" w:cs="Arial"/>
          <w:sz w:val="22"/>
          <w:szCs w:val="22"/>
        </w:rPr>
        <w:t xml:space="preserve">As such, a reserve margin </w:t>
      </w:r>
      <w:r w:rsidR="004A1CDB" w:rsidRPr="000C0597">
        <w:rPr>
          <w:rFonts w:ascii="Arial" w:hAnsi="Arial" w:cs="Arial"/>
          <w:sz w:val="22"/>
          <w:szCs w:val="22"/>
        </w:rPr>
        <w:lastRenderedPageBreak/>
        <w:t>constraint will also be applied</w:t>
      </w:r>
      <w:r w:rsidR="008244ED" w:rsidRPr="000C0597">
        <w:rPr>
          <w:rFonts w:ascii="Arial" w:hAnsi="Arial" w:cs="Arial"/>
          <w:sz w:val="22"/>
          <w:szCs w:val="22"/>
        </w:rPr>
        <w:t xml:space="preserve">. </w:t>
      </w:r>
      <w:r w:rsidR="004A1CDB" w:rsidRPr="000C0597">
        <w:rPr>
          <w:rFonts w:ascii="Arial" w:hAnsi="Arial" w:cs="Arial"/>
          <w:sz w:val="22"/>
          <w:szCs w:val="22"/>
        </w:rPr>
        <w:t xml:space="preserve">The reserve margin constraint used to develop the least cost winter resource addition schedule is a 26% system </w:t>
      </w:r>
      <w:r w:rsidR="001A73E0" w:rsidRPr="000C0597">
        <w:rPr>
          <w:rFonts w:ascii="Arial" w:hAnsi="Arial" w:cs="Arial"/>
          <w:sz w:val="22"/>
          <w:szCs w:val="22"/>
        </w:rPr>
        <w:t xml:space="preserve">Winter </w:t>
      </w:r>
      <w:r w:rsidR="00DC72A1" w:rsidRPr="000C0597">
        <w:rPr>
          <w:rFonts w:ascii="Arial" w:hAnsi="Arial" w:cs="Arial"/>
          <w:sz w:val="22"/>
          <w:szCs w:val="22"/>
        </w:rPr>
        <w:t>Target Reserve Margin</w:t>
      </w:r>
      <w:r w:rsidR="008244ED" w:rsidRPr="000C0597">
        <w:rPr>
          <w:rFonts w:ascii="Arial" w:hAnsi="Arial" w:cs="Arial"/>
          <w:sz w:val="22"/>
          <w:szCs w:val="22"/>
        </w:rPr>
        <w:t xml:space="preserve">. </w:t>
      </w:r>
      <w:bookmarkStart w:id="4" w:name="_Toc305487188"/>
    </w:p>
    <w:p w14:paraId="1D0D89AC" w14:textId="77777777" w:rsidR="00040739" w:rsidRPr="000C0597" w:rsidRDefault="00040739" w:rsidP="00040739">
      <w:pPr>
        <w:spacing w:line="360" w:lineRule="atLeast"/>
        <w:rPr>
          <w:rFonts w:ascii="Arial" w:hAnsi="Arial" w:cs="Arial"/>
          <w:sz w:val="22"/>
          <w:szCs w:val="22"/>
        </w:rPr>
      </w:pPr>
    </w:p>
    <w:p w14:paraId="58B82A91" w14:textId="3F9AEB20" w:rsidR="00BD6A65" w:rsidRPr="000C0597" w:rsidRDefault="00243513" w:rsidP="00A04A13">
      <w:pPr>
        <w:pStyle w:val="Heading2"/>
        <w:spacing w:line="360" w:lineRule="atLeast"/>
        <w:ind w:left="846"/>
        <w:rPr>
          <w:rFonts w:ascii="Arial" w:hAnsi="Arial" w:cs="Arial"/>
          <w:sz w:val="22"/>
          <w:szCs w:val="22"/>
        </w:rPr>
      </w:pPr>
      <w:r w:rsidRPr="000C0597">
        <w:rPr>
          <w:rFonts w:ascii="Arial" w:hAnsi="Arial" w:cs="Arial"/>
          <w:sz w:val="22"/>
          <w:szCs w:val="22"/>
        </w:rPr>
        <w:t>EXISTING CAPACITY AND ENERGY MIX</w:t>
      </w:r>
      <w:bookmarkEnd w:id="4"/>
    </w:p>
    <w:p w14:paraId="2C45E67A" w14:textId="7336FFD3" w:rsidR="00B74EAF" w:rsidRPr="000C0597" w:rsidRDefault="00930DCF" w:rsidP="00243513">
      <w:pPr>
        <w:spacing w:line="360" w:lineRule="atLeast"/>
        <w:rPr>
          <w:rFonts w:ascii="Arial" w:hAnsi="Arial" w:cs="Arial"/>
          <w:color w:val="000000"/>
          <w:sz w:val="22"/>
          <w:szCs w:val="22"/>
        </w:rPr>
      </w:pPr>
      <w:r>
        <w:rPr>
          <w:rFonts w:ascii="Arial" w:hAnsi="Arial" w:cs="Arial"/>
          <w:color w:val="000000"/>
          <w:sz w:val="22"/>
          <w:szCs w:val="22"/>
        </w:rPr>
        <w:t>Including Gulf Power, t</w:t>
      </w:r>
      <w:r w:rsidR="00540391" w:rsidRPr="000C0597">
        <w:rPr>
          <w:rFonts w:ascii="Arial" w:hAnsi="Arial" w:cs="Arial"/>
          <w:color w:val="000000"/>
          <w:sz w:val="22"/>
          <w:szCs w:val="22"/>
        </w:rPr>
        <w:t>he retail operating companies’</w:t>
      </w:r>
      <w:r w:rsidR="001A73E0" w:rsidRPr="000C0597">
        <w:rPr>
          <w:rFonts w:ascii="Arial" w:hAnsi="Arial" w:cs="Arial"/>
          <w:color w:val="000000"/>
          <w:sz w:val="22"/>
          <w:szCs w:val="22"/>
        </w:rPr>
        <w:t xml:space="preserve"> </w:t>
      </w:r>
      <w:r w:rsidR="00540391" w:rsidRPr="000C0597">
        <w:rPr>
          <w:rFonts w:ascii="Arial" w:hAnsi="Arial" w:cs="Arial"/>
          <w:color w:val="000000"/>
          <w:sz w:val="22"/>
          <w:szCs w:val="22"/>
        </w:rPr>
        <w:t xml:space="preserve">primary fuel is </w:t>
      </w:r>
      <w:r w:rsidR="007A59E4" w:rsidRPr="000C0597">
        <w:rPr>
          <w:rFonts w:ascii="Arial" w:hAnsi="Arial" w:cs="Arial"/>
          <w:color w:val="000000"/>
          <w:sz w:val="22"/>
          <w:szCs w:val="22"/>
        </w:rPr>
        <w:t>gas/oil</w:t>
      </w:r>
      <w:r w:rsidR="00540391" w:rsidRPr="000C0597">
        <w:rPr>
          <w:rFonts w:ascii="Arial" w:hAnsi="Arial" w:cs="Arial"/>
          <w:color w:val="000000"/>
          <w:sz w:val="22"/>
          <w:szCs w:val="22"/>
        </w:rPr>
        <w:t>, accounting for approximately</w:t>
      </w:r>
      <w:r w:rsidR="00782221" w:rsidRPr="000C0597">
        <w:rPr>
          <w:rFonts w:ascii="Arial" w:hAnsi="Arial" w:cs="Arial"/>
          <w:color w:val="000000"/>
          <w:sz w:val="22"/>
          <w:szCs w:val="22"/>
        </w:rPr>
        <w:t xml:space="preserve"> </w:t>
      </w:r>
      <w:r w:rsidR="00170DCF" w:rsidRPr="001E4272">
        <w:rPr>
          <w:rFonts w:ascii="Arial" w:hAnsi="Arial" w:cs="Arial"/>
          <w:b/>
          <w:color w:val="000000"/>
          <w:sz w:val="10"/>
          <w:szCs w:val="12"/>
        </w:rPr>
        <w:t xml:space="preserve">REDACTED </w:t>
      </w:r>
      <w:r w:rsidR="00540391" w:rsidRPr="000C0597">
        <w:rPr>
          <w:rFonts w:ascii="Arial" w:hAnsi="Arial" w:cs="Arial"/>
          <w:color w:val="000000"/>
          <w:sz w:val="22"/>
          <w:szCs w:val="22"/>
        </w:rPr>
        <w:t xml:space="preserve">% of their energy requirement with the balance provided by </w:t>
      </w:r>
      <w:r w:rsidR="00170DCF" w:rsidRPr="001E4272">
        <w:rPr>
          <w:rFonts w:ascii="Arial" w:hAnsi="Arial" w:cs="Arial"/>
          <w:b/>
          <w:color w:val="000000"/>
          <w:sz w:val="8"/>
          <w:szCs w:val="12"/>
        </w:rPr>
        <w:t xml:space="preserve">REDACTED </w:t>
      </w:r>
      <w:r w:rsidR="00540391" w:rsidRPr="000C0597">
        <w:rPr>
          <w:rFonts w:ascii="Arial" w:hAnsi="Arial" w:cs="Arial"/>
          <w:color w:val="000000"/>
          <w:sz w:val="22"/>
          <w:szCs w:val="22"/>
        </w:rPr>
        <w:t xml:space="preserve">% from </w:t>
      </w:r>
      <w:r w:rsidR="007A59E4" w:rsidRPr="000C0597">
        <w:rPr>
          <w:rFonts w:ascii="Arial" w:hAnsi="Arial" w:cs="Arial"/>
          <w:color w:val="000000"/>
          <w:sz w:val="22"/>
          <w:szCs w:val="22"/>
        </w:rPr>
        <w:t>coal</w:t>
      </w:r>
      <w:r w:rsidR="003152E1" w:rsidRPr="000C0597">
        <w:rPr>
          <w:rFonts w:ascii="Arial" w:hAnsi="Arial" w:cs="Arial"/>
          <w:color w:val="000000"/>
          <w:sz w:val="22"/>
          <w:szCs w:val="22"/>
        </w:rPr>
        <w:t>,</w:t>
      </w:r>
      <w:r w:rsidR="001A73E0" w:rsidRPr="000C0597">
        <w:rPr>
          <w:rFonts w:ascii="Arial" w:hAnsi="Arial" w:cs="Arial"/>
          <w:color w:val="000000"/>
          <w:sz w:val="22"/>
          <w:szCs w:val="22"/>
        </w:rPr>
        <w:t xml:space="preserve"> </w:t>
      </w:r>
      <w:r w:rsidR="00170DCF" w:rsidRPr="00170DCF">
        <w:rPr>
          <w:rFonts w:ascii="Arial" w:hAnsi="Arial" w:cs="Arial"/>
          <w:b/>
          <w:color w:val="000000"/>
          <w:sz w:val="12"/>
          <w:szCs w:val="12"/>
        </w:rPr>
        <w:t>REDACTED</w:t>
      </w:r>
      <w:r w:rsidR="00170DCF">
        <w:rPr>
          <w:rFonts w:ascii="Arial" w:hAnsi="Arial" w:cs="Arial"/>
          <w:b/>
          <w:color w:val="000000"/>
          <w:sz w:val="12"/>
          <w:szCs w:val="12"/>
        </w:rPr>
        <w:t xml:space="preserve"> </w:t>
      </w:r>
      <w:r w:rsidR="003152E1" w:rsidRPr="000C0597">
        <w:rPr>
          <w:rFonts w:ascii="Arial" w:hAnsi="Arial" w:cs="Arial"/>
          <w:color w:val="000000"/>
          <w:sz w:val="22"/>
          <w:szCs w:val="22"/>
        </w:rPr>
        <w:t>%</w:t>
      </w:r>
      <w:r w:rsidR="00F47442" w:rsidRPr="000C0597">
        <w:rPr>
          <w:rFonts w:ascii="Arial" w:hAnsi="Arial" w:cs="Arial"/>
          <w:color w:val="000000"/>
          <w:sz w:val="22"/>
          <w:szCs w:val="22"/>
        </w:rPr>
        <w:t xml:space="preserve"> </w:t>
      </w:r>
      <w:r w:rsidR="003152E1" w:rsidRPr="000C0597">
        <w:rPr>
          <w:rFonts w:ascii="Arial" w:hAnsi="Arial" w:cs="Arial"/>
          <w:color w:val="000000"/>
          <w:sz w:val="22"/>
          <w:szCs w:val="22"/>
        </w:rPr>
        <w:t xml:space="preserve">from </w:t>
      </w:r>
      <w:r w:rsidR="00540391" w:rsidRPr="000C0597">
        <w:rPr>
          <w:rFonts w:ascii="Arial" w:hAnsi="Arial" w:cs="Arial"/>
          <w:color w:val="000000"/>
          <w:sz w:val="22"/>
          <w:szCs w:val="22"/>
        </w:rPr>
        <w:t xml:space="preserve">nuclear, and </w:t>
      </w:r>
      <w:r w:rsidR="00170DCF" w:rsidRPr="00170DCF">
        <w:rPr>
          <w:rFonts w:ascii="Arial" w:hAnsi="Arial" w:cs="Arial"/>
          <w:b/>
          <w:color w:val="000000"/>
          <w:sz w:val="12"/>
          <w:szCs w:val="12"/>
        </w:rPr>
        <w:t>REDACTED</w:t>
      </w:r>
      <w:r w:rsidR="00170DCF">
        <w:rPr>
          <w:rFonts w:ascii="Arial" w:hAnsi="Arial" w:cs="Arial"/>
          <w:b/>
          <w:color w:val="000000"/>
          <w:sz w:val="12"/>
          <w:szCs w:val="12"/>
        </w:rPr>
        <w:t xml:space="preserve"> </w:t>
      </w:r>
      <w:r w:rsidR="00540391" w:rsidRPr="000C0597">
        <w:rPr>
          <w:rFonts w:ascii="Arial" w:hAnsi="Arial" w:cs="Arial"/>
          <w:color w:val="000000"/>
          <w:sz w:val="22"/>
          <w:szCs w:val="22"/>
        </w:rPr>
        <w:t>%</w:t>
      </w:r>
      <w:r w:rsidR="00F47442" w:rsidRPr="000C0597">
        <w:rPr>
          <w:rFonts w:ascii="Arial" w:hAnsi="Arial" w:cs="Arial"/>
          <w:color w:val="000000"/>
          <w:sz w:val="22"/>
          <w:szCs w:val="22"/>
        </w:rPr>
        <w:t xml:space="preserve"> </w:t>
      </w:r>
      <w:r w:rsidR="00540391" w:rsidRPr="000C0597">
        <w:rPr>
          <w:rFonts w:ascii="Arial" w:hAnsi="Arial" w:cs="Arial"/>
          <w:color w:val="000000"/>
          <w:sz w:val="22"/>
          <w:szCs w:val="22"/>
        </w:rPr>
        <w:t>from hydro</w:t>
      </w:r>
      <w:r w:rsidR="003152E1" w:rsidRPr="000C0597">
        <w:rPr>
          <w:rFonts w:ascii="Arial" w:hAnsi="Arial" w:cs="Arial"/>
          <w:color w:val="000000"/>
          <w:sz w:val="22"/>
          <w:szCs w:val="22"/>
        </w:rPr>
        <w:t xml:space="preserve"> and other</w:t>
      </w:r>
      <w:r w:rsidR="008244ED" w:rsidRPr="000C0597">
        <w:rPr>
          <w:rFonts w:ascii="Arial" w:hAnsi="Arial" w:cs="Arial"/>
          <w:color w:val="000000"/>
          <w:sz w:val="22"/>
          <w:szCs w:val="22"/>
        </w:rPr>
        <w:t>.</w:t>
      </w:r>
      <w:r>
        <w:rPr>
          <w:rFonts w:ascii="Arial" w:hAnsi="Arial" w:cs="Arial"/>
          <w:color w:val="000000"/>
          <w:sz w:val="22"/>
          <w:szCs w:val="22"/>
        </w:rPr>
        <w:t xml:space="preserve"> </w:t>
      </w:r>
      <w:r w:rsidR="00540391" w:rsidRPr="000C0597">
        <w:rPr>
          <w:rFonts w:ascii="Arial" w:hAnsi="Arial" w:cs="Arial"/>
          <w:color w:val="000000"/>
          <w:sz w:val="22"/>
          <w:szCs w:val="22"/>
        </w:rPr>
        <w:t xml:space="preserve">The generating capacity of the retail operating companies consists of </w:t>
      </w:r>
      <w:r w:rsidR="00C26CF7" w:rsidRPr="000C0597">
        <w:rPr>
          <w:rFonts w:ascii="Arial" w:hAnsi="Arial" w:cs="Arial"/>
          <w:color w:val="000000"/>
          <w:sz w:val="22"/>
          <w:szCs w:val="22"/>
        </w:rPr>
        <w:t>30</w:t>
      </w:r>
      <w:r w:rsidR="00540391" w:rsidRPr="000C0597">
        <w:rPr>
          <w:rFonts w:ascii="Arial" w:hAnsi="Arial" w:cs="Arial"/>
          <w:color w:val="000000"/>
          <w:sz w:val="22"/>
          <w:szCs w:val="22"/>
        </w:rPr>
        <w:t xml:space="preserve">% coal, </w:t>
      </w:r>
      <w:r w:rsidR="00C70F57" w:rsidRPr="000C0597">
        <w:rPr>
          <w:rFonts w:ascii="Arial" w:hAnsi="Arial" w:cs="Arial"/>
          <w:color w:val="000000"/>
          <w:sz w:val="22"/>
          <w:szCs w:val="22"/>
        </w:rPr>
        <w:t>4</w:t>
      </w:r>
      <w:r w:rsidR="00C26CF7" w:rsidRPr="000C0597">
        <w:rPr>
          <w:rFonts w:ascii="Arial" w:hAnsi="Arial" w:cs="Arial"/>
          <w:color w:val="000000"/>
          <w:sz w:val="22"/>
          <w:szCs w:val="22"/>
        </w:rPr>
        <w:t>3</w:t>
      </w:r>
      <w:r w:rsidR="00540391" w:rsidRPr="000C0597">
        <w:rPr>
          <w:rFonts w:ascii="Arial" w:hAnsi="Arial" w:cs="Arial"/>
          <w:color w:val="000000"/>
          <w:sz w:val="22"/>
          <w:szCs w:val="22"/>
        </w:rPr>
        <w:t xml:space="preserve">% oil and gas, </w:t>
      </w:r>
      <w:r w:rsidR="00C70F57" w:rsidRPr="000C0597">
        <w:rPr>
          <w:rFonts w:ascii="Arial" w:hAnsi="Arial" w:cs="Arial"/>
          <w:color w:val="000000"/>
          <w:sz w:val="22"/>
          <w:szCs w:val="22"/>
        </w:rPr>
        <w:t>9</w:t>
      </w:r>
      <w:r w:rsidR="00540391" w:rsidRPr="000C0597">
        <w:rPr>
          <w:rFonts w:ascii="Arial" w:hAnsi="Arial" w:cs="Arial"/>
          <w:color w:val="000000"/>
          <w:sz w:val="22"/>
          <w:szCs w:val="22"/>
        </w:rPr>
        <w:t>% nuclear,</w:t>
      </w:r>
      <w:r w:rsidR="00693F9A" w:rsidRPr="000C0597">
        <w:rPr>
          <w:rFonts w:ascii="Arial" w:hAnsi="Arial" w:cs="Arial"/>
          <w:color w:val="000000"/>
          <w:sz w:val="22"/>
          <w:szCs w:val="22"/>
        </w:rPr>
        <w:t xml:space="preserve"> </w:t>
      </w:r>
      <w:r>
        <w:rPr>
          <w:rFonts w:ascii="Arial" w:hAnsi="Arial" w:cs="Arial"/>
          <w:color w:val="000000"/>
          <w:sz w:val="22"/>
          <w:szCs w:val="22"/>
        </w:rPr>
        <w:t xml:space="preserve">and </w:t>
      </w:r>
      <w:r w:rsidR="00C26CF7" w:rsidRPr="000C0597">
        <w:rPr>
          <w:rFonts w:ascii="Arial" w:hAnsi="Arial" w:cs="Arial"/>
          <w:color w:val="000000"/>
          <w:sz w:val="22"/>
          <w:szCs w:val="22"/>
        </w:rPr>
        <w:t>18</w:t>
      </w:r>
      <w:r w:rsidR="00C70F57" w:rsidRPr="000C0597">
        <w:rPr>
          <w:rFonts w:ascii="Arial" w:hAnsi="Arial" w:cs="Arial"/>
          <w:color w:val="000000"/>
          <w:sz w:val="22"/>
          <w:szCs w:val="22"/>
        </w:rPr>
        <w:t>% hydro</w:t>
      </w:r>
      <w:r w:rsidR="00540391" w:rsidRPr="000C0597">
        <w:rPr>
          <w:rFonts w:ascii="Arial" w:hAnsi="Arial" w:cs="Arial"/>
          <w:color w:val="000000"/>
          <w:sz w:val="22"/>
          <w:szCs w:val="22"/>
        </w:rPr>
        <w:t xml:space="preserve"> </w:t>
      </w:r>
      <w:r w:rsidR="007A59E4" w:rsidRPr="000C0597">
        <w:rPr>
          <w:rFonts w:ascii="Arial" w:hAnsi="Arial" w:cs="Arial"/>
          <w:color w:val="000000"/>
          <w:sz w:val="22"/>
          <w:szCs w:val="22"/>
        </w:rPr>
        <w:t>and other.</w:t>
      </w:r>
    </w:p>
    <w:p w14:paraId="006C475F" w14:textId="77777777" w:rsidR="00243513" w:rsidRPr="000C0597" w:rsidRDefault="00243513" w:rsidP="00243513">
      <w:pPr>
        <w:spacing w:line="360" w:lineRule="atLeast"/>
        <w:rPr>
          <w:rFonts w:ascii="Arial" w:hAnsi="Arial" w:cs="Arial"/>
          <w:sz w:val="22"/>
          <w:szCs w:val="22"/>
        </w:rPr>
      </w:pPr>
    </w:p>
    <w:p w14:paraId="54FABE0F" w14:textId="77777777" w:rsidR="00BD6A65" w:rsidRPr="000C0597" w:rsidRDefault="00243513" w:rsidP="00A04A13">
      <w:pPr>
        <w:pStyle w:val="Heading2"/>
        <w:spacing w:line="360" w:lineRule="atLeast"/>
        <w:ind w:left="846"/>
        <w:rPr>
          <w:rFonts w:ascii="Arial" w:hAnsi="Arial" w:cs="Arial"/>
          <w:sz w:val="22"/>
          <w:szCs w:val="22"/>
        </w:rPr>
      </w:pPr>
      <w:bookmarkStart w:id="5" w:name="_Toc305487189"/>
      <w:r w:rsidRPr="000C0597">
        <w:rPr>
          <w:rFonts w:ascii="Arial" w:hAnsi="Arial" w:cs="Arial"/>
          <w:sz w:val="22"/>
          <w:szCs w:val="22"/>
        </w:rPr>
        <w:t>SELECTION OF CANDIDATE TECHNOLOGIES</w:t>
      </w:r>
      <w:bookmarkEnd w:id="5"/>
    </w:p>
    <w:p w14:paraId="325A2848" w14:textId="64C08157" w:rsidR="00A04A13" w:rsidRPr="000C0597" w:rsidRDefault="006202F3" w:rsidP="00243513">
      <w:pPr>
        <w:spacing w:line="360" w:lineRule="atLeast"/>
        <w:rPr>
          <w:rFonts w:ascii="Arial" w:hAnsi="Arial" w:cs="Arial"/>
          <w:sz w:val="22"/>
          <w:szCs w:val="22"/>
        </w:rPr>
      </w:pPr>
      <w:r w:rsidRPr="000C0597">
        <w:rPr>
          <w:rFonts w:ascii="Arial" w:hAnsi="Arial" w:cs="Arial"/>
          <w:sz w:val="22"/>
          <w:szCs w:val="22"/>
        </w:rPr>
        <w:t>C</w:t>
      </w:r>
      <w:r w:rsidR="00BD6A65" w:rsidRPr="000C0597">
        <w:rPr>
          <w:rFonts w:ascii="Arial" w:hAnsi="Arial" w:cs="Arial"/>
          <w:sz w:val="22"/>
          <w:szCs w:val="22"/>
        </w:rPr>
        <w:t>ombined cycle</w:t>
      </w:r>
      <w:r w:rsidR="000F487A" w:rsidRPr="000C0597">
        <w:rPr>
          <w:rFonts w:ascii="Arial" w:hAnsi="Arial" w:cs="Arial"/>
          <w:sz w:val="22"/>
          <w:szCs w:val="22"/>
        </w:rPr>
        <w:t xml:space="preserve"> (“CC”)</w:t>
      </w:r>
      <w:r w:rsidR="0096185F" w:rsidRPr="000C0597">
        <w:rPr>
          <w:rFonts w:ascii="Arial" w:hAnsi="Arial" w:cs="Arial"/>
          <w:sz w:val="22"/>
          <w:szCs w:val="22"/>
        </w:rPr>
        <w:t>,</w:t>
      </w:r>
      <w:r w:rsidR="00BD6A65" w:rsidRPr="000C0597">
        <w:rPr>
          <w:rFonts w:ascii="Arial" w:hAnsi="Arial" w:cs="Arial"/>
          <w:sz w:val="22"/>
          <w:szCs w:val="22"/>
        </w:rPr>
        <w:t xml:space="preserve"> </w:t>
      </w:r>
      <w:r w:rsidR="00930DCF">
        <w:rPr>
          <w:rFonts w:ascii="Arial" w:hAnsi="Arial" w:cs="Arial"/>
          <w:sz w:val="22"/>
          <w:szCs w:val="22"/>
        </w:rPr>
        <w:t xml:space="preserve">CC </w:t>
      </w:r>
      <w:r w:rsidR="00012E09" w:rsidRPr="000C0597">
        <w:rPr>
          <w:rFonts w:ascii="Arial" w:hAnsi="Arial" w:cs="Arial"/>
          <w:sz w:val="22"/>
          <w:szCs w:val="22"/>
        </w:rPr>
        <w:t xml:space="preserve">with carbon capture and </w:t>
      </w:r>
      <w:r w:rsidR="00E87440" w:rsidRPr="000C0597">
        <w:rPr>
          <w:rFonts w:ascii="Arial" w:hAnsi="Arial" w:cs="Arial"/>
          <w:sz w:val="22"/>
          <w:szCs w:val="22"/>
        </w:rPr>
        <w:t>compression</w:t>
      </w:r>
      <w:r w:rsidR="00012E09" w:rsidRPr="000C0597">
        <w:rPr>
          <w:rFonts w:ascii="Arial" w:hAnsi="Arial" w:cs="Arial"/>
          <w:sz w:val="22"/>
          <w:szCs w:val="22"/>
        </w:rPr>
        <w:t xml:space="preserve"> (</w:t>
      </w:r>
      <w:r w:rsidR="001B1B5C" w:rsidRPr="000C0597">
        <w:rPr>
          <w:rFonts w:ascii="Arial" w:hAnsi="Arial" w:cs="Arial"/>
          <w:sz w:val="22"/>
          <w:szCs w:val="22"/>
        </w:rPr>
        <w:t>“</w:t>
      </w:r>
      <w:r w:rsidR="00012E09" w:rsidRPr="000C0597">
        <w:rPr>
          <w:rFonts w:ascii="Arial" w:hAnsi="Arial" w:cs="Arial"/>
          <w:sz w:val="22"/>
          <w:szCs w:val="22"/>
        </w:rPr>
        <w:t>CC</w:t>
      </w:r>
      <w:r w:rsidR="00E87440" w:rsidRPr="000C0597">
        <w:rPr>
          <w:rFonts w:ascii="Arial" w:hAnsi="Arial" w:cs="Arial"/>
          <w:sz w:val="22"/>
          <w:szCs w:val="22"/>
        </w:rPr>
        <w:t>C</w:t>
      </w:r>
      <w:r w:rsidR="001B1B5C" w:rsidRPr="000C0597">
        <w:rPr>
          <w:rFonts w:ascii="Arial" w:hAnsi="Arial" w:cs="Arial"/>
          <w:sz w:val="22"/>
          <w:szCs w:val="22"/>
        </w:rPr>
        <w:t>”</w:t>
      </w:r>
      <w:r w:rsidR="00012E09" w:rsidRPr="000C0597">
        <w:rPr>
          <w:rFonts w:ascii="Arial" w:hAnsi="Arial" w:cs="Arial"/>
          <w:sz w:val="22"/>
          <w:szCs w:val="22"/>
        </w:rPr>
        <w:t>)</w:t>
      </w:r>
      <w:r w:rsidR="009326BC" w:rsidRPr="000C0597">
        <w:rPr>
          <w:rFonts w:ascii="Arial" w:hAnsi="Arial" w:cs="Arial"/>
          <w:sz w:val="22"/>
          <w:szCs w:val="22"/>
        </w:rPr>
        <w:t xml:space="preserve">, </w:t>
      </w:r>
      <w:r w:rsidR="00BD6A65" w:rsidRPr="000C0597">
        <w:rPr>
          <w:rFonts w:ascii="Arial" w:hAnsi="Arial" w:cs="Arial"/>
          <w:sz w:val="22"/>
          <w:szCs w:val="22"/>
        </w:rPr>
        <w:t xml:space="preserve">combustion turbines </w:t>
      </w:r>
      <w:r w:rsidR="000F487A" w:rsidRPr="000C0597">
        <w:rPr>
          <w:rFonts w:ascii="Arial" w:hAnsi="Arial" w:cs="Arial"/>
          <w:sz w:val="22"/>
          <w:szCs w:val="22"/>
        </w:rPr>
        <w:t>(“CT”)</w:t>
      </w:r>
      <w:r w:rsidR="00930DCF">
        <w:rPr>
          <w:rFonts w:ascii="Arial" w:hAnsi="Arial" w:cs="Arial"/>
          <w:sz w:val="22"/>
          <w:szCs w:val="22"/>
        </w:rPr>
        <w:t>,</w:t>
      </w:r>
      <w:r w:rsidR="000F487A" w:rsidRPr="000C0597">
        <w:rPr>
          <w:rFonts w:ascii="Arial" w:hAnsi="Arial" w:cs="Arial"/>
          <w:sz w:val="22"/>
          <w:szCs w:val="22"/>
        </w:rPr>
        <w:t xml:space="preserve"> </w:t>
      </w:r>
      <w:r w:rsidR="009326BC" w:rsidRPr="000C0597">
        <w:rPr>
          <w:rFonts w:ascii="Arial" w:hAnsi="Arial" w:cs="Arial"/>
          <w:sz w:val="22"/>
          <w:szCs w:val="22"/>
        </w:rPr>
        <w:t xml:space="preserve">and </w:t>
      </w:r>
      <w:r w:rsidR="00FC0080" w:rsidRPr="000C0597">
        <w:rPr>
          <w:rFonts w:ascii="Arial" w:hAnsi="Arial" w:cs="Arial"/>
          <w:sz w:val="22"/>
          <w:szCs w:val="22"/>
        </w:rPr>
        <w:t>CT</w:t>
      </w:r>
      <w:r w:rsidR="009326BC" w:rsidRPr="000C0597">
        <w:rPr>
          <w:rFonts w:ascii="Arial" w:hAnsi="Arial" w:cs="Arial"/>
          <w:sz w:val="22"/>
          <w:szCs w:val="22"/>
        </w:rPr>
        <w:t xml:space="preserve"> with </w:t>
      </w:r>
      <w:r w:rsidR="00FC0080" w:rsidRPr="000C0597">
        <w:rPr>
          <w:rFonts w:ascii="Arial" w:hAnsi="Arial" w:cs="Arial"/>
          <w:sz w:val="22"/>
          <w:szCs w:val="22"/>
        </w:rPr>
        <w:t>Selective Catalytic Reduction (“</w:t>
      </w:r>
      <w:r w:rsidR="009326BC" w:rsidRPr="000C0597">
        <w:rPr>
          <w:rFonts w:ascii="Arial" w:hAnsi="Arial" w:cs="Arial"/>
          <w:sz w:val="22"/>
          <w:szCs w:val="22"/>
        </w:rPr>
        <w:t>SCR</w:t>
      </w:r>
      <w:r w:rsidR="00FC0080" w:rsidRPr="000C0597">
        <w:rPr>
          <w:rFonts w:ascii="Arial" w:hAnsi="Arial" w:cs="Arial"/>
          <w:sz w:val="22"/>
          <w:szCs w:val="22"/>
        </w:rPr>
        <w:t>”)</w:t>
      </w:r>
      <w:r w:rsidR="009326BC" w:rsidRPr="000C0597">
        <w:rPr>
          <w:rFonts w:ascii="Arial" w:hAnsi="Arial" w:cs="Arial"/>
          <w:sz w:val="22"/>
          <w:szCs w:val="22"/>
        </w:rPr>
        <w:t xml:space="preserve"> </w:t>
      </w:r>
      <w:r w:rsidR="00BD6A65" w:rsidRPr="000C0597">
        <w:rPr>
          <w:rFonts w:ascii="Arial" w:hAnsi="Arial" w:cs="Arial"/>
          <w:sz w:val="22"/>
          <w:szCs w:val="22"/>
        </w:rPr>
        <w:t xml:space="preserve">were the technologies selected for </w:t>
      </w:r>
      <w:r w:rsidR="00083473" w:rsidRPr="000C0597">
        <w:rPr>
          <w:rFonts w:ascii="Arial" w:hAnsi="Arial" w:cs="Arial"/>
          <w:sz w:val="22"/>
          <w:szCs w:val="22"/>
        </w:rPr>
        <w:t xml:space="preserve">the </w:t>
      </w:r>
      <w:r w:rsidR="00BD6A65" w:rsidRPr="000C0597">
        <w:rPr>
          <w:rFonts w:ascii="Arial" w:hAnsi="Arial" w:cs="Arial"/>
          <w:sz w:val="22"/>
          <w:szCs w:val="22"/>
        </w:rPr>
        <w:t>mix</w:t>
      </w:r>
      <w:r w:rsidR="004A3DC2" w:rsidRPr="000C0597">
        <w:rPr>
          <w:rFonts w:ascii="Arial" w:hAnsi="Arial" w:cs="Arial"/>
          <w:sz w:val="22"/>
          <w:szCs w:val="22"/>
        </w:rPr>
        <w:t xml:space="preserve"> </w:t>
      </w:r>
      <w:r w:rsidR="00BD6A65" w:rsidRPr="000C0597">
        <w:rPr>
          <w:rFonts w:ascii="Arial" w:hAnsi="Arial" w:cs="Arial"/>
          <w:sz w:val="22"/>
          <w:szCs w:val="22"/>
        </w:rPr>
        <w:t xml:space="preserve">analysis. </w:t>
      </w:r>
      <w:r w:rsidR="00145A75" w:rsidRPr="000C0597">
        <w:rPr>
          <w:rFonts w:ascii="Arial" w:hAnsi="Arial" w:cs="Arial"/>
          <w:sz w:val="22"/>
          <w:szCs w:val="22"/>
        </w:rPr>
        <w:t>The technology selection was based on results from the</w:t>
      </w:r>
      <w:r w:rsidR="005E3096" w:rsidRPr="000C0597">
        <w:rPr>
          <w:rFonts w:ascii="Arial" w:hAnsi="Arial" w:cs="Arial"/>
          <w:sz w:val="22"/>
          <w:szCs w:val="22"/>
        </w:rPr>
        <w:t xml:space="preserve"> Technology Evaluation Process and Economic Screening</w:t>
      </w:r>
      <w:r w:rsidR="00FC0080" w:rsidRPr="000C0597">
        <w:rPr>
          <w:rFonts w:ascii="Arial" w:hAnsi="Arial" w:cs="Arial"/>
          <w:sz w:val="22"/>
          <w:szCs w:val="22"/>
        </w:rPr>
        <w:t xml:space="preserve"> reviewed in Section 4 of the Mix Study as well as </w:t>
      </w:r>
      <w:r w:rsidR="00930DCF">
        <w:rPr>
          <w:rFonts w:ascii="Arial" w:hAnsi="Arial" w:cs="Arial"/>
          <w:sz w:val="22"/>
          <w:szCs w:val="22"/>
        </w:rPr>
        <w:t xml:space="preserve">CHAPTER 4 </w:t>
      </w:r>
      <w:r w:rsidR="00FC0080" w:rsidRPr="000C0597">
        <w:rPr>
          <w:rFonts w:ascii="Arial" w:hAnsi="Arial" w:cs="Arial"/>
          <w:sz w:val="22"/>
          <w:szCs w:val="22"/>
        </w:rPr>
        <w:t>of the</w:t>
      </w:r>
      <w:r w:rsidR="00930DCF">
        <w:rPr>
          <w:rFonts w:ascii="Arial" w:hAnsi="Arial" w:cs="Arial"/>
          <w:sz w:val="22"/>
          <w:szCs w:val="22"/>
        </w:rPr>
        <w:t xml:space="preserve"> 2019</w:t>
      </w:r>
      <w:r w:rsidR="00FC0080" w:rsidRPr="000C0597">
        <w:rPr>
          <w:rFonts w:ascii="Arial" w:hAnsi="Arial" w:cs="Arial"/>
          <w:sz w:val="22"/>
          <w:szCs w:val="22"/>
        </w:rPr>
        <w:t xml:space="preserve"> IRP Main Document.</w:t>
      </w:r>
    </w:p>
    <w:p w14:paraId="47C82780" w14:textId="113ED833" w:rsidR="00BD6A65" w:rsidRPr="000C0597" w:rsidRDefault="00930DCF" w:rsidP="00243513">
      <w:pPr>
        <w:spacing w:line="360" w:lineRule="atLeast"/>
        <w:rPr>
          <w:rFonts w:ascii="Arial" w:hAnsi="Arial" w:cs="Arial"/>
          <w:sz w:val="22"/>
          <w:szCs w:val="22"/>
        </w:rPr>
      </w:pPr>
      <w:r>
        <w:rPr>
          <w:rFonts w:ascii="Arial" w:hAnsi="Arial" w:cs="Arial"/>
          <w:sz w:val="22"/>
          <w:szCs w:val="22"/>
        </w:rPr>
        <w:t xml:space="preserve"> </w:t>
      </w:r>
    </w:p>
    <w:p w14:paraId="64A02F11" w14:textId="77777777" w:rsidR="00BD6A65" w:rsidRPr="000C0597" w:rsidRDefault="00243513" w:rsidP="00A04A13">
      <w:pPr>
        <w:pStyle w:val="Heading2"/>
        <w:keepNext/>
        <w:keepLines/>
        <w:spacing w:line="360" w:lineRule="atLeast"/>
        <w:ind w:left="846"/>
        <w:rPr>
          <w:rFonts w:ascii="Arial" w:hAnsi="Arial" w:cs="Arial"/>
          <w:sz w:val="22"/>
          <w:szCs w:val="22"/>
        </w:rPr>
      </w:pPr>
      <w:bookmarkStart w:id="6" w:name="_Toc305487190"/>
      <w:r w:rsidRPr="000C0597">
        <w:rPr>
          <w:rFonts w:ascii="Arial" w:hAnsi="Arial" w:cs="Arial"/>
          <w:sz w:val="22"/>
          <w:szCs w:val="22"/>
        </w:rPr>
        <w:t>OPTIMIZATION PROCESS</w:t>
      </w:r>
      <w:bookmarkEnd w:id="6"/>
    </w:p>
    <w:p w14:paraId="703A89A5" w14:textId="7584FF34" w:rsidR="007C2098" w:rsidRPr="000C0597" w:rsidRDefault="00BD6A65" w:rsidP="00243513">
      <w:pPr>
        <w:keepNext/>
        <w:keepLines/>
        <w:spacing w:line="360" w:lineRule="atLeast"/>
        <w:rPr>
          <w:rFonts w:ascii="Arial" w:hAnsi="Arial" w:cs="Arial"/>
          <w:sz w:val="22"/>
          <w:szCs w:val="22"/>
        </w:rPr>
      </w:pPr>
      <w:r w:rsidRPr="000C0597">
        <w:rPr>
          <w:rFonts w:ascii="Arial" w:hAnsi="Arial" w:cs="Arial"/>
          <w:sz w:val="22"/>
          <w:szCs w:val="22"/>
        </w:rPr>
        <w:t>Data about the existing generation system</w:t>
      </w:r>
      <w:r w:rsidR="00715312" w:rsidRPr="000C0597">
        <w:rPr>
          <w:rFonts w:ascii="Arial" w:hAnsi="Arial" w:cs="Arial"/>
          <w:sz w:val="22"/>
          <w:szCs w:val="22"/>
        </w:rPr>
        <w:t xml:space="preserve"> of the</w:t>
      </w:r>
      <w:r w:rsidRPr="000C0597">
        <w:rPr>
          <w:rFonts w:ascii="Arial" w:hAnsi="Arial" w:cs="Arial"/>
          <w:sz w:val="22"/>
          <w:szCs w:val="22"/>
        </w:rPr>
        <w:t xml:space="preserve"> </w:t>
      </w:r>
      <w:r w:rsidR="00715312" w:rsidRPr="000C0597">
        <w:rPr>
          <w:rFonts w:ascii="Arial" w:hAnsi="Arial" w:cs="Arial"/>
          <w:sz w:val="22"/>
          <w:szCs w:val="22"/>
        </w:rPr>
        <w:t xml:space="preserve">retail operating companies </w:t>
      </w:r>
      <w:r w:rsidRPr="000C0597">
        <w:rPr>
          <w:rFonts w:ascii="Arial" w:hAnsi="Arial" w:cs="Arial"/>
          <w:sz w:val="22"/>
          <w:szCs w:val="22"/>
        </w:rPr>
        <w:t xml:space="preserve">and various projections for the future load growth, DSOs, and cost and performance characteristics of candidate technologies </w:t>
      </w:r>
      <w:r w:rsidR="003F1520" w:rsidRPr="000C0597">
        <w:rPr>
          <w:rFonts w:ascii="Arial" w:hAnsi="Arial" w:cs="Arial"/>
          <w:sz w:val="22"/>
          <w:szCs w:val="22"/>
        </w:rPr>
        <w:t>were</w:t>
      </w:r>
      <w:r w:rsidRPr="000C0597">
        <w:rPr>
          <w:rFonts w:ascii="Arial" w:hAnsi="Arial" w:cs="Arial"/>
          <w:sz w:val="22"/>
          <w:szCs w:val="22"/>
        </w:rPr>
        <w:t xml:space="preserve"> used in the </w:t>
      </w:r>
      <w:r w:rsidR="00A97CC0" w:rsidRPr="000C0597">
        <w:rPr>
          <w:rFonts w:ascii="Arial" w:hAnsi="Arial" w:cs="Arial"/>
          <w:sz w:val="22"/>
          <w:szCs w:val="22"/>
        </w:rPr>
        <w:t xml:space="preserve">generation production cost </w:t>
      </w:r>
      <w:r w:rsidRPr="000C0597">
        <w:rPr>
          <w:rFonts w:ascii="Arial" w:hAnsi="Arial" w:cs="Arial"/>
          <w:sz w:val="22"/>
          <w:szCs w:val="22"/>
        </w:rPr>
        <w:t xml:space="preserve">model, </w:t>
      </w:r>
      <w:r w:rsidR="00A40BF2" w:rsidRPr="000C0597">
        <w:rPr>
          <w:rFonts w:ascii="Arial" w:hAnsi="Arial" w:cs="Arial"/>
          <w:sz w:val="22"/>
          <w:szCs w:val="22"/>
        </w:rPr>
        <w:t>Strategist</w:t>
      </w:r>
      <w:r w:rsidR="00A97CC0" w:rsidRPr="000C0597">
        <w:rPr>
          <w:rFonts w:ascii="Arial" w:hAnsi="Arial" w:cs="Arial"/>
          <w:sz w:val="22"/>
          <w:szCs w:val="22"/>
        </w:rPr>
        <w:t xml:space="preserve">, and its optimization sub module, </w:t>
      </w:r>
      <w:r w:rsidRPr="000C0597">
        <w:rPr>
          <w:rFonts w:ascii="Arial" w:hAnsi="Arial" w:cs="Arial"/>
          <w:sz w:val="22"/>
          <w:szCs w:val="22"/>
        </w:rPr>
        <w:t>PROVIEW</w:t>
      </w:r>
      <w:r w:rsidR="008244ED" w:rsidRPr="000C0597">
        <w:rPr>
          <w:rFonts w:ascii="Arial" w:hAnsi="Arial" w:cs="Arial"/>
          <w:sz w:val="22"/>
          <w:szCs w:val="22"/>
        </w:rPr>
        <w:t xml:space="preserve">. </w:t>
      </w:r>
      <w:r w:rsidR="00A83DFB" w:rsidRPr="000C0597">
        <w:rPr>
          <w:rFonts w:ascii="Arial" w:hAnsi="Arial" w:cs="Arial"/>
          <w:sz w:val="22"/>
          <w:szCs w:val="22"/>
        </w:rPr>
        <w:t>PROVIEW</w:t>
      </w:r>
      <w:r w:rsidRPr="000C0597">
        <w:rPr>
          <w:rFonts w:ascii="Arial" w:hAnsi="Arial" w:cs="Arial"/>
          <w:sz w:val="22"/>
          <w:szCs w:val="22"/>
        </w:rPr>
        <w:t xml:space="preserve"> uses a dynamic programming technique to develop the least cost capacity addition schedule</w:t>
      </w:r>
      <w:r w:rsidR="008244ED" w:rsidRPr="000C0597">
        <w:rPr>
          <w:rFonts w:ascii="Arial" w:hAnsi="Arial" w:cs="Arial"/>
          <w:sz w:val="22"/>
          <w:szCs w:val="22"/>
        </w:rPr>
        <w:t xml:space="preserve">. </w:t>
      </w:r>
      <w:r w:rsidRPr="000C0597">
        <w:rPr>
          <w:rFonts w:ascii="Arial" w:hAnsi="Arial" w:cs="Arial"/>
          <w:sz w:val="22"/>
          <w:szCs w:val="22"/>
        </w:rPr>
        <w:t>The model considers all possible combinations of capacity addition</w:t>
      </w:r>
      <w:r w:rsidR="000341E4" w:rsidRPr="000C0597">
        <w:rPr>
          <w:rFonts w:ascii="Arial" w:hAnsi="Arial" w:cs="Arial"/>
          <w:sz w:val="22"/>
          <w:szCs w:val="22"/>
        </w:rPr>
        <w:t>s</w:t>
      </w:r>
      <w:r w:rsidRPr="000C0597">
        <w:rPr>
          <w:rFonts w:ascii="Arial" w:hAnsi="Arial" w:cs="Arial"/>
          <w:sz w:val="22"/>
          <w:szCs w:val="22"/>
        </w:rPr>
        <w:t xml:space="preserve"> on a yearly basis that </w:t>
      </w:r>
      <w:r w:rsidR="003D60BD" w:rsidRPr="000C0597">
        <w:rPr>
          <w:rFonts w:ascii="Arial" w:hAnsi="Arial" w:cs="Arial"/>
          <w:sz w:val="22"/>
          <w:szCs w:val="22"/>
        </w:rPr>
        <w:t xml:space="preserve">would </w:t>
      </w:r>
      <w:r w:rsidRPr="000C0597">
        <w:rPr>
          <w:rFonts w:ascii="Arial" w:hAnsi="Arial" w:cs="Arial"/>
          <w:sz w:val="22"/>
          <w:szCs w:val="22"/>
        </w:rPr>
        <w:t>satisfy reserve margin constraints</w:t>
      </w:r>
      <w:r w:rsidR="008244ED" w:rsidRPr="000C0597">
        <w:rPr>
          <w:rFonts w:ascii="Arial" w:hAnsi="Arial" w:cs="Arial"/>
          <w:sz w:val="22"/>
          <w:szCs w:val="22"/>
        </w:rPr>
        <w:t xml:space="preserve">. </w:t>
      </w:r>
      <w:r w:rsidRPr="000C0597">
        <w:rPr>
          <w:rFonts w:ascii="Arial" w:hAnsi="Arial" w:cs="Arial"/>
          <w:sz w:val="22"/>
          <w:szCs w:val="22"/>
        </w:rPr>
        <w:t xml:space="preserve">The </w:t>
      </w:r>
      <w:r w:rsidR="001A2DF2" w:rsidRPr="000C0597">
        <w:rPr>
          <w:rFonts w:ascii="Arial" w:hAnsi="Arial" w:cs="Arial"/>
          <w:sz w:val="22"/>
          <w:szCs w:val="22"/>
        </w:rPr>
        <w:t xml:space="preserve">combination of </w:t>
      </w:r>
      <w:r w:rsidRPr="000C0597">
        <w:rPr>
          <w:rFonts w:ascii="Arial" w:hAnsi="Arial" w:cs="Arial"/>
          <w:sz w:val="22"/>
          <w:szCs w:val="22"/>
        </w:rPr>
        <w:t>alternative</w:t>
      </w:r>
      <w:r w:rsidR="001A2DF2" w:rsidRPr="000C0597">
        <w:rPr>
          <w:rFonts w:ascii="Arial" w:hAnsi="Arial" w:cs="Arial"/>
          <w:sz w:val="22"/>
          <w:szCs w:val="22"/>
        </w:rPr>
        <w:t>s</w:t>
      </w:r>
      <w:r w:rsidRPr="000C0597">
        <w:rPr>
          <w:rFonts w:ascii="Arial" w:hAnsi="Arial" w:cs="Arial"/>
          <w:sz w:val="22"/>
          <w:szCs w:val="22"/>
        </w:rPr>
        <w:t xml:space="preserve"> with the smallest production and capital cost over the planning horizon is the least cost plan. The output of th</w:t>
      </w:r>
      <w:r w:rsidR="001A2DF2" w:rsidRPr="000C0597">
        <w:rPr>
          <w:rFonts w:ascii="Arial" w:hAnsi="Arial" w:cs="Arial"/>
          <w:sz w:val="22"/>
          <w:szCs w:val="22"/>
        </w:rPr>
        <w:t>e</w:t>
      </w:r>
      <w:r w:rsidRPr="000C0597">
        <w:rPr>
          <w:rFonts w:ascii="Arial" w:hAnsi="Arial" w:cs="Arial"/>
          <w:sz w:val="22"/>
          <w:szCs w:val="22"/>
        </w:rPr>
        <w:t xml:space="preserve"> model </w:t>
      </w:r>
      <w:r w:rsidR="000C78C6" w:rsidRPr="000C0597">
        <w:rPr>
          <w:rFonts w:ascii="Arial" w:hAnsi="Arial" w:cs="Arial"/>
          <w:sz w:val="22"/>
          <w:szCs w:val="22"/>
        </w:rPr>
        <w:t>was</w:t>
      </w:r>
      <w:r w:rsidRPr="000C0597">
        <w:rPr>
          <w:rFonts w:ascii="Arial" w:hAnsi="Arial" w:cs="Arial"/>
          <w:sz w:val="22"/>
          <w:szCs w:val="22"/>
        </w:rPr>
        <w:t xml:space="preserve"> used as the primary guide in developing the </w:t>
      </w:r>
      <w:r w:rsidR="001B36D7" w:rsidRPr="000C0597">
        <w:rPr>
          <w:rFonts w:ascii="Arial" w:hAnsi="Arial" w:cs="Arial"/>
          <w:sz w:val="22"/>
          <w:szCs w:val="22"/>
        </w:rPr>
        <w:t xml:space="preserve">base case </w:t>
      </w:r>
      <w:r w:rsidRPr="000C0597">
        <w:rPr>
          <w:rFonts w:ascii="Arial" w:hAnsi="Arial" w:cs="Arial"/>
          <w:sz w:val="22"/>
          <w:szCs w:val="22"/>
        </w:rPr>
        <w:t>system expansion plan</w:t>
      </w:r>
      <w:r w:rsidR="009E59FB" w:rsidRPr="000C0597">
        <w:rPr>
          <w:rFonts w:ascii="Arial" w:hAnsi="Arial" w:cs="Arial"/>
          <w:sz w:val="22"/>
          <w:szCs w:val="22"/>
        </w:rPr>
        <w:t xml:space="preserve"> for the </w:t>
      </w:r>
      <w:r w:rsidR="00E8784D" w:rsidRPr="000C0597">
        <w:rPr>
          <w:rFonts w:ascii="Arial" w:hAnsi="Arial" w:cs="Arial"/>
          <w:sz w:val="22"/>
          <w:szCs w:val="22"/>
        </w:rPr>
        <w:t>retail</w:t>
      </w:r>
      <w:r w:rsidR="009E59FB" w:rsidRPr="000C0597">
        <w:rPr>
          <w:rFonts w:ascii="Arial" w:hAnsi="Arial" w:cs="Arial"/>
          <w:sz w:val="22"/>
          <w:szCs w:val="22"/>
        </w:rPr>
        <w:t xml:space="preserve"> operating companies</w:t>
      </w:r>
      <w:r w:rsidRPr="000C0597">
        <w:rPr>
          <w:rFonts w:ascii="Arial" w:hAnsi="Arial" w:cs="Arial"/>
          <w:sz w:val="22"/>
          <w:szCs w:val="22"/>
        </w:rPr>
        <w:t>.</w:t>
      </w:r>
    </w:p>
    <w:p w14:paraId="10BF836B" w14:textId="77777777" w:rsidR="00A04A13" w:rsidRPr="000C0597" w:rsidRDefault="00A04A13" w:rsidP="00243513">
      <w:pPr>
        <w:keepNext/>
        <w:keepLines/>
        <w:spacing w:line="360" w:lineRule="atLeast"/>
        <w:rPr>
          <w:rFonts w:ascii="Arial" w:hAnsi="Arial" w:cs="Arial"/>
          <w:sz w:val="22"/>
          <w:szCs w:val="22"/>
        </w:rPr>
      </w:pPr>
    </w:p>
    <w:p w14:paraId="1E2158BE" w14:textId="77777777" w:rsidR="00BD6A65" w:rsidRPr="000C0597" w:rsidRDefault="00243513" w:rsidP="00A04A13">
      <w:pPr>
        <w:pStyle w:val="Heading2"/>
        <w:spacing w:line="360" w:lineRule="atLeast"/>
        <w:ind w:left="846"/>
        <w:rPr>
          <w:rFonts w:ascii="Arial" w:hAnsi="Arial" w:cs="Arial"/>
          <w:sz w:val="22"/>
          <w:szCs w:val="22"/>
        </w:rPr>
      </w:pPr>
      <w:bookmarkStart w:id="7" w:name="_Toc305487191"/>
      <w:r w:rsidRPr="000C0597">
        <w:rPr>
          <w:rFonts w:ascii="Arial" w:hAnsi="Arial" w:cs="Arial"/>
          <w:sz w:val="22"/>
          <w:szCs w:val="22"/>
        </w:rPr>
        <w:t>OPTIMUM MIX</w:t>
      </w:r>
      <w:bookmarkEnd w:id="7"/>
    </w:p>
    <w:p w14:paraId="005645B2" w14:textId="1607574E" w:rsidR="00EE40D9" w:rsidRPr="000C0597" w:rsidRDefault="00BD6A65" w:rsidP="00EE40D9">
      <w:pPr>
        <w:spacing w:line="360" w:lineRule="exact"/>
        <w:rPr>
          <w:rFonts w:ascii="Arial" w:hAnsi="Arial" w:cs="Arial"/>
          <w:sz w:val="22"/>
          <w:szCs w:val="22"/>
        </w:rPr>
      </w:pPr>
      <w:r w:rsidRPr="000C0597">
        <w:rPr>
          <w:rFonts w:ascii="Arial" w:hAnsi="Arial" w:cs="Arial"/>
          <w:sz w:val="22"/>
          <w:szCs w:val="22"/>
        </w:rPr>
        <w:t xml:space="preserve">The conclusion of this study, based upon the results of the </w:t>
      </w:r>
      <w:r w:rsidR="00AE05F3" w:rsidRPr="000C0597">
        <w:rPr>
          <w:rFonts w:ascii="Arial" w:hAnsi="Arial" w:cs="Arial"/>
          <w:sz w:val="22"/>
          <w:szCs w:val="22"/>
        </w:rPr>
        <w:t xml:space="preserve">base </w:t>
      </w:r>
      <w:r w:rsidRPr="000C0597">
        <w:rPr>
          <w:rFonts w:ascii="Arial" w:hAnsi="Arial" w:cs="Arial"/>
          <w:sz w:val="22"/>
          <w:szCs w:val="22"/>
        </w:rPr>
        <w:t>case</w:t>
      </w:r>
      <w:r w:rsidR="003B362F" w:rsidRPr="000C0597">
        <w:rPr>
          <w:rFonts w:ascii="Arial" w:hAnsi="Arial" w:cs="Arial"/>
          <w:sz w:val="22"/>
          <w:szCs w:val="22"/>
        </w:rPr>
        <w:t xml:space="preserve">, </w:t>
      </w:r>
      <w:r w:rsidRPr="000C0597">
        <w:rPr>
          <w:rFonts w:ascii="Arial" w:hAnsi="Arial" w:cs="Arial"/>
          <w:sz w:val="22"/>
          <w:szCs w:val="22"/>
        </w:rPr>
        <w:t>sensitivities</w:t>
      </w:r>
      <w:r w:rsidR="00930DCF">
        <w:rPr>
          <w:rFonts w:ascii="Arial" w:hAnsi="Arial" w:cs="Arial"/>
          <w:sz w:val="22"/>
          <w:szCs w:val="22"/>
        </w:rPr>
        <w:t>,</w:t>
      </w:r>
      <w:r w:rsidR="00710CE3" w:rsidRPr="000C0597">
        <w:rPr>
          <w:rFonts w:ascii="Arial" w:hAnsi="Arial" w:cs="Arial"/>
          <w:sz w:val="22"/>
          <w:szCs w:val="22"/>
        </w:rPr>
        <w:t xml:space="preserve"> and scenario case</w:t>
      </w:r>
      <w:r w:rsidR="00DE68AF" w:rsidRPr="000C0597">
        <w:rPr>
          <w:rFonts w:ascii="Arial" w:hAnsi="Arial" w:cs="Arial"/>
          <w:sz w:val="22"/>
          <w:szCs w:val="22"/>
        </w:rPr>
        <w:t xml:space="preserve"> analyses</w:t>
      </w:r>
      <w:r w:rsidR="00710CE3" w:rsidRPr="000C0597">
        <w:rPr>
          <w:rFonts w:ascii="Arial" w:hAnsi="Arial" w:cs="Arial"/>
          <w:sz w:val="22"/>
          <w:szCs w:val="22"/>
        </w:rPr>
        <w:t>,</w:t>
      </w:r>
      <w:r w:rsidRPr="000C0597">
        <w:rPr>
          <w:rFonts w:ascii="Arial" w:hAnsi="Arial" w:cs="Arial"/>
          <w:sz w:val="22"/>
          <w:szCs w:val="22"/>
        </w:rPr>
        <w:t xml:space="preserve"> </w:t>
      </w:r>
      <w:r w:rsidR="001A2DF2" w:rsidRPr="000C0597">
        <w:rPr>
          <w:rFonts w:ascii="Arial" w:hAnsi="Arial" w:cs="Arial"/>
          <w:sz w:val="22"/>
          <w:szCs w:val="22"/>
        </w:rPr>
        <w:t>i</w:t>
      </w:r>
      <w:r w:rsidRPr="000C0597">
        <w:rPr>
          <w:rFonts w:ascii="Arial" w:hAnsi="Arial" w:cs="Arial"/>
          <w:sz w:val="22"/>
          <w:szCs w:val="22"/>
        </w:rPr>
        <w:t xml:space="preserve">s that additional generation capacity requirements </w:t>
      </w:r>
      <w:r w:rsidR="00F12014" w:rsidRPr="000C0597">
        <w:rPr>
          <w:rFonts w:ascii="Arial" w:hAnsi="Arial" w:cs="Arial"/>
          <w:sz w:val="22"/>
          <w:szCs w:val="22"/>
        </w:rPr>
        <w:t xml:space="preserve">will involve </w:t>
      </w:r>
      <w:r w:rsidRPr="000C0597">
        <w:rPr>
          <w:rFonts w:ascii="Arial" w:hAnsi="Arial" w:cs="Arial"/>
          <w:sz w:val="22"/>
          <w:szCs w:val="22"/>
        </w:rPr>
        <w:t>a mixture o</w:t>
      </w:r>
      <w:r w:rsidR="00C507D0" w:rsidRPr="000C0597">
        <w:rPr>
          <w:rFonts w:ascii="Arial" w:hAnsi="Arial" w:cs="Arial"/>
          <w:sz w:val="22"/>
          <w:szCs w:val="22"/>
        </w:rPr>
        <w:t>f combustion turbine generation,</w:t>
      </w:r>
      <w:r w:rsidR="0012658A" w:rsidRPr="000C0597">
        <w:rPr>
          <w:rFonts w:ascii="Arial" w:hAnsi="Arial" w:cs="Arial"/>
          <w:sz w:val="22"/>
          <w:szCs w:val="22"/>
        </w:rPr>
        <w:t xml:space="preserve"> combustion turbine generation with SCR,</w:t>
      </w:r>
      <w:r w:rsidR="00C507D0" w:rsidRPr="000C0597">
        <w:rPr>
          <w:rFonts w:ascii="Arial" w:hAnsi="Arial" w:cs="Arial"/>
          <w:sz w:val="22"/>
          <w:szCs w:val="22"/>
        </w:rPr>
        <w:t xml:space="preserve"> </w:t>
      </w:r>
      <w:r w:rsidRPr="000C0597">
        <w:rPr>
          <w:rFonts w:ascii="Arial" w:hAnsi="Arial" w:cs="Arial"/>
          <w:sz w:val="22"/>
          <w:szCs w:val="22"/>
        </w:rPr>
        <w:t>combined cycle generation</w:t>
      </w:r>
      <w:r w:rsidR="0096185F" w:rsidRPr="000C0597">
        <w:rPr>
          <w:rFonts w:ascii="Arial" w:hAnsi="Arial" w:cs="Arial"/>
          <w:sz w:val="22"/>
          <w:szCs w:val="22"/>
        </w:rPr>
        <w:t xml:space="preserve">, </w:t>
      </w:r>
      <w:r w:rsidR="006202F3" w:rsidRPr="000C0597">
        <w:rPr>
          <w:rFonts w:ascii="Arial" w:hAnsi="Arial" w:cs="Arial"/>
          <w:sz w:val="22"/>
          <w:szCs w:val="22"/>
        </w:rPr>
        <w:t xml:space="preserve">and </w:t>
      </w:r>
      <w:r w:rsidR="004115D8" w:rsidRPr="000C0597">
        <w:rPr>
          <w:rFonts w:ascii="Arial" w:hAnsi="Arial" w:cs="Arial"/>
          <w:sz w:val="22"/>
          <w:szCs w:val="22"/>
        </w:rPr>
        <w:t xml:space="preserve">combined </w:t>
      </w:r>
      <w:r w:rsidR="00692166" w:rsidRPr="000C0597">
        <w:rPr>
          <w:rFonts w:ascii="Arial" w:hAnsi="Arial" w:cs="Arial"/>
          <w:sz w:val="22"/>
          <w:szCs w:val="22"/>
        </w:rPr>
        <w:t>cycle</w:t>
      </w:r>
      <w:r w:rsidR="00AA430F" w:rsidRPr="000C0597">
        <w:rPr>
          <w:rFonts w:ascii="Arial" w:hAnsi="Arial" w:cs="Arial"/>
          <w:sz w:val="22"/>
          <w:szCs w:val="22"/>
        </w:rPr>
        <w:t xml:space="preserve"> </w:t>
      </w:r>
      <w:r w:rsidR="00692166" w:rsidRPr="000C0597">
        <w:rPr>
          <w:rFonts w:ascii="Arial" w:hAnsi="Arial" w:cs="Arial"/>
          <w:sz w:val="22"/>
          <w:szCs w:val="22"/>
        </w:rPr>
        <w:t>generation with CC</w:t>
      </w:r>
      <w:r w:rsidR="00E87440" w:rsidRPr="000C0597">
        <w:rPr>
          <w:rFonts w:ascii="Arial" w:hAnsi="Arial" w:cs="Arial"/>
          <w:sz w:val="22"/>
          <w:szCs w:val="22"/>
        </w:rPr>
        <w:t>C</w:t>
      </w:r>
      <w:r w:rsidR="00FA0987" w:rsidRPr="000C0597">
        <w:rPr>
          <w:rFonts w:ascii="Arial" w:hAnsi="Arial" w:cs="Arial"/>
          <w:sz w:val="22"/>
          <w:szCs w:val="22"/>
        </w:rPr>
        <w:t>.</w:t>
      </w:r>
      <w:r w:rsidR="00F34E46" w:rsidRPr="000C0597">
        <w:rPr>
          <w:rFonts w:ascii="Arial" w:hAnsi="Arial" w:cs="Arial"/>
          <w:sz w:val="22"/>
          <w:szCs w:val="22"/>
        </w:rPr>
        <w:t xml:space="preserve"> </w:t>
      </w:r>
      <w:r w:rsidR="00692166" w:rsidRPr="000C0597">
        <w:rPr>
          <w:rFonts w:ascii="Arial" w:hAnsi="Arial" w:cs="Arial"/>
          <w:sz w:val="22"/>
          <w:szCs w:val="22"/>
        </w:rPr>
        <w:t xml:space="preserve">In cases without </w:t>
      </w:r>
      <w:r w:rsidR="00930DCF">
        <w:rPr>
          <w:rFonts w:ascii="Arial" w:hAnsi="Arial" w:cs="Arial"/>
          <w:sz w:val="22"/>
          <w:szCs w:val="22"/>
        </w:rPr>
        <w:t>carbon dioxide (“</w:t>
      </w:r>
      <w:r w:rsidR="00692166" w:rsidRPr="000C0597">
        <w:rPr>
          <w:rFonts w:ascii="Arial" w:hAnsi="Arial" w:cs="Arial"/>
          <w:sz w:val="22"/>
          <w:szCs w:val="22"/>
        </w:rPr>
        <w:t>CO</w:t>
      </w:r>
      <w:r w:rsidR="00692166" w:rsidRPr="000C0597">
        <w:rPr>
          <w:rFonts w:ascii="Arial" w:hAnsi="Arial" w:cs="Arial"/>
          <w:sz w:val="22"/>
          <w:szCs w:val="22"/>
          <w:vertAlign w:val="subscript"/>
        </w:rPr>
        <w:t>2</w:t>
      </w:r>
      <w:r w:rsidR="00FC53FF">
        <w:rPr>
          <w:rFonts w:ascii="Arial" w:hAnsi="Arial" w:cs="Arial"/>
          <w:sz w:val="22"/>
          <w:szCs w:val="22"/>
        </w:rPr>
        <w:t xml:space="preserve">”) </w:t>
      </w:r>
      <w:r w:rsidR="00692166" w:rsidRPr="000C0597">
        <w:rPr>
          <w:rFonts w:ascii="Arial" w:hAnsi="Arial" w:cs="Arial"/>
          <w:sz w:val="22"/>
          <w:szCs w:val="22"/>
        </w:rPr>
        <w:t>emissions cost, the combustion turbine</w:t>
      </w:r>
      <w:r w:rsidR="00443F16">
        <w:rPr>
          <w:rFonts w:ascii="Arial" w:hAnsi="Arial" w:cs="Arial"/>
          <w:sz w:val="22"/>
          <w:szCs w:val="22"/>
        </w:rPr>
        <w:t xml:space="preserve"> </w:t>
      </w:r>
      <w:r w:rsidR="00692166" w:rsidRPr="000C0597">
        <w:rPr>
          <w:rFonts w:ascii="Arial" w:hAnsi="Arial" w:cs="Arial"/>
          <w:sz w:val="22"/>
          <w:szCs w:val="22"/>
        </w:rPr>
        <w:t>and the combined cycle technologies comprised the majority of the new capacity added during the planning period</w:t>
      </w:r>
      <w:r w:rsidR="008244ED" w:rsidRPr="000C0597">
        <w:rPr>
          <w:rFonts w:ascii="Arial" w:hAnsi="Arial" w:cs="Arial"/>
          <w:sz w:val="22"/>
          <w:szCs w:val="22"/>
        </w:rPr>
        <w:t xml:space="preserve">. </w:t>
      </w:r>
      <w:r w:rsidR="00692166" w:rsidRPr="000C0597">
        <w:rPr>
          <w:rFonts w:ascii="Arial" w:hAnsi="Arial" w:cs="Arial"/>
          <w:sz w:val="22"/>
          <w:szCs w:val="22"/>
        </w:rPr>
        <w:t>For cases that included CO</w:t>
      </w:r>
      <w:r w:rsidR="00692166" w:rsidRPr="000C0597">
        <w:rPr>
          <w:rFonts w:ascii="Arial" w:hAnsi="Arial" w:cs="Arial"/>
          <w:sz w:val="22"/>
          <w:szCs w:val="22"/>
          <w:vertAlign w:val="subscript"/>
        </w:rPr>
        <w:t>2</w:t>
      </w:r>
      <w:r w:rsidR="00692166" w:rsidRPr="000C0597">
        <w:rPr>
          <w:rFonts w:ascii="Arial" w:hAnsi="Arial" w:cs="Arial"/>
          <w:sz w:val="22"/>
          <w:szCs w:val="22"/>
        </w:rPr>
        <w:t xml:space="preserve"> emissions cost, as the CO</w:t>
      </w:r>
      <w:r w:rsidR="00692166" w:rsidRPr="000C0597">
        <w:rPr>
          <w:rFonts w:ascii="Arial" w:hAnsi="Arial" w:cs="Arial"/>
          <w:sz w:val="22"/>
          <w:szCs w:val="22"/>
          <w:vertAlign w:val="subscript"/>
        </w:rPr>
        <w:t>2</w:t>
      </w:r>
      <w:r w:rsidR="00692166" w:rsidRPr="000C0597">
        <w:rPr>
          <w:rFonts w:ascii="Arial" w:hAnsi="Arial" w:cs="Arial"/>
          <w:sz w:val="22"/>
          <w:szCs w:val="22"/>
        </w:rPr>
        <w:t xml:space="preserve"> prices reach elevated levels, </w:t>
      </w:r>
      <w:r w:rsidR="00F26490" w:rsidRPr="000C0597">
        <w:rPr>
          <w:rFonts w:ascii="Arial" w:hAnsi="Arial" w:cs="Arial"/>
          <w:sz w:val="22"/>
          <w:szCs w:val="22"/>
        </w:rPr>
        <w:t xml:space="preserve">combustion turbine with SCR </w:t>
      </w:r>
      <w:r w:rsidR="00692166" w:rsidRPr="000C0597">
        <w:rPr>
          <w:rFonts w:ascii="Arial" w:hAnsi="Arial" w:cs="Arial"/>
          <w:sz w:val="22"/>
          <w:szCs w:val="22"/>
        </w:rPr>
        <w:t>and combined cycle genera</w:t>
      </w:r>
      <w:r w:rsidR="00E87440" w:rsidRPr="000C0597">
        <w:rPr>
          <w:rFonts w:ascii="Arial" w:hAnsi="Arial" w:cs="Arial"/>
          <w:sz w:val="22"/>
          <w:szCs w:val="22"/>
        </w:rPr>
        <w:t>tion with CCC</w:t>
      </w:r>
      <w:r w:rsidR="00692166" w:rsidRPr="000C0597">
        <w:rPr>
          <w:rFonts w:ascii="Arial" w:hAnsi="Arial" w:cs="Arial"/>
          <w:sz w:val="22"/>
          <w:szCs w:val="22"/>
        </w:rPr>
        <w:t xml:space="preserve"> are the primary technologies selected.</w:t>
      </w:r>
    </w:p>
    <w:p w14:paraId="08BC7AE2" w14:textId="77777777" w:rsidR="008E3E93" w:rsidRPr="000C0597" w:rsidRDefault="008E3E93" w:rsidP="00243513">
      <w:pPr>
        <w:spacing w:line="360" w:lineRule="atLeast"/>
        <w:rPr>
          <w:rFonts w:ascii="Arial" w:hAnsi="Arial" w:cs="Arial"/>
          <w:sz w:val="22"/>
          <w:szCs w:val="22"/>
        </w:rPr>
      </w:pPr>
    </w:p>
    <w:p w14:paraId="59D3D6D2" w14:textId="4E460243" w:rsidR="00B813B0" w:rsidRPr="000C0597" w:rsidRDefault="00FB2C7E" w:rsidP="00243513">
      <w:pPr>
        <w:spacing w:line="360" w:lineRule="atLeast"/>
        <w:rPr>
          <w:rFonts w:ascii="Arial" w:hAnsi="Arial" w:cs="Arial"/>
          <w:sz w:val="22"/>
          <w:szCs w:val="22"/>
        </w:rPr>
      </w:pPr>
      <w:r w:rsidRPr="000C0597">
        <w:rPr>
          <w:rFonts w:ascii="Arial" w:hAnsi="Arial" w:cs="Arial"/>
          <w:sz w:val="22"/>
          <w:szCs w:val="22"/>
        </w:rPr>
        <w:t xml:space="preserve">Due to </w:t>
      </w:r>
      <w:r w:rsidR="00B813B0" w:rsidRPr="000C0597">
        <w:rPr>
          <w:rFonts w:ascii="Arial" w:hAnsi="Arial" w:cs="Arial"/>
          <w:sz w:val="22"/>
          <w:szCs w:val="22"/>
        </w:rPr>
        <w:t xml:space="preserve">the </w:t>
      </w:r>
      <w:r w:rsidRPr="000C0597">
        <w:rPr>
          <w:rFonts w:ascii="Arial" w:hAnsi="Arial" w:cs="Arial"/>
          <w:sz w:val="22"/>
          <w:szCs w:val="22"/>
        </w:rPr>
        <w:t>uncertainty related to</w:t>
      </w:r>
      <w:r w:rsidR="001B36D7" w:rsidRPr="000C0597">
        <w:rPr>
          <w:rFonts w:ascii="Arial" w:hAnsi="Arial" w:cs="Arial"/>
          <w:sz w:val="22"/>
          <w:szCs w:val="22"/>
        </w:rPr>
        <w:t xml:space="preserve"> long term fuel cost and</w:t>
      </w:r>
      <w:r w:rsidRPr="000C0597">
        <w:rPr>
          <w:rFonts w:ascii="Arial" w:hAnsi="Arial" w:cs="Arial"/>
          <w:sz w:val="22"/>
          <w:szCs w:val="22"/>
        </w:rPr>
        <w:t xml:space="preserve"> </w:t>
      </w:r>
      <w:r w:rsidR="0056559B" w:rsidRPr="000C0597">
        <w:rPr>
          <w:rFonts w:ascii="Arial" w:hAnsi="Arial" w:cs="Arial"/>
          <w:sz w:val="22"/>
          <w:szCs w:val="22"/>
        </w:rPr>
        <w:t>carbon pressure</w:t>
      </w:r>
      <w:r w:rsidRPr="000C0597">
        <w:rPr>
          <w:rFonts w:ascii="Arial" w:hAnsi="Arial" w:cs="Arial"/>
          <w:sz w:val="22"/>
          <w:szCs w:val="22"/>
        </w:rPr>
        <w:t xml:space="preserve">, </w:t>
      </w:r>
      <w:r w:rsidR="00624DAE" w:rsidRPr="000C0597">
        <w:rPr>
          <w:rFonts w:ascii="Arial" w:hAnsi="Arial" w:cs="Arial"/>
          <w:sz w:val="22"/>
          <w:szCs w:val="22"/>
        </w:rPr>
        <w:t>nine</w:t>
      </w:r>
      <w:r w:rsidR="00052006" w:rsidRPr="000C0597">
        <w:rPr>
          <w:rFonts w:ascii="Arial" w:hAnsi="Arial" w:cs="Arial"/>
          <w:sz w:val="22"/>
          <w:szCs w:val="22"/>
        </w:rPr>
        <w:t xml:space="preserve"> </w:t>
      </w:r>
      <w:r w:rsidR="00B813B0" w:rsidRPr="000C0597">
        <w:rPr>
          <w:rFonts w:ascii="Arial" w:hAnsi="Arial" w:cs="Arial"/>
          <w:sz w:val="22"/>
          <w:szCs w:val="22"/>
        </w:rPr>
        <w:t xml:space="preserve">fully interrelated </w:t>
      </w:r>
      <w:r w:rsidRPr="000C0597">
        <w:rPr>
          <w:rFonts w:ascii="Arial" w:hAnsi="Arial" w:cs="Arial"/>
          <w:sz w:val="22"/>
          <w:szCs w:val="22"/>
        </w:rPr>
        <w:t>planning scenario cases were developed to explore the potential impacts</w:t>
      </w:r>
      <w:r w:rsidR="008244ED" w:rsidRPr="000C0597">
        <w:rPr>
          <w:rFonts w:ascii="Arial" w:hAnsi="Arial" w:cs="Arial"/>
          <w:sz w:val="22"/>
          <w:szCs w:val="22"/>
        </w:rPr>
        <w:t xml:space="preserve">. </w:t>
      </w:r>
      <w:r w:rsidR="00B813B0" w:rsidRPr="000C0597">
        <w:rPr>
          <w:rFonts w:ascii="Arial" w:hAnsi="Arial" w:cs="Arial"/>
          <w:sz w:val="22"/>
          <w:szCs w:val="22"/>
        </w:rPr>
        <w:t xml:space="preserve">This resulted in </w:t>
      </w:r>
      <w:r w:rsidR="006A362A" w:rsidRPr="000C0597">
        <w:rPr>
          <w:rFonts w:ascii="Arial" w:hAnsi="Arial" w:cs="Arial"/>
          <w:sz w:val="22"/>
          <w:szCs w:val="22"/>
        </w:rPr>
        <w:t xml:space="preserve">nine </w:t>
      </w:r>
      <w:r w:rsidR="00B813B0" w:rsidRPr="000C0597">
        <w:rPr>
          <w:rFonts w:ascii="Arial" w:hAnsi="Arial" w:cs="Arial"/>
          <w:sz w:val="22"/>
          <w:szCs w:val="22"/>
        </w:rPr>
        <w:t xml:space="preserve">internally-consistent outlooks of correlated fuel prices and carbon </w:t>
      </w:r>
      <w:r w:rsidR="00067808" w:rsidRPr="000C0597">
        <w:rPr>
          <w:rFonts w:ascii="Arial" w:hAnsi="Arial" w:cs="Arial"/>
          <w:sz w:val="22"/>
          <w:szCs w:val="22"/>
        </w:rPr>
        <w:t xml:space="preserve">emissions </w:t>
      </w:r>
      <w:r w:rsidR="00B813B0" w:rsidRPr="000C0597">
        <w:rPr>
          <w:rFonts w:ascii="Arial" w:hAnsi="Arial" w:cs="Arial"/>
          <w:sz w:val="22"/>
          <w:szCs w:val="22"/>
        </w:rPr>
        <w:t>costs, electricity demand and prices, and capacity and ener</w:t>
      </w:r>
      <w:r w:rsidR="00C73F82" w:rsidRPr="000C0597">
        <w:rPr>
          <w:rFonts w:ascii="Arial" w:hAnsi="Arial" w:cs="Arial"/>
          <w:sz w:val="22"/>
          <w:szCs w:val="22"/>
        </w:rPr>
        <w:t xml:space="preserve">gy mixes. </w:t>
      </w:r>
    </w:p>
    <w:p w14:paraId="2EE51107" w14:textId="77777777" w:rsidR="0015410F" w:rsidRPr="000C0597" w:rsidRDefault="0015410F" w:rsidP="00243513">
      <w:pPr>
        <w:spacing w:line="360" w:lineRule="atLeast"/>
        <w:rPr>
          <w:rFonts w:ascii="Arial" w:hAnsi="Arial" w:cs="Arial"/>
          <w:sz w:val="22"/>
          <w:szCs w:val="22"/>
        </w:rPr>
      </w:pPr>
    </w:p>
    <w:p w14:paraId="1D828A79" w14:textId="4548FA9A" w:rsidR="007257CA" w:rsidRDefault="006060C5" w:rsidP="007257CA">
      <w:pPr>
        <w:spacing w:line="360" w:lineRule="atLeast"/>
        <w:rPr>
          <w:rFonts w:ascii="Arial" w:hAnsi="Arial" w:cs="Arial"/>
          <w:sz w:val="22"/>
          <w:szCs w:val="22"/>
        </w:rPr>
      </w:pPr>
      <w:r w:rsidRPr="000C0597">
        <w:rPr>
          <w:rFonts w:ascii="Arial" w:hAnsi="Arial" w:cs="Arial"/>
          <w:sz w:val="22"/>
          <w:szCs w:val="22"/>
        </w:rPr>
        <w:t>As the time for commitment to new capacity approaches, additional detailed studies are performed to identify the resources for meeting specific retail operating company requirements</w:t>
      </w:r>
      <w:r w:rsidR="008244ED" w:rsidRPr="000C0597">
        <w:rPr>
          <w:rFonts w:ascii="Arial" w:hAnsi="Arial" w:cs="Arial"/>
          <w:sz w:val="22"/>
          <w:szCs w:val="22"/>
        </w:rPr>
        <w:t xml:space="preserve">. </w:t>
      </w:r>
      <w:r w:rsidR="00BD6A65" w:rsidRPr="000C0597">
        <w:rPr>
          <w:rFonts w:ascii="Arial" w:hAnsi="Arial" w:cs="Arial"/>
          <w:sz w:val="22"/>
          <w:szCs w:val="22"/>
        </w:rPr>
        <w:t xml:space="preserve">These projections will be reviewed as input data assumptions are updated. </w:t>
      </w:r>
      <w:bookmarkStart w:id="8" w:name="_Toc305487192"/>
    </w:p>
    <w:p w14:paraId="1BC2BD8A" w14:textId="77777777" w:rsidR="00FC53FF" w:rsidRPr="000C0597" w:rsidRDefault="00FC53FF" w:rsidP="007257CA">
      <w:pPr>
        <w:spacing w:line="360" w:lineRule="atLeast"/>
        <w:rPr>
          <w:rFonts w:ascii="Arial" w:hAnsi="Arial" w:cs="Arial"/>
          <w:sz w:val="22"/>
          <w:szCs w:val="22"/>
        </w:rPr>
      </w:pPr>
    </w:p>
    <w:p w14:paraId="340716AE" w14:textId="475259C8" w:rsidR="00BD6A65" w:rsidRPr="000C0597" w:rsidRDefault="00243513" w:rsidP="00A04A13">
      <w:pPr>
        <w:pStyle w:val="Heading2"/>
        <w:spacing w:line="360" w:lineRule="atLeast"/>
        <w:ind w:left="846"/>
        <w:rPr>
          <w:rFonts w:ascii="Arial" w:hAnsi="Arial" w:cs="Arial"/>
          <w:sz w:val="22"/>
          <w:szCs w:val="22"/>
        </w:rPr>
      </w:pPr>
      <w:r w:rsidRPr="000C0597">
        <w:rPr>
          <w:rFonts w:ascii="Arial" w:hAnsi="Arial" w:cs="Arial"/>
          <w:sz w:val="22"/>
          <w:szCs w:val="22"/>
        </w:rPr>
        <w:t>DEMAND</w:t>
      </w:r>
      <w:r w:rsidR="00FC53FF">
        <w:rPr>
          <w:rFonts w:ascii="Arial" w:hAnsi="Arial" w:cs="Arial"/>
          <w:sz w:val="22"/>
          <w:szCs w:val="22"/>
        </w:rPr>
        <w:t>-</w:t>
      </w:r>
      <w:r w:rsidRPr="000C0597">
        <w:rPr>
          <w:rFonts w:ascii="Arial" w:hAnsi="Arial" w:cs="Arial"/>
          <w:sz w:val="22"/>
          <w:szCs w:val="22"/>
        </w:rPr>
        <w:t>SIDE OPTIONS</w:t>
      </w:r>
      <w:bookmarkEnd w:id="8"/>
    </w:p>
    <w:p w14:paraId="0EFDD912" w14:textId="679BB3FE" w:rsidR="00BD6A65" w:rsidRPr="000C0597" w:rsidRDefault="009836D9" w:rsidP="00243513">
      <w:pPr>
        <w:spacing w:line="360" w:lineRule="atLeast"/>
        <w:rPr>
          <w:rFonts w:ascii="Arial" w:hAnsi="Arial" w:cs="Arial"/>
          <w:sz w:val="22"/>
          <w:szCs w:val="22"/>
        </w:rPr>
      </w:pPr>
      <w:r w:rsidRPr="000C0597">
        <w:rPr>
          <w:rFonts w:ascii="Arial" w:hAnsi="Arial" w:cs="Arial"/>
          <w:sz w:val="22"/>
          <w:szCs w:val="22"/>
        </w:rPr>
        <w:t>Demand</w:t>
      </w:r>
      <w:r w:rsidR="00FC53FF">
        <w:rPr>
          <w:rFonts w:ascii="Arial" w:hAnsi="Arial" w:cs="Arial"/>
          <w:sz w:val="22"/>
          <w:szCs w:val="22"/>
        </w:rPr>
        <w:t>-</w:t>
      </w:r>
      <w:r w:rsidRPr="000C0597">
        <w:rPr>
          <w:rFonts w:ascii="Arial" w:hAnsi="Arial" w:cs="Arial"/>
          <w:sz w:val="22"/>
          <w:szCs w:val="22"/>
        </w:rPr>
        <w:t>side options are either “dispatchable</w:t>
      </w:r>
      <w:r w:rsidR="00E96835" w:rsidRPr="000C0597">
        <w:rPr>
          <w:rFonts w:ascii="Arial" w:hAnsi="Arial" w:cs="Arial"/>
          <w:sz w:val="22"/>
          <w:szCs w:val="22"/>
        </w:rPr>
        <w:t xml:space="preserve">” </w:t>
      </w:r>
      <w:r w:rsidRPr="000C0597">
        <w:rPr>
          <w:rFonts w:ascii="Arial" w:hAnsi="Arial" w:cs="Arial"/>
          <w:sz w:val="22"/>
          <w:szCs w:val="22"/>
        </w:rPr>
        <w:t>or “non-dispatchable</w:t>
      </w:r>
      <w:r w:rsidR="00FC53FF">
        <w:rPr>
          <w:rFonts w:ascii="Arial" w:hAnsi="Arial" w:cs="Arial"/>
          <w:sz w:val="22"/>
          <w:szCs w:val="22"/>
        </w:rPr>
        <w:t>.</w:t>
      </w:r>
      <w:r w:rsidRPr="000C0597">
        <w:rPr>
          <w:rFonts w:ascii="Arial" w:hAnsi="Arial" w:cs="Arial"/>
          <w:sz w:val="22"/>
          <w:szCs w:val="22"/>
        </w:rPr>
        <w:t>”</w:t>
      </w:r>
      <w:r w:rsidR="008244ED" w:rsidRPr="000C0597">
        <w:rPr>
          <w:rFonts w:ascii="Arial" w:hAnsi="Arial" w:cs="Arial"/>
          <w:sz w:val="22"/>
          <w:szCs w:val="22"/>
        </w:rPr>
        <w:t xml:space="preserve"> </w:t>
      </w:r>
      <w:r w:rsidR="00E96835" w:rsidRPr="000C0597">
        <w:rPr>
          <w:rFonts w:ascii="Arial" w:hAnsi="Arial" w:cs="Arial"/>
          <w:sz w:val="22"/>
          <w:szCs w:val="22"/>
        </w:rPr>
        <w:t xml:space="preserve">Examples </w:t>
      </w:r>
      <w:r w:rsidR="0079035C" w:rsidRPr="000C0597">
        <w:rPr>
          <w:rFonts w:ascii="Arial" w:hAnsi="Arial" w:cs="Arial"/>
          <w:sz w:val="22"/>
          <w:szCs w:val="22"/>
        </w:rPr>
        <w:t xml:space="preserve">of dispatchable DSO </w:t>
      </w:r>
      <w:r w:rsidR="00E96835" w:rsidRPr="000C0597">
        <w:rPr>
          <w:rFonts w:ascii="Arial" w:hAnsi="Arial" w:cs="Arial"/>
          <w:sz w:val="22"/>
          <w:szCs w:val="22"/>
        </w:rPr>
        <w:t>include</w:t>
      </w:r>
      <w:r w:rsidR="00BD6A65" w:rsidRPr="000C0597">
        <w:rPr>
          <w:rFonts w:ascii="Arial" w:hAnsi="Arial" w:cs="Arial"/>
          <w:sz w:val="22"/>
          <w:szCs w:val="22"/>
        </w:rPr>
        <w:t xml:space="preserve"> interruptible load and other options which can be </w:t>
      </w:r>
      <w:r w:rsidR="00E96835" w:rsidRPr="000C0597">
        <w:rPr>
          <w:rFonts w:ascii="Arial" w:hAnsi="Arial" w:cs="Arial"/>
          <w:sz w:val="22"/>
          <w:szCs w:val="22"/>
        </w:rPr>
        <w:t>controlled</w:t>
      </w:r>
      <w:r w:rsidR="00BD6A65" w:rsidRPr="000C0597">
        <w:rPr>
          <w:rFonts w:ascii="Arial" w:hAnsi="Arial" w:cs="Arial"/>
          <w:sz w:val="22"/>
          <w:szCs w:val="22"/>
        </w:rPr>
        <w:t xml:space="preserve"> and dispatch</w:t>
      </w:r>
      <w:r w:rsidR="00E96835" w:rsidRPr="000C0597">
        <w:rPr>
          <w:rFonts w:ascii="Arial" w:hAnsi="Arial" w:cs="Arial"/>
          <w:sz w:val="22"/>
          <w:szCs w:val="22"/>
        </w:rPr>
        <w:t xml:space="preserve">ed </w:t>
      </w:r>
      <w:r w:rsidR="00BD6A65" w:rsidRPr="000C0597">
        <w:rPr>
          <w:rFonts w:ascii="Arial" w:hAnsi="Arial" w:cs="Arial"/>
          <w:sz w:val="22"/>
          <w:szCs w:val="22"/>
        </w:rPr>
        <w:t xml:space="preserve">by </w:t>
      </w:r>
      <w:r w:rsidR="0079035C" w:rsidRPr="000C0597">
        <w:rPr>
          <w:rFonts w:ascii="Arial" w:hAnsi="Arial" w:cs="Arial"/>
          <w:sz w:val="22"/>
          <w:szCs w:val="22"/>
        </w:rPr>
        <w:t>a utility</w:t>
      </w:r>
      <w:r w:rsidR="008244ED" w:rsidRPr="000C0597">
        <w:rPr>
          <w:rFonts w:ascii="Arial" w:hAnsi="Arial" w:cs="Arial"/>
          <w:sz w:val="22"/>
          <w:szCs w:val="22"/>
        </w:rPr>
        <w:t xml:space="preserve">. </w:t>
      </w:r>
      <w:r w:rsidR="00E96835" w:rsidRPr="000C0597">
        <w:rPr>
          <w:rFonts w:ascii="Arial" w:hAnsi="Arial" w:cs="Arial"/>
          <w:sz w:val="22"/>
          <w:szCs w:val="22"/>
        </w:rPr>
        <w:t xml:space="preserve">Examples </w:t>
      </w:r>
      <w:r w:rsidR="0079035C" w:rsidRPr="000C0597">
        <w:rPr>
          <w:rFonts w:ascii="Arial" w:hAnsi="Arial" w:cs="Arial"/>
          <w:sz w:val="22"/>
          <w:szCs w:val="22"/>
        </w:rPr>
        <w:t xml:space="preserve">of non-dispatchable DSO </w:t>
      </w:r>
      <w:r w:rsidR="00E96835" w:rsidRPr="000C0597">
        <w:rPr>
          <w:rFonts w:ascii="Arial" w:hAnsi="Arial" w:cs="Arial"/>
          <w:sz w:val="22"/>
          <w:szCs w:val="22"/>
        </w:rPr>
        <w:t>include</w:t>
      </w:r>
      <w:r w:rsidR="00BD6A65" w:rsidRPr="000C0597">
        <w:rPr>
          <w:rFonts w:ascii="Arial" w:hAnsi="Arial" w:cs="Arial"/>
          <w:sz w:val="22"/>
          <w:szCs w:val="22"/>
        </w:rPr>
        <w:t xml:space="preserve"> options such as insulation or </w:t>
      </w:r>
      <w:r w:rsidRPr="000C0597">
        <w:rPr>
          <w:rFonts w:ascii="Arial" w:hAnsi="Arial" w:cs="Arial"/>
          <w:sz w:val="22"/>
          <w:szCs w:val="22"/>
        </w:rPr>
        <w:t xml:space="preserve">end-use </w:t>
      </w:r>
      <w:r w:rsidR="00BD6A65" w:rsidRPr="000C0597">
        <w:rPr>
          <w:rFonts w:ascii="Arial" w:hAnsi="Arial" w:cs="Arial"/>
          <w:sz w:val="22"/>
          <w:szCs w:val="22"/>
        </w:rPr>
        <w:t xml:space="preserve">equipment efficiency which are not directly controllable by </w:t>
      </w:r>
      <w:r w:rsidR="0079035C" w:rsidRPr="000C0597">
        <w:rPr>
          <w:rFonts w:ascii="Arial" w:hAnsi="Arial" w:cs="Arial"/>
          <w:sz w:val="22"/>
          <w:szCs w:val="22"/>
        </w:rPr>
        <w:t>a utility</w:t>
      </w:r>
      <w:r w:rsidR="008244ED" w:rsidRPr="000C0597">
        <w:rPr>
          <w:rFonts w:ascii="Arial" w:hAnsi="Arial" w:cs="Arial"/>
          <w:sz w:val="22"/>
          <w:szCs w:val="22"/>
        </w:rPr>
        <w:t xml:space="preserve">. </w:t>
      </w:r>
      <w:r w:rsidR="00523D4F" w:rsidRPr="000C0597">
        <w:rPr>
          <w:rFonts w:ascii="Arial" w:hAnsi="Arial" w:cs="Arial"/>
          <w:sz w:val="22"/>
          <w:szCs w:val="22"/>
        </w:rPr>
        <w:t>Dispatchable</w:t>
      </w:r>
      <w:r w:rsidR="00BD6A65" w:rsidRPr="000C0597">
        <w:rPr>
          <w:rFonts w:ascii="Arial" w:hAnsi="Arial" w:cs="Arial"/>
          <w:sz w:val="22"/>
          <w:szCs w:val="22"/>
        </w:rPr>
        <w:t xml:space="preserve"> DSOs were included as a capacity resource in this study</w:t>
      </w:r>
      <w:r w:rsidR="008244ED" w:rsidRPr="000C0597">
        <w:rPr>
          <w:rFonts w:ascii="Arial" w:hAnsi="Arial" w:cs="Arial"/>
          <w:sz w:val="22"/>
          <w:szCs w:val="22"/>
        </w:rPr>
        <w:t xml:space="preserve">. </w:t>
      </w:r>
      <w:r w:rsidR="00773E20" w:rsidRPr="000C0597">
        <w:rPr>
          <w:rFonts w:ascii="Arial" w:hAnsi="Arial" w:cs="Arial"/>
          <w:sz w:val="22"/>
          <w:szCs w:val="22"/>
        </w:rPr>
        <w:t xml:space="preserve">Non-dispatchable </w:t>
      </w:r>
      <w:r w:rsidR="00BD6A65" w:rsidRPr="000C0597">
        <w:rPr>
          <w:rFonts w:ascii="Arial" w:hAnsi="Arial" w:cs="Arial"/>
          <w:sz w:val="22"/>
          <w:szCs w:val="22"/>
        </w:rPr>
        <w:t xml:space="preserve">DSOs were </w:t>
      </w:r>
      <w:r w:rsidRPr="000C0597">
        <w:rPr>
          <w:rFonts w:ascii="Arial" w:hAnsi="Arial" w:cs="Arial"/>
          <w:sz w:val="22"/>
          <w:szCs w:val="22"/>
        </w:rPr>
        <w:t xml:space="preserve">accounted for </w:t>
      </w:r>
      <w:r w:rsidR="00BD6A65" w:rsidRPr="000C0597">
        <w:rPr>
          <w:rFonts w:ascii="Arial" w:hAnsi="Arial" w:cs="Arial"/>
          <w:sz w:val="22"/>
          <w:szCs w:val="22"/>
        </w:rPr>
        <w:t>in the load forecast</w:t>
      </w:r>
      <w:r w:rsidR="00E96835" w:rsidRPr="000C0597">
        <w:rPr>
          <w:rFonts w:ascii="Arial" w:hAnsi="Arial" w:cs="Arial"/>
          <w:sz w:val="22"/>
          <w:szCs w:val="22"/>
        </w:rPr>
        <w:t>s</w:t>
      </w:r>
      <w:r w:rsidR="00BD6A65" w:rsidRPr="000C0597">
        <w:rPr>
          <w:rFonts w:ascii="Arial" w:hAnsi="Arial" w:cs="Arial"/>
          <w:sz w:val="22"/>
          <w:szCs w:val="22"/>
        </w:rPr>
        <w:t xml:space="preserve">. </w:t>
      </w:r>
    </w:p>
    <w:p w14:paraId="3B7D426F" w14:textId="77777777" w:rsidR="00BD6A65" w:rsidRPr="000C0597" w:rsidRDefault="00BD6A65" w:rsidP="00243513">
      <w:pPr>
        <w:spacing w:line="360" w:lineRule="atLeast"/>
        <w:rPr>
          <w:rFonts w:ascii="Arial" w:hAnsi="Arial" w:cs="Arial"/>
          <w:sz w:val="22"/>
          <w:szCs w:val="22"/>
          <w:highlight w:val="yellow"/>
        </w:rPr>
      </w:pPr>
    </w:p>
    <w:p w14:paraId="4F6A6D52" w14:textId="77777777" w:rsidR="00BD6A65" w:rsidRPr="000C0597" w:rsidRDefault="00BD6A65" w:rsidP="006D78D2">
      <w:pPr>
        <w:pStyle w:val="Heading1"/>
        <w:spacing w:line="360" w:lineRule="atLeast"/>
        <w:jc w:val="left"/>
        <w:rPr>
          <w:rFonts w:ascii="Arial" w:hAnsi="Arial" w:cs="Arial"/>
          <w:sz w:val="22"/>
          <w:szCs w:val="22"/>
        </w:rPr>
      </w:pPr>
      <w:bookmarkStart w:id="9" w:name="_Toc305487193"/>
      <w:r w:rsidRPr="000C0597">
        <w:rPr>
          <w:rFonts w:ascii="Arial" w:hAnsi="Arial" w:cs="Arial"/>
          <w:sz w:val="22"/>
          <w:szCs w:val="22"/>
        </w:rPr>
        <w:t>INTRODUCTION</w:t>
      </w:r>
      <w:bookmarkEnd w:id="9"/>
    </w:p>
    <w:p w14:paraId="40F0CA31" w14:textId="21944066"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This report summarizes the results of the </w:t>
      </w:r>
      <w:r w:rsidR="00E54C02" w:rsidRPr="000C0597">
        <w:rPr>
          <w:rFonts w:ascii="Arial" w:hAnsi="Arial" w:cs="Arial"/>
          <w:sz w:val="22"/>
          <w:szCs w:val="22"/>
        </w:rPr>
        <w:t xml:space="preserve">2019 </w:t>
      </w:r>
      <w:r w:rsidRPr="000C0597">
        <w:rPr>
          <w:rFonts w:ascii="Arial" w:hAnsi="Arial" w:cs="Arial"/>
          <w:sz w:val="22"/>
          <w:szCs w:val="22"/>
        </w:rPr>
        <w:t>Resource Mix Study</w:t>
      </w:r>
      <w:r w:rsidR="008244ED" w:rsidRPr="000C0597">
        <w:rPr>
          <w:rFonts w:ascii="Arial" w:hAnsi="Arial" w:cs="Arial"/>
          <w:sz w:val="22"/>
          <w:szCs w:val="22"/>
        </w:rPr>
        <w:t xml:space="preserve">. </w:t>
      </w:r>
      <w:r w:rsidRPr="000C0597">
        <w:rPr>
          <w:rFonts w:ascii="Arial" w:hAnsi="Arial" w:cs="Arial"/>
          <w:sz w:val="22"/>
          <w:szCs w:val="22"/>
        </w:rPr>
        <w:t xml:space="preserve">The recommendations of the study provide input to an optimum resource addition schedule for the </w:t>
      </w:r>
      <w:r w:rsidR="00E8784D" w:rsidRPr="000C0597">
        <w:rPr>
          <w:rFonts w:ascii="Arial" w:hAnsi="Arial" w:cs="Arial"/>
          <w:sz w:val="22"/>
          <w:szCs w:val="22"/>
        </w:rPr>
        <w:t>retail</w:t>
      </w:r>
      <w:r w:rsidR="009E59FB" w:rsidRPr="000C0597">
        <w:rPr>
          <w:rFonts w:ascii="Arial" w:hAnsi="Arial" w:cs="Arial"/>
          <w:sz w:val="22"/>
          <w:szCs w:val="22"/>
        </w:rPr>
        <w:t xml:space="preserve"> </w:t>
      </w:r>
      <w:r w:rsidRPr="000C0597">
        <w:rPr>
          <w:rFonts w:ascii="Arial" w:hAnsi="Arial" w:cs="Arial"/>
          <w:sz w:val="22"/>
          <w:szCs w:val="22"/>
        </w:rPr>
        <w:t>operating companies</w:t>
      </w:r>
      <w:r w:rsidR="008244ED" w:rsidRPr="000C0597">
        <w:rPr>
          <w:rFonts w:ascii="Arial" w:hAnsi="Arial" w:cs="Arial"/>
          <w:sz w:val="22"/>
          <w:szCs w:val="22"/>
        </w:rPr>
        <w:t xml:space="preserve">. </w:t>
      </w:r>
      <w:r w:rsidRPr="000C0597">
        <w:rPr>
          <w:rFonts w:ascii="Arial" w:hAnsi="Arial" w:cs="Arial"/>
          <w:sz w:val="22"/>
          <w:szCs w:val="22"/>
        </w:rPr>
        <w:t xml:space="preserve">The </w:t>
      </w:r>
      <w:r w:rsidR="0099276D" w:rsidRPr="000C0597">
        <w:rPr>
          <w:rFonts w:ascii="Arial" w:hAnsi="Arial" w:cs="Arial"/>
          <w:sz w:val="22"/>
          <w:szCs w:val="22"/>
        </w:rPr>
        <w:t xml:space="preserve">base case </w:t>
      </w:r>
      <w:r w:rsidRPr="000C0597">
        <w:rPr>
          <w:rFonts w:ascii="Arial" w:hAnsi="Arial" w:cs="Arial"/>
          <w:sz w:val="22"/>
          <w:szCs w:val="22"/>
        </w:rPr>
        <w:t xml:space="preserve">resource addition schedule is based on maintaining a minimum </w:t>
      </w:r>
      <w:r w:rsidR="009A428E" w:rsidRPr="000C0597">
        <w:rPr>
          <w:rFonts w:ascii="Arial" w:hAnsi="Arial" w:cs="Arial"/>
          <w:sz w:val="22"/>
          <w:szCs w:val="22"/>
        </w:rPr>
        <w:t xml:space="preserve">summer </w:t>
      </w:r>
      <w:r w:rsidRPr="000C0597">
        <w:rPr>
          <w:rFonts w:ascii="Arial" w:hAnsi="Arial" w:cs="Arial"/>
          <w:sz w:val="22"/>
          <w:szCs w:val="22"/>
        </w:rPr>
        <w:t>reserve margin and minimizing the total operating and capital costs over the planning horizon</w:t>
      </w:r>
      <w:r w:rsidR="008244ED" w:rsidRPr="000C0597">
        <w:rPr>
          <w:rFonts w:ascii="Arial" w:hAnsi="Arial" w:cs="Arial"/>
          <w:sz w:val="22"/>
          <w:szCs w:val="22"/>
        </w:rPr>
        <w:t xml:space="preserve">. </w:t>
      </w:r>
      <w:r w:rsidR="00766339" w:rsidRPr="000C0597">
        <w:rPr>
          <w:rFonts w:ascii="Arial" w:hAnsi="Arial" w:cs="Arial"/>
          <w:sz w:val="22"/>
          <w:szCs w:val="22"/>
        </w:rPr>
        <w:t>In addition, given the Company’s recommendation to adopt seasonal planning and implement a long-term</w:t>
      </w:r>
      <w:r w:rsidR="004022CF" w:rsidRPr="000C0597">
        <w:rPr>
          <w:rFonts w:ascii="Arial" w:hAnsi="Arial" w:cs="Arial"/>
          <w:sz w:val="22"/>
          <w:szCs w:val="22"/>
        </w:rPr>
        <w:t xml:space="preserve"> Winter</w:t>
      </w:r>
      <w:r w:rsidR="008244ED" w:rsidRPr="000C0597">
        <w:rPr>
          <w:rFonts w:ascii="Arial" w:hAnsi="Arial" w:cs="Arial"/>
          <w:sz w:val="22"/>
          <w:szCs w:val="22"/>
        </w:rPr>
        <w:t xml:space="preserve"> </w:t>
      </w:r>
      <w:r w:rsidR="00766339" w:rsidRPr="000C0597">
        <w:rPr>
          <w:rFonts w:ascii="Arial" w:hAnsi="Arial" w:cs="Arial"/>
          <w:sz w:val="22"/>
          <w:szCs w:val="22"/>
        </w:rPr>
        <w:t>Target Reserve Margin of 26%, an additional expansion plan sensitivity is included in Table 7 of this 2019 Resource Mix Study</w:t>
      </w:r>
      <w:r w:rsidR="008244ED" w:rsidRPr="000C0597">
        <w:rPr>
          <w:rFonts w:ascii="Arial" w:hAnsi="Arial" w:cs="Arial"/>
          <w:sz w:val="22"/>
          <w:szCs w:val="22"/>
        </w:rPr>
        <w:t xml:space="preserve">. </w:t>
      </w:r>
      <w:r w:rsidR="00766339" w:rsidRPr="000C0597">
        <w:rPr>
          <w:rFonts w:ascii="Arial" w:hAnsi="Arial" w:cs="Arial"/>
          <w:sz w:val="22"/>
          <w:szCs w:val="22"/>
        </w:rPr>
        <w:t>While b</w:t>
      </w:r>
      <w:r w:rsidR="009A428E" w:rsidRPr="000C0597">
        <w:rPr>
          <w:rFonts w:ascii="Arial" w:hAnsi="Arial" w:cs="Arial"/>
          <w:sz w:val="22"/>
          <w:szCs w:val="22"/>
        </w:rPr>
        <w:t>oth summer and winter resource addition schedules are included in this 2019 Resource Mix Study</w:t>
      </w:r>
      <w:r w:rsidR="00766339" w:rsidRPr="000C0597">
        <w:rPr>
          <w:rFonts w:ascii="Arial" w:hAnsi="Arial" w:cs="Arial"/>
          <w:sz w:val="22"/>
          <w:szCs w:val="22"/>
        </w:rPr>
        <w:t>,</w:t>
      </w:r>
      <w:r w:rsidR="009A428E" w:rsidRPr="000C0597">
        <w:rPr>
          <w:rFonts w:ascii="Arial" w:hAnsi="Arial" w:cs="Arial"/>
          <w:sz w:val="22"/>
          <w:szCs w:val="22"/>
        </w:rPr>
        <w:t xml:space="preserve"> future resource addition schedules will be based on the additions needed to meet the higher of the summer or winter capacity need.</w:t>
      </w:r>
      <w:r w:rsidR="00725B63" w:rsidRPr="000C0597">
        <w:rPr>
          <w:rFonts w:ascii="Arial" w:hAnsi="Arial" w:cs="Arial"/>
          <w:sz w:val="22"/>
          <w:szCs w:val="22"/>
        </w:rPr>
        <w:t xml:space="preserve"> </w:t>
      </w:r>
    </w:p>
    <w:p w14:paraId="708986C0" w14:textId="22148806" w:rsidR="00BD6A65" w:rsidRPr="000C0597" w:rsidRDefault="00BD6A65" w:rsidP="00243513">
      <w:pPr>
        <w:spacing w:line="360" w:lineRule="atLeast"/>
        <w:rPr>
          <w:rFonts w:ascii="Arial" w:hAnsi="Arial" w:cs="Arial"/>
          <w:sz w:val="22"/>
          <w:szCs w:val="22"/>
          <w:highlight w:val="yellow"/>
        </w:rPr>
      </w:pPr>
    </w:p>
    <w:p w14:paraId="6703627E" w14:textId="6EAD7C68" w:rsidR="000C0322" w:rsidRPr="000C0597" w:rsidRDefault="00424E34" w:rsidP="00243513">
      <w:pPr>
        <w:spacing w:line="360" w:lineRule="atLeast"/>
        <w:rPr>
          <w:rFonts w:ascii="Arial" w:hAnsi="Arial" w:cs="Arial"/>
          <w:color w:val="000000"/>
          <w:sz w:val="22"/>
          <w:szCs w:val="22"/>
        </w:rPr>
      </w:pPr>
      <w:r w:rsidRPr="000C0597">
        <w:rPr>
          <w:rFonts w:ascii="Arial" w:hAnsi="Arial" w:cs="Arial"/>
          <w:sz w:val="22"/>
          <w:szCs w:val="22"/>
        </w:rPr>
        <w:t>Southern Company is the parent of Georgia Power, Alabama Pow</w:t>
      </w:r>
      <w:r w:rsidR="00FC77DC" w:rsidRPr="000C0597">
        <w:rPr>
          <w:rFonts w:ascii="Arial" w:hAnsi="Arial" w:cs="Arial"/>
          <w:sz w:val="22"/>
          <w:szCs w:val="22"/>
        </w:rPr>
        <w:t xml:space="preserve">er Company (“Alabama Power”), </w:t>
      </w:r>
      <w:r w:rsidRPr="000C0597">
        <w:rPr>
          <w:rFonts w:ascii="Arial" w:hAnsi="Arial" w:cs="Arial"/>
          <w:sz w:val="22"/>
          <w:szCs w:val="22"/>
        </w:rPr>
        <w:t>Mississippi Power Company (“Mississippi Power”), Southern Pow</w:t>
      </w:r>
      <w:r w:rsidR="00E84AE0" w:rsidRPr="000C0597">
        <w:rPr>
          <w:rFonts w:ascii="Arial" w:hAnsi="Arial" w:cs="Arial"/>
          <w:sz w:val="22"/>
          <w:szCs w:val="22"/>
        </w:rPr>
        <w:t xml:space="preserve">er Company (“Southern Power”), </w:t>
      </w:r>
      <w:r w:rsidRPr="000C0597">
        <w:rPr>
          <w:rFonts w:ascii="Arial" w:hAnsi="Arial" w:cs="Arial"/>
          <w:sz w:val="22"/>
          <w:szCs w:val="22"/>
        </w:rPr>
        <w:t xml:space="preserve">and Southern Company Gas (formerly AGL Resources Inc.). On January 1, 2019, Southern Company completed the sale of Gulf Power Company (“Gulf Power”) and other Florida assets to NextEra Energy, Inc. However, for a </w:t>
      </w:r>
      <w:r w:rsidR="006D78D2" w:rsidRPr="000C0597">
        <w:rPr>
          <w:rFonts w:ascii="Arial" w:hAnsi="Arial" w:cs="Arial"/>
          <w:sz w:val="22"/>
          <w:szCs w:val="22"/>
        </w:rPr>
        <w:t>T</w:t>
      </w:r>
      <w:r w:rsidRPr="000C0597">
        <w:rPr>
          <w:rFonts w:ascii="Arial" w:hAnsi="Arial" w:cs="Arial"/>
          <w:sz w:val="22"/>
          <w:szCs w:val="22"/>
        </w:rPr>
        <w:t xml:space="preserve">ransition </w:t>
      </w:r>
      <w:r w:rsidR="006D78D2" w:rsidRPr="000C0597">
        <w:rPr>
          <w:rFonts w:ascii="Arial" w:hAnsi="Arial" w:cs="Arial"/>
          <w:sz w:val="22"/>
          <w:szCs w:val="22"/>
        </w:rPr>
        <w:t>P</w:t>
      </w:r>
      <w:r w:rsidRPr="000C0597">
        <w:rPr>
          <w:rFonts w:ascii="Arial" w:hAnsi="Arial" w:cs="Arial"/>
          <w:sz w:val="22"/>
          <w:szCs w:val="22"/>
        </w:rPr>
        <w:t xml:space="preserve">eriod, Georgia Power, Alabama Power, Mississippi Power, Southern Power, and Gulf Power will continue to operate their respective electric generating facilities and conduct system operations (generally referred to as the “Pool”) pursuant to and in accordance with the provisions of the Southern Company System Intercompany Interchange Contract (“IIC”) as described in </w:t>
      </w:r>
      <w:r w:rsidRPr="000C0597">
        <w:rPr>
          <w:rFonts w:ascii="Arial" w:hAnsi="Arial" w:cs="Arial"/>
          <w:sz w:val="22"/>
          <w:szCs w:val="22"/>
        </w:rPr>
        <w:fldChar w:fldCharType="begin"/>
      </w:r>
      <w:r w:rsidRPr="000C0597">
        <w:rPr>
          <w:rFonts w:ascii="Arial" w:hAnsi="Arial" w:cs="Arial"/>
          <w:sz w:val="22"/>
          <w:szCs w:val="22"/>
        </w:rPr>
        <w:instrText xml:space="preserve"> REF _Ref534184151 \n \h  \* MERGEFORMAT </w:instrText>
      </w:r>
      <w:r w:rsidRPr="000C0597">
        <w:rPr>
          <w:rFonts w:ascii="Arial" w:hAnsi="Arial" w:cs="Arial"/>
          <w:sz w:val="22"/>
          <w:szCs w:val="22"/>
        </w:rPr>
      </w:r>
      <w:r w:rsidRPr="000C0597">
        <w:rPr>
          <w:rFonts w:ascii="Arial" w:hAnsi="Arial" w:cs="Arial"/>
          <w:sz w:val="22"/>
          <w:szCs w:val="22"/>
        </w:rPr>
        <w:fldChar w:fldCharType="separate"/>
      </w:r>
      <w:r w:rsidR="0093608C">
        <w:rPr>
          <w:rFonts w:ascii="Arial" w:hAnsi="Arial" w:cs="Arial"/>
          <w:b/>
          <w:bCs/>
          <w:sz w:val="22"/>
          <w:szCs w:val="22"/>
        </w:rPr>
        <w:t>Error! Reference source not found.</w:t>
      </w:r>
      <w:r w:rsidRPr="000C0597">
        <w:rPr>
          <w:rFonts w:ascii="Arial" w:hAnsi="Arial" w:cs="Arial"/>
          <w:sz w:val="22"/>
          <w:szCs w:val="22"/>
        </w:rPr>
        <w:fldChar w:fldCharType="end"/>
      </w:r>
      <w:r w:rsidRPr="000C0597">
        <w:rPr>
          <w:rFonts w:ascii="Arial" w:hAnsi="Arial" w:cs="Arial"/>
          <w:sz w:val="22"/>
          <w:szCs w:val="22"/>
        </w:rPr>
        <w:t xml:space="preserve"> to the IRP Main Document. Therefore, except when noted otherwise, Alabama Power, Georgia Power, Mississippi Power, and Gulf Power are considered the </w:t>
      </w:r>
      <w:r w:rsidR="00110114">
        <w:rPr>
          <w:rFonts w:ascii="Arial" w:hAnsi="Arial" w:cs="Arial"/>
          <w:sz w:val="22"/>
          <w:szCs w:val="22"/>
        </w:rPr>
        <w:t>retail operating companies (“</w:t>
      </w:r>
      <w:r w:rsidRPr="000C0597">
        <w:rPr>
          <w:rFonts w:ascii="Arial" w:hAnsi="Arial" w:cs="Arial"/>
          <w:sz w:val="22"/>
          <w:szCs w:val="22"/>
        </w:rPr>
        <w:t>Retail OpCos</w:t>
      </w:r>
      <w:r w:rsidR="00110114">
        <w:rPr>
          <w:rFonts w:ascii="Arial" w:hAnsi="Arial" w:cs="Arial"/>
          <w:sz w:val="22"/>
          <w:szCs w:val="22"/>
        </w:rPr>
        <w:t>”)</w:t>
      </w:r>
      <w:r w:rsidRPr="000C0597">
        <w:rPr>
          <w:rFonts w:ascii="Arial" w:hAnsi="Arial" w:cs="Arial"/>
          <w:sz w:val="22"/>
          <w:szCs w:val="22"/>
        </w:rPr>
        <w:t xml:space="preserve"> for this IRP.</w:t>
      </w:r>
      <w:r w:rsidR="00930DCF">
        <w:rPr>
          <w:rFonts w:ascii="Arial" w:hAnsi="Arial" w:cs="Arial"/>
          <w:sz w:val="22"/>
          <w:szCs w:val="22"/>
        </w:rPr>
        <w:t xml:space="preserve"> </w:t>
      </w:r>
      <w:r w:rsidRPr="000C0597">
        <w:rPr>
          <w:rFonts w:ascii="Arial" w:hAnsi="Arial" w:cs="Arial"/>
          <w:color w:val="000000"/>
          <w:sz w:val="22"/>
          <w:szCs w:val="22"/>
        </w:rPr>
        <w:t xml:space="preserve">Sensitivities are provided to demonstrate the impacts to Georgia Power </w:t>
      </w:r>
      <w:r w:rsidR="00C43FAD" w:rsidRPr="000C0597">
        <w:rPr>
          <w:rFonts w:ascii="Arial" w:hAnsi="Arial" w:cs="Arial"/>
          <w:color w:val="000000"/>
          <w:sz w:val="22"/>
          <w:szCs w:val="22"/>
        </w:rPr>
        <w:t>assuming</w:t>
      </w:r>
      <w:r w:rsidRPr="000C0597">
        <w:rPr>
          <w:rFonts w:ascii="Arial" w:hAnsi="Arial" w:cs="Arial"/>
          <w:color w:val="000000"/>
          <w:sz w:val="22"/>
          <w:szCs w:val="22"/>
        </w:rPr>
        <w:t xml:space="preserve"> Gulf Power </w:t>
      </w:r>
      <w:r w:rsidR="00C43FAD" w:rsidRPr="000C0597">
        <w:rPr>
          <w:rFonts w:ascii="Arial" w:hAnsi="Arial" w:cs="Arial"/>
          <w:color w:val="000000"/>
          <w:sz w:val="22"/>
          <w:szCs w:val="22"/>
        </w:rPr>
        <w:t xml:space="preserve">does not participate in coordinated planning activities with the remaining Southern Company </w:t>
      </w:r>
      <w:r w:rsidR="00FC77DC" w:rsidRPr="000C0597">
        <w:rPr>
          <w:rFonts w:ascii="Arial" w:hAnsi="Arial" w:cs="Arial"/>
          <w:color w:val="000000"/>
          <w:sz w:val="22"/>
          <w:szCs w:val="22"/>
        </w:rPr>
        <w:t>subsidiaries</w:t>
      </w:r>
      <w:r w:rsidRPr="000C0597">
        <w:rPr>
          <w:rFonts w:ascii="Arial" w:hAnsi="Arial" w:cs="Arial"/>
          <w:color w:val="000000"/>
          <w:sz w:val="22"/>
          <w:szCs w:val="22"/>
        </w:rPr>
        <w:t>. These impacts are not material to Georgia Power in this IRP as demonstrated in Table 4.</w:t>
      </w:r>
      <w:r w:rsidR="00110114">
        <w:rPr>
          <w:rFonts w:ascii="Arial" w:hAnsi="Arial" w:cs="Arial"/>
          <w:color w:val="000000"/>
          <w:sz w:val="22"/>
          <w:szCs w:val="22"/>
        </w:rPr>
        <w:t>6</w:t>
      </w:r>
      <w:r w:rsidRPr="000C0597">
        <w:rPr>
          <w:rFonts w:ascii="Arial" w:hAnsi="Arial" w:cs="Arial"/>
          <w:color w:val="000000"/>
          <w:sz w:val="22"/>
          <w:szCs w:val="22"/>
        </w:rPr>
        <w:t>.3</w:t>
      </w:r>
      <w:r w:rsidR="00110114">
        <w:rPr>
          <w:rFonts w:ascii="Arial" w:hAnsi="Arial" w:cs="Arial"/>
          <w:color w:val="000000"/>
          <w:sz w:val="22"/>
          <w:szCs w:val="22"/>
        </w:rPr>
        <w:t>a</w:t>
      </w:r>
      <w:r w:rsidRPr="000C0597">
        <w:rPr>
          <w:rFonts w:ascii="Arial" w:hAnsi="Arial" w:cs="Arial"/>
          <w:color w:val="000000"/>
          <w:sz w:val="22"/>
          <w:szCs w:val="22"/>
        </w:rPr>
        <w:t xml:space="preserve"> and Table 4.</w:t>
      </w:r>
      <w:r w:rsidR="00110114">
        <w:rPr>
          <w:rFonts w:ascii="Arial" w:hAnsi="Arial" w:cs="Arial"/>
          <w:color w:val="000000"/>
          <w:sz w:val="22"/>
          <w:szCs w:val="22"/>
        </w:rPr>
        <w:t>6</w:t>
      </w:r>
      <w:r w:rsidRPr="000C0597">
        <w:rPr>
          <w:rFonts w:ascii="Arial" w:hAnsi="Arial" w:cs="Arial"/>
          <w:color w:val="000000"/>
          <w:sz w:val="22"/>
          <w:szCs w:val="22"/>
        </w:rPr>
        <w:t>.3</w:t>
      </w:r>
      <w:r w:rsidR="00110114">
        <w:rPr>
          <w:rFonts w:ascii="Arial" w:hAnsi="Arial" w:cs="Arial"/>
          <w:color w:val="000000"/>
          <w:sz w:val="22"/>
          <w:szCs w:val="22"/>
        </w:rPr>
        <w:t>b,</w:t>
      </w:r>
      <w:r w:rsidRPr="000C0597">
        <w:rPr>
          <w:rFonts w:ascii="Arial" w:hAnsi="Arial" w:cs="Arial"/>
          <w:color w:val="000000"/>
          <w:sz w:val="22"/>
          <w:szCs w:val="22"/>
        </w:rPr>
        <w:t xml:space="preserve"> as well as graphically in Figures 4.</w:t>
      </w:r>
      <w:r w:rsidR="00110114">
        <w:rPr>
          <w:rFonts w:ascii="Arial" w:hAnsi="Arial" w:cs="Arial"/>
          <w:color w:val="000000"/>
          <w:sz w:val="22"/>
          <w:szCs w:val="22"/>
        </w:rPr>
        <w:t>6.4a</w:t>
      </w:r>
      <w:r w:rsidRPr="000C0597">
        <w:rPr>
          <w:rFonts w:ascii="Arial" w:hAnsi="Arial" w:cs="Arial"/>
          <w:color w:val="000000"/>
          <w:sz w:val="22"/>
          <w:szCs w:val="22"/>
        </w:rPr>
        <w:t xml:space="preserve"> and 4.</w:t>
      </w:r>
      <w:r w:rsidR="00110114">
        <w:rPr>
          <w:rFonts w:ascii="Arial" w:hAnsi="Arial" w:cs="Arial"/>
          <w:color w:val="000000"/>
          <w:sz w:val="22"/>
          <w:szCs w:val="22"/>
        </w:rPr>
        <w:t>6.4b</w:t>
      </w:r>
      <w:r w:rsidR="00C43FAD" w:rsidRPr="000C0597">
        <w:rPr>
          <w:rFonts w:ascii="Arial" w:hAnsi="Arial" w:cs="Arial"/>
          <w:color w:val="000000"/>
          <w:sz w:val="22"/>
          <w:szCs w:val="22"/>
        </w:rPr>
        <w:t xml:space="preserve"> in the </w:t>
      </w:r>
      <w:r w:rsidR="00110114">
        <w:rPr>
          <w:rFonts w:ascii="Arial" w:hAnsi="Arial" w:cs="Arial"/>
          <w:color w:val="000000"/>
          <w:sz w:val="22"/>
          <w:szCs w:val="22"/>
        </w:rPr>
        <w:t>2019 IRP Main Document Reference Tables and Figures section of</w:t>
      </w:r>
      <w:r w:rsidR="00C43FAD" w:rsidRPr="000C0597">
        <w:rPr>
          <w:rFonts w:ascii="Arial" w:hAnsi="Arial" w:cs="Arial"/>
          <w:color w:val="000000"/>
          <w:sz w:val="22"/>
          <w:szCs w:val="22"/>
        </w:rPr>
        <w:t xml:space="preserve"> Technical Appendix Volume 2</w:t>
      </w:r>
      <w:r w:rsidRPr="000C0597">
        <w:rPr>
          <w:rFonts w:ascii="Arial" w:hAnsi="Arial" w:cs="Arial"/>
          <w:color w:val="000000"/>
          <w:sz w:val="22"/>
          <w:szCs w:val="22"/>
        </w:rPr>
        <w:t>.</w:t>
      </w:r>
      <w:r w:rsidR="006D78D2" w:rsidRPr="000C0597">
        <w:rPr>
          <w:rFonts w:ascii="Arial" w:hAnsi="Arial" w:cs="Arial"/>
          <w:color w:val="000000"/>
          <w:sz w:val="22"/>
          <w:szCs w:val="22"/>
        </w:rPr>
        <w:t xml:space="preserve"> </w:t>
      </w:r>
      <w:r w:rsidR="000C0322" w:rsidRPr="000C0597">
        <w:rPr>
          <w:rFonts w:ascii="Arial" w:hAnsi="Arial" w:cs="Arial"/>
          <w:color w:val="000000"/>
          <w:sz w:val="22"/>
          <w:szCs w:val="22"/>
        </w:rPr>
        <w:t xml:space="preserve">Southern Power produces </w:t>
      </w:r>
      <w:r w:rsidR="00C369E6" w:rsidRPr="000C0597">
        <w:rPr>
          <w:rFonts w:ascii="Arial" w:hAnsi="Arial" w:cs="Arial"/>
          <w:color w:val="000000"/>
          <w:sz w:val="22"/>
          <w:szCs w:val="22"/>
        </w:rPr>
        <w:t xml:space="preserve">its own </w:t>
      </w:r>
      <w:r w:rsidR="000C0322" w:rsidRPr="000C0597">
        <w:rPr>
          <w:rFonts w:ascii="Arial" w:hAnsi="Arial" w:cs="Arial"/>
          <w:color w:val="000000"/>
          <w:sz w:val="22"/>
          <w:szCs w:val="22"/>
        </w:rPr>
        <w:t>separate generation expansion plan</w:t>
      </w:r>
      <w:r w:rsidR="00762BDD" w:rsidRPr="000C0597">
        <w:rPr>
          <w:rFonts w:ascii="Arial" w:hAnsi="Arial" w:cs="Arial"/>
          <w:color w:val="000000"/>
          <w:sz w:val="22"/>
          <w:szCs w:val="22"/>
        </w:rPr>
        <w:t>.</w:t>
      </w:r>
    </w:p>
    <w:p w14:paraId="7C42619C" w14:textId="76754E7B" w:rsidR="00050C3D" w:rsidRPr="000C0597" w:rsidRDefault="00050C3D" w:rsidP="00243513">
      <w:pPr>
        <w:spacing w:line="360" w:lineRule="atLeast"/>
        <w:rPr>
          <w:rFonts w:ascii="Arial" w:hAnsi="Arial" w:cs="Arial"/>
          <w:color w:val="000000"/>
          <w:sz w:val="22"/>
          <w:szCs w:val="22"/>
        </w:rPr>
      </w:pPr>
    </w:p>
    <w:p w14:paraId="2D211AAC" w14:textId="0293B7F9"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In developing a resource expansion plan, it is important to consider both investment risk and plan flexibility</w:t>
      </w:r>
      <w:r w:rsidR="008244ED" w:rsidRPr="000C0597">
        <w:rPr>
          <w:rFonts w:ascii="Arial" w:hAnsi="Arial" w:cs="Arial"/>
          <w:sz w:val="22"/>
          <w:szCs w:val="22"/>
        </w:rPr>
        <w:t xml:space="preserve">. </w:t>
      </w:r>
      <w:r w:rsidRPr="000C0597">
        <w:rPr>
          <w:rFonts w:ascii="Arial" w:hAnsi="Arial" w:cs="Arial"/>
          <w:sz w:val="22"/>
          <w:szCs w:val="22"/>
        </w:rPr>
        <w:t>The expansion plan needs to be flexible enough to adapt to the changing forecasts of load growth, inflation, construction escalation rates, fuel prices, and the cost of capital</w:t>
      </w:r>
      <w:r w:rsidR="008244ED" w:rsidRPr="000C0597">
        <w:rPr>
          <w:rFonts w:ascii="Arial" w:hAnsi="Arial" w:cs="Arial"/>
          <w:sz w:val="22"/>
          <w:szCs w:val="22"/>
        </w:rPr>
        <w:t xml:space="preserve">. </w:t>
      </w:r>
      <w:r w:rsidR="00102474" w:rsidRPr="000C0597">
        <w:rPr>
          <w:rFonts w:ascii="Arial" w:hAnsi="Arial" w:cs="Arial"/>
          <w:sz w:val="22"/>
          <w:szCs w:val="22"/>
        </w:rPr>
        <w:t>Also, the expansion</w:t>
      </w:r>
      <w:r w:rsidR="00A40BF2" w:rsidRPr="000C0597">
        <w:rPr>
          <w:rFonts w:ascii="Arial" w:hAnsi="Arial" w:cs="Arial"/>
          <w:sz w:val="22"/>
          <w:szCs w:val="22"/>
        </w:rPr>
        <w:t xml:space="preserve"> plan</w:t>
      </w:r>
      <w:r w:rsidR="00102474" w:rsidRPr="000C0597">
        <w:rPr>
          <w:rFonts w:ascii="Arial" w:hAnsi="Arial" w:cs="Arial"/>
          <w:sz w:val="22"/>
          <w:szCs w:val="22"/>
        </w:rPr>
        <w:t xml:space="preserve"> </w:t>
      </w:r>
      <w:r w:rsidR="00A40BF2" w:rsidRPr="000C0597">
        <w:rPr>
          <w:rFonts w:ascii="Arial" w:hAnsi="Arial" w:cs="Arial"/>
          <w:sz w:val="22"/>
          <w:szCs w:val="22"/>
        </w:rPr>
        <w:t xml:space="preserve">should be </w:t>
      </w:r>
      <w:r w:rsidR="00102474" w:rsidRPr="000C0597">
        <w:rPr>
          <w:rFonts w:ascii="Arial" w:hAnsi="Arial" w:cs="Arial"/>
          <w:sz w:val="22"/>
          <w:szCs w:val="22"/>
        </w:rPr>
        <w:t>flexible with respect to changing environmental law and/or regulation</w:t>
      </w:r>
      <w:r w:rsidR="008244ED" w:rsidRPr="000C0597">
        <w:rPr>
          <w:rFonts w:ascii="Arial" w:hAnsi="Arial" w:cs="Arial"/>
          <w:sz w:val="22"/>
          <w:szCs w:val="22"/>
        </w:rPr>
        <w:t xml:space="preserve">. </w:t>
      </w:r>
      <w:r w:rsidRPr="000C0597">
        <w:rPr>
          <w:rFonts w:ascii="Arial" w:hAnsi="Arial" w:cs="Arial"/>
          <w:sz w:val="22"/>
          <w:szCs w:val="22"/>
        </w:rPr>
        <w:t>In addition, the investment risk associated with adding generation must be considered</w:t>
      </w:r>
      <w:r w:rsidR="008244ED" w:rsidRPr="000C0597">
        <w:rPr>
          <w:rFonts w:ascii="Arial" w:hAnsi="Arial" w:cs="Arial"/>
          <w:sz w:val="22"/>
          <w:szCs w:val="22"/>
        </w:rPr>
        <w:t>.</w:t>
      </w:r>
      <w:r w:rsidR="00AC2EE8" w:rsidRPr="000C0597">
        <w:rPr>
          <w:rFonts w:ascii="Arial" w:hAnsi="Arial" w:cs="Arial"/>
          <w:sz w:val="22"/>
          <w:szCs w:val="22"/>
        </w:rPr>
        <w:t xml:space="preserve"> For example, d</w:t>
      </w:r>
      <w:r w:rsidRPr="000C0597">
        <w:rPr>
          <w:rFonts w:ascii="Arial" w:hAnsi="Arial" w:cs="Arial"/>
          <w:sz w:val="22"/>
          <w:szCs w:val="22"/>
        </w:rPr>
        <w:t>uring construction of a plant, the state of the regional or national economy could change, resulting in slower than anticipated load growth</w:t>
      </w:r>
      <w:r w:rsidR="008244ED" w:rsidRPr="000C0597">
        <w:rPr>
          <w:rFonts w:ascii="Arial" w:hAnsi="Arial" w:cs="Arial"/>
          <w:sz w:val="22"/>
          <w:szCs w:val="22"/>
        </w:rPr>
        <w:t xml:space="preserve">. </w:t>
      </w:r>
      <w:r w:rsidRPr="000C0597">
        <w:rPr>
          <w:rFonts w:ascii="Arial" w:hAnsi="Arial" w:cs="Arial"/>
          <w:sz w:val="22"/>
          <w:szCs w:val="22"/>
        </w:rPr>
        <w:t>This could delay the need for additional capacity</w:t>
      </w:r>
      <w:r w:rsidR="008244ED" w:rsidRPr="000C0597">
        <w:rPr>
          <w:rFonts w:ascii="Arial" w:hAnsi="Arial" w:cs="Arial"/>
          <w:sz w:val="22"/>
          <w:szCs w:val="22"/>
        </w:rPr>
        <w:t xml:space="preserve">. </w:t>
      </w:r>
      <w:r w:rsidRPr="000C0597">
        <w:rPr>
          <w:rFonts w:ascii="Arial" w:hAnsi="Arial" w:cs="Arial"/>
          <w:sz w:val="22"/>
          <w:szCs w:val="22"/>
        </w:rPr>
        <w:t xml:space="preserve">Risk assessment includes considering the benefits of fuel diversity </w:t>
      </w:r>
      <w:r w:rsidR="00E811F9" w:rsidRPr="000C0597">
        <w:rPr>
          <w:rFonts w:ascii="Arial" w:hAnsi="Arial" w:cs="Arial"/>
          <w:sz w:val="22"/>
          <w:szCs w:val="22"/>
        </w:rPr>
        <w:t>and evaluating the availability of various fuels.</w:t>
      </w:r>
    </w:p>
    <w:p w14:paraId="6A08F3E6" w14:textId="77777777" w:rsidR="00BD6A65" w:rsidRPr="000C0597" w:rsidRDefault="00BD6A65" w:rsidP="00243513">
      <w:pPr>
        <w:spacing w:line="360" w:lineRule="atLeast"/>
        <w:rPr>
          <w:rFonts w:ascii="Arial" w:hAnsi="Arial" w:cs="Arial"/>
          <w:sz w:val="22"/>
          <w:szCs w:val="22"/>
          <w:highlight w:val="yellow"/>
        </w:rPr>
      </w:pPr>
    </w:p>
    <w:p w14:paraId="7481C054" w14:textId="13861754"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The main optimization tool used in the mix analysis is the PROVIEW</w:t>
      </w:r>
      <w:r w:rsidR="00A83DFB" w:rsidRPr="000C0597">
        <w:rPr>
          <w:rFonts w:ascii="Arial" w:hAnsi="Arial" w:cs="Arial"/>
          <w:sz w:val="22"/>
          <w:szCs w:val="22"/>
        </w:rPr>
        <w:t xml:space="preserve"> </w:t>
      </w:r>
      <w:r w:rsidR="0080523B" w:rsidRPr="000C0597">
        <w:rPr>
          <w:rFonts w:ascii="Arial" w:hAnsi="Arial" w:cs="Arial"/>
          <w:sz w:val="22"/>
          <w:szCs w:val="22"/>
        </w:rPr>
        <w:t xml:space="preserve">module in </w:t>
      </w:r>
      <w:r w:rsidR="00A40BF2" w:rsidRPr="000C0597">
        <w:rPr>
          <w:rFonts w:ascii="Arial" w:hAnsi="Arial" w:cs="Arial"/>
          <w:sz w:val="22"/>
          <w:szCs w:val="22"/>
        </w:rPr>
        <w:t>Strategist</w:t>
      </w:r>
      <w:r w:rsidRPr="000C0597">
        <w:rPr>
          <w:rFonts w:ascii="Arial" w:hAnsi="Arial" w:cs="Arial"/>
          <w:sz w:val="22"/>
          <w:szCs w:val="22"/>
        </w:rPr>
        <w:t xml:space="preserve">. </w:t>
      </w:r>
      <w:r w:rsidR="0080523B" w:rsidRPr="000C0597">
        <w:rPr>
          <w:rFonts w:ascii="Arial" w:hAnsi="Arial" w:cs="Arial"/>
          <w:sz w:val="22"/>
          <w:szCs w:val="22"/>
        </w:rPr>
        <w:t xml:space="preserve">The </w:t>
      </w:r>
      <w:r w:rsidR="00A40BF2" w:rsidRPr="000C0597">
        <w:rPr>
          <w:rFonts w:ascii="Arial" w:hAnsi="Arial" w:cs="Arial"/>
          <w:sz w:val="22"/>
          <w:szCs w:val="22"/>
        </w:rPr>
        <w:t>Strategist</w:t>
      </w:r>
      <w:r w:rsidR="0080523B" w:rsidRPr="000C0597">
        <w:rPr>
          <w:rFonts w:ascii="Arial" w:hAnsi="Arial" w:cs="Arial"/>
          <w:sz w:val="22"/>
          <w:szCs w:val="22"/>
        </w:rPr>
        <w:t xml:space="preserve"> </w:t>
      </w:r>
      <w:r w:rsidRPr="000C0597">
        <w:rPr>
          <w:rFonts w:ascii="Arial" w:hAnsi="Arial" w:cs="Arial"/>
          <w:sz w:val="22"/>
          <w:szCs w:val="22"/>
        </w:rPr>
        <w:t>model uses many data inputs and assumptions in the process of optimizing system generation additions</w:t>
      </w:r>
      <w:r w:rsidR="009E59FB" w:rsidRPr="000C0597">
        <w:rPr>
          <w:rFonts w:ascii="Arial" w:hAnsi="Arial" w:cs="Arial"/>
          <w:sz w:val="22"/>
          <w:szCs w:val="22"/>
        </w:rPr>
        <w:t xml:space="preserve"> for the </w:t>
      </w:r>
      <w:r w:rsidR="00E8784D" w:rsidRPr="000C0597">
        <w:rPr>
          <w:rFonts w:ascii="Arial" w:hAnsi="Arial" w:cs="Arial"/>
          <w:sz w:val="22"/>
          <w:szCs w:val="22"/>
        </w:rPr>
        <w:t>retail</w:t>
      </w:r>
      <w:r w:rsidR="009E59FB" w:rsidRPr="000C0597">
        <w:rPr>
          <w:rFonts w:ascii="Arial" w:hAnsi="Arial" w:cs="Arial"/>
          <w:sz w:val="22"/>
          <w:szCs w:val="22"/>
        </w:rPr>
        <w:t xml:space="preserve"> operating companies</w:t>
      </w:r>
      <w:r w:rsidRPr="000C0597">
        <w:rPr>
          <w:rFonts w:ascii="Arial" w:hAnsi="Arial" w:cs="Arial"/>
          <w:sz w:val="22"/>
          <w:szCs w:val="22"/>
        </w:rPr>
        <w:t>; the key assumptions are load forecast</w:t>
      </w:r>
      <w:r w:rsidR="0099276D" w:rsidRPr="000C0597">
        <w:rPr>
          <w:rFonts w:ascii="Arial" w:hAnsi="Arial" w:cs="Arial"/>
          <w:sz w:val="22"/>
          <w:szCs w:val="22"/>
        </w:rPr>
        <w:t>s</w:t>
      </w:r>
      <w:r w:rsidRPr="000C0597">
        <w:rPr>
          <w:rFonts w:ascii="Arial" w:hAnsi="Arial" w:cs="Arial"/>
          <w:sz w:val="22"/>
          <w:szCs w:val="22"/>
        </w:rPr>
        <w:t xml:space="preserve">, DSOs, candidate units, reserve margin, cost of </w:t>
      </w:r>
      <w:r w:rsidR="002061AA" w:rsidRPr="000C0597">
        <w:rPr>
          <w:rFonts w:ascii="Arial" w:hAnsi="Arial" w:cs="Arial"/>
          <w:sz w:val="22"/>
          <w:szCs w:val="22"/>
        </w:rPr>
        <w:t>capital</w:t>
      </w:r>
      <w:r w:rsidR="0099276D" w:rsidRPr="000C0597">
        <w:rPr>
          <w:rFonts w:ascii="Arial" w:hAnsi="Arial" w:cs="Arial"/>
          <w:sz w:val="22"/>
          <w:szCs w:val="22"/>
        </w:rPr>
        <w:t>, fuel forecast</w:t>
      </w:r>
      <w:r w:rsidR="008E7613">
        <w:rPr>
          <w:rFonts w:ascii="Arial" w:hAnsi="Arial" w:cs="Arial"/>
          <w:sz w:val="22"/>
          <w:szCs w:val="22"/>
        </w:rPr>
        <w:t>,</w:t>
      </w:r>
      <w:r w:rsidRPr="000C0597">
        <w:rPr>
          <w:rFonts w:ascii="Arial" w:hAnsi="Arial" w:cs="Arial"/>
          <w:sz w:val="22"/>
          <w:szCs w:val="22"/>
        </w:rPr>
        <w:t xml:space="preserve"> and escalation rates.</w:t>
      </w:r>
    </w:p>
    <w:p w14:paraId="30BC476F" w14:textId="77777777" w:rsidR="00BD6A65" w:rsidRPr="000C0597" w:rsidRDefault="00BD6A65" w:rsidP="00243513">
      <w:pPr>
        <w:spacing w:line="360" w:lineRule="atLeast"/>
        <w:rPr>
          <w:rFonts w:ascii="Arial" w:hAnsi="Arial" w:cs="Arial"/>
          <w:sz w:val="22"/>
          <w:szCs w:val="22"/>
        </w:rPr>
      </w:pPr>
    </w:p>
    <w:p w14:paraId="420D3CF9" w14:textId="739EF0E6" w:rsidR="00BD6A65" w:rsidRPr="000C0597" w:rsidRDefault="00AF7D08" w:rsidP="00243513">
      <w:pPr>
        <w:spacing w:line="360" w:lineRule="atLeast"/>
        <w:rPr>
          <w:rFonts w:ascii="Arial" w:hAnsi="Arial" w:cs="Arial"/>
          <w:sz w:val="22"/>
          <w:szCs w:val="22"/>
        </w:rPr>
      </w:pPr>
      <w:r w:rsidRPr="000C0597">
        <w:rPr>
          <w:rFonts w:ascii="Arial" w:hAnsi="Arial" w:cs="Arial"/>
          <w:sz w:val="22"/>
          <w:szCs w:val="22"/>
        </w:rPr>
        <w:t>PROVIEW</w:t>
      </w:r>
      <w:r w:rsidR="00BD6A65" w:rsidRPr="000C0597">
        <w:rPr>
          <w:rFonts w:ascii="Arial" w:hAnsi="Arial" w:cs="Arial"/>
          <w:sz w:val="22"/>
          <w:szCs w:val="22"/>
        </w:rPr>
        <w:t xml:space="preserve"> uses</w:t>
      </w:r>
      <w:r w:rsidR="00C961EC" w:rsidRPr="000C0597">
        <w:rPr>
          <w:rFonts w:ascii="Arial" w:hAnsi="Arial" w:cs="Arial"/>
          <w:sz w:val="22"/>
          <w:szCs w:val="22"/>
        </w:rPr>
        <w:t xml:space="preserve"> </w:t>
      </w:r>
      <w:r w:rsidR="00A04A13" w:rsidRPr="000C0597">
        <w:rPr>
          <w:rFonts w:ascii="Arial" w:hAnsi="Arial" w:cs="Arial"/>
          <w:sz w:val="22"/>
          <w:szCs w:val="22"/>
        </w:rPr>
        <w:t>dynamic programming techniques to develop the optimum resource mix</w:t>
      </w:r>
      <w:r w:rsidR="00BD6A65" w:rsidRPr="000C0597">
        <w:rPr>
          <w:rFonts w:ascii="Arial" w:hAnsi="Arial" w:cs="Arial"/>
          <w:sz w:val="22"/>
          <w:szCs w:val="22"/>
        </w:rPr>
        <w:t xml:space="preserve"> (see </w:t>
      </w:r>
      <w:r w:rsidR="00540391" w:rsidRPr="000C0597">
        <w:rPr>
          <w:rFonts w:ascii="Arial" w:hAnsi="Arial" w:cs="Arial"/>
          <w:sz w:val="22"/>
          <w:szCs w:val="22"/>
        </w:rPr>
        <w:t xml:space="preserve">Appendix </w:t>
      </w:r>
      <w:r w:rsidR="007B4567" w:rsidRPr="000C0597">
        <w:rPr>
          <w:rFonts w:ascii="Arial" w:hAnsi="Arial" w:cs="Arial"/>
          <w:sz w:val="22"/>
          <w:szCs w:val="22"/>
        </w:rPr>
        <w:t>E</w:t>
      </w:r>
      <w:r w:rsidR="002D343C" w:rsidRPr="000C0597">
        <w:rPr>
          <w:rFonts w:ascii="Arial" w:hAnsi="Arial" w:cs="Arial"/>
          <w:sz w:val="22"/>
          <w:szCs w:val="22"/>
        </w:rPr>
        <w:t xml:space="preserve"> </w:t>
      </w:r>
      <w:r w:rsidR="00BD6A65" w:rsidRPr="000C0597">
        <w:rPr>
          <w:rFonts w:ascii="Arial" w:hAnsi="Arial" w:cs="Arial"/>
          <w:sz w:val="22"/>
          <w:szCs w:val="22"/>
        </w:rPr>
        <w:t>for a description of the algorithm)</w:t>
      </w:r>
      <w:r w:rsidR="008244ED" w:rsidRPr="000C0597">
        <w:rPr>
          <w:rFonts w:ascii="Arial" w:hAnsi="Arial" w:cs="Arial"/>
          <w:color w:val="000000"/>
          <w:sz w:val="22"/>
          <w:szCs w:val="22"/>
        </w:rPr>
        <w:t xml:space="preserve">. </w:t>
      </w:r>
      <w:r w:rsidR="00BD6A65" w:rsidRPr="000C0597">
        <w:rPr>
          <w:rFonts w:ascii="Arial" w:hAnsi="Arial" w:cs="Arial"/>
          <w:color w:val="000000"/>
          <w:sz w:val="22"/>
          <w:szCs w:val="22"/>
        </w:rPr>
        <w:t>T</w:t>
      </w:r>
      <w:r w:rsidR="00BD6A65" w:rsidRPr="000C0597">
        <w:rPr>
          <w:rFonts w:ascii="Arial" w:hAnsi="Arial" w:cs="Arial"/>
          <w:sz w:val="22"/>
          <w:szCs w:val="22"/>
        </w:rPr>
        <w:t xml:space="preserve">his technique allows </w:t>
      </w:r>
      <w:r w:rsidRPr="000C0597">
        <w:rPr>
          <w:rFonts w:ascii="Arial" w:hAnsi="Arial" w:cs="Arial"/>
          <w:sz w:val="22"/>
          <w:szCs w:val="22"/>
        </w:rPr>
        <w:t>PROVIEW</w:t>
      </w:r>
      <w:r w:rsidR="00BD6A65" w:rsidRPr="000C0597">
        <w:rPr>
          <w:rFonts w:ascii="Arial" w:hAnsi="Arial" w:cs="Arial"/>
          <w:sz w:val="22"/>
          <w:szCs w:val="22"/>
        </w:rPr>
        <w:t xml:space="preserve"> to evaluate</w:t>
      </w:r>
      <w:r w:rsidR="002432EA" w:rsidRPr="000C0597">
        <w:rPr>
          <w:rFonts w:ascii="Arial" w:hAnsi="Arial" w:cs="Arial"/>
          <w:sz w:val="22"/>
          <w:szCs w:val="22"/>
        </w:rPr>
        <w:t>,</w:t>
      </w:r>
      <w:r w:rsidR="00BD6A65" w:rsidRPr="000C0597">
        <w:rPr>
          <w:rFonts w:ascii="Arial" w:hAnsi="Arial" w:cs="Arial"/>
          <w:sz w:val="22"/>
          <w:szCs w:val="22"/>
        </w:rPr>
        <w:t xml:space="preserve"> in every year</w:t>
      </w:r>
      <w:r w:rsidR="002432EA" w:rsidRPr="000C0597">
        <w:rPr>
          <w:rFonts w:ascii="Arial" w:hAnsi="Arial" w:cs="Arial"/>
          <w:sz w:val="22"/>
          <w:szCs w:val="22"/>
        </w:rPr>
        <w:t>,</w:t>
      </w:r>
      <w:r w:rsidR="00BD6A65" w:rsidRPr="000C0597">
        <w:rPr>
          <w:rFonts w:ascii="Arial" w:hAnsi="Arial" w:cs="Arial"/>
          <w:sz w:val="22"/>
          <w:szCs w:val="22"/>
        </w:rPr>
        <w:t xml:space="preserve"> each combination of generation additions that satisfy the reserve margin constraint</w:t>
      </w:r>
      <w:r w:rsidR="008244ED" w:rsidRPr="000C0597">
        <w:rPr>
          <w:rFonts w:ascii="Arial" w:hAnsi="Arial" w:cs="Arial"/>
          <w:sz w:val="22"/>
          <w:szCs w:val="22"/>
        </w:rPr>
        <w:t xml:space="preserve">. </w:t>
      </w:r>
      <w:r w:rsidR="00BD6A65" w:rsidRPr="000C0597">
        <w:rPr>
          <w:rFonts w:ascii="Arial" w:hAnsi="Arial" w:cs="Arial"/>
          <w:sz w:val="22"/>
          <w:szCs w:val="22"/>
        </w:rPr>
        <w:t>For each combination, annual operating costs are simulated and are added to the construction costs required to build that particular combination of resource additions</w:t>
      </w:r>
      <w:r w:rsidR="008244ED" w:rsidRPr="000C0597">
        <w:rPr>
          <w:rFonts w:ascii="Arial" w:hAnsi="Arial" w:cs="Arial"/>
          <w:sz w:val="22"/>
          <w:szCs w:val="22"/>
        </w:rPr>
        <w:t xml:space="preserve">. </w:t>
      </w:r>
      <w:r w:rsidR="00BD6A65" w:rsidRPr="000C0597">
        <w:rPr>
          <w:rFonts w:ascii="Arial" w:hAnsi="Arial" w:cs="Arial"/>
          <w:sz w:val="22"/>
          <w:szCs w:val="22"/>
        </w:rPr>
        <w:t>A least cost resource plan is developed only after reviewing many construction options.</w:t>
      </w:r>
    </w:p>
    <w:p w14:paraId="10E8F985" w14:textId="77777777" w:rsidR="00BD6A65" w:rsidRPr="000C0597" w:rsidRDefault="00BD6A65" w:rsidP="00243513">
      <w:pPr>
        <w:spacing w:line="360" w:lineRule="atLeast"/>
        <w:rPr>
          <w:rFonts w:ascii="Arial" w:hAnsi="Arial" w:cs="Arial"/>
          <w:sz w:val="22"/>
          <w:szCs w:val="22"/>
          <w:highlight w:val="yellow"/>
        </w:rPr>
      </w:pPr>
    </w:p>
    <w:p w14:paraId="54B92DB8" w14:textId="5A6D7DF7"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Candidate units for mix analysis </w:t>
      </w:r>
      <w:r w:rsidR="006A3EAB" w:rsidRPr="000C0597">
        <w:rPr>
          <w:rFonts w:ascii="Arial" w:hAnsi="Arial" w:cs="Arial"/>
          <w:sz w:val="22"/>
          <w:szCs w:val="22"/>
        </w:rPr>
        <w:t>were</w:t>
      </w:r>
      <w:r w:rsidRPr="000C0597">
        <w:rPr>
          <w:rFonts w:ascii="Arial" w:hAnsi="Arial" w:cs="Arial"/>
          <w:sz w:val="22"/>
          <w:szCs w:val="22"/>
        </w:rPr>
        <w:t xml:space="preserve"> selected </w:t>
      </w:r>
      <w:r w:rsidR="006A3EAB" w:rsidRPr="000C0597">
        <w:rPr>
          <w:rFonts w:ascii="Arial" w:hAnsi="Arial" w:cs="Arial"/>
          <w:sz w:val="22"/>
          <w:szCs w:val="22"/>
        </w:rPr>
        <w:t xml:space="preserve">based upon the results of </w:t>
      </w:r>
      <w:r w:rsidR="00711578" w:rsidRPr="000C0597">
        <w:rPr>
          <w:rFonts w:ascii="Arial" w:hAnsi="Arial" w:cs="Arial"/>
          <w:sz w:val="22"/>
          <w:szCs w:val="22"/>
        </w:rPr>
        <w:t xml:space="preserve">the </w:t>
      </w:r>
      <w:r w:rsidR="00C201A8" w:rsidRPr="000C0597">
        <w:rPr>
          <w:rFonts w:ascii="Arial" w:hAnsi="Arial" w:cs="Arial"/>
          <w:sz w:val="22"/>
          <w:szCs w:val="22"/>
        </w:rPr>
        <w:t xml:space="preserve">generation </w:t>
      </w:r>
      <w:r w:rsidR="006A3EAB" w:rsidRPr="000C0597">
        <w:rPr>
          <w:rFonts w:ascii="Arial" w:hAnsi="Arial" w:cs="Arial"/>
          <w:sz w:val="22"/>
          <w:szCs w:val="22"/>
        </w:rPr>
        <w:t xml:space="preserve">busbar </w:t>
      </w:r>
      <w:r w:rsidR="00C201A8" w:rsidRPr="000C0597">
        <w:rPr>
          <w:rFonts w:ascii="Arial" w:hAnsi="Arial" w:cs="Arial"/>
          <w:sz w:val="22"/>
          <w:szCs w:val="22"/>
        </w:rPr>
        <w:t>analysis</w:t>
      </w:r>
      <w:r w:rsidR="008244ED" w:rsidRPr="000C0597">
        <w:rPr>
          <w:rFonts w:ascii="Arial" w:hAnsi="Arial" w:cs="Arial"/>
          <w:sz w:val="22"/>
          <w:szCs w:val="22"/>
        </w:rPr>
        <w:t xml:space="preserve">. </w:t>
      </w:r>
      <w:r w:rsidRPr="000C0597">
        <w:rPr>
          <w:rFonts w:ascii="Arial" w:hAnsi="Arial" w:cs="Arial"/>
          <w:sz w:val="22"/>
          <w:szCs w:val="22"/>
        </w:rPr>
        <w:t>Factors including cost and performance, maturity of technology, environmental issues, and risk to the system are considered when selecting candidate units</w:t>
      </w:r>
      <w:r w:rsidR="008244ED" w:rsidRPr="000C0597">
        <w:rPr>
          <w:rFonts w:ascii="Arial" w:hAnsi="Arial" w:cs="Arial"/>
          <w:sz w:val="22"/>
          <w:szCs w:val="22"/>
        </w:rPr>
        <w:t xml:space="preserve">. </w:t>
      </w:r>
      <w:r w:rsidRPr="000C0597">
        <w:rPr>
          <w:rFonts w:ascii="Arial" w:hAnsi="Arial" w:cs="Arial"/>
          <w:sz w:val="22"/>
          <w:szCs w:val="22"/>
        </w:rPr>
        <w:t>The candidate units for this study are:</w:t>
      </w:r>
    </w:p>
    <w:p w14:paraId="5F1BD3D8" w14:textId="77777777" w:rsidR="00BD6A65" w:rsidRPr="000C0597" w:rsidRDefault="00BD6A65" w:rsidP="00243513">
      <w:pPr>
        <w:spacing w:line="360" w:lineRule="atLeast"/>
        <w:rPr>
          <w:rFonts w:ascii="Arial" w:hAnsi="Arial" w:cs="Arial"/>
          <w:sz w:val="22"/>
          <w:szCs w:val="22"/>
          <w:highlight w:val="yellow"/>
        </w:rPr>
      </w:pPr>
    </w:p>
    <w:p w14:paraId="5622239C" w14:textId="61592DC2" w:rsidR="00BD6A65" w:rsidRPr="000C0597" w:rsidRDefault="00170DCF" w:rsidP="000B291A">
      <w:pPr>
        <w:numPr>
          <w:ilvl w:val="0"/>
          <w:numId w:val="4"/>
        </w:numPr>
        <w:spacing w:line="360" w:lineRule="atLeast"/>
        <w:rPr>
          <w:rFonts w:ascii="Arial" w:hAnsi="Arial" w:cs="Arial"/>
          <w:sz w:val="22"/>
          <w:szCs w:val="22"/>
        </w:rPr>
      </w:pPr>
      <w:bookmarkStart w:id="10" w:name="_Hlk534696909"/>
      <w:r w:rsidRPr="00170DCF">
        <w:rPr>
          <w:rFonts w:ascii="Arial" w:hAnsi="Arial" w:cs="Arial"/>
          <w:b/>
          <w:color w:val="000000"/>
          <w:sz w:val="16"/>
          <w:szCs w:val="16"/>
        </w:rPr>
        <w:t>REDACTED</w:t>
      </w:r>
      <w:r w:rsidRPr="000C0597">
        <w:rPr>
          <w:rFonts w:ascii="Arial" w:hAnsi="Arial" w:cs="Arial"/>
          <w:sz w:val="22"/>
          <w:szCs w:val="22"/>
        </w:rPr>
        <w:t xml:space="preserve"> </w:t>
      </w:r>
      <w:r w:rsidR="006649CB" w:rsidRPr="000C0597">
        <w:rPr>
          <w:rFonts w:ascii="Arial" w:hAnsi="Arial" w:cs="Arial"/>
          <w:sz w:val="22"/>
          <w:szCs w:val="22"/>
        </w:rPr>
        <w:t xml:space="preserve">MW </w:t>
      </w:r>
      <w:r w:rsidR="000B3E4B" w:rsidRPr="000C0597">
        <w:rPr>
          <w:rFonts w:ascii="Arial" w:hAnsi="Arial" w:cs="Arial"/>
          <w:sz w:val="22"/>
          <w:szCs w:val="22"/>
        </w:rPr>
        <w:t xml:space="preserve">Gas Only </w:t>
      </w:r>
      <w:r w:rsidR="006649CB" w:rsidRPr="000C0597">
        <w:rPr>
          <w:rFonts w:ascii="Arial" w:hAnsi="Arial" w:cs="Arial"/>
          <w:sz w:val="22"/>
          <w:szCs w:val="22"/>
        </w:rPr>
        <w:t xml:space="preserve">Combined Cycle </w:t>
      </w:r>
      <w:r w:rsidR="00CC67B2" w:rsidRPr="000C0597">
        <w:rPr>
          <w:rFonts w:ascii="Arial" w:hAnsi="Arial" w:cs="Arial"/>
          <w:sz w:val="22"/>
          <w:szCs w:val="22"/>
        </w:rPr>
        <w:t xml:space="preserve">– </w:t>
      </w:r>
      <w:r w:rsidR="00E54C02" w:rsidRPr="000C0597">
        <w:rPr>
          <w:rFonts w:ascii="Arial" w:hAnsi="Arial" w:cs="Arial"/>
          <w:sz w:val="22"/>
          <w:szCs w:val="22"/>
        </w:rPr>
        <w:t xml:space="preserve">one </w:t>
      </w:r>
      <w:r w:rsidR="00CC67B2" w:rsidRPr="000C0597">
        <w:rPr>
          <w:rFonts w:ascii="Arial" w:hAnsi="Arial" w:cs="Arial"/>
          <w:sz w:val="22"/>
          <w:szCs w:val="22"/>
        </w:rPr>
        <w:t>unit site</w:t>
      </w:r>
    </w:p>
    <w:p w14:paraId="76BD0657" w14:textId="7BC2576A" w:rsidR="007E57B2" w:rsidRPr="000C0597" w:rsidRDefault="00170DCF" w:rsidP="000B291A">
      <w:pPr>
        <w:numPr>
          <w:ilvl w:val="0"/>
          <w:numId w:val="4"/>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6649CB" w:rsidRPr="000C0597">
        <w:rPr>
          <w:rFonts w:ascii="Arial" w:hAnsi="Arial" w:cs="Arial"/>
          <w:sz w:val="22"/>
          <w:szCs w:val="22"/>
        </w:rPr>
        <w:t xml:space="preserve">MW </w:t>
      </w:r>
      <w:r w:rsidR="000B3E4B" w:rsidRPr="000C0597">
        <w:rPr>
          <w:rFonts w:ascii="Arial" w:hAnsi="Arial" w:cs="Arial"/>
          <w:sz w:val="22"/>
          <w:szCs w:val="22"/>
        </w:rPr>
        <w:t xml:space="preserve">Gas Only </w:t>
      </w:r>
      <w:r w:rsidR="00CE3278" w:rsidRPr="000C0597">
        <w:rPr>
          <w:rFonts w:ascii="Arial" w:hAnsi="Arial" w:cs="Arial"/>
          <w:sz w:val="22"/>
          <w:szCs w:val="22"/>
        </w:rPr>
        <w:t xml:space="preserve">Combined Cycle </w:t>
      </w:r>
      <w:r w:rsidR="006649CB" w:rsidRPr="000C0597">
        <w:rPr>
          <w:rFonts w:ascii="Arial" w:hAnsi="Arial" w:cs="Arial"/>
          <w:sz w:val="22"/>
          <w:szCs w:val="22"/>
        </w:rPr>
        <w:t>with CC</w:t>
      </w:r>
      <w:r w:rsidR="00E87440" w:rsidRPr="000C0597">
        <w:rPr>
          <w:rFonts w:ascii="Arial" w:hAnsi="Arial" w:cs="Arial"/>
          <w:sz w:val="22"/>
          <w:szCs w:val="22"/>
        </w:rPr>
        <w:t>C</w:t>
      </w:r>
      <w:r w:rsidR="00CC67B2" w:rsidRPr="000C0597">
        <w:rPr>
          <w:rFonts w:ascii="Arial" w:hAnsi="Arial" w:cs="Arial"/>
          <w:sz w:val="22"/>
          <w:szCs w:val="22"/>
        </w:rPr>
        <w:t xml:space="preserve"> – </w:t>
      </w:r>
      <w:r w:rsidR="00E54C02" w:rsidRPr="000C0597">
        <w:rPr>
          <w:rFonts w:ascii="Arial" w:hAnsi="Arial" w:cs="Arial"/>
          <w:sz w:val="22"/>
          <w:szCs w:val="22"/>
        </w:rPr>
        <w:t xml:space="preserve">one </w:t>
      </w:r>
      <w:r w:rsidR="00CC67B2" w:rsidRPr="000C0597">
        <w:rPr>
          <w:rFonts w:ascii="Arial" w:hAnsi="Arial" w:cs="Arial"/>
          <w:sz w:val="22"/>
          <w:szCs w:val="22"/>
        </w:rPr>
        <w:t>unit site</w:t>
      </w:r>
    </w:p>
    <w:p w14:paraId="4CA91C4F" w14:textId="49464C01" w:rsidR="00CC67B2" w:rsidRPr="000C0597" w:rsidRDefault="00170DCF" w:rsidP="000B291A">
      <w:pPr>
        <w:numPr>
          <w:ilvl w:val="0"/>
          <w:numId w:val="4"/>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CC67B2" w:rsidRPr="000C0597">
        <w:rPr>
          <w:rFonts w:ascii="Arial" w:hAnsi="Arial" w:cs="Arial"/>
          <w:sz w:val="22"/>
          <w:szCs w:val="22"/>
        </w:rPr>
        <w:t xml:space="preserve">MW </w:t>
      </w:r>
      <w:r w:rsidR="00902F1A" w:rsidRPr="000C0597">
        <w:rPr>
          <w:rFonts w:ascii="Arial" w:hAnsi="Arial" w:cs="Arial"/>
          <w:sz w:val="22"/>
          <w:szCs w:val="22"/>
        </w:rPr>
        <w:t>Dual Fuel</w:t>
      </w:r>
      <w:r w:rsidR="00CC67B2" w:rsidRPr="000C0597">
        <w:rPr>
          <w:rFonts w:ascii="Arial" w:hAnsi="Arial" w:cs="Arial"/>
          <w:sz w:val="22"/>
          <w:szCs w:val="22"/>
        </w:rPr>
        <w:t xml:space="preserve"> </w:t>
      </w:r>
      <w:r w:rsidR="00CE3278" w:rsidRPr="000C0597">
        <w:rPr>
          <w:rFonts w:ascii="Arial" w:hAnsi="Arial" w:cs="Arial"/>
          <w:sz w:val="22"/>
          <w:szCs w:val="22"/>
        </w:rPr>
        <w:t>Combustion Turbine</w:t>
      </w:r>
      <w:r w:rsidR="00CC67B2" w:rsidRPr="000C0597">
        <w:rPr>
          <w:rFonts w:ascii="Arial" w:hAnsi="Arial" w:cs="Arial"/>
          <w:sz w:val="22"/>
          <w:szCs w:val="22"/>
        </w:rPr>
        <w:t xml:space="preserve"> – </w:t>
      </w:r>
      <w:r w:rsidR="00252C32" w:rsidRPr="000C0597">
        <w:rPr>
          <w:rFonts w:ascii="Arial" w:hAnsi="Arial" w:cs="Arial"/>
          <w:sz w:val="22"/>
          <w:szCs w:val="22"/>
        </w:rPr>
        <w:t>four</w:t>
      </w:r>
      <w:r w:rsidR="00CC67B2" w:rsidRPr="000C0597">
        <w:rPr>
          <w:rFonts w:ascii="Arial" w:hAnsi="Arial" w:cs="Arial"/>
          <w:sz w:val="22"/>
          <w:szCs w:val="22"/>
        </w:rPr>
        <w:t xml:space="preserve"> unit site</w:t>
      </w:r>
    </w:p>
    <w:p w14:paraId="0EAFE156" w14:textId="7FD06069" w:rsidR="00CC67B2" w:rsidRPr="000C0597" w:rsidRDefault="00170DCF" w:rsidP="000B291A">
      <w:pPr>
        <w:numPr>
          <w:ilvl w:val="0"/>
          <w:numId w:val="4"/>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CC67B2" w:rsidRPr="000C0597">
        <w:rPr>
          <w:rFonts w:ascii="Arial" w:hAnsi="Arial" w:cs="Arial"/>
          <w:sz w:val="22"/>
          <w:szCs w:val="22"/>
        </w:rPr>
        <w:t xml:space="preserve">MW </w:t>
      </w:r>
      <w:r w:rsidR="00902F1A" w:rsidRPr="000C0597">
        <w:rPr>
          <w:rFonts w:ascii="Arial" w:hAnsi="Arial" w:cs="Arial"/>
          <w:sz w:val="22"/>
          <w:szCs w:val="22"/>
        </w:rPr>
        <w:t>Dual Fuel</w:t>
      </w:r>
      <w:r w:rsidR="00CE3278" w:rsidRPr="000C0597">
        <w:rPr>
          <w:rFonts w:ascii="Arial" w:hAnsi="Arial" w:cs="Arial"/>
          <w:sz w:val="22"/>
          <w:szCs w:val="22"/>
        </w:rPr>
        <w:t xml:space="preserve"> Combustion Turbine </w:t>
      </w:r>
      <w:r w:rsidR="00CC67B2" w:rsidRPr="000C0597">
        <w:rPr>
          <w:rFonts w:ascii="Arial" w:hAnsi="Arial" w:cs="Arial"/>
          <w:sz w:val="22"/>
          <w:szCs w:val="22"/>
        </w:rPr>
        <w:t xml:space="preserve">with SCR – </w:t>
      </w:r>
      <w:r w:rsidR="00252C32" w:rsidRPr="000C0597">
        <w:rPr>
          <w:rFonts w:ascii="Arial" w:hAnsi="Arial" w:cs="Arial"/>
          <w:sz w:val="22"/>
          <w:szCs w:val="22"/>
        </w:rPr>
        <w:t>four</w:t>
      </w:r>
      <w:r w:rsidR="00CC67B2" w:rsidRPr="000C0597">
        <w:rPr>
          <w:rFonts w:ascii="Arial" w:hAnsi="Arial" w:cs="Arial"/>
          <w:sz w:val="22"/>
          <w:szCs w:val="22"/>
        </w:rPr>
        <w:t xml:space="preserve"> unit site</w:t>
      </w:r>
    </w:p>
    <w:p w14:paraId="0C646388" w14:textId="3235A42C" w:rsidR="00BD6A65" w:rsidRPr="000C0597" w:rsidRDefault="00E503E5" w:rsidP="00CC67B2">
      <w:pPr>
        <w:spacing w:line="360" w:lineRule="atLeast"/>
        <w:ind w:left="360"/>
        <w:rPr>
          <w:rFonts w:ascii="Arial" w:hAnsi="Arial" w:cs="Arial"/>
          <w:sz w:val="22"/>
          <w:szCs w:val="22"/>
        </w:rPr>
      </w:pPr>
      <w:r w:rsidRPr="000C0597">
        <w:rPr>
          <w:rFonts w:ascii="Arial" w:hAnsi="Arial" w:cs="Arial"/>
          <w:sz w:val="22"/>
          <w:szCs w:val="22"/>
        </w:rPr>
        <w:t>Note: All MW output values are net of station service.</w:t>
      </w:r>
    </w:p>
    <w:bookmarkEnd w:id="10"/>
    <w:p w14:paraId="024B103B" w14:textId="77777777" w:rsidR="00BD6A65" w:rsidRPr="000C0597" w:rsidRDefault="00BD6A65" w:rsidP="00243513">
      <w:pPr>
        <w:spacing w:line="360" w:lineRule="atLeast"/>
        <w:rPr>
          <w:rFonts w:ascii="Arial" w:hAnsi="Arial" w:cs="Arial"/>
          <w:sz w:val="22"/>
          <w:szCs w:val="22"/>
          <w:highlight w:val="yellow"/>
        </w:rPr>
      </w:pPr>
    </w:p>
    <w:p w14:paraId="14BA6747" w14:textId="3ED618C7" w:rsidR="000D26C8" w:rsidRPr="000C0597" w:rsidRDefault="00536A43" w:rsidP="00243513">
      <w:pPr>
        <w:spacing w:line="360" w:lineRule="atLeast"/>
        <w:rPr>
          <w:rFonts w:ascii="Arial" w:hAnsi="Arial" w:cs="Arial"/>
          <w:sz w:val="22"/>
          <w:szCs w:val="22"/>
        </w:rPr>
      </w:pPr>
      <w:r w:rsidRPr="000C0597">
        <w:rPr>
          <w:rFonts w:ascii="Arial" w:hAnsi="Arial" w:cs="Arial"/>
          <w:sz w:val="22"/>
          <w:szCs w:val="22"/>
        </w:rPr>
        <w:t>E&amp;CS</w:t>
      </w:r>
      <w:r w:rsidR="00BD6A65" w:rsidRPr="000C0597">
        <w:rPr>
          <w:rFonts w:ascii="Arial" w:hAnsi="Arial" w:cs="Arial"/>
          <w:sz w:val="22"/>
          <w:szCs w:val="22"/>
        </w:rPr>
        <w:t xml:space="preserve"> </w:t>
      </w:r>
      <w:r w:rsidR="00155C81" w:rsidRPr="000C0597">
        <w:rPr>
          <w:rFonts w:ascii="Arial" w:hAnsi="Arial" w:cs="Arial"/>
          <w:sz w:val="22"/>
          <w:szCs w:val="22"/>
        </w:rPr>
        <w:t xml:space="preserve">and </w:t>
      </w:r>
      <w:r w:rsidR="00E54C02" w:rsidRPr="000C0597">
        <w:rPr>
          <w:rFonts w:ascii="Arial" w:hAnsi="Arial" w:cs="Arial"/>
          <w:sz w:val="22"/>
          <w:szCs w:val="22"/>
        </w:rPr>
        <w:t xml:space="preserve">GPD </w:t>
      </w:r>
      <w:r w:rsidR="00BD6A65" w:rsidRPr="000C0597">
        <w:rPr>
          <w:rFonts w:ascii="Arial" w:hAnsi="Arial" w:cs="Arial"/>
          <w:sz w:val="22"/>
          <w:szCs w:val="22"/>
        </w:rPr>
        <w:t>provide</w:t>
      </w:r>
      <w:r w:rsidR="00BF1549" w:rsidRPr="000C0597">
        <w:rPr>
          <w:rFonts w:ascii="Arial" w:hAnsi="Arial" w:cs="Arial"/>
          <w:sz w:val="22"/>
          <w:szCs w:val="22"/>
        </w:rPr>
        <w:t>d</w:t>
      </w:r>
      <w:r w:rsidR="00BD6A65" w:rsidRPr="000C0597">
        <w:rPr>
          <w:rFonts w:ascii="Arial" w:hAnsi="Arial" w:cs="Arial"/>
          <w:sz w:val="22"/>
          <w:szCs w:val="22"/>
        </w:rPr>
        <w:t xml:space="preserve"> the candidate unit data that form the basis of comparison among various technologies. Th</w:t>
      </w:r>
      <w:r w:rsidR="008E7613">
        <w:rPr>
          <w:rFonts w:ascii="Arial" w:hAnsi="Arial" w:cs="Arial"/>
          <w:sz w:val="22"/>
          <w:szCs w:val="22"/>
        </w:rPr>
        <w:t>e</w:t>
      </w:r>
      <w:r w:rsidR="00BD6A65" w:rsidRPr="000C0597">
        <w:rPr>
          <w:rFonts w:ascii="Arial" w:hAnsi="Arial" w:cs="Arial"/>
          <w:sz w:val="22"/>
          <w:szCs w:val="22"/>
        </w:rPr>
        <w:t>s</w:t>
      </w:r>
      <w:r w:rsidR="008E7613">
        <w:rPr>
          <w:rFonts w:ascii="Arial" w:hAnsi="Arial" w:cs="Arial"/>
          <w:sz w:val="22"/>
          <w:szCs w:val="22"/>
        </w:rPr>
        <w:t>e</w:t>
      </w:r>
      <w:r w:rsidR="00BD6A65" w:rsidRPr="000C0597">
        <w:rPr>
          <w:rFonts w:ascii="Arial" w:hAnsi="Arial" w:cs="Arial"/>
          <w:sz w:val="22"/>
          <w:szCs w:val="22"/>
        </w:rPr>
        <w:t xml:space="preserve"> data include $/kW </w:t>
      </w:r>
      <w:r w:rsidR="002432EA" w:rsidRPr="000C0597">
        <w:rPr>
          <w:rFonts w:ascii="Arial" w:hAnsi="Arial" w:cs="Arial"/>
          <w:sz w:val="22"/>
          <w:szCs w:val="22"/>
        </w:rPr>
        <w:t>EPC</w:t>
      </w:r>
      <w:r w:rsidR="000F7CD7" w:rsidRPr="000C0597">
        <w:rPr>
          <w:rFonts w:ascii="Arial" w:hAnsi="Arial" w:cs="Arial"/>
          <w:sz w:val="22"/>
          <w:szCs w:val="22"/>
        </w:rPr>
        <w:t xml:space="preserve"> </w:t>
      </w:r>
      <w:r w:rsidR="00BD6A65" w:rsidRPr="000C0597">
        <w:rPr>
          <w:rFonts w:ascii="Arial" w:hAnsi="Arial" w:cs="Arial"/>
          <w:sz w:val="22"/>
          <w:szCs w:val="22"/>
        </w:rPr>
        <w:t>cost, construction schedule, heat rate, fuel type</w:t>
      </w:r>
      <w:r w:rsidR="008E7613">
        <w:rPr>
          <w:rFonts w:ascii="Arial" w:hAnsi="Arial" w:cs="Arial"/>
          <w:sz w:val="22"/>
          <w:szCs w:val="22"/>
        </w:rPr>
        <w:t>,</w:t>
      </w:r>
      <w:r w:rsidR="00BD6A65" w:rsidRPr="000C0597">
        <w:rPr>
          <w:rFonts w:ascii="Arial" w:hAnsi="Arial" w:cs="Arial"/>
          <w:sz w:val="22"/>
          <w:szCs w:val="22"/>
        </w:rPr>
        <w:t xml:space="preserve"> and emission rate</w:t>
      </w:r>
      <w:r w:rsidR="0079658B" w:rsidRPr="000C0597">
        <w:rPr>
          <w:rFonts w:ascii="Arial" w:hAnsi="Arial" w:cs="Arial"/>
          <w:sz w:val="22"/>
          <w:szCs w:val="22"/>
        </w:rPr>
        <w:t>s</w:t>
      </w:r>
      <w:r w:rsidR="008244ED" w:rsidRPr="000C0597">
        <w:rPr>
          <w:rFonts w:ascii="Arial" w:hAnsi="Arial" w:cs="Arial"/>
          <w:sz w:val="22"/>
          <w:szCs w:val="22"/>
        </w:rPr>
        <w:t xml:space="preserve">. </w:t>
      </w:r>
      <w:r w:rsidR="00BD6A65" w:rsidRPr="000C0597">
        <w:rPr>
          <w:rFonts w:ascii="Arial" w:hAnsi="Arial" w:cs="Arial"/>
          <w:sz w:val="22"/>
          <w:szCs w:val="22"/>
        </w:rPr>
        <w:t>Th</w:t>
      </w:r>
      <w:r w:rsidR="008E7613">
        <w:rPr>
          <w:rFonts w:ascii="Arial" w:hAnsi="Arial" w:cs="Arial"/>
          <w:sz w:val="22"/>
          <w:szCs w:val="22"/>
        </w:rPr>
        <w:t>e</w:t>
      </w:r>
      <w:r w:rsidR="00BD6A65" w:rsidRPr="000C0597">
        <w:rPr>
          <w:rFonts w:ascii="Arial" w:hAnsi="Arial" w:cs="Arial"/>
          <w:sz w:val="22"/>
          <w:szCs w:val="22"/>
        </w:rPr>
        <w:t>s</w:t>
      </w:r>
      <w:r w:rsidR="008E7613">
        <w:rPr>
          <w:rFonts w:ascii="Arial" w:hAnsi="Arial" w:cs="Arial"/>
          <w:sz w:val="22"/>
          <w:szCs w:val="22"/>
        </w:rPr>
        <w:t>e</w:t>
      </w:r>
      <w:r w:rsidR="00BD6A65" w:rsidRPr="000C0597">
        <w:rPr>
          <w:rFonts w:ascii="Arial" w:hAnsi="Arial" w:cs="Arial"/>
          <w:sz w:val="22"/>
          <w:szCs w:val="22"/>
        </w:rPr>
        <w:t xml:space="preserve"> data </w:t>
      </w:r>
      <w:r w:rsidR="00BF1549" w:rsidRPr="000C0597">
        <w:rPr>
          <w:rFonts w:ascii="Arial" w:hAnsi="Arial" w:cs="Arial"/>
          <w:sz w:val="22"/>
          <w:szCs w:val="22"/>
        </w:rPr>
        <w:t>w</w:t>
      </w:r>
      <w:r w:rsidR="008E7613">
        <w:rPr>
          <w:rFonts w:ascii="Arial" w:hAnsi="Arial" w:cs="Arial"/>
          <w:sz w:val="22"/>
          <w:szCs w:val="22"/>
        </w:rPr>
        <w:t>ere</w:t>
      </w:r>
      <w:r w:rsidR="00BD6A65" w:rsidRPr="000C0597">
        <w:rPr>
          <w:rFonts w:ascii="Arial" w:hAnsi="Arial" w:cs="Arial"/>
          <w:sz w:val="22"/>
          <w:szCs w:val="22"/>
        </w:rPr>
        <w:t xml:space="preserve"> also used in </w:t>
      </w:r>
      <w:r w:rsidR="00711578" w:rsidRPr="000C0597">
        <w:rPr>
          <w:rFonts w:ascii="Arial" w:hAnsi="Arial" w:cs="Arial"/>
          <w:sz w:val="22"/>
          <w:szCs w:val="22"/>
        </w:rPr>
        <w:t xml:space="preserve">the </w:t>
      </w:r>
      <w:r w:rsidR="00BD6A65" w:rsidRPr="000C0597">
        <w:rPr>
          <w:rFonts w:ascii="Arial" w:hAnsi="Arial" w:cs="Arial"/>
          <w:sz w:val="22"/>
          <w:szCs w:val="22"/>
        </w:rPr>
        <w:t>busbar comparisons that are developed to review the relative economics of each candidate technology</w:t>
      </w:r>
      <w:r w:rsidR="008244ED" w:rsidRPr="000C0597">
        <w:rPr>
          <w:rFonts w:ascii="Arial" w:hAnsi="Arial" w:cs="Arial"/>
          <w:sz w:val="22"/>
          <w:szCs w:val="22"/>
        </w:rPr>
        <w:t xml:space="preserve">. </w:t>
      </w:r>
      <w:r w:rsidR="00BD6A65" w:rsidRPr="000C0597">
        <w:rPr>
          <w:rFonts w:ascii="Arial" w:hAnsi="Arial" w:cs="Arial"/>
          <w:sz w:val="22"/>
          <w:szCs w:val="22"/>
        </w:rPr>
        <w:t xml:space="preserve">A busbar analysis is simply a calculation, over a range of capacity factors, of the total (fixed and variable) cost per </w:t>
      </w:r>
      <w:r w:rsidR="00E811F9" w:rsidRPr="000C0597">
        <w:rPr>
          <w:rFonts w:ascii="Arial" w:hAnsi="Arial" w:cs="Arial"/>
          <w:sz w:val="22"/>
          <w:szCs w:val="22"/>
        </w:rPr>
        <w:t>kilowatt-hour</w:t>
      </w:r>
      <w:r w:rsidR="00A610FB" w:rsidRPr="000C0597">
        <w:rPr>
          <w:rFonts w:ascii="Arial" w:hAnsi="Arial" w:cs="Arial"/>
          <w:sz w:val="22"/>
          <w:szCs w:val="22"/>
        </w:rPr>
        <w:t xml:space="preserve"> to</w:t>
      </w:r>
      <w:r w:rsidR="00BD6A65" w:rsidRPr="000C0597">
        <w:rPr>
          <w:rFonts w:ascii="Arial" w:hAnsi="Arial" w:cs="Arial"/>
          <w:sz w:val="22"/>
          <w:szCs w:val="22"/>
        </w:rPr>
        <w:t xml:space="preserve"> operate a generating unit. </w:t>
      </w:r>
      <w:r w:rsidR="00711578" w:rsidRPr="000C0597">
        <w:rPr>
          <w:rFonts w:ascii="Arial" w:hAnsi="Arial" w:cs="Arial"/>
          <w:sz w:val="22"/>
          <w:szCs w:val="22"/>
        </w:rPr>
        <w:t>A b</w:t>
      </w:r>
      <w:r w:rsidR="00BD6A65" w:rsidRPr="000C0597">
        <w:rPr>
          <w:rFonts w:ascii="Arial" w:hAnsi="Arial" w:cs="Arial"/>
          <w:sz w:val="22"/>
          <w:szCs w:val="22"/>
        </w:rPr>
        <w:t xml:space="preserve">usbar analysis is used to screen generating technologies and develop recommendations in the selection process of the candidate technologies carried forward into the </w:t>
      </w:r>
      <w:r w:rsidR="009E59FB" w:rsidRPr="000C0597">
        <w:rPr>
          <w:rFonts w:ascii="Arial" w:hAnsi="Arial" w:cs="Arial"/>
          <w:sz w:val="22"/>
          <w:szCs w:val="22"/>
        </w:rPr>
        <w:t>resource</w:t>
      </w:r>
      <w:r w:rsidR="00BD6A65" w:rsidRPr="000C0597">
        <w:rPr>
          <w:rFonts w:ascii="Arial" w:hAnsi="Arial" w:cs="Arial"/>
          <w:sz w:val="22"/>
          <w:szCs w:val="22"/>
        </w:rPr>
        <w:t xml:space="preserve"> mix analysis. </w:t>
      </w:r>
    </w:p>
    <w:p w14:paraId="4E18B8FB" w14:textId="77777777" w:rsidR="00EB72A1" w:rsidRPr="000C0597" w:rsidRDefault="00EB72A1" w:rsidP="00243513">
      <w:pPr>
        <w:spacing w:line="360" w:lineRule="atLeast"/>
        <w:rPr>
          <w:rFonts w:ascii="Arial" w:hAnsi="Arial" w:cs="Arial"/>
          <w:sz w:val="22"/>
          <w:szCs w:val="22"/>
        </w:rPr>
      </w:pPr>
    </w:p>
    <w:p w14:paraId="772C45C7" w14:textId="77777777" w:rsidR="000B291A" w:rsidRPr="000C0597" w:rsidRDefault="007828C7" w:rsidP="000B291A">
      <w:pPr>
        <w:spacing w:line="360" w:lineRule="atLeast"/>
        <w:rPr>
          <w:rFonts w:ascii="Arial" w:hAnsi="Arial" w:cs="Arial"/>
          <w:sz w:val="22"/>
          <w:szCs w:val="22"/>
        </w:rPr>
      </w:pPr>
      <w:r w:rsidRPr="000C0597">
        <w:rPr>
          <w:rFonts w:ascii="Arial" w:hAnsi="Arial" w:cs="Arial"/>
          <w:sz w:val="22"/>
          <w:szCs w:val="22"/>
        </w:rPr>
        <w:t xml:space="preserve">The reserve margin </w:t>
      </w:r>
      <w:r w:rsidR="00BD6A65" w:rsidRPr="000C0597">
        <w:rPr>
          <w:rFonts w:ascii="Arial" w:hAnsi="Arial" w:cs="Arial"/>
          <w:sz w:val="22"/>
          <w:szCs w:val="22"/>
        </w:rPr>
        <w:t>used to develop the</w:t>
      </w:r>
      <w:r w:rsidR="00D648A4" w:rsidRPr="000C0597">
        <w:rPr>
          <w:rFonts w:ascii="Arial" w:hAnsi="Arial" w:cs="Arial"/>
          <w:sz w:val="22"/>
          <w:szCs w:val="22"/>
        </w:rPr>
        <w:t xml:space="preserve"> base case</w:t>
      </w:r>
      <w:r w:rsidR="00BD6A65" w:rsidRPr="000C0597">
        <w:rPr>
          <w:rFonts w:ascii="Arial" w:hAnsi="Arial" w:cs="Arial"/>
          <w:sz w:val="22"/>
          <w:szCs w:val="22"/>
        </w:rPr>
        <w:t xml:space="preserve"> least cost resource addition schedule coincides with the present planning reserve guideline</w:t>
      </w:r>
      <w:r w:rsidRPr="000C0597">
        <w:rPr>
          <w:rFonts w:ascii="Arial" w:hAnsi="Arial" w:cs="Arial"/>
          <w:sz w:val="22"/>
          <w:szCs w:val="22"/>
        </w:rPr>
        <w:t>,</w:t>
      </w:r>
      <w:r w:rsidR="00BD6A65" w:rsidRPr="000C0597">
        <w:rPr>
          <w:rFonts w:ascii="Arial" w:hAnsi="Arial" w:cs="Arial"/>
          <w:sz w:val="22"/>
          <w:szCs w:val="22"/>
        </w:rPr>
        <w:t xml:space="preserve"> which recommends a </w:t>
      </w:r>
      <w:r w:rsidR="00E54C02" w:rsidRPr="000C0597">
        <w:rPr>
          <w:rFonts w:ascii="Arial" w:hAnsi="Arial" w:cs="Arial"/>
          <w:sz w:val="22"/>
          <w:szCs w:val="22"/>
        </w:rPr>
        <w:t>16.25</w:t>
      </w:r>
      <w:r w:rsidR="00BD6A65" w:rsidRPr="000C0597">
        <w:rPr>
          <w:rFonts w:ascii="Arial" w:hAnsi="Arial" w:cs="Arial"/>
          <w:sz w:val="22"/>
          <w:szCs w:val="22"/>
        </w:rPr>
        <w:t>% system</w:t>
      </w:r>
      <w:r w:rsidR="00C36934" w:rsidRPr="000C0597">
        <w:rPr>
          <w:rFonts w:ascii="Arial" w:hAnsi="Arial" w:cs="Arial"/>
          <w:sz w:val="22"/>
          <w:szCs w:val="22"/>
        </w:rPr>
        <w:t xml:space="preserve"> </w:t>
      </w:r>
      <w:r w:rsidR="00D648A4" w:rsidRPr="000C0597">
        <w:rPr>
          <w:rFonts w:ascii="Arial" w:hAnsi="Arial" w:cs="Arial"/>
          <w:sz w:val="22"/>
          <w:szCs w:val="22"/>
        </w:rPr>
        <w:t>Summer T</w:t>
      </w:r>
      <w:r w:rsidR="00C36934" w:rsidRPr="000C0597">
        <w:rPr>
          <w:rFonts w:ascii="Arial" w:hAnsi="Arial" w:cs="Arial"/>
          <w:sz w:val="22"/>
          <w:szCs w:val="22"/>
        </w:rPr>
        <w:t>arget</w:t>
      </w:r>
      <w:r w:rsidR="00BD6A65" w:rsidRPr="000C0597">
        <w:rPr>
          <w:rFonts w:ascii="Arial" w:hAnsi="Arial" w:cs="Arial"/>
          <w:sz w:val="22"/>
          <w:szCs w:val="22"/>
        </w:rPr>
        <w:t xml:space="preserve"> </w:t>
      </w:r>
      <w:r w:rsidR="00D648A4" w:rsidRPr="000C0597">
        <w:rPr>
          <w:rFonts w:ascii="Arial" w:hAnsi="Arial" w:cs="Arial"/>
          <w:sz w:val="22"/>
          <w:szCs w:val="22"/>
        </w:rPr>
        <w:t>R</w:t>
      </w:r>
      <w:r w:rsidR="00BD6A65" w:rsidRPr="000C0597">
        <w:rPr>
          <w:rFonts w:ascii="Arial" w:hAnsi="Arial" w:cs="Arial"/>
          <w:sz w:val="22"/>
          <w:szCs w:val="22"/>
        </w:rPr>
        <w:t xml:space="preserve">eserve </w:t>
      </w:r>
      <w:r w:rsidR="00D648A4" w:rsidRPr="000C0597">
        <w:rPr>
          <w:rFonts w:ascii="Arial" w:hAnsi="Arial" w:cs="Arial"/>
          <w:sz w:val="22"/>
          <w:szCs w:val="22"/>
        </w:rPr>
        <w:t>M</w:t>
      </w:r>
      <w:r w:rsidR="00BD6A65" w:rsidRPr="000C0597">
        <w:rPr>
          <w:rFonts w:ascii="Arial" w:hAnsi="Arial" w:cs="Arial"/>
          <w:sz w:val="22"/>
          <w:szCs w:val="22"/>
        </w:rPr>
        <w:t>argin</w:t>
      </w:r>
      <w:r w:rsidR="008244ED" w:rsidRPr="000C0597">
        <w:rPr>
          <w:rFonts w:ascii="Arial" w:hAnsi="Arial" w:cs="Arial"/>
          <w:sz w:val="22"/>
          <w:szCs w:val="22"/>
        </w:rPr>
        <w:t xml:space="preserve">. </w:t>
      </w:r>
      <w:bookmarkStart w:id="11" w:name="_Toc305487194"/>
    </w:p>
    <w:p w14:paraId="10B2AF21" w14:textId="77777777" w:rsidR="000B291A" w:rsidRPr="000C0597" w:rsidRDefault="000B291A" w:rsidP="000B291A">
      <w:pPr>
        <w:spacing w:line="360" w:lineRule="atLeast"/>
        <w:rPr>
          <w:rFonts w:ascii="Arial" w:hAnsi="Arial" w:cs="Arial"/>
          <w:sz w:val="22"/>
          <w:szCs w:val="22"/>
        </w:rPr>
      </w:pPr>
    </w:p>
    <w:p w14:paraId="528433E7" w14:textId="787DE477" w:rsidR="00BD6A65" w:rsidRPr="000C0597" w:rsidRDefault="00BD6A65" w:rsidP="000B291A">
      <w:pPr>
        <w:pStyle w:val="Heading1"/>
        <w:spacing w:line="360" w:lineRule="atLeast"/>
        <w:jc w:val="left"/>
        <w:rPr>
          <w:rFonts w:ascii="Arial" w:hAnsi="Arial" w:cs="Arial"/>
          <w:sz w:val="22"/>
          <w:szCs w:val="22"/>
        </w:rPr>
      </w:pPr>
      <w:r w:rsidRPr="000C0597">
        <w:rPr>
          <w:rFonts w:ascii="Arial" w:hAnsi="Arial" w:cs="Arial"/>
          <w:sz w:val="22"/>
          <w:szCs w:val="22"/>
        </w:rPr>
        <w:t>DATA ASSUMPTIONS</w:t>
      </w:r>
      <w:bookmarkEnd w:id="11"/>
    </w:p>
    <w:p w14:paraId="34C8123D" w14:textId="77777777" w:rsidR="00BD6A65" w:rsidRPr="000C0597" w:rsidRDefault="009A57D9" w:rsidP="00A04A13">
      <w:pPr>
        <w:pStyle w:val="Heading2"/>
        <w:spacing w:line="360" w:lineRule="atLeast"/>
        <w:ind w:left="846"/>
        <w:rPr>
          <w:rFonts w:ascii="Arial" w:hAnsi="Arial" w:cs="Arial"/>
          <w:sz w:val="22"/>
          <w:szCs w:val="22"/>
        </w:rPr>
      </w:pPr>
      <w:bookmarkStart w:id="12" w:name="_Toc305487195"/>
      <w:r w:rsidRPr="000C0597">
        <w:rPr>
          <w:rFonts w:ascii="Arial" w:hAnsi="Arial" w:cs="Arial"/>
          <w:sz w:val="22"/>
          <w:szCs w:val="22"/>
        </w:rPr>
        <w:t>STRATEGIST SUB-PERIOD DEFINITION</w:t>
      </w:r>
      <w:bookmarkEnd w:id="12"/>
    </w:p>
    <w:p w14:paraId="7A708885" w14:textId="4E08DB62"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For an accurate estimation of production cost, </w:t>
      </w:r>
      <w:r w:rsidR="00A40BF2" w:rsidRPr="000C0597">
        <w:rPr>
          <w:rFonts w:ascii="Arial" w:hAnsi="Arial" w:cs="Arial"/>
          <w:sz w:val="22"/>
          <w:szCs w:val="22"/>
        </w:rPr>
        <w:t>Strategist</w:t>
      </w:r>
      <w:r w:rsidR="00F447E3" w:rsidRPr="000C0597">
        <w:rPr>
          <w:rFonts w:ascii="Arial" w:hAnsi="Arial" w:cs="Arial"/>
          <w:sz w:val="22"/>
          <w:szCs w:val="22"/>
        </w:rPr>
        <w:t xml:space="preserve"> </w:t>
      </w:r>
      <w:r w:rsidRPr="000C0597">
        <w:rPr>
          <w:rFonts w:ascii="Arial" w:hAnsi="Arial" w:cs="Arial"/>
          <w:sz w:val="22"/>
          <w:szCs w:val="22"/>
        </w:rPr>
        <w:t xml:space="preserve">divides the day into peak and </w:t>
      </w:r>
      <w:r w:rsidR="00440F35" w:rsidRPr="000C0597">
        <w:rPr>
          <w:rFonts w:ascii="Arial" w:hAnsi="Arial" w:cs="Arial"/>
          <w:sz w:val="22"/>
          <w:szCs w:val="22"/>
        </w:rPr>
        <w:t>off-peak</w:t>
      </w:r>
      <w:r w:rsidRPr="000C0597">
        <w:rPr>
          <w:rFonts w:ascii="Arial" w:hAnsi="Arial" w:cs="Arial"/>
          <w:sz w:val="22"/>
          <w:szCs w:val="22"/>
        </w:rPr>
        <w:t xml:space="preserve"> hours called sub-periods for dispatch of the available resources</w:t>
      </w:r>
      <w:r w:rsidR="008244ED" w:rsidRPr="000C0597">
        <w:rPr>
          <w:rFonts w:ascii="Arial" w:hAnsi="Arial" w:cs="Arial"/>
          <w:sz w:val="22"/>
          <w:szCs w:val="22"/>
        </w:rPr>
        <w:t xml:space="preserve">. </w:t>
      </w:r>
      <w:r w:rsidRPr="000C0597">
        <w:rPr>
          <w:rFonts w:ascii="Arial" w:hAnsi="Arial" w:cs="Arial"/>
          <w:sz w:val="22"/>
          <w:szCs w:val="22"/>
        </w:rPr>
        <w:t xml:space="preserve">This feature provides </w:t>
      </w:r>
      <w:r w:rsidR="00630858" w:rsidRPr="000C0597">
        <w:rPr>
          <w:rFonts w:ascii="Arial" w:hAnsi="Arial" w:cs="Arial"/>
          <w:sz w:val="22"/>
          <w:szCs w:val="22"/>
        </w:rPr>
        <w:t xml:space="preserve">a </w:t>
      </w:r>
      <w:r w:rsidRPr="000C0597">
        <w:rPr>
          <w:rFonts w:ascii="Arial" w:hAnsi="Arial" w:cs="Arial"/>
          <w:sz w:val="22"/>
          <w:szCs w:val="22"/>
        </w:rPr>
        <w:t xml:space="preserve">more realistic </w:t>
      </w:r>
      <w:r w:rsidR="00630858" w:rsidRPr="000C0597">
        <w:rPr>
          <w:rFonts w:ascii="Arial" w:hAnsi="Arial" w:cs="Arial"/>
          <w:sz w:val="22"/>
          <w:szCs w:val="22"/>
        </w:rPr>
        <w:t xml:space="preserve">estimation of the </w:t>
      </w:r>
      <w:r w:rsidRPr="000C0597">
        <w:rPr>
          <w:rFonts w:ascii="Arial" w:hAnsi="Arial" w:cs="Arial"/>
          <w:sz w:val="22"/>
          <w:szCs w:val="22"/>
        </w:rPr>
        <w:t>operation of cycling and storage units with the load variations</w:t>
      </w:r>
      <w:r w:rsidR="008244ED" w:rsidRPr="000C0597">
        <w:rPr>
          <w:rFonts w:ascii="Arial" w:hAnsi="Arial" w:cs="Arial"/>
          <w:sz w:val="22"/>
          <w:szCs w:val="22"/>
        </w:rPr>
        <w:t xml:space="preserve">. </w:t>
      </w:r>
      <w:r w:rsidRPr="000C0597">
        <w:rPr>
          <w:rFonts w:ascii="Arial" w:hAnsi="Arial" w:cs="Arial"/>
          <w:sz w:val="22"/>
          <w:szCs w:val="22"/>
        </w:rPr>
        <w:t>For accuracy of modeling, pump storage units were allowed to pump in the off</w:t>
      </w:r>
      <w:r w:rsidR="008E7613">
        <w:rPr>
          <w:rFonts w:ascii="Arial" w:hAnsi="Arial" w:cs="Arial"/>
          <w:sz w:val="22"/>
          <w:szCs w:val="22"/>
        </w:rPr>
        <w:t>-</w:t>
      </w:r>
      <w:r w:rsidRPr="000C0597">
        <w:rPr>
          <w:rFonts w:ascii="Arial" w:hAnsi="Arial" w:cs="Arial"/>
          <w:sz w:val="22"/>
          <w:szCs w:val="22"/>
        </w:rPr>
        <w:t>peak sub-period and generat</w:t>
      </w:r>
      <w:r w:rsidR="008E7613">
        <w:rPr>
          <w:rFonts w:ascii="Arial" w:hAnsi="Arial" w:cs="Arial"/>
          <w:sz w:val="22"/>
          <w:szCs w:val="22"/>
        </w:rPr>
        <w:t>e</w:t>
      </w:r>
      <w:r w:rsidRPr="000C0597">
        <w:rPr>
          <w:rFonts w:ascii="Arial" w:hAnsi="Arial" w:cs="Arial"/>
          <w:sz w:val="22"/>
          <w:szCs w:val="22"/>
        </w:rPr>
        <w:t xml:space="preserve"> during the peak sub-period.</w:t>
      </w:r>
    </w:p>
    <w:p w14:paraId="4A3258C4" w14:textId="77777777" w:rsidR="00BD6A65" w:rsidRPr="000C0597" w:rsidRDefault="00BD6A65" w:rsidP="00243513">
      <w:pPr>
        <w:spacing w:line="360" w:lineRule="atLeast"/>
        <w:rPr>
          <w:rFonts w:ascii="Arial" w:hAnsi="Arial" w:cs="Arial"/>
          <w:sz w:val="22"/>
          <w:szCs w:val="22"/>
          <w:highlight w:val="yellow"/>
        </w:rPr>
      </w:pPr>
    </w:p>
    <w:p w14:paraId="08843A30" w14:textId="2EBEF662"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Table 1 shows the typical week periods that were modeled in </w:t>
      </w:r>
      <w:r w:rsidR="00A40BF2" w:rsidRPr="000C0597">
        <w:rPr>
          <w:rFonts w:ascii="Arial" w:hAnsi="Arial" w:cs="Arial"/>
          <w:sz w:val="22"/>
          <w:szCs w:val="22"/>
        </w:rPr>
        <w:t>Strategist</w:t>
      </w:r>
      <w:r w:rsidR="008244ED" w:rsidRPr="000C0597">
        <w:rPr>
          <w:rFonts w:ascii="Arial" w:hAnsi="Arial" w:cs="Arial"/>
          <w:sz w:val="22"/>
          <w:szCs w:val="22"/>
        </w:rPr>
        <w:t xml:space="preserve">. </w:t>
      </w:r>
      <w:r w:rsidRPr="000C0597">
        <w:rPr>
          <w:rFonts w:ascii="Arial" w:hAnsi="Arial" w:cs="Arial"/>
          <w:sz w:val="22"/>
          <w:szCs w:val="22"/>
        </w:rPr>
        <w:t>With changing load pattern over various seasons, hours included in each of the sub-periods are changed</w:t>
      </w:r>
      <w:r w:rsidR="008244ED" w:rsidRPr="000C0597">
        <w:rPr>
          <w:rFonts w:ascii="Arial" w:hAnsi="Arial" w:cs="Arial"/>
          <w:sz w:val="22"/>
          <w:szCs w:val="22"/>
        </w:rPr>
        <w:t xml:space="preserve">. </w:t>
      </w:r>
      <w:r w:rsidR="00440F35" w:rsidRPr="000C0597">
        <w:rPr>
          <w:rFonts w:ascii="Arial" w:hAnsi="Arial" w:cs="Arial"/>
          <w:sz w:val="22"/>
          <w:szCs w:val="22"/>
        </w:rPr>
        <w:t>Also,</w:t>
      </w:r>
      <w:r w:rsidRPr="000C0597">
        <w:rPr>
          <w:rFonts w:ascii="Arial" w:hAnsi="Arial" w:cs="Arial"/>
          <w:sz w:val="22"/>
          <w:szCs w:val="22"/>
        </w:rPr>
        <w:t xml:space="preserve"> the lower load hours over the weekend are modeled to be in the off</w:t>
      </w:r>
      <w:r w:rsidR="008E7613">
        <w:rPr>
          <w:rFonts w:ascii="Arial" w:hAnsi="Arial" w:cs="Arial"/>
          <w:sz w:val="22"/>
          <w:szCs w:val="22"/>
        </w:rPr>
        <w:t>-</w:t>
      </w:r>
      <w:r w:rsidRPr="000C0597">
        <w:rPr>
          <w:rFonts w:ascii="Arial" w:hAnsi="Arial" w:cs="Arial"/>
          <w:sz w:val="22"/>
          <w:szCs w:val="22"/>
        </w:rPr>
        <w:t>peak sub-period.</w:t>
      </w:r>
    </w:p>
    <w:p w14:paraId="53B8F4E4" w14:textId="77777777" w:rsidR="00BD6A65" w:rsidRPr="000C0597" w:rsidRDefault="00F22E70" w:rsidP="00CB6A74">
      <w:pPr>
        <w:pStyle w:val="TableHead"/>
        <w:keepNext/>
        <w:keepLines/>
        <w:numPr>
          <w:ilvl w:val="0"/>
          <w:numId w:val="3"/>
        </w:numPr>
        <w:spacing w:line="360" w:lineRule="atLeast"/>
        <w:rPr>
          <w:rFonts w:ascii="Arial" w:hAnsi="Arial" w:cs="Arial"/>
          <w:sz w:val="22"/>
        </w:rPr>
      </w:pPr>
      <w:r w:rsidRPr="000C0597">
        <w:rPr>
          <w:rFonts w:ascii="Arial" w:hAnsi="Arial" w:cs="Arial"/>
          <w:sz w:val="22"/>
        </w:rPr>
        <w:t xml:space="preserve"> Strategist</w:t>
      </w:r>
      <w:r w:rsidR="00BD6A65" w:rsidRPr="000C0597">
        <w:rPr>
          <w:rFonts w:ascii="Arial" w:hAnsi="Arial" w:cs="Arial"/>
          <w:sz w:val="22"/>
        </w:rPr>
        <w:t xml:space="preserve"> Sub-Period Definition of Hours</w:t>
      </w:r>
    </w:p>
    <w:tbl>
      <w:tblPr>
        <w:tblW w:w="9216" w:type="dxa"/>
        <w:jc w:val="center"/>
        <w:tblLayout w:type="fixed"/>
        <w:tblLook w:val="0000" w:firstRow="0" w:lastRow="0" w:firstColumn="0" w:lastColumn="0" w:noHBand="0" w:noVBand="0"/>
      </w:tblPr>
      <w:tblGrid>
        <w:gridCol w:w="1170"/>
        <w:gridCol w:w="990"/>
        <w:gridCol w:w="1008"/>
        <w:gridCol w:w="1008"/>
        <w:gridCol w:w="1008"/>
        <w:gridCol w:w="1008"/>
        <w:gridCol w:w="1008"/>
        <w:gridCol w:w="1008"/>
        <w:gridCol w:w="1008"/>
      </w:tblGrid>
      <w:tr w:rsidR="006D78D2" w:rsidRPr="000C0597" w14:paraId="21267CDD" w14:textId="77777777" w:rsidTr="006D78D2">
        <w:trPr>
          <w:cantSplit/>
          <w:trHeight w:val="480"/>
          <w:jc w:val="center"/>
        </w:trPr>
        <w:tc>
          <w:tcPr>
            <w:tcW w:w="1170" w:type="dxa"/>
            <w:tcBorders>
              <w:top w:val="double" w:sz="6" w:space="0" w:color="auto"/>
              <w:left w:val="double" w:sz="6" w:space="0" w:color="auto"/>
              <w:bottom w:val="double" w:sz="6" w:space="0" w:color="auto"/>
              <w:right w:val="double" w:sz="6" w:space="0" w:color="auto"/>
            </w:tcBorders>
            <w:shd w:val="clear" w:color="auto" w:fill="FFFF99"/>
          </w:tcPr>
          <w:p w14:paraId="7997A42B" w14:textId="77777777" w:rsidR="00220C0B" w:rsidRPr="000C0597" w:rsidRDefault="00220C0B" w:rsidP="00CB6A74">
            <w:pPr>
              <w:keepNext/>
              <w:keepLines/>
              <w:spacing w:line="360" w:lineRule="atLeast"/>
              <w:jc w:val="left"/>
              <w:rPr>
                <w:rFonts w:ascii="Arial" w:hAnsi="Arial" w:cs="Arial"/>
                <w:b/>
                <w:sz w:val="22"/>
              </w:rPr>
            </w:pPr>
          </w:p>
        </w:tc>
        <w:tc>
          <w:tcPr>
            <w:tcW w:w="990" w:type="dxa"/>
            <w:tcBorders>
              <w:top w:val="double" w:sz="6" w:space="0" w:color="auto"/>
              <w:bottom w:val="double" w:sz="6" w:space="0" w:color="auto"/>
              <w:right w:val="double" w:sz="6" w:space="0" w:color="auto"/>
            </w:tcBorders>
            <w:shd w:val="clear" w:color="auto" w:fill="FFFF99"/>
          </w:tcPr>
          <w:p w14:paraId="4982018D" w14:textId="77777777" w:rsidR="00220C0B" w:rsidRPr="000C0597" w:rsidRDefault="00220C0B" w:rsidP="00CB6A74">
            <w:pPr>
              <w:keepNext/>
              <w:keepLines/>
              <w:spacing w:line="360" w:lineRule="atLeast"/>
              <w:jc w:val="left"/>
              <w:rPr>
                <w:rFonts w:ascii="Arial" w:hAnsi="Arial" w:cs="Arial"/>
                <w:b/>
                <w:sz w:val="22"/>
              </w:rPr>
            </w:pPr>
          </w:p>
        </w:tc>
        <w:tc>
          <w:tcPr>
            <w:tcW w:w="1008" w:type="dxa"/>
            <w:tcBorders>
              <w:top w:val="double" w:sz="6" w:space="0" w:color="auto"/>
              <w:bottom w:val="double" w:sz="6" w:space="0" w:color="auto"/>
              <w:right w:val="single" w:sz="6" w:space="0" w:color="auto"/>
            </w:tcBorders>
            <w:shd w:val="clear" w:color="auto" w:fill="FFFF99"/>
            <w:vAlign w:val="center"/>
          </w:tcPr>
          <w:p w14:paraId="1B8268D9"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Mon</w:t>
            </w:r>
          </w:p>
        </w:tc>
        <w:tc>
          <w:tcPr>
            <w:tcW w:w="1008" w:type="dxa"/>
            <w:tcBorders>
              <w:top w:val="double" w:sz="6" w:space="0" w:color="auto"/>
              <w:left w:val="single" w:sz="6" w:space="0" w:color="auto"/>
              <w:bottom w:val="double" w:sz="6" w:space="0" w:color="auto"/>
              <w:right w:val="single" w:sz="6" w:space="0" w:color="auto"/>
            </w:tcBorders>
            <w:shd w:val="clear" w:color="auto" w:fill="FFFF99"/>
            <w:vAlign w:val="center"/>
          </w:tcPr>
          <w:p w14:paraId="74FD1283"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Tue</w:t>
            </w:r>
          </w:p>
        </w:tc>
        <w:tc>
          <w:tcPr>
            <w:tcW w:w="1008" w:type="dxa"/>
            <w:tcBorders>
              <w:top w:val="double" w:sz="6" w:space="0" w:color="auto"/>
              <w:left w:val="single" w:sz="6" w:space="0" w:color="auto"/>
              <w:bottom w:val="double" w:sz="6" w:space="0" w:color="auto"/>
              <w:right w:val="single" w:sz="6" w:space="0" w:color="auto"/>
            </w:tcBorders>
            <w:shd w:val="clear" w:color="auto" w:fill="FFFF99"/>
            <w:vAlign w:val="center"/>
          </w:tcPr>
          <w:p w14:paraId="2BBC28F2"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Wed</w:t>
            </w:r>
          </w:p>
        </w:tc>
        <w:tc>
          <w:tcPr>
            <w:tcW w:w="1008" w:type="dxa"/>
            <w:tcBorders>
              <w:top w:val="double" w:sz="6" w:space="0" w:color="auto"/>
              <w:left w:val="single" w:sz="6" w:space="0" w:color="auto"/>
              <w:bottom w:val="double" w:sz="6" w:space="0" w:color="auto"/>
              <w:right w:val="single" w:sz="6" w:space="0" w:color="auto"/>
            </w:tcBorders>
            <w:shd w:val="clear" w:color="auto" w:fill="FFFF99"/>
            <w:vAlign w:val="center"/>
          </w:tcPr>
          <w:p w14:paraId="6C7BA168"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Thu</w:t>
            </w:r>
          </w:p>
        </w:tc>
        <w:tc>
          <w:tcPr>
            <w:tcW w:w="1008" w:type="dxa"/>
            <w:tcBorders>
              <w:top w:val="double" w:sz="6" w:space="0" w:color="auto"/>
              <w:left w:val="single" w:sz="6" w:space="0" w:color="auto"/>
              <w:bottom w:val="double" w:sz="6" w:space="0" w:color="auto"/>
              <w:right w:val="single" w:sz="6" w:space="0" w:color="auto"/>
            </w:tcBorders>
            <w:shd w:val="clear" w:color="auto" w:fill="FFFF99"/>
            <w:vAlign w:val="center"/>
          </w:tcPr>
          <w:p w14:paraId="5DEBF649"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Fri</w:t>
            </w:r>
          </w:p>
        </w:tc>
        <w:tc>
          <w:tcPr>
            <w:tcW w:w="1008" w:type="dxa"/>
            <w:tcBorders>
              <w:top w:val="double" w:sz="6" w:space="0" w:color="auto"/>
              <w:left w:val="single" w:sz="6" w:space="0" w:color="auto"/>
              <w:bottom w:val="double" w:sz="6" w:space="0" w:color="auto"/>
              <w:right w:val="single" w:sz="6" w:space="0" w:color="auto"/>
            </w:tcBorders>
            <w:shd w:val="clear" w:color="auto" w:fill="FFFF99"/>
            <w:vAlign w:val="center"/>
          </w:tcPr>
          <w:p w14:paraId="405430C0"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Sat</w:t>
            </w:r>
          </w:p>
        </w:tc>
        <w:tc>
          <w:tcPr>
            <w:tcW w:w="1008" w:type="dxa"/>
            <w:tcBorders>
              <w:top w:val="double" w:sz="6" w:space="0" w:color="auto"/>
              <w:left w:val="single" w:sz="6" w:space="0" w:color="auto"/>
              <w:bottom w:val="double" w:sz="6" w:space="0" w:color="auto"/>
              <w:right w:val="double" w:sz="6" w:space="0" w:color="auto"/>
            </w:tcBorders>
            <w:shd w:val="clear" w:color="auto" w:fill="FFFF99"/>
            <w:vAlign w:val="center"/>
          </w:tcPr>
          <w:p w14:paraId="78DF149B" w14:textId="77777777" w:rsidR="00220C0B" w:rsidRPr="000C0597" w:rsidRDefault="00220C0B" w:rsidP="00CB6A74">
            <w:pPr>
              <w:keepNext/>
              <w:keepLines/>
              <w:spacing w:line="360" w:lineRule="atLeast"/>
              <w:jc w:val="center"/>
              <w:rPr>
                <w:rFonts w:ascii="Arial" w:hAnsi="Arial" w:cs="Arial"/>
                <w:b/>
                <w:sz w:val="22"/>
              </w:rPr>
            </w:pPr>
            <w:r w:rsidRPr="000C0597">
              <w:rPr>
                <w:rFonts w:ascii="Arial" w:hAnsi="Arial" w:cs="Arial"/>
                <w:b/>
                <w:sz w:val="22"/>
              </w:rPr>
              <w:t>Sun</w:t>
            </w:r>
          </w:p>
        </w:tc>
      </w:tr>
      <w:tr w:rsidR="00170DCF" w:rsidRPr="000675A8" w14:paraId="11D0FD94" w14:textId="77777777" w:rsidTr="006D78D2">
        <w:trPr>
          <w:cantSplit/>
          <w:jc w:val="center"/>
        </w:trPr>
        <w:tc>
          <w:tcPr>
            <w:tcW w:w="1170" w:type="dxa"/>
            <w:tcBorders>
              <w:left w:val="double" w:sz="6" w:space="0" w:color="auto"/>
              <w:right w:val="double" w:sz="6" w:space="0" w:color="auto"/>
            </w:tcBorders>
          </w:tcPr>
          <w:p w14:paraId="5C90FC2E"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January</w:t>
            </w:r>
          </w:p>
        </w:tc>
        <w:tc>
          <w:tcPr>
            <w:tcW w:w="990" w:type="dxa"/>
            <w:tcBorders>
              <w:right w:val="double" w:sz="6" w:space="0" w:color="auto"/>
            </w:tcBorders>
          </w:tcPr>
          <w:p w14:paraId="41275F01"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1E749197" w14:textId="0B32A565" w:rsidR="00170DCF" w:rsidRPr="00170DCF" w:rsidRDefault="00170DCF" w:rsidP="00170DCF">
            <w:pPr>
              <w:keepNext/>
              <w:keepLines/>
              <w:spacing w:line="360" w:lineRule="atLeast"/>
              <w:jc w:val="center"/>
              <w:rPr>
                <w:rFonts w:ascii="Arial" w:hAnsi="Arial" w:cs="Arial"/>
                <w:sz w:val="14"/>
                <w:szCs w:val="14"/>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9021ABB" w14:textId="120BDF6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0C85FB5" w14:textId="772E269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20C92A0" w14:textId="2FC6A98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761BEDF" w14:textId="6EA420B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BE43413" w14:textId="1CD8406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3CAE9D30" w14:textId="64EC513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0705B67D" w14:textId="77777777" w:rsidTr="006D78D2">
        <w:trPr>
          <w:cantSplit/>
          <w:jc w:val="center"/>
        </w:trPr>
        <w:tc>
          <w:tcPr>
            <w:tcW w:w="1170" w:type="dxa"/>
            <w:tcBorders>
              <w:left w:val="double" w:sz="6" w:space="0" w:color="auto"/>
              <w:bottom w:val="single" w:sz="6" w:space="0" w:color="auto"/>
              <w:right w:val="double" w:sz="6" w:space="0" w:color="auto"/>
            </w:tcBorders>
          </w:tcPr>
          <w:p w14:paraId="199CC0A7"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2D978EC0"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2A4C2B8D" w14:textId="508EE80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472F84DB" w14:textId="1F2FE49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0508AE16" w14:textId="3A3CE8B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90B4461" w14:textId="3F5908D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004B1489" w14:textId="79FE629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B5F7055" w14:textId="418BC16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77655F4B" w14:textId="2AA73D3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67406188" w14:textId="77777777" w:rsidTr="006D78D2">
        <w:trPr>
          <w:cantSplit/>
          <w:jc w:val="center"/>
        </w:trPr>
        <w:tc>
          <w:tcPr>
            <w:tcW w:w="1170" w:type="dxa"/>
            <w:tcBorders>
              <w:left w:val="double" w:sz="6" w:space="0" w:color="auto"/>
              <w:right w:val="double" w:sz="6" w:space="0" w:color="auto"/>
            </w:tcBorders>
          </w:tcPr>
          <w:p w14:paraId="01367ECE"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February</w:t>
            </w:r>
          </w:p>
        </w:tc>
        <w:tc>
          <w:tcPr>
            <w:tcW w:w="990" w:type="dxa"/>
            <w:tcBorders>
              <w:right w:val="double" w:sz="6" w:space="0" w:color="auto"/>
            </w:tcBorders>
          </w:tcPr>
          <w:p w14:paraId="22AB4A74"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2053FEAA" w14:textId="01F7093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515D796A" w14:textId="1994E71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A07BBCE" w14:textId="5EE3D36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5BC7300" w14:textId="30ADFC0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994A470" w14:textId="430F23A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6752392" w14:textId="058922A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76E26B6E" w14:textId="7903DC9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7E2EF1F3" w14:textId="77777777" w:rsidTr="006D78D2">
        <w:trPr>
          <w:cantSplit/>
          <w:jc w:val="center"/>
        </w:trPr>
        <w:tc>
          <w:tcPr>
            <w:tcW w:w="1170" w:type="dxa"/>
            <w:tcBorders>
              <w:left w:val="double" w:sz="6" w:space="0" w:color="auto"/>
              <w:right w:val="double" w:sz="6" w:space="0" w:color="auto"/>
            </w:tcBorders>
          </w:tcPr>
          <w:p w14:paraId="2BEA80F0"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right w:val="double" w:sz="6" w:space="0" w:color="auto"/>
            </w:tcBorders>
          </w:tcPr>
          <w:p w14:paraId="5E614B8E"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right w:val="single" w:sz="6" w:space="0" w:color="auto"/>
            </w:tcBorders>
            <w:vAlign w:val="center"/>
          </w:tcPr>
          <w:p w14:paraId="559C74A8" w14:textId="297E288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E342459" w14:textId="69037DD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16369EF" w14:textId="112BC46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DE3DC8D" w14:textId="2BA09D0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990E82F" w14:textId="09E59E3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728408B" w14:textId="63DAF81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5E40FCCB" w14:textId="776014E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138A19D" w14:textId="77777777" w:rsidTr="006D78D2">
        <w:trPr>
          <w:cantSplit/>
          <w:jc w:val="center"/>
        </w:trPr>
        <w:tc>
          <w:tcPr>
            <w:tcW w:w="1170" w:type="dxa"/>
            <w:tcBorders>
              <w:top w:val="single" w:sz="6" w:space="0" w:color="auto"/>
              <w:left w:val="double" w:sz="6" w:space="0" w:color="auto"/>
              <w:right w:val="double" w:sz="6" w:space="0" w:color="auto"/>
            </w:tcBorders>
          </w:tcPr>
          <w:p w14:paraId="6A05014B"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March</w:t>
            </w:r>
          </w:p>
        </w:tc>
        <w:tc>
          <w:tcPr>
            <w:tcW w:w="990" w:type="dxa"/>
            <w:tcBorders>
              <w:top w:val="single" w:sz="6" w:space="0" w:color="auto"/>
              <w:right w:val="double" w:sz="6" w:space="0" w:color="auto"/>
            </w:tcBorders>
          </w:tcPr>
          <w:p w14:paraId="5D0F8A90"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top w:val="single" w:sz="6" w:space="0" w:color="auto"/>
              <w:right w:val="single" w:sz="6" w:space="0" w:color="auto"/>
            </w:tcBorders>
            <w:vAlign w:val="center"/>
          </w:tcPr>
          <w:p w14:paraId="38439ADE" w14:textId="69FA069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14990759" w14:textId="06D9E1A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4DBBACDC" w14:textId="4342F2B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33E3515C" w14:textId="6AB580F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32B4FD4E" w14:textId="47D9B01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64666CBB" w14:textId="7797675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double" w:sz="6" w:space="0" w:color="auto"/>
            </w:tcBorders>
            <w:vAlign w:val="center"/>
          </w:tcPr>
          <w:p w14:paraId="48662224" w14:textId="06647F0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7A33ABD7" w14:textId="77777777" w:rsidTr="006D78D2">
        <w:trPr>
          <w:cantSplit/>
          <w:jc w:val="center"/>
        </w:trPr>
        <w:tc>
          <w:tcPr>
            <w:tcW w:w="1170" w:type="dxa"/>
            <w:tcBorders>
              <w:left w:val="double" w:sz="6" w:space="0" w:color="auto"/>
              <w:bottom w:val="single" w:sz="6" w:space="0" w:color="auto"/>
              <w:right w:val="double" w:sz="6" w:space="0" w:color="auto"/>
            </w:tcBorders>
          </w:tcPr>
          <w:p w14:paraId="449CB20B"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4A6717B4"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700527B5" w14:textId="4BCD376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0D14A5C" w14:textId="3575AF1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481E6BC9" w14:textId="3981F86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219D8FB" w14:textId="1F2D63C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44A602A7" w14:textId="285B667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2FC0A8F8" w14:textId="38E0D2C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0D1F05F1" w14:textId="7579F96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5B68D675" w14:textId="77777777" w:rsidTr="006D78D2">
        <w:trPr>
          <w:cantSplit/>
          <w:jc w:val="center"/>
        </w:trPr>
        <w:tc>
          <w:tcPr>
            <w:tcW w:w="1170" w:type="dxa"/>
            <w:tcBorders>
              <w:left w:val="double" w:sz="6" w:space="0" w:color="auto"/>
              <w:right w:val="double" w:sz="6" w:space="0" w:color="auto"/>
            </w:tcBorders>
          </w:tcPr>
          <w:p w14:paraId="2B544746"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April</w:t>
            </w:r>
          </w:p>
        </w:tc>
        <w:tc>
          <w:tcPr>
            <w:tcW w:w="990" w:type="dxa"/>
            <w:tcBorders>
              <w:right w:val="double" w:sz="6" w:space="0" w:color="auto"/>
            </w:tcBorders>
          </w:tcPr>
          <w:p w14:paraId="5B3F1F1F"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1F99C82C" w14:textId="440FAE8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9A106A4" w14:textId="0BEC0A3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188A66E" w14:textId="1443CD5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5265B688" w14:textId="07A066E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31860D1" w14:textId="5F62D80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946EA7E" w14:textId="2873934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309EE94C" w14:textId="74E5346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2CE93E5" w14:textId="77777777" w:rsidTr="006D78D2">
        <w:trPr>
          <w:cantSplit/>
          <w:jc w:val="center"/>
        </w:trPr>
        <w:tc>
          <w:tcPr>
            <w:tcW w:w="1170" w:type="dxa"/>
            <w:tcBorders>
              <w:left w:val="double" w:sz="6" w:space="0" w:color="auto"/>
              <w:bottom w:val="single" w:sz="6" w:space="0" w:color="auto"/>
              <w:right w:val="double" w:sz="6" w:space="0" w:color="auto"/>
            </w:tcBorders>
          </w:tcPr>
          <w:p w14:paraId="5FF83C24"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512811A9"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093A5F68" w14:textId="7011CB6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F6AD88C" w14:textId="1B134503"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61023C70" w14:textId="5B5FF32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2DD57CC4" w14:textId="3712791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72202A24" w14:textId="5CABA7A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6FD9718" w14:textId="264EDB4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599A62D6" w14:textId="47C228A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37425B04" w14:textId="77777777" w:rsidTr="006D78D2">
        <w:trPr>
          <w:cantSplit/>
          <w:jc w:val="center"/>
        </w:trPr>
        <w:tc>
          <w:tcPr>
            <w:tcW w:w="1170" w:type="dxa"/>
            <w:tcBorders>
              <w:left w:val="double" w:sz="6" w:space="0" w:color="auto"/>
              <w:right w:val="double" w:sz="6" w:space="0" w:color="auto"/>
            </w:tcBorders>
          </w:tcPr>
          <w:p w14:paraId="1A0C7E1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May</w:t>
            </w:r>
          </w:p>
        </w:tc>
        <w:tc>
          <w:tcPr>
            <w:tcW w:w="990" w:type="dxa"/>
            <w:tcBorders>
              <w:right w:val="double" w:sz="6" w:space="0" w:color="auto"/>
            </w:tcBorders>
          </w:tcPr>
          <w:p w14:paraId="6C4E70F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1851163E" w14:textId="0CD71BC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9CEFFE4" w14:textId="7B96FE4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153BD6F3" w14:textId="7EC03752"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3B1EB57" w14:textId="2C48643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4B9E31E3" w14:textId="78B8F05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EEC9DAC" w14:textId="2DF20A4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2669788C" w14:textId="398143F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7001BBCD" w14:textId="77777777" w:rsidTr="006D78D2">
        <w:trPr>
          <w:cantSplit/>
          <w:jc w:val="center"/>
        </w:trPr>
        <w:tc>
          <w:tcPr>
            <w:tcW w:w="1170" w:type="dxa"/>
            <w:tcBorders>
              <w:left w:val="double" w:sz="6" w:space="0" w:color="auto"/>
              <w:bottom w:val="single" w:sz="6" w:space="0" w:color="auto"/>
              <w:right w:val="double" w:sz="6" w:space="0" w:color="auto"/>
            </w:tcBorders>
          </w:tcPr>
          <w:p w14:paraId="07AA7F39"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32DF6E39"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4094433E" w14:textId="7FD59A0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2E486C1" w14:textId="0A7155F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64125CCC" w14:textId="56E333D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2F7EF147" w14:textId="56E28C9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3FAEB3D" w14:textId="592C6A6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C1F50B6" w14:textId="1DF53E1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18682FE2" w14:textId="3BD0844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3525C319" w14:textId="77777777" w:rsidTr="006D78D2">
        <w:trPr>
          <w:cantSplit/>
          <w:jc w:val="center"/>
        </w:trPr>
        <w:tc>
          <w:tcPr>
            <w:tcW w:w="1170" w:type="dxa"/>
            <w:tcBorders>
              <w:left w:val="double" w:sz="6" w:space="0" w:color="auto"/>
              <w:right w:val="double" w:sz="6" w:space="0" w:color="auto"/>
            </w:tcBorders>
          </w:tcPr>
          <w:p w14:paraId="0D8EAB5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June</w:t>
            </w:r>
          </w:p>
        </w:tc>
        <w:tc>
          <w:tcPr>
            <w:tcW w:w="990" w:type="dxa"/>
            <w:tcBorders>
              <w:right w:val="double" w:sz="6" w:space="0" w:color="auto"/>
            </w:tcBorders>
          </w:tcPr>
          <w:p w14:paraId="3550432F"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632E3159" w14:textId="555E2EE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E2803E9" w14:textId="57D1D73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02B0704" w14:textId="0CFEDC9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DB90A94" w14:textId="56DCB33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ED7BFB5" w14:textId="65B7C7F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5E26AFA" w14:textId="75085C2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3A2EEC23" w14:textId="5CC44F7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8DF5102" w14:textId="77777777" w:rsidTr="006D78D2">
        <w:trPr>
          <w:cantSplit/>
          <w:jc w:val="center"/>
        </w:trPr>
        <w:tc>
          <w:tcPr>
            <w:tcW w:w="1170" w:type="dxa"/>
            <w:tcBorders>
              <w:left w:val="double" w:sz="6" w:space="0" w:color="auto"/>
              <w:bottom w:val="single" w:sz="6" w:space="0" w:color="auto"/>
              <w:right w:val="double" w:sz="6" w:space="0" w:color="auto"/>
            </w:tcBorders>
          </w:tcPr>
          <w:p w14:paraId="04BA5B65"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7C50E5D7"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468E5321" w14:textId="3101762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D17F3BA" w14:textId="4FC0EBD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7AEDFF22" w14:textId="62E3DFB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761B005" w14:textId="16C1F8F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9AA5C40" w14:textId="1B1C1E0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7A1D213" w14:textId="734DCF2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5605000A" w14:textId="2E49041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635A8EC5" w14:textId="77777777" w:rsidTr="006D78D2">
        <w:trPr>
          <w:cantSplit/>
          <w:jc w:val="center"/>
        </w:trPr>
        <w:tc>
          <w:tcPr>
            <w:tcW w:w="1170" w:type="dxa"/>
            <w:tcBorders>
              <w:left w:val="double" w:sz="6" w:space="0" w:color="auto"/>
              <w:right w:val="double" w:sz="6" w:space="0" w:color="auto"/>
            </w:tcBorders>
          </w:tcPr>
          <w:p w14:paraId="4A33773E"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July</w:t>
            </w:r>
          </w:p>
        </w:tc>
        <w:tc>
          <w:tcPr>
            <w:tcW w:w="990" w:type="dxa"/>
            <w:tcBorders>
              <w:right w:val="double" w:sz="6" w:space="0" w:color="auto"/>
            </w:tcBorders>
          </w:tcPr>
          <w:p w14:paraId="3372643C"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467C1C0D" w14:textId="6AB1691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24CF8CA" w14:textId="12C8045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DF11D98" w14:textId="5B157FD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609439C" w14:textId="3FD944F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4C738705" w14:textId="073437AA" w:rsidR="00170DCF" w:rsidRPr="000675A8" w:rsidRDefault="00170DCF" w:rsidP="00170DCF">
            <w:pPr>
              <w:keepNext/>
              <w:keepLines/>
              <w:tabs>
                <w:tab w:val="left" w:pos="2970"/>
              </w:tab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70FB25F" w14:textId="61C06602"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003A9B0A" w14:textId="4ABA100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7175578A" w14:textId="77777777" w:rsidTr="006D78D2">
        <w:trPr>
          <w:cantSplit/>
          <w:jc w:val="center"/>
        </w:trPr>
        <w:tc>
          <w:tcPr>
            <w:tcW w:w="1170" w:type="dxa"/>
            <w:tcBorders>
              <w:left w:val="double" w:sz="6" w:space="0" w:color="auto"/>
              <w:right w:val="double" w:sz="6" w:space="0" w:color="auto"/>
            </w:tcBorders>
          </w:tcPr>
          <w:p w14:paraId="242407FE"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right w:val="double" w:sz="6" w:space="0" w:color="auto"/>
            </w:tcBorders>
          </w:tcPr>
          <w:p w14:paraId="155356C5"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right w:val="single" w:sz="6" w:space="0" w:color="auto"/>
            </w:tcBorders>
            <w:vAlign w:val="center"/>
          </w:tcPr>
          <w:p w14:paraId="39347F96" w14:textId="68B6DD1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E0F63ED" w14:textId="28F071D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1F794B0C" w14:textId="35CA1B1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B40DDEF" w14:textId="5DCCC65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528ED3BE" w14:textId="498008A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4C5E0986" w14:textId="220807C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4EA029ED" w14:textId="1B11BA2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374B11C3" w14:textId="77777777" w:rsidTr="006D78D2">
        <w:trPr>
          <w:cantSplit/>
          <w:jc w:val="center"/>
        </w:trPr>
        <w:tc>
          <w:tcPr>
            <w:tcW w:w="1170" w:type="dxa"/>
            <w:tcBorders>
              <w:top w:val="single" w:sz="6" w:space="0" w:color="auto"/>
              <w:left w:val="double" w:sz="6" w:space="0" w:color="auto"/>
              <w:right w:val="double" w:sz="6" w:space="0" w:color="auto"/>
            </w:tcBorders>
          </w:tcPr>
          <w:p w14:paraId="3DAC3F4C"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August</w:t>
            </w:r>
          </w:p>
        </w:tc>
        <w:tc>
          <w:tcPr>
            <w:tcW w:w="990" w:type="dxa"/>
            <w:tcBorders>
              <w:top w:val="single" w:sz="6" w:space="0" w:color="auto"/>
              <w:right w:val="double" w:sz="6" w:space="0" w:color="auto"/>
            </w:tcBorders>
          </w:tcPr>
          <w:p w14:paraId="14050B52"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top w:val="single" w:sz="6" w:space="0" w:color="auto"/>
              <w:right w:val="single" w:sz="6" w:space="0" w:color="auto"/>
            </w:tcBorders>
            <w:vAlign w:val="center"/>
          </w:tcPr>
          <w:p w14:paraId="209011EC" w14:textId="549D911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520C4900" w14:textId="648C41A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3C595CAB" w14:textId="2999FFE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4B44D387" w14:textId="3E1A20C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2A73BFDB" w14:textId="5DEFB66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3593F7EC" w14:textId="31D75AD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double" w:sz="6" w:space="0" w:color="auto"/>
            </w:tcBorders>
            <w:vAlign w:val="center"/>
          </w:tcPr>
          <w:p w14:paraId="089AD787" w14:textId="4842FD62"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4ECAC80" w14:textId="77777777" w:rsidTr="006D78D2">
        <w:trPr>
          <w:cantSplit/>
          <w:jc w:val="center"/>
        </w:trPr>
        <w:tc>
          <w:tcPr>
            <w:tcW w:w="1170" w:type="dxa"/>
            <w:tcBorders>
              <w:left w:val="double" w:sz="6" w:space="0" w:color="auto"/>
              <w:bottom w:val="single" w:sz="6" w:space="0" w:color="auto"/>
              <w:right w:val="double" w:sz="6" w:space="0" w:color="auto"/>
            </w:tcBorders>
          </w:tcPr>
          <w:p w14:paraId="55F536C3"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3B42B746"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097DC981" w14:textId="7F32269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9A821DF" w14:textId="713FC65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022830D9" w14:textId="32C0AA8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AE69739" w14:textId="394BE49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B444DDC" w14:textId="51F59D3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666BCDD5" w14:textId="6B5EC0A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50C44735" w14:textId="7BFE92A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35E9785" w14:textId="77777777" w:rsidTr="006D78D2">
        <w:trPr>
          <w:cantSplit/>
          <w:jc w:val="center"/>
        </w:trPr>
        <w:tc>
          <w:tcPr>
            <w:tcW w:w="1170" w:type="dxa"/>
            <w:tcBorders>
              <w:left w:val="double" w:sz="6" w:space="0" w:color="auto"/>
              <w:right w:val="double" w:sz="6" w:space="0" w:color="auto"/>
            </w:tcBorders>
          </w:tcPr>
          <w:p w14:paraId="56A261B9"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September</w:t>
            </w:r>
          </w:p>
        </w:tc>
        <w:tc>
          <w:tcPr>
            <w:tcW w:w="990" w:type="dxa"/>
            <w:tcBorders>
              <w:right w:val="double" w:sz="6" w:space="0" w:color="auto"/>
            </w:tcBorders>
          </w:tcPr>
          <w:p w14:paraId="2E8BCB07"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43F896B2" w14:textId="7780559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2BA0B9F" w14:textId="4D847D2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65CAE40" w14:textId="4CF9DE9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4C959EC6" w14:textId="69B1C5E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2F8DD62" w14:textId="5E254F6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4051CF12" w14:textId="1E8F4C5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1D81B08B" w14:textId="3F89F52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6AAB8EA1" w14:textId="77777777" w:rsidTr="006D78D2">
        <w:trPr>
          <w:cantSplit/>
          <w:jc w:val="center"/>
        </w:trPr>
        <w:tc>
          <w:tcPr>
            <w:tcW w:w="1170" w:type="dxa"/>
            <w:tcBorders>
              <w:left w:val="double" w:sz="6" w:space="0" w:color="auto"/>
              <w:bottom w:val="single" w:sz="6" w:space="0" w:color="auto"/>
              <w:right w:val="double" w:sz="6" w:space="0" w:color="auto"/>
            </w:tcBorders>
          </w:tcPr>
          <w:p w14:paraId="2EE786AF"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0326B85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7F7B00D3" w14:textId="561920A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2CDB9E56" w14:textId="426DE36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00560138" w14:textId="6198093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7E7968C1" w14:textId="4F543F8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12B4A2C9" w14:textId="77952B1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6D5C5D2" w14:textId="6675D81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4212EA19" w14:textId="57AD843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24DCD3A5" w14:textId="77777777" w:rsidTr="006D78D2">
        <w:trPr>
          <w:cantSplit/>
          <w:jc w:val="center"/>
        </w:trPr>
        <w:tc>
          <w:tcPr>
            <w:tcW w:w="1170" w:type="dxa"/>
            <w:tcBorders>
              <w:left w:val="double" w:sz="6" w:space="0" w:color="auto"/>
              <w:right w:val="double" w:sz="6" w:space="0" w:color="auto"/>
            </w:tcBorders>
          </w:tcPr>
          <w:p w14:paraId="528BB69D"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October</w:t>
            </w:r>
          </w:p>
        </w:tc>
        <w:tc>
          <w:tcPr>
            <w:tcW w:w="990" w:type="dxa"/>
            <w:tcBorders>
              <w:right w:val="double" w:sz="6" w:space="0" w:color="auto"/>
            </w:tcBorders>
          </w:tcPr>
          <w:p w14:paraId="54E9961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203040F5" w14:textId="3307680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638C4DA" w14:textId="2FDF1F3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AE4D4D4" w14:textId="2D4B040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7C5D01D" w14:textId="0FAD459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ACDAF31" w14:textId="7AB6EF0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7FC6CFA7" w14:textId="2EEF433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0919263E" w14:textId="2BF1568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385DF3CC" w14:textId="77777777" w:rsidTr="006D78D2">
        <w:trPr>
          <w:cantSplit/>
          <w:jc w:val="center"/>
        </w:trPr>
        <w:tc>
          <w:tcPr>
            <w:tcW w:w="1170" w:type="dxa"/>
            <w:tcBorders>
              <w:left w:val="double" w:sz="6" w:space="0" w:color="auto"/>
              <w:bottom w:val="single" w:sz="6" w:space="0" w:color="auto"/>
              <w:right w:val="double" w:sz="6" w:space="0" w:color="auto"/>
            </w:tcBorders>
          </w:tcPr>
          <w:p w14:paraId="46B0207B"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single" w:sz="6" w:space="0" w:color="auto"/>
              <w:right w:val="double" w:sz="6" w:space="0" w:color="auto"/>
            </w:tcBorders>
          </w:tcPr>
          <w:p w14:paraId="6DDAE9B8"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single" w:sz="6" w:space="0" w:color="auto"/>
              <w:right w:val="single" w:sz="6" w:space="0" w:color="auto"/>
            </w:tcBorders>
            <w:vAlign w:val="center"/>
          </w:tcPr>
          <w:p w14:paraId="02452C49" w14:textId="20B330C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32C0AA7D" w14:textId="22AC06B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24593935" w14:textId="3D6878E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0DF46ECA" w14:textId="0E7B8CD2"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754AE843" w14:textId="139E28B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single" w:sz="6" w:space="0" w:color="auto"/>
            </w:tcBorders>
            <w:vAlign w:val="center"/>
          </w:tcPr>
          <w:p w14:paraId="55BD4AF9" w14:textId="1316E07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single" w:sz="6" w:space="0" w:color="auto"/>
              <w:right w:val="double" w:sz="6" w:space="0" w:color="auto"/>
            </w:tcBorders>
            <w:vAlign w:val="center"/>
          </w:tcPr>
          <w:p w14:paraId="59F21D61" w14:textId="5B8BC39C"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5FC8EABF" w14:textId="77777777" w:rsidTr="006D78D2">
        <w:trPr>
          <w:cantSplit/>
          <w:jc w:val="center"/>
        </w:trPr>
        <w:tc>
          <w:tcPr>
            <w:tcW w:w="1170" w:type="dxa"/>
            <w:tcBorders>
              <w:left w:val="double" w:sz="6" w:space="0" w:color="auto"/>
              <w:right w:val="double" w:sz="6" w:space="0" w:color="auto"/>
            </w:tcBorders>
          </w:tcPr>
          <w:p w14:paraId="075E9F9F"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November</w:t>
            </w:r>
          </w:p>
        </w:tc>
        <w:tc>
          <w:tcPr>
            <w:tcW w:w="990" w:type="dxa"/>
            <w:tcBorders>
              <w:right w:val="double" w:sz="6" w:space="0" w:color="auto"/>
            </w:tcBorders>
          </w:tcPr>
          <w:p w14:paraId="541E4750"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right w:val="single" w:sz="6" w:space="0" w:color="auto"/>
            </w:tcBorders>
            <w:vAlign w:val="center"/>
          </w:tcPr>
          <w:p w14:paraId="28A2BCE1" w14:textId="66FA04D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634BE09" w14:textId="1D53562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06B1EE3" w14:textId="63ADC772"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188CA61C" w14:textId="71E03DD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6CD4A20" w14:textId="32DEFE8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6CA1922D" w14:textId="4F56A56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0D71BF6A" w14:textId="4A15831E"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4070BD47" w14:textId="77777777" w:rsidTr="006D78D2">
        <w:trPr>
          <w:cantSplit/>
          <w:jc w:val="center"/>
        </w:trPr>
        <w:tc>
          <w:tcPr>
            <w:tcW w:w="1170" w:type="dxa"/>
            <w:tcBorders>
              <w:left w:val="double" w:sz="6" w:space="0" w:color="auto"/>
              <w:right w:val="double" w:sz="6" w:space="0" w:color="auto"/>
            </w:tcBorders>
          </w:tcPr>
          <w:p w14:paraId="39E285CB"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right w:val="double" w:sz="6" w:space="0" w:color="auto"/>
            </w:tcBorders>
          </w:tcPr>
          <w:p w14:paraId="42337F82"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right w:val="single" w:sz="6" w:space="0" w:color="auto"/>
            </w:tcBorders>
            <w:vAlign w:val="center"/>
          </w:tcPr>
          <w:p w14:paraId="4CAF71FF" w14:textId="4D2C76D0"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01B52054" w14:textId="7B14D31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1CA5DE15" w14:textId="5E2EBEA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22457B83" w14:textId="73D3487D"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5EA01DB1" w14:textId="5161A53B"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single" w:sz="6" w:space="0" w:color="auto"/>
            </w:tcBorders>
            <w:vAlign w:val="center"/>
          </w:tcPr>
          <w:p w14:paraId="3F9FE59E" w14:textId="4360B617"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right w:val="double" w:sz="6" w:space="0" w:color="auto"/>
            </w:tcBorders>
            <w:vAlign w:val="center"/>
          </w:tcPr>
          <w:p w14:paraId="7438C1D3" w14:textId="73B724C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14C06CBB" w14:textId="77777777" w:rsidTr="006D78D2">
        <w:trPr>
          <w:cantSplit/>
          <w:jc w:val="center"/>
        </w:trPr>
        <w:tc>
          <w:tcPr>
            <w:tcW w:w="1170" w:type="dxa"/>
            <w:tcBorders>
              <w:top w:val="single" w:sz="6" w:space="0" w:color="auto"/>
              <w:left w:val="double" w:sz="6" w:space="0" w:color="auto"/>
              <w:right w:val="double" w:sz="6" w:space="0" w:color="auto"/>
            </w:tcBorders>
          </w:tcPr>
          <w:p w14:paraId="401A2FEC"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December</w:t>
            </w:r>
          </w:p>
        </w:tc>
        <w:tc>
          <w:tcPr>
            <w:tcW w:w="990" w:type="dxa"/>
            <w:tcBorders>
              <w:top w:val="single" w:sz="6" w:space="0" w:color="auto"/>
              <w:right w:val="double" w:sz="6" w:space="0" w:color="auto"/>
            </w:tcBorders>
          </w:tcPr>
          <w:p w14:paraId="47AD567D"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Peak</w:t>
            </w:r>
          </w:p>
        </w:tc>
        <w:tc>
          <w:tcPr>
            <w:tcW w:w="1008" w:type="dxa"/>
            <w:tcBorders>
              <w:top w:val="single" w:sz="6" w:space="0" w:color="auto"/>
              <w:right w:val="single" w:sz="6" w:space="0" w:color="auto"/>
            </w:tcBorders>
            <w:vAlign w:val="center"/>
          </w:tcPr>
          <w:p w14:paraId="5FDBC682" w14:textId="3688E30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0D5B65E9" w14:textId="17A01CF1"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066158B7" w14:textId="6062A504"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5F951961" w14:textId="0B42D80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75FB8137" w14:textId="004A1A1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single" w:sz="6" w:space="0" w:color="auto"/>
            </w:tcBorders>
            <w:vAlign w:val="center"/>
          </w:tcPr>
          <w:p w14:paraId="4C991929" w14:textId="3BB4D69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top w:val="single" w:sz="6" w:space="0" w:color="auto"/>
              <w:left w:val="single" w:sz="6" w:space="0" w:color="auto"/>
              <w:right w:val="double" w:sz="6" w:space="0" w:color="auto"/>
            </w:tcBorders>
            <w:vAlign w:val="center"/>
          </w:tcPr>
          <w:p w14:paraId="28670F3D" w14:textId="2398DEE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r w:rsidR="00170DCF" w:rsidRPr="000675A8" w14:paraId="2BE0D58D" w14:textId="77777777" w:rsidTr="006D78D2">
        <w:trPr>
          <w:cantSplit/>
          <w:jc w:val="center"/>
        </w:trPr>
        <w:tc>
          <w:tcPr>
            <w:tcW w:w="1170" w:type="dxa"/>
            <w:tcBorders>
              <w:left w:val="double" w:sz="6" w:space="0" w:color="auto"/>
              <w:bottom w:val="double" w:sz="6" w:space="0" w:color="auto"/>
              <w:right w:val="double" w:sz="6" w:space="0" w:color="auto"/>
            </w:tcBorders>
          </w:tcPr>
          <w:p w14:paraId="3518060B" w14:textId="77777777" w:rsidR="00170DCF" w:rsidRPr="000675A8" w:rsidRDefault="00170DCF" w:rsidP="00170DCF">
            <w:pPr>
              <w:keepNext/>
              <w:keepLines/>
              <w:spacing w:line="360" w:lineRule="atLeast"/>
              <w:jc w:val="left"/>
              <w:rPr>
                <w:rFonts w:ascii="Arial" w:hAnsi="Arial" w:cs="Arial"/>
                <w:sz w:val="18"/>
                <w:szCs w:val="18"/>
              </w:rPr>
            </w:pPr>
          </w:p>
        </w:tc>
        <w:tc>
          <w:tcPr>
            <w:tcW w:w="990" w:type="dxa"/>
            <w:tcBorders>
              <w:bottom w:val="double" w:sz="6" w:space="0" w:color="auto"/>
              <w:right w:val="double" w:sz="6" w:space="0" w:color="auto"/>
            </w:tcBorders>
          </w:tcPr>
          <w:p w14:paraId="75ACB21A" w14:textId="77777777" w:rsidR="00170DCF" w:rsidRPr="000675A8" w:rsidRDefault="00170DCF" w:rsidP="00170DCF">
            <w:pPr>
              <w:keepNext/>
              <w:keepLines/>
              <w:spacing w:line="360" w:lineRule="atLeast"/>
              <w:jc w:val="left"/>
              <w:rPr>
                <w:rFonts w:ascii="Arial" w:hAnsi="Arial" w:cs="Arial"/>
                <w:sz w:val="18"/>
                <w:szCs w:val="18"/>
              </w:rPr>
            </w:pPr>
            <w:r w:rsidRPr="000675A8">
              <w:rPr>
                <w:rFonts w:ascii="Arial" w:hAnsi="Arial" w:cs="Arial"/>
                <w:sz w:val="18"/>
                <w:szCs w:val="18"/>
              </w:rPr>
              <w:t>Off-Peak</w:t>
            </w:r>
          </w:p>
        </w:tc>
        <w:tc>
          <w:tcPr>
            <w:tcW w:w="1008" w:type="dxa"/>
            <w:tcBorders>
              <w:bottom w:val="double" w:sz="6" w:space="0" w:color="auto"/>
              <w:right w:val="single" w:sz="6" w:space="0" w:color="auto"/>
            </w:tcBorders>
            <w:vAlign w:val="center"/>
          </w:tcPr>
          <w:p w14:paraId="7D39950A" w14:textId="2147F19F"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single" w:sz="6" w:space="0" w:color="auto"/>
            </w:tcBorders>
            <w:vAlign w:val="center"/>
          </w:tcPr>
          <w:p w14:paraId="25179BBE" w14:textId="70CB59F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single" w:sz="6" w:space="0" w:color="auto"/>
            </w:tcBorders>
            <w:vAlign w:val="center"/>
          </w:tcPr>
          <w:p w14:paraId="15BE8C49" w14:textId="7538F896"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single" w:sz="6" w:space="0" w:color="auto"/>
            </w:tcBorders>
            <w:vAlign w:val="center"/>
          </w:tcPr>
          <w:p w14:paraId="4A189234" w14:textId="5A643AB8"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single" w:sz="6" w:space="0" w:color="auto"/>
            </w:tcBorders>
            <w:vAlign w:val="center"/>
          </w:tcPr>
          <w:p w14:paraId="2BADABE2" w14:textId="393ED045"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single" w:sz="6" w:space="0" w:color="auto"/>
            </w:tcBorders>
            <w:vAlign w:val="center"/>
          </w:tcPr>
          <w:p w14:paraId="40A7D285" w14:textId="634A50B9"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c>
          <w:tcPr>
            <w:tcW w:w="1008" w:type="dxa"/>
            <w:tcBorders>
              <w:left w:val="single" w:sz="6" w:space="0" w:color="auto"/>
              <w:bottom w:val="double" w:sz="6" w:space="0" w:color="auto"/>
              <w:right w:val="double" w:sz="6" w:space="0" w:color="auto"/>
            </w:tcBorders>
            <w:vAlign w:val="center"/>
          </w:tcPr>
          <w:p w14:paraId="014414DB" w14:textId="0251662A" w:rsidR="00170DCF" w:rsidRPr="000675A8" w:rsidRDefault="00170DCF" w:rsidP="00170DCF">
            <w:pPr>
              <w:keepNext/>
              <w:keepLines/>
              <w:spacing w:line="360" w:lineRule="atLeast"/>
              <w:jc w:val="center"/>
              <w:rPr>
                <w:rFonts w:ascii="Arial" w:hAnsi="Arial" w:cs="Arial"/>
                <w:sz w:val="16"/>
                <w:szCs w:val="16"/>
              </w:rPr>
            </w:pPr>
            <w:r w:rsidRPr="00170DCF">
              <w:rPr>
                <w:rFonts w:ascii="Arial" w:hAnsi="Arial" w:cs="Arial"/>
                <w:b/>
                <w:color w:val="000000"/>
                <w:sz w:val="14"/>
                <w:szCs w:val="14"/>
              </w:rPr>
              <w:t>REDACTED</w:t>
            </w:r>
          </w:p>
        </w:tc>
      </w:tr>
    </w:tbl>
    <w:p w14:paraId="6B6D3A58" w14:textId="77777777" w:rsidR="00220C0B" w:rsidRPr="000675A8" w:rsidRDefault="00220C0B" w:rsidP="00243513">
      <w:pPr>
        <w:spacing w:line="360" w:lineRule="atLeast"/>
        <w:rPr>
          <w:rFonts w:ascii="Arial" w:hAnsi="Arial" w:cs="Arial"/>
          <w:sz w:val="24"/>
        </w:rPr>
      </w:pPr>
    </w:p>
    <w:p w14:paraId="158CBED4" w14:textId="77777777" w:rsidR="00BD6A65" w:rsidRPr="000C0597" w:rsidRDefault="00243513" w:rsidP="00A04A13">
      <w:pPr>
        <w:pStyle w:val="Heading2"/>
        <w:spacing w:line="360" w:lineRule="atLeast"/>
        <w:ind w:left="846"/>
        <w:rPr>
          <w:rFonts w:ascii="Arial" w:hAnsi="Arial" w:cs="Arial"/>
          <w:sz w:val="22"/>
          <w:szCs w:val="22"/>
        </w:rPr>
      </w:pPr>
      <w:bookmarkStart w:id="13" w:name="_Toc305487196"/>
      <w:r w:rsidRPr="000C0597">
        <w:rPr>
          <w:rFonts w:ascii="Arial" w:hAnsi="Arial" w:cs="Arial"/>
          <w:sz w:val="22"/>
          <w:szCs w:val="22"/>
        </w:rPr>
        <w:t>HYDRO UNIT MODELING</w:t>
      </w:r>
      <w:bookmarkEnd w:id="13"/>
    </w:p>
    <w:p w14:paraId="53817AD2" w14:textId="13B33CCA" w:rsidR="00BD6A65" w:rsidRPr="000C0597" w:rsidRDefault="00D648A4" w:rsidP="00243513">
      <w:pPr>
        <w:spacing w:line="360" w:lineRule="atLeast"/>
        <w:rPr>
          <w:rFonts w:ascii="Arial" w:hAnsi="Arial" w:cs="Arial"/>
          <w:sz w:val="22"/>
          <w:szCs w:val="22"/>
        </w:rPr>
      </w:pPr>
      <w:r w:rsidRPr="000C0597">
        <w:rPr>
          <w:rFonts w:ascii="Arial" w:hAnsi="Arial" w:cs="Arial"/>
          <w:sz w:val="22"/>
          <w:szCs w:val="22"/>
        </w:rPr>
        <w:t>C</w:t>
      </w:r>
      <w:r w:rsidR="00E811F9" w:rsidRPr="000C0597">
        <w:rPr>
          <w:rFonts w:ascii="Arial" w:hAnsi="Arial" w:cs="Arial"/>
          <w:sz w:val="22"/>
          <w:szCs w:val="22"/>
        </w:rPr>
        <w:t>onventional hydro energy was modeled as having two components: ru</w:t>
      </w:r>
      <w:r w:rsidR="00A610FB" w:rsidRPr="000C0597">
        <w:rPr>
          <w:rFonts w:ascii="Arial" w:hAnsi="Arial" w:cs="Arial"/>
          <w:sz w:val="22"/>
          <w:szCs w:val="22"/>
        </w:rPr>
        <w:t>n of river and peak shaving</w:t>
      </w:r>
      <w:r w:rsidR="008244ED" w:rsidRPr="000C0597">
        <w:rPr>
          <w:rFonts w:ascii="Arial" w:hAnsi="Arial" w:cs="Arial"/>
          <w:sz w:val="22"/>
          <w:szCs w:val="22"/>
        </w:rPr>
        <w:t xml:space="preserve">. </w:t>
      </w:r>
      <w:r w:rsidR="00A610FB" w:rsidRPr="000C0597">
        <w:rPr>
          <w:rFonts w:ascii="Arial" w:hAnsi="Arial" w:cs="Arial"/>
          <w:sz w:val="22"/>
          <w:szCs w:val="22"/>
        </w:rPr>
        <w:t>The</w:t>
      </w:r>
      <w:r w:rsidR="00BD6A65" w:rsidRPr="000C0597">
        <w:rPr>
          <w:rFonts w:ascii="Arial" w:hAnsi="Arial" w:cs="Arial"/>
          <w:sz w:val="22"/>
          <w:szCs w:val="22"/>
        </w:rPr>
        <w:t xml:space="preserve"> two components </w:t>
      </w:r>
      <w:r w:rsidR="00BF1549" w:rsidRPr="000C0597">
        <w:rPr>
          <w:rFonts w:ascii="Arial" w:hAnsi="Arial" w:cs="Arial"/>
          <w:sz w:val="22"/>
          <w:szCs w:val="22"/>
        </w:rPr>
        <w:t>were</w:t>
      </w:r>
      <w:r w:rsidR="00BD6A65" w:rsidRPr="000C0597">
        <w:rPr>
          <w:rFonts w:ascii="Arial" w:hAnsi="Arial" w:cs="Arial"/>
          <w:sz w:val="22"/>
          <w:szCs w:val="22"/>
        </w:rPr>
        <w:t xml:space="preserve"> modeled as separate units</w:t>
      </w:r>
      <w:r w:rsidR="008244ED" w:rsidRPr="000C0597">
        <w:rPr>
          <w:rFonts w:ascii="Arial" w:hAnsi="Arial" w:cs="Arial"/>
          <w:sz w:val="22"/>
          <w:szCs w:val="22"/>
        </w:rPr>
        <w:t xml:space="preserve">. </w:t>
      </w:r>
      <w:r w:rsidR="00BD6A65" w:rsidRPr="000C0597">
        <w:rPr>
          <w:rFonts w:ascii="Arial" w:hAnsi="Arial" w:cs="Arial"/>
          <w:sz w:val="22"/>
          <w:szCs w:val="22"/>
        </w:rPr>
        <w:t xml:space="preserve">The energy and capacity of each type were derived from the records of historical operation of the Southern </w:t>
      </w:r>
      <w:r w:rsidR="00FD5AAE" w:rsidRPr="000C0597">
        <w:rPr>
          <w:rFonts w:ascii="Arial" w:hAnsi="Arial" w:cs="Arial"/>
          <w:sz w:val="22"/>
          <w:szCs w:val="22"/>
        </w:rPr>
        <w:t xml:space="preserve">Company </w:t>
      </w:r>
      <w:r w:rsidR="00BD6A65" w:rsidRPr="000C0597">
        <w:rPr>
          <w:rFonts w:ascii="Arial" w:hAnsi="Arial" w:cs="Arial"/>
          <w:sz w:val="22"/>
          <w:szCs w:val="22"/>
        </w:rPr>
        <w:t>hydroelectric system</w:t>
      </w:r>
      <w:r w:rsidR="008244ED" w:rsidRPr="000C0597">
        <w:rPr>
          <w:rFonts w:ascii="Arial" w:hAnsi="Arial" w:cs="Arial"/>
          <w:sz w:val="22"/>
          <w:szCs w:val="22"/>
        </w:rPr>
        <w:t xml:space="preserve">. </w:t>
      </w:r>
      <w:r w:rsidR="00BD6A65" w:rsidRPr="000C0597">
        <w:rPr>
          <w:rFonts w:ascii="Arial" w:hAnsi="Arial" w:cs="Arial"/>
          <w:sz w:val="22"/>
          <w:szCs w:val="22"/>
        </w:rPr>
        <w:t xml:space="preserve">The run of river units </w:t>
      </w:r>
      <w:r w:rsidR="00BF1549" w:rsidRPr="000C0597">
        <w:rPr>
          <w:rFonts w:ascii="Arial" w:hAnsi="Arial" w:cs="Arial"/>
          <w:sz w:val="22"/>
          <w:szCs w:val="22"/>
        </w:rPr>
        <w:t>were</w:t>
      </w:r>
      <w:r w:rsidR="00BD6A65" w:rsidRPr="000C0597">
        <w:rPr>
          <w:rFonts w:ascii="Arial" w:hAnsi="Arial" w:cs="Arial"/>
          <w:sz w:val="22"/>
          <w:szCs w:val="22"/>
        </w:rPr>
        <w:t xml:space="preserve"> allowed to have a capacity factor of 100% while the peak shaving units have much lower capacity factors</w:t>
      </w:r>
      <w:r w:rsidR="008244ED" w:rsidRPr="000C0597">
        <w:rPr>
          <w:rFonts w:ascii="Arial" w:hAnsi="Arial" w:cs="Arial"/>
          <w:sz w:val="22"/>
          <w:szCs w:val="22"/>
        </w:rPr>
        <w:t xml:space="preserve">. </w:t>
      </w:r>
      <w:r w:rsidR="00BD6A65" w:rsidRPr="000C0597">
        <w:rPr>
          <w:rFonts w:ascii="Arial" w:hAnsi="Arial" w:cs="Arial"/>
          <w:sz w:val="22"/>
          <w:szCs w:val="22"/>
        </w:rPr>
        <w:t xml:space="preserve">The seasonal variation in the availability of total as well as firm hydro energy </w:t>
      </w:r>
      <w:r w:rsidR="00BF1549" w:rsidRPr="000C0597">
        <w:rPr>
          <w:rFonts w:ascii="Arial" w:hAnsi="Arial" w:cs="Arial"/>
          <w:sz w:val="22"/>
          <w:szCs w:val="22"/>
        </w:rPr>
        <w:t>was</w:t>
      </w:r>
      <w:r w:rsidR="00BD6A65" w:rsidRPr="000C0597">
        <w:rPr>
          <w:rFonts w:ascii="Arial" w:hAnsi="Arial" w:cs="Arial"/>
          <w:sz w:val="22"/>
          <w:szCs w:val="22"/>
        </w:rPr>
        <w:t xml:space="preserve"> modeled by monthly variations in the energy and capacity of each type. </w:t>
      </w:r>
    </w:p>
    <w:p w14:paraId="29519FC9" w14:textId="77777777" w:rsidR="00BD6A65" w:rsidRPr="000C0597" w:rsidRDefault="00BD6A65" w:rsidP="00243513">
      <w:pPr>
        <w:spacing w:line="360" w:lineRule="atLeast"/>
        <w:rPr>
          <w:rFonts w:ascii="Arial" w:hAnsi="Arial" w:cs="Arial"/>
          <w:sz w:val="22"/>
          <w:szCs w:val="22"/>
          <w:highlight w:val="yellow"/>
        </w:rPr>
      </w:pPr>
    </w:p>
    <w:p w14:paraId="3B6B9F29" w14:textId="77777777" w:rsidR="00BD6A65" w:rsidRPr="000C0597" w:rsidRDefault="00522ADC" w:rsidP="00A04A13">
      <w:pPr>
        <w:pStyle w:val="Heading2"/>
        <w:spacing w:line="360" w:lineRule="atLeast"/>
        <w:ind w:left="846"/>
        <w:rPr>
          <w:rFonts w:ascii="Arial" w:hAnsi="Arial" w:cs="Arial"/>
          <w:sz w:val="22"/>
          <w:szCs w:val="22"/>
        </w:rPr>
      </w:pPr>
      <w:bookmarkStart w:id="14" w:name="_Toc305487197"/>
      <w:r w:rsidRPr="000C0597">
        <w:rPr>
          <w:rFonts w:ascii="Arial" w:hAnsi="Arial" w:cs="Arial"/>
          <w:sz w:val="22"/>
          <w:szCs w:val="22"/>
        </w:rPr>
        <w:t>DEMAND-SIDE OPTIONS MODELING</w:t>
      </w:r>
      <w:bookmarkEnd w:id="14"/>
    </w:p>
    <w:p w14:paraId="2AC5CA21" w14:textId="2F2CA02C" w:rsidR="007C2098" w:rsidRPr="000C0597" w:rsidRDefault="0077163F" w:rsidP="00243513">
      <w:pPr>
        <w:spacing w:line="360" w:lineRule="atLeast"/>
        <w:rPr>
          <w:rFonts w:ascii="Arial" w:hAnsi="Arial" w:cs="Arial"/>
          <w:sz w:val="22"/>
          <w:szCs w:val="22"/>
        </w:rPr>
      </w:pPr>
      <w:r w:rsidRPr="000C0597">
        <w:rPr>
          <w:rFonts w:ascii="Arial" w:hAnsi="Arial" w:cs="Arial"/>
          <w:sz w:val="22"/>
          <w:szCs w:val="22"/>
        </w:rPr>
        <w:t>Dispatchable</w:t>
      </w:r>
      <w:r w:rsidR="005540C9" w:rsidRPr="000C0597">
        <w:rPr>
          <w:rFonts w:ascii="Arial" w:hAnsi="Arial" w:cs="Arial"/>
          <w:sz w:val="22"/>
          <w:szCs w:val="22"/>
        </w:rPr>
        <w:t xml:space="preserve"> </w:t>
      </w:r>
      <w:r w:rsidR="00BD6A65" w:rsidRPr="000C0597">
        <w:rPr>
          <w:rFonts w:ascii="Arial" w:hAnsi="Arial" w:cs="Arial"/>
          <w:sz w:val="22"/>
          <w:szCs w:val="22"/>
        </w:rPr>
        <w:t xml:space="preserve">DSOs (interruptible load and other options that </w:t>
      </w:r>
      <w:r w:rsidR="002D1DA0" w:rsidRPr="000C0597">
        <w:rPr>
          <w:rFonts w:ascii="Arial" w:hAnsi="Arial" w:cs="Arial"/>
          <w:sz w:val="22"/>
          <w:szCs w:val="22"/>
        </w:rPr>
        <w:t>are</w:t>
      </w:r>
      <w:r w:rsidR="00BD6A65" w:rsidRPr="000C0597">
        <w:rPr>
          <w:rFonts w:ascii="Arial" w:hAnsi="Arial" w:cs="Arial"/>
          <w:sz w:val="22"/>
          <w:szCs w:val="22"/>
        </w:rPr>
        <w:t xml:space="preserve"> controllable and</w:t>
      </w:r>
      <w:r w:rsidR="00960593" w:rsidRPr="000C0597">
        <w:rPr>
          <w:rFonts w:ascii="Arial" w:hAnsi="Arial" w:cs="Arial"/>
          <w:sz w:val="22"/>
          <w:szCs w:val="22"/>
        </w:rPr>
        <w:t>/or</w:t>
      </w:r>
      <w:r w:rsidR="00BD6A65" w:rsidRPr="000C0597">
        <w:rPr>
          <w:rFonts w:ascii="Arial" w:hAnsi="Arial" w:cs="Arial"/>
          <w:sz w:val="22"/>
          <w:szCs w:val="22"/>
        </w:rPr>
        <w:t xml:space="preserve"> dispatchable by </w:t>
      </w:r>
      <w:r w:rsidR="008638A1" w:rsidRPr="000C0597">
        <w:rPr>
          <w:rFonts w:ascii="Arial" w:hAnsi="Arial" w:cs="Arial"/>
          <w:sz w:val="22"/>
          <w:szCs w:val="22"/>
        </w:rPr>
        <w:t>a</w:t>
      </w:r>
      <w:r w:rsidR="00BD6A65" w:rsidRPr="000C0597">
        <w:rPr>
          <w:rFonts w:ascii="Arial" w:hAnsi="Arial" w:cs="Arial"/>
          <w:sz w:val="22"/>
          <w:szCs w:val="22"/>
        </w:rPr>
        <w:t xml:space="preserve"> utility) were included as capacity resources in this study</w:t>
      </w:r>
      <w:r w:rsidR="008244ED" w:rsidRPr="000C0597">
        <w:rPr>
          <w:rFonts w:ascii="Arial" w:hAnsi="Arial" w:cs="Arial"/>
          <w:sz w:val="22"/>
          <w:szCs w:val="22"/>
        </w:rPr>
        <w:t xml:space="preserve">. </w:t>
      </w:r>
      <w:r w:rsidR="00BD6A65" w:rsidRPr="000C0597">
        <w:rPr>
          <w:rFonts w:ascii="Arial" w:hAnsi="Arial" w:cs="Arial"/>
          <w:sz w:val="22"/>
          <w:szCs w:val="22"/>
        </w:rPr>
        <w:t>Each interruptible contract</w:t>
      </w:r>
      <w:r w:rsidRPr="000C0597">
        <w:rPr>
          <w:rFonts w:ascii="Arial" w:hAnsi="Arial" w:cs="Arial"/>
          <w:sz w:val="22"/>
          <w:szCs w:val="22"/>
        </w:rPr>
        <w:t xml:space="preserve"> load was</w:t>
      </w:r>
      <w:r w:rsidR="00FE2402" w:rsidRPr="000C0597">
        <w:rPr>
          <w:rFonts w:ascii="Arial" w:hAnsi="Arial" w:cs="Arial"/>
          <w:sz w:val="22"/>
          <w:szCs w:val="22"/>
        </w:rPr>
        <w:t xml:space="preserve"> appropriately adjusted </w:t>
      </w:r>
      <w:r w:rsidR="00D173D3" w:rsidRPr="000C0597">
        <w:rPr>
          <w:rFonts w:ascii="Arial" w:hAnsi="Arial" w:cs="Arial"/>
          <w:sz w:val="22"/>
          <w:szCs w:val="22"/>
        </w:rPr>
        <w:t xml:space="preserve">to equate </w:t>
      </w:r>
      <w:r w:rsidR="00F1587C" w:rsidRPr="000C0597">
        <w:rPr>
          <w:rFonts w:ascii="Arial" w:hAnsi="Arial" w:cs="Arial"/>
          <w:sz w:val="22"/>
          <w:szCs w:val="22"/>
        </w:rPr>
        <w:t>it</w:t>
      </w:r>
      <w:r w:rsidR="00D173D3" w:rsidRPr="000C0597">
        <w:rPr>
          <w:rFonts w:ascii="Arial" w:hAnsi="Arial" w:cs="Arial"/>
          <w:sz w:val="22"/>
          <w:szCs w:val="22"/>
        </w:rPr>
        <w:t xml:space="preserve"> to the supply side</w:t>
      </w:r>
      <w:r w:rsidR="00BD6A65" w:rsidRPr="000C0597">
        <w:rPr>
          <w:rFonts w:ascii="Arial" w:hAnsi="Arial" w:cs="Arial"/>
          <w:sz w:val="22"/>
          <w:szCs w:val="22"/>
        </w:rPr>
        <w:t xml:space="preserve"> by </w:t>
      </w:r>
      <w:r w:rsidR="00FE2402" w:rsidRPr="000C0597">
        <w:rPr>
          <w:rFonts w:ascii="Arial" w:hAnsi="Arial" w:cs="Arial"/>
          <w:sz w:val="22"/>
          <w:szCs w:val="22"/>
        </w:rPr>
        <w:t xml:space="preserve">one or a combination of </w:t>
      </w:r>
      <w:r w:rsidR="00BD6A65" w:rsidRPr="000C0597">
        <w:rPr>
          <w:rFonts w:ascii="Arial" w:hAnsi="Arial" w:cs="Arial"/>
          <w:sz w:val="22"/>
          <w:szCs w:val="22"/>
        </w:rPr>
        <w:t xml:space="preserve">the </w:t>
      </w:r>
      <w:r w:rsidR="00960593" w:rsidRPr="000C0597">
        <w:rPr>
          <w:rFonts w:ascii="Arial" w:hAnsi="Arial" w:cs="Arial"/>
          <w:sz w:val="22"/>
          <w:szCs w:val="22"/>
        </w:rPr>
        <w:t xml:space="preserve">following </w:t>
      </w:r>
      <w:r w:rsidR="00BD6A65" w:rsidRPr="000C0597">
        <w:rPr>
          <w:rFonts w:ascii="Arial" w:hAnsi="Arial" w:cs="Arial"/>
          <w:sz w:val="22"/>
          <w:szCs w:val="22"/>
        </w:rPr>
        <w:t xml:space="preserve">corresponding </w:t>
      </w:r>
      <w:r w:rsidR="00960593" w:rsidRPr="000C0597">
        <w:rPr>
          <w:rFonts w:ascii="Arial" w:hAnsi="Arial" w:cs="Arial"/>
          <w:sz w:val="22"/>
          <w:szCs w:val="22"/>
        </w:rPr>
        <w:t xml:space="preserve">factors: </w:t>
      </w:r>
      <w:r w:rsidR="00FE2402" w:rsidRPr="000C0597">
        <w:rPr>
          <w:rFonts w:ascii="Arial" w:hAnsi="Arial" w:cs="Arial"/>
          <w:sz w:val="22"/>
          <w:szCs w:val="22"/>
        </w:rPr>
        <w:t xml:space="preserve">availability factor, </w:t>
      </w:r>
      <w:r w:rsidR="00D173D3" w:rsidRPr="000C0597">
        <w:rPr>
          <w:rFonts w:ascii="Arial" w:hAnsi="Arial" w:cs="Arial"/>
          <w:sz w:val="22"/>
          <w:szCs w:val="22"/>
        </w:rPr>
        <w:t>loss factor</w:t>
      </w:r>
      <w:r w:rsidR="00FE2402" w:rsidRPr="000C0597">
        <w:rPr>
          <w:rFonts w:ascii="Arial" w:hAnsi="Arial" w:cs="Arial"/>
          <w:sz w:val="22"/>
          <w:szCs w:val="22"/>
        </w:rPr>
        <w:t xml:space="preserve">, </w:t>
      </w:r>
      <w:r w:rsidR="00D173D3" w:rsidRPr="000C0597">
        <w:rPr>
          <w:rFonts w:ascii="Arial" w:hAnsi="Arial" w:cs="Arial"/>
          <w:sz w:val="22"/>
          <w:szCs w:val="22"/>
        </w:rPr>
        <w:t>and</w:t>
      </w:r>
      <w:r w:rsidR="00FE2402" w:rsidRPr="000C0597">
        <w:rPr>
          <w:rFonts w:ascii="Arial" w:hAnsi="Arial" w:cs="Arial"/>
          <w:sz w:val="22"/>
          <w:szCs w:val="22"/>
        </w:rPr>
        <w:t xml:space="preserve"> the </w:t>
      </w:r>
      <w:r w:rsidR="00BD6A65" w:rsidRPr="000C0597">
        <w:rPr>
          <w:rFonts w:ascii="Arial" w:hAnsi="Arial" w:cs="Arial"/>
          <w:sz w:val="22"/>
          <w:szCs w:val="22"/>
        </w:rPr>
        <w:t>Incremental Capacity Equivalent</w:t>
      </w:r>
      <w:r w:rsidR="00FE2402" w:rsidRPr="000C0597">
        <w:rPr>
          <w:rFonts w:ascii="Arial" w:hAnsi="Arial" w:cs="Arial"/>
          <w:sz w:val="22"/>
          <w:szCs w:val="22"/>
        </w:rPr>
        <w:t xml:space="preserve"> (</w:t>
      </w:r>
      <w:r w:rsidR="00454B52" w:rsidRPr="000C0597">
        <w:rPr>
          <w:rFonts w:ascii="Arial" w:hAnsi="Arial" w:cs="Arial"/>
          <w:sz w:val="22"/>
          <w:szCs w:val="22"/>
        </w:rPr>
        <w:t>“</w:t>
      </w:r>
      <w:r w:rsidR="00FE2402" w:rsidRPr="000C0597">
        <w:rPr>
          <w:rFonts w:ascii="Arial" w:hAnsi="Arial" w:cs="Arial"/>
          <w:sz w:val="22"/>
          <w:szCs w:val="22"/>
        </w:rPr>
        <w:t>ICE</w:t>
      </w:r>
      <w:r w:rsidR="00454B52" w:rsidRPr="000C0597">
        <w:rPr>
          <w:rFonts w:ascii="Arial" w:hAnsi="Arial" w:cs="Arial"/>
          <w:sz w:val="22"/>
          <w:szCs w:val="22"/>
        </w:rPr>
        <w:t>”</w:t>
      </w:r>
      <w:r w:rsidR="00BD6A65" w:rsidRPr="000C0597">
        <w:rPr>
          <w:rFonts w:ascii="Arial" w:hAnsi="Arial" w:cs="Arial"/>
          <w:sz w:val="22"/>
          <w:szCs w:val="22"/>
        </w:rPr>
        <w:t xml:space="preserve">) </w:t>
      </w:r>
      <w:r w:rsidR="009267AB" w:rsidRPr="000C0597">
        <w:rPr>
          <w:rFonts w:ascii="Arial" w:hAnsi="Arial" w:cs="Arial"/>
          <w:sz w:val="22"/>
          <w:szCs w:val="22"/>
        </w:rPr>
        <w:t>f</w:t>
      </w:r>
      <w:r w:rsidR="00BD6A65" w:rsidRPr="000C0597">
        <w:rPr>
          <w:rFonts w:ascii="Arial" w:hAnsi="Arial" w:cs="Arial"/>
          <w:sz w:val="22"/>
          <w:szCs w:val="22"/>
        </w:rPr>
        <w:t>actor</w:t>
      </w:r>
      <w:r w:rsidR="008244ED" w:rsidRPr="000C0597">
        <w:rPr>
          <w:rFonts w:ascii="Arial" w:hAnsi="Arial" w:cs="Arial"/>
          <w:sz w:val="22"/>
          <w:szCs w:val="22"/>
        </w:rPr>
        <w:t xml:space="preserve">. </w:t>
      </w:r>
      <w:r w:rsidR="00BD6A65" w:rsidRPr="000C0597">
        <w:rPr>
          <w:rFonts w:ascii="Arial" w:hAnsi="Arial" w:cs="Arial"/>
          <w:sz w:val="22"/>
          <w:szCs w:val="22"/>
        </w:rPr>
        <w:t xml:space="preserve">For all operating companies, </w:t>
      </w:r>
      <w:r w:rsidR="009238A8" w:rsidRPr="000C0597">
        <w:rPr>
          <w:rFonts w:ascii="Arial" w:hAnsi="Arial" w:cs="Arial"/>
          <w:sz w:val="22"/>
          <w:szCs w:val="22"/>
        </w:rPr>
        <w:t xml:space="preserve">non-dispatchable </w:t>
      </w:r>
      <w:r w:rsidR="00BD6A65" w:rsidRPr="000C0597">
        <w:rPr>
          <w:rFonts w:ascii="Arial" w:hAnsi="Arial" w:cs="Arial"/>
          <w:sz w:val="22"/>
          <w:szCs w:val="22"/>
        </w:rPr>
        <w:t xml:space="preserve">DSOs (options such as insulation or </w:t>
      </w:r>
      <w:r w:rsidR="00F34E46" w:rsidRPr="000C0597">
        <w:rPr>
          <w:rFonts w:ascii="Arial" w:hAnsi="Arial" w:cs="Arial"/>
          <w:sz w:val="22"/>
          <w:szCs w:val="22"/>
        </w:rPr>
        <w:t xml:space="preserve">end-use </w:t>
      </w:r>
      <w:r w:rsidR="00BD6A65" w:rsidRPr="000C0597">
        <w:rPr>
          <w:rFonts w:ascii="Arial" w:hAnsi="Arial" w:cs="Arial"/>
          <w:sz w:val="22"/>
          <w:szCs w:val="22"/>
        </w:rPr>
        <w:t>equipment’s</w:t>
      </w:r>
      <w:r w:rsidR="00F34E46" w:rsidRPr="000C0597">
        <w:rPr>
          <w:rFonts w:ascii="Arial" w:hAnsi="Arial" w:cs="Arial"/>
          <w:sz w:val="22"/>
          <w:szCs w:val="22"/>
        </w:rPr>
        <w:t xml:space="preserve"> energy</w:t>
      </w:r>
      <w:r w:rsidR="00BD6A65" w:rsidRPr="000C0597">
        <w:rPr>
          <w:rFonts w:ascii="Arial" w:hAnsi="Arial" w:cs="Arial"/>
          <w:sz w:val="22"/>
          <w:szCs w:val="22"/>
        </w:rPr>
        <w:t xml:space="preserve"> efficiency which are not directly controllable by the utility) are </w:t>
      </w:r>
      <w:r w:rsidR="004B309D" w:rsidRPr="000C0597">
        <w:rPr>
          <w:rFonts w:ascii="Arial" w:hAnsi="Arial" w:cs="Arial"/>
          <w:sz w:val="22"/>
          <w:szCs w:val="22"/>
        </w:rPr>
        <w:t xml:space="preserve">accounted for </w:t>
      </w:r>
      <w:r w:rsidR="00BD6A65" w:rsidRPr="000C0597">
        <w:rPr>
          <w:rFonts w:ascii="Arial" w:hAnsi="Arial" w:cs="Arial"/>
          <w:sz w:val="22"/>
          <w:szCs w:val="22"/>
        </w:rPr>
        <w:t xml:space="preserve">in the load forecast. </w:t>
      </w:r>
    </w:p>
    <w:p w14:paraId="00E80C7D" w14:textId="77777777" w:rsidR="00BD6A65" w:rsidRPr="000C0597" w:rsidRDefault="007C2098" w:rsidP="00243513">
      <w:pPr>
        <w:spacing w:line="360" w:lineRule="atLeast"/>
        <w:rPr>
          <w:rFonts w:ascii="Arial" w:hAnsi="Arial" w:cs="Arial"/>
          <w:sz w:val="22"/>
          <w:szCs w:val="22"/>
        </w:rPr>
      </w:pPr>
      <w:r w:rsidRPr="000C0597">
        <w:rPr>
          <w:rFonts w:ascii="Arial" w:hAnsi="Arial" w:cs="Arial"/>
          <w:sz w:val="22"/>
          <w:szCs w:val="22"/>
        </w:rPr>
        <w:br w:type="page"/>
      </w:r>
    </w:p>
    <w:p w14:paraId="6133C93C" w14:textId="77777777" w:rsidR="00BD6A65" w:rsidRPr="000C0597" w:rsidRDefault="00522ADC" w:rsidP="00A04A13">
      <w:pPr>
        <w:pStyle w:val="Heading2"/>
        <w:spacing w:line="360" w:lineRule="atLeast"/>
        <w:ind w:left="846"/>
        <w:rPr>
          <w:rFonts w:ascii="Arial" w:hAnsi="Arial" w:cs="Arial"/>
          <w:sz w:val="22"/>
          <w:szCs w:val="22"/>
        </w:rPr>
      </w:pPr>
      <w:bookmarkStart w:id="15" w:name="_Toc305487198"/>
      <w:r w:rsidRPr="000C0597">
        <w:rPr>
          <w:rFonts w:ascii="Arial" w:hAnsi="Arial" w:cs="Arial"/>
          <w:sz w:val="22"/>
          <w:szCs w:val="22"/>
        </w:rPr>
        <w:t>FINANCIAL ASSUMPTIONS</w:t>
      </w:r>
      <w:bookmarkEnd w:id="15"/>
    </w:p>
    <w:p w14:paraId="1ABBFAFC" w14:textId="54771D71" w:rsidR="00BD6A65" w:rsidRPr="000C0597" w:rsidRDefault="00BD6A65" w:rsidP="00A83DFB">
      <w:pPr>
        <w:spacing w:line="360" w:lineRule="atLeast"/>
        <w:rPr>
          <w:rFonts w:ascii="Arial" w:hAnsi="Arial" w:cs="Arial"/>
          <w:sz w:val="22"/>
          <w:szCs w:val="22"/>
        </w:rPr>
      </w:pPr>
      <w:bookmarkStart w:id="16" w:name="_Hlk519257271"/>
      <w:r w:rsidRPr="000C0597">
        <w:rPr>
          <w:rFonts w:ascii="Arial" w:hAnsi="Arial" w:cs="Arial"/>
          <w:sz w:val="22"/>
          <w:szCs w:val="22"/>
        </w:rPr>
        <w:t xml:space="preserve">Table 2 details the capital structure and weighted costs used in the </w:t>
      </w:r>
      <w:r w:rsidR="000C25B7">
        <w:rPr>
          <w:rFonts w:ascii="Arial" w:hAnsi="Arial" w:cs="Arial"/>
          <w:sz w:val="22"/>
          <w:szCs w:val="22"/>
        </w:rPr>
        <w:t>M</w:t>
      </w:r>
      <w:r w:rsidR="000C25B7" w:rsidRPr="000C0597">
        <w:rPr>
          <w:rFonts w:ascii="Arial" w:hAnsi="Arial" w:cs="Arial"/>
          <w:sz w:val="22"/>
          <w:szCs w:val="22"/>
        </w:rPr>
        <w:t xml:space="preserve">ix </w:t>
      </w:r>
      <w:r w:rsidR="000C25B7">
        <w:rPr>
          <w:rFonts w:ascii="Arial" w:hAnsi="Arial" w:cs="Arial"/>
          <w:sz w:val="22"/>
          <w:szCs w:val="22"/>
        </w:rPr>
        <w:t>S</w:t>
      </w:r>
      <w:r w:rsidR="000C25B7" w:rsidRPr="000C0597">
        <w:rPr>
          <w:rFonts w:ascii="Arial" w:hAnsi="Arial" w:cs="Arial"/>
          <w:sz w:val="22"/>
          <w:szCs w:val="22"/>
        </w:rPr>
        <w:t>tudy</w:t>
      </w:r>
      <w:r w:rsidR="008244ED" w:rsidRPr="000C0597">
        <w:rPr>
          <w:rFonts w:ascii="Arial" w:hAnsi="Arial" w:cs="Arial"/>
          <w:sz w:val="22"/>
          <w:szCs w:val="22"/>
        </w:rPr>
        <w:t xml:space="preserve">. </w:t>
      </w:r>
      <w:r w:rsidRPr="000C0597">
        <w:rPr>
          <w:rFonts w:ascii="Arial" w:hAnsi="Arial" w:cs="Arial"/>
          <w:sz w:val="22"/>
          <w:szCs w:val="22"/>
        </w:rPr>
        <w:t xml:space="preserve">Table 3 shows the escalation rates based on </w:t>
      </w:r>
      <w:r w:rsidR="00597FE4" w:rsidRPr="000C0597">
        <w:rPr>
          <w:rFonts w:ascii="Arial" w:hAnsi="Arial" w:cs="Arial"/>
          <w:sz w:val="22"/>
          <w:szCs w:val="22"/>
        </w:rPr>
        <w:t xml:space="preserve">the </w:t>
      </w:r>
      <w:r w:rsidR="00440F35" w:rsidRPr="000C0597">
        <w:rPr>
          <w:rFonts w:ascii="Arial" w:hAnsi="Arial" w:cs="Arial"/>
          <w:sz w:val="22"/>
          <w:szCs w:val="22"/>
        </w:rPr>
        <w:t xml:space="preserve">IHS </w:t>
      </w:r>
      <w:r w:rsidR="00C03FB2" w:rsidRPr="000C0597">
        <w:rPr>
          <w:rFonts w:ascii="Arial" w:hAnsi="Arial" w:cs="Arial"/>
          <w:sz w:val="22"/>
          <w:szCs w:val="22"/>
        </w:rPr>
        <w:t>Markit April</w:t>
      </w:r>
      <w:r w:rsidR="00D173D3" w:rsidRPr="000C0597">
        <w:rPr>
          <w:rFonts w:ascii="Arial" w:hAnsi="Arial" w:cs="Arial"/>
          <w:sz w:val="22"/>
          <w:szCs w:val="22"/>
        </w:rPr>
        <w:t xml:space="preserve"> </w:t>
      </w:r>
      <w:r w:rsidR="00E54C02" w:rsidRPr="000C0597">
        <w:rPr>
          <w:rFonts w:ascii="Arial" w:hAnsi="Arial" w:cs="Arial"/>
          <w:sz w:val="22"/>
          <w:szCs w:val="22"/>
        </w:rPr>
        <w:t xml:space="preserve">2018 </w:t>
      </w:r>
      <w:r w:rsidRPr="000C0597">
        <w:rPr>
          <w:rFonts w:ascii="Arial" w:hAnsi="Arial" w:cs="Arial"/>
          <w:sz w:val="22"/>
          <w:szCs w:val="22"/>
        </w:rPr>
        <w:t>Forecast</w:t>
      </w:r>
      <w:r w:rsidR="001933AB" w:rsidRPr="000C0597">
        <w:rPr>
          <w:rFonts w:ascii="Arial" w:hAnsi="Arial" w:cs="Arial"/>
          <w:sz w:val="22"/>
          <w:szCs w:val="22"/>
        </w:rPr>
        <w:t xml:space="preserve"> except as noted</w:t>
      </w:r>
      <w:r w:rsidRPr="000C0597">
        <w:rPr>
          <w:rFonts w:ascii="Arial" w:hAnsi="Arial" w:cs="Arial"/>
          <w:sz w:val="22"/>
          <w:szCs w:val="22"/>
        </w:rPr>
        <w:t>.</w:t>
      </w:r>
    </w:p>
    <w:bookmarkEnd w:id="16"/>
    <w:p w14:paraId="389861F9" w14:textId="77777777" w:rsidR="00BD6A65" w:rsidRPr="000C0597" w:rsidRDefault="00BD6A65" w:rsidP="000B291A">
      <w:pPr>
        <w:pStyle w:val="TableHead"/>
        <w:numPr>
          <w:ilvl w:val="0"/>
          <w:numId w:val="3"/>
        </w:numPr>
        <w:spacing w:line="360" w:lineRule="atLeast"/>
        <w:rPr>
          <w:rFonts w:ascii="Arial" w:hAnsi="Arial" w:cs="Arial"/>
          <w:sz w:val="22"/>
          <w:szCs w:val="22"/>
        </w:rPr>
      </w:pPr>
      <w:r w:rsidRPr="000C0597">
        <w:rPr>
          <w:rFonts w:ascii="Arial" w:hAnsi="Arial" w:cs="Arial"/>
          <w:sz w:val="22"/>
          <w:szCs w:val="22"/>
        </w:rPr>
        <w:t>Capital Structure</w:t>
      </w:r>
    </w:p>
    <w:tbl>
      <w:tblPr>
        <w:tblW w:w="8820" w:type="dxa"/>
        <w:tblInd w:w="5" w:type="dxa"/>
        <w:tblLayout w:type="fixed"/>
        <w:tblCellMar>
          <w:left w:w="0" w:type="dxa"/>
          <w:right w:w="0" w:type="dxa"/>
        </w:tblCellMar>
        <w:tblLook w:val="0000" w:firstRow="0" w:lastRow="0" w:firstColumn="0" w:lastColumn="0" w:noHBand="0" w:noVBand="0"/>
      </w:tblPr>
      <w:tblGrid>
        <w:gridCol w:w="1470"/>
        <w:gridCol w:w="1470"/>
        <w:gridCol w:w="1470"/>
        <w:gridCol w:w="1440"/>
        <w:gridCol w:w="1530"/>
        <w:gridCol w:w="1440"/>
      </w:tblGrid>
      <w:tr w:rsidR="00A07EA2" w:rsidRPr="000C0597" w14:paraId="195DD43D" w14:textId="77777777" w:rsidTr="00682E4A">
        <w:trPr>
          <w:cantSplit/>
          <w:trHeight w:val="480"/>
          <w:tblHeader/>
        </w:trPr>
        <w:tc>
          <w:tcPr>
            <w:tcW w:w="1470" w:type="dxa"/>
            <w:tcBorders>
              <w:top w:val="double" w:sz="6" w:space="0" w:color="auto"/>
              <w:left w:val="double" w:sz="6" w:space="0" w:color="auto"/>
              <w:bottom w:val="double" w:sz="6" w:space="0" w:color="auto"/>
              <w:right w:val="single" w:sz="4" w:space="0" w:color="000000"/>
            </w:tcBorders>
            <w:shd w:val="clear" w:color="auto" w:fill="FFFF99"/>
          </w:tcPr>
          <w:p w14:paraId="48F371C9" w14:textId="77777777" w:rsidR="00A07EA2" w:rsidRPr="000C0597" w:rsidRDefault="00A07EA2" w:rsidP="00A83DFB">
            <w:pPr>
              <w:spacing w:line="360" w:lineRule="atLeast"/>
              <w:ind w:left="360" w:hanging="360"/>
              <w:rPr>
                <w:rFonts w:ascii="Arial" w:hAnsi="Arial" w:cs="Arial"/>
                <w:b/>
                <w:sz w:val="22"/>
              </w:rPr>
            </w:pPr>
            <w:r w:rsidRPr="000C0597">
              <w:rPr>
                <w:rFonts w:ascii="Arial" w:hAnsi="Arial" w:cs="Arial"/>
                <w:b/>
                <w:sz w:val="22"/>
              </w:rPr>
              <w:t>Component</w:t>
            </w:r>
          </w:p>
        </w:tc>
        <w:tc>
          <w:tcPr>
            <w:tcW w:w="1470" w:type="dxa"/>
            <w:tcBorders>
              <w:top w:val="double" w:sz="6" w:space="0" w:color="auto"/>
              <w:left w:val="single" w:sz="4" w:space="0" w:color="000000"/>
              <w:bottom w:val="double" w:sz="6" w:space="0" w:color="auto"/>
              <w:right w:val="single" w:sz="4" w:space="0" w:color="000000"/>
            </w:tcBorders>
            <w:shd w:val="clear" w:color="auto" w:fill="FFFF99"/>
          </w:tcPr>
          <w:p w14:paraId="3E610E2D" w14:textId="77777777" w:rsidR="00A07EA2" w:rsidRPr="000C0597" w:rsidRDefault="00A07EA2" w:rsidP="00A83DFB">
            <w:pPr>
              <w:spacing w:line="360" w:lineRule="atLeast"/>
              <w:ind w:left="360" w:hanging="360"/>
              <w:jc w:val="center"/>
              <w:rPr>
                <w:rFonts w:ascii="Arial" w:hAnsi="Arial" w:cs="Arial"/>
                <w:b/>
                <w:sz w:val="22"/>
              </w:rPr>
            </w:pPr>
            <w:r w:rsidRPr="000C0597">
              <w:rPr>
                <w:rFonts w:ascii="Arial" w:hAnsi="Arial" w:cs="Arial"/>
                <w:b/>
                <w:sz w:val="22"/>
              </w:rPr>
              <w:t>Ratio</w:t>
            </w:r>
          </w:p>
        </w:tc>
        <w:tc>
          <w:tcPr>
            <w:tcW w:w="1470" w:type="dxa"/>
            <w:tcBorders>
              <w:top w:val="double" w:sz="6" w:space="0" w:color="auto"/>
              <w:left w:val="single" w:sz="4" w:space="0" w:color="000000"/>
              <w:bottom w:val="double" w:sz="6" w:space="0" w:color="auto"/>
              <w:right w:val="single" w:sz="4" w:space="0" w:color="000000"/>
            </w:tcBorders>
            <w:shd w:val="clear" w:color="auto" w:fill="FFFF99"/>
          </w:tcPr>
          <w:p w14:paraId="2C69AC3D" w14:textId="77777777" w:rsidR="00A07EA2" w:rsidRPr="000C0597" w:rsidRDefault="00A07EA2" w:rsidP="00A83DFB">
            <w:pPr>
              <w:spacing w:line="360" w:lineRule="atLeast"/>
              <w:ind w:left="360" w:hanging="360"/>
              <w:jc w:val="center"/>
              <w:rPr>
                <w:rFonts w:ascii="Arial" w:hAnsi="Arial" w:cs="Arial"/>
                <w:b/>
                <w:sz w:val="22"/>
              </w:rPr>
            </w:pPr>
            <w:r w:rsidRPr="000C0597">
              <w:rPr>
                <w:rFonts w:ascii="Arial" w:hAnsi="Arial" w:cs="Arial"/>
                <w:b/>
                <w:sz w:val="22"/>
              </w:rPr>
              <w:t>Cost</w:t>
            </w:r>
          </w:p>
        </w:tc>
        <w:tc>
          <w:tcPr>
            <w:tcW w:w="1440" w:type="dxa"/>
            <w:tcBorders>
              <w:top w:val="double" w:sz="6" w:space="0" w:color="auto"/>
              <w:left w:val="single" w:sz="4" w:space="0" w:color="000000"/>
              <w:bottom w:val="double" w:sz="6" w:space="0" w:color="auto"/>
              <w:right w:val="single" w:sz="4" w:space="0" w:color="000000"/>
            </w:tcBorders>
            <w:shd w:val="clear" w:color="auto" w:fill="FFFF99"/>
          </w:tcPr>
          <w:p w14:paraId="6D017C78" w14:textId="77777777" w:rsidR="00A07EA2" w:rsidRPr="000C0597" w:rsidRDefault="00A07EA2" w:rsidP="00A83DFB">
            <w:pPr>
              <w:spacing w:line="360" w:lineRule="atLeast"/>
              <w:ind w:left="360" w:hanging="360"/>
              <w:jc w:val="center"/>
              <w:rPr>
                <w:rFonts w:ascii="Arial" w:hAnsi="Arial" w:cs="Arial"/>
                <w:b/>
                <w:sz w:val="22"/>
              </w:rPr>
            </w:pPr>
            <w:r w:rsidRPr="000C0597">
              <w:rPr>
                <w:rFonts w:ascii="Arial" w:hAnsi="Arial" w:cs="Arial"/>
                <w:b/>
                <w:sz w:val="22"/>
              </w:rPr>
              <w:t>Weighted</w:t>
            </w:r>
          </w:p>
        </w:tc>
        <w:tc>
          <w:tcPr>
            <w:tcW w:w="1530" w:type="dxa"/>
            <w:tcBorders>
              <w:top w:val="double" w:sz="6" w:space="0" w:color="auto"/>
              <w:left w:val="single" w:sz="4" w:space="0" w:color="000000"/>
              <w:bottom w:val="double" w:sz="6" w:space="0" w:color="auto"/>
              <w:right w:val="single" w:sz="4" w:space="0" w:color="000000"/>
            </w:tcBorders>
            <w:shd w:val="clear" w:color="auto" w:fill="FFFF99"/>
          </w:tcPr>
          <w:p w14:paraId="6D10FF67" w14:textId="77777777" w:rsidR="00A07EA2" w:rsidRPr="000C0597" w:rsidRDefault="00A07EA2" w:rsidP="00A83DFB">
            <w:pPr>
              <w:spacing w:line="360" w:lineRule="atLeast"/>
              <w:ind w:left="360" w:hanging="360"/>
              <w:jc w:val="center"/>
              <w:rPr>
                <w:rFonts w:ascii="Arial" w:hAnsi="Arial" w:cs="Arial"/>
                <w:b/>
                <w:sz w:val="22"/>
              </w:rPr>
            </w:pPr>
            <w:r w:rsidRPr="000C0597">
              <w:rPr>
                <w:rFonts w:ascii="Arial" w:hAnsi="Arial" w:cs="Arial"/>
                <w:b/>
                <w:sz w:val="22"/>
              </w:rPr>
              <w:t>After Tax</w:t>
            </w:r>
          </w:p>
        </w:tc>
        <w:tc>
          <w:tcPr>
            <w:tcW w:w="1440" w:type="dxa"/>
            <w:tcBorders>
              <w:top w:val="double" w:sz="6" w:space="0" w:color="auto"/>
              <w:left w:val="single" w:sz="4" w:space="0" w:color="000000"/>
              <w:bottom w:val="double" w:sz="6" w:space="0" w:color="auto"/>
              <w:right w:val="double" w:sz="6" w:space="0" w:color="auto"/>
            </w:tcBorders>
            <w:shd w:val="clear" w:color="auto" w:fill="FFFF99"/>
          </w:tcPr>
          <w:p w14:paraId="4022FD57" w14:textId="77777777" w:rsidR="00A07EA2" w:rsidRPr="000C0597" w:rsidRDefault="00A07EA2" w:rsidP="00A83DFB">
            <w:pPr>
              <w:spacing w:line="360" w:lineRule="atLeast"/>
              <w:ind w:left="360" w:hanging="360"/>
              <w:jc w:val="center"/>
              <w:rPr>
                <w:rFonts w:ascii="Arial" w:hAnsi="Arial" w:cs="Arial"/>
                <w:b/>
                <w:sz w:val="22"/>
              </w:rPr>
            </w:pPr>
            <w:r w:rsidRPr="000C0597">
              <w:rPr>
                <w:rFonts w:ascii="Arial" w:hAnsi="Arial" w:cs="Arial"/>
                <w:b/>
                <w:sz w:val="22"/>
              </w:rPr>
              <w:t>Pretax</w:t>
            </w:r>
          </w:p>
        </w:tc>
      </w:tr>
      <w:tr w:rsidR="00EA78B3" w:rsidRPr="000C0597" w14:paraId="5A1760C2" w14:textId="77777777" w:rsidTr="00682E4A">
        <w:trPr>
          <w:cantSplit/>
        </w:trPr>
        <w:tc>
          <w:tcPr>
            <w:tcW w:w="1470" w:type="dxa"/>
            <w:tcBorders>
              <w:top w:val="double" w:sz="6" w:space="0" w:color="auto"/>
              <w:left w:val="double" w:sz="6" w:space="0" w:color="auto"/>
              <w:bottom w:val="single" w:sz="4" w:space="0" w:color="000000"/>
              <w:right w:val="single" w:sz="4" w:space="0" w:color="000000"/>
            </w:tcBorders>
          </w:tcPr>
          <w:p w14:paraId="3FA3F5A3" w14:textId="77777777" w:rsidR="00EA78B3" w:rsidRPr="000C0597" w:rsidRDefault="00EA78B3" w:rsidP="00EA78B3">
            <w:pPr>
              <w:spacing w:line="360" w:lineRule="atLeast"/>
              <w:ind w:left="360" w:hanging="360"/>
              <w:rPr>
                <w:rFonts w:ascii="Arial" w:hAnsi="Arial" w:cs="Arial"/>
                <w:sz w:val="22"/>
              </w:rPr>
            </w:pPr>
            <w:r w:rsidRPr="000C0597">
              <w:rPr>
                <w:rFonts w:ascii="Arial" w:hAnsi="Arial" w:cs="Arial"/>
                <w:sz w:val="22"/>
              </w:rPr>
              <w:t xml:space="preserve"> Debt</w:t>
            </w:r>
          </w:p>
        </w:tc>
        <w:tc>
          <w:tcPr>
            <w:tcW w:w="1470" w:type="dxa"/>
            <w:tcBorders>
              <w:top w:val="double" w:sz="6" w:space="0" w:color="auto"/>
              <w:left w:val="single" w:sz="4" w:space="0" w:color="000000"/>
              <w:bottom w:val="single" w:sz="4" w:space="0" w:color="000000"/>
              <w:right w:val="single" w:sz="4" w:space="0" w:color="000000"/>
            </w:tcBorders>
          </w:tcPr>
          <w:p w14:paraId="10134104" w14:textId="0CD42CBE" w:rsidR="00EA78B3" w:rsidRPr="000C0597" w:rsidRDefault="00EA78B3" w:rsidP="00EA78B3">
            <w:pPr>
              <w:spacing w:before="240" w:after="120" w:line="360" w:lineRule="atLeast"/>
              <w:ind w:left="360" w:hanging="360"/>
              <w:jc w:val="center"/>
              <w:rPr>
                <w:rFonts w:ascii="Arial" w:hAnsi="Arial" w:cs="Arial"/>
                <w:sz w:val="22"/>
              </w:rPr>
            </w:pPr>
            <w:r w:rsidRPr="000C0597">
              <w:rPr>
                <w:rFonts w:ascii="Arial" w:hAnsi="Arial" w:cs="Arial"/>
                <w:sz w:val="22"/>
              </w:rPr>
              <w:t>45%</w:t>
            </w:r>
          </w:p>
        </w:tc>
        <w:tc>
          <w:tcPr>
            <w:tcW w:w="1470" w:type="dxa"/>
            <w:tcBorders>
              <w:top w:val="double" w:sz="6" w:space="0" w:color="auto"/>
              <w:left w:val="single" w:sz="4" w:space="0" w:color="000000"/>
              <w:bottom w:val="single" w:sz="4" w:space="0" w:color="000000"/>
              <w:right w:val="single" w:sz="4" w:space="0" w:color="000000"/>
            </w:tcBorders>
          </w:tcPr>
          <w:p w14:paraId="4DB1DEEA" w14:textId="6F2616E0" w:rsidR="00EA78B3" w:rsidRPr="000C0597" w:rsidRDefault="00EA78B3" w:rsidP="00EA78B3">
            <w:pPr>
              <w:spacing w:before="240" w:after="120" w:line="360" w:lineRule="atLeast"/>
              <w:ind w:left="360" w:hanging="360"/>
              <w:jc w:val="center"/>
              <w:rPr>
                <w:rFonts w:ascii="Arial" w:hAnsi="Arial" w:cs="Arial"/>
                <w:sz w:val="22"/>
                <w:highlight w:val="yellow"/>
              </w:rPr>
            </w:pPr>
            <w:r w:rsidRPr="00F553F6">
              <w:rPr>
                <w:rFonts w:ascii="Arial" w:hAnsi="Arial" w:cs="Arial"/>
                <w:b/>
                <w:sz w:val="22"/>
              </w:rPr>
              <w:t>REDACTED</w:t>
            </w:r>
          </w:p>
        </w:tc>
        <w:tc>
          <w:tcPr>
            <w:tcW w:w="1440" w:type="dxa"/>
            <w:tcBorders>
              <w:top w:val="double" w:sz="6" w:space="0" w:color="auto"/>
              <w:left w:val="single" w:sz="4" w:space="0" w:color="000000"/>
              <w:bottom w:val="single" w:sz="4" w:space="0" w:color="000000"/>
              <w:right w:val="single" w:sz="4" w:space="0" w:color="000000"/>
            </w:tcBorders>
          </w:tcPr>
          <w:p w14:paraId="3BC19425" w14:textId="1741E5AC"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c>
          <w:tcPr>
            <w:tcW w:w="1530" w:type="dxa"/>
            <w:tcBorders>
              <w:top w:val="double" w:sz="6" w:space="0" w:color="auto"/>
              <w:left w:val="single" w:sz="4" w:space="0" w:color="000000"/>
              <w:bottom w:val="single" w:sz="4" w:space="0" w:color="000000"/>
              <w:right w:val="single" w:sz="4" w:space="0" w:color="000000"/>
            </w:tcBorders>
          </w:tcPr>
          <w:p w14:paraId="0C5D20D1" w14:textId="7B133646"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c>
          <w:tcPr>
            <w:tcW w:w="1440" w:type="dxa"/>
            <w:tcBorders>
              <w:top w:val="double" w:sz="6" w:space="0" w:color="auto"/>
              <w:left w:val="single" w:sz="4" w:space="0" w:color="000000"/>
              <w:bottom w:val="single" w:sz="4" w:space="0" w:color="000000"/>
              <w:right w:val="double" w:sz="6" w:space="0" w:color="auto"/>
            </w:tcBorders>
          </w:tcPr>
          <w:p w14:paraId="6BC0AF71" w14:textId="723E788B"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r>
      <w:tr w:rsidR="00EA78B3" w:rsidRPr="000C0597" w14:paraId="74417F88" w14:textId="77777777" w:rsidTr="00682E4A">
        <w:trPr>
          <w:cantSplit/>
        </w:trPr>
        <w:tc>
          <w:tcPr>
            <w:tcW w:w="1470" w:type="dxa"/>
            <w:tcBorders>
              <w:top w:val="single" w:sz="4" w:space="0" w:color="000000"/>
              <w:left w:val="double" w:sz="6" w:space="0" w:color="auto"/>
              <w:bottom w:val="double" w:sz="6" w:space="0" w:color="auto"/>
              <w:right w:val="single" w:sz="4" w:space="0" w:color="000000"/>
            </w:tcBorders>
          </w:tcPr>
          <w:p w14:paraId="0A1E47AD" w14:textId="77777777" w:rsidR="00EA78B3" w:rsidRPr="000C0597" w:rsidRDefault="00EA78B3" w:rsidP="00EA78B3">
            <w:pPr>
              <w:spacing w:line="360" w:lineRule="atLeast"/>
              <w:ind w:left="360" w:hanging="360"/>
              <w:rPr>
                <w:rFonts w:ascii="Arial" w:hAnsi="Arial" w:cs="Arial"/>
                <w:sz w:val="22"/>
              </w:rPr>
            </w:pPr>
            <w:r w:rsidRPr="000C0597">
              <w:rPr>
                <w:rFonts w:ascii="Arial" w:hAnsi="Arial" w:cs="Arial"/>
                <w:sz w:val="22"/>
              </w:rPr>
              <w:t xml:space="preserve"> Equity</w:t>
            </w:r>
          </w:p>
        </w:tc>
        <w:tc>
          <w:tcPr>
            <w:tcW w:w="1470" w:type="dxa"/>
            <w:tcBorders>
              <w:top w:val="single" w:sz="4" w:space="0" w:color="000000"/>
              <w:left w:val="single" w:sz="4" w:space="0" w:color="000000"/>
              <w:bottom w:val="double" w:sz="6" w:space="0" w:color="auto"/>
              <w:right w:val="single" w:sz="4" w:space="0" w:color="000000"/>
            </w:tcBorders>
          </w:tcPr>
          <w:p w14:paraId="46B07DE8" w14:textId="6EE57E05" w:rsidR="00EA78B3" w:rsidRPr="000C0597" w:rsidRDefault="00EA78B3" w:rsidP="00EA78B3">
            <w:pPr>
              <w:spacing w:before="240" w:after="120" w:line="360" w:lineRule="atLeast"/>
              <w:ind w:left="360" w:hanging="360"/>
              <w:jc w:val="center"/>
              <w:rPr>
                <w:rFonts w:ascii="Arial" w:hAnsi="Arial" w:cs="Arial"/>
                <w:sz w:val="22"/>
              </w:rPr>
            </w:pPr>
            <w:r w:rsidRPr="000C0597">
              <w:rPr>
                <w:rFonts w:ascii="Arial" w:hAnsi="Arial" w:cs="Arial"/>
                <w:sz w:val="22"/>
              </w:rPr>
              <w:t>55%</w:t>
            </w:r>
          </w:p>
        </w:tc>
        <w:tc>
          <w:tcPr>
            <w:tcW w:w="1470" w:type="dxa"/>
            <w:tcBorders>
              <w:top w:val="single" w:sz="4" w:space="0" w:color="000000"/>
              <w:left w:val="single" w:sz="4" w:space="0" w:color="000000"/>
              <w:bottom w:val="double" w:sz="6" w:space="0" w:color="auto"/>
              <w:right w:val="single" w:sz="4" w:space="0" w:color="000000"/>
            </w:tcBorders>
          </w:tcPr>
          <w:p w14:paraId="7BDB00BF" w14:textId="723DA515" w:rsidR="00EA78B3" w:rsidRPr="000C0597" w:rsidRDefault="00A81750" w:rsidP="00EA78B3">
            <w:pPr>
              <w:spacing w:before="240" w:after="120" w:line="360" w:lineRule="atLeast"/>
              <w:ind w:left="360" w:hanging="360"/>
              <w:jc w:val="center"/>
              <w:rPr>
                <w:rFonts w:ascii="Arial" w:hAnsi="Arial" w:cs="Arial"/>
                <w:sz w:val="22"/>
                <w:highlight w:val="yellow"/>
              </w:rPr>
            </w:pPr>
            <w:r w:rsidRPr="00F553F6">
              <w:rPr>
                <w:rFonts w:ascii="Arial" w:hAnsi="Arial" w:cs="Arial"/>
                <w:b/>
                <w:sz w:val="22"/>
              </w:rPr>
              <w:t>REDACTED</w:t>
            </w:r>
          </w:p>
        </w:tc>
        <w:tc>
          <w:tcPr>
            <w:tcW w:w="1440" w:type="dxa"/>
            <w:tcBorders>
              <w:top w:val="single" w:sz="4" w:space="0" w:color="000000"/>
              <w:left w:val="single" w:sz="4" w:space="0" w:color="000000"/>
              <w:bottom w:val="double" w:sz="6" w:space="0" w:color="auto"/>
              <w:right w:val="single" w:sz="4" w:space="0" w:color="000000"/>
            </w:tcBorders>
          </w:tcPr>
          <w:p w14:paraId="1BB8ACEE" w14:textId="7578E84C"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c>
          <w:tcPr>
            <w:tcW w:w="1530" w:type="dxa"/>
            <w:tcBorders>
              <w:top w:val="single" w:sz="4" w:space="0" w:color="000000"/>
              <w:left w:val="single" w:sz="4" w:space="0" w:color="000000"/>
              <w:bottom w:val="double" w:sz="6" w:space="0" w:color="auto"/>
              <w:right w:val="single" w:sz="4" w:space="0" w:color="000000"/>
            </w:tcBorders>
          </w:tcPr>
          <w:p w14:paraId="16CEDE96" w14:textId="07ADE45E"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c>
          <w:tcPr>
            <w:tcW w:w="1440" w:type="dxa"/>
            <w:tcBorders>
              <w:top w:val="single" w:sz="4" w:space="0" w:color="000000"/>
              <w:left w:val="single" w:sz="4" w:space="0" w:color="000000"/>
              <w:bottom w:val="double" w:sz="6" w:space="0" w:color="auto"/>
              <w:right w:val="double" w:sz="6" w:space="0" w:color="auto"/>
            </w:tcBorders>
          </w:tcPr>
          <w:p w14:paraId="193DD5D8" w14:textId="562639D8" w:rsidR="00EA78B3" w:rsidRPr="000C0597" w:rsidRDefault="00EA78B3" w:rsidP="00EA78B3">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r>
      <w:tr w:rsidR="00A81750" w:rsidRPr="000C0597" w14:paraId="2A8D9FCF" w14:textId="77777777" w:rsidTr="00682E4A">
        <w:trPr>
          <w:cantSplit/>
        </w:trPr>
        <w:tc>
          <w:tcPr>
            <w:tcW w:w="4410" w:type="dxa"/>
            <w:gridSpan w:val="3"/>
            <w:tcBorders>
              <w:top w:val="double" w:sz="6" w:space="0" w:color="auto"/>
              <w:left w:val="double" w:sz="6" w:space="0" w:color="auto"/>
              <w:bottom w:val="double" w:sz="6" w:space="0" w:color="auto"/>
              <w:right w:val="single" w:sz="4" w:space="0" w:color="000000"/>
            </w:tcBorders>
          </w:tcPr>
          <w:p w14:paraId="0FC669DD" w14:textId="77777777" w:rsidR="00A81750" w:rsidRPr="000C0597" w:rsidRDefault="00A81750" w:rsidP="00A81750">
            <w:pPr>
              <w:spacing w:line="360" w:lineRule="atLeast"/>
              <w:ind w:left="360" w:hanging="360"/>
              <w:jc w:val="center"/>
              <w:rPr>
                <w:rFonts w:ascii="Arial" w:hAnsi="Arial" w:cs="Arial"/>
                <w:b/>
                <w:sz w:val="22"/>
              </w:rPr>
            </w:pPr>
            <w:r w:rsidRPr="000C0597">
              <w:rPr>
                <w:rFonts w:ascii="Arial" w:hAnsi="Arial" w:cs="Arial"/>
                <w:sz w:val="22"/>
              </w:rPr>
              <w:t>Weighted Cost</w:t>
            </w:r>
          </w:p>
        </w:tc>
        <w:tc>
          <w:tcPr>
            <w:tcW w:w="1440" w:type="dxa"/>
            <w:tcBorders>
              <w:top w:val="double" w:sz="6" w:space="0" w:color="auto"/>
              <w:left w:val="single" w:sz="4" w:space="0" w:color="000000"/>
              <w:bottom w:val="double" w:sz="6" w:space="0" w:color="auto"/>
              <w:right w:val="single" w:sz="4" w:space="0" w:color="000000"/>
            </w:tcBorders>
          </w:tcPr>
          <w:p w14:paraId="49D7F4AA" w14:textId="32B68C0C" w:rsidR="00A81750" w:rsidRPr="000C0597" w:rsidRDefault="00A81750" w:rsidP="00A81750">
            <w:pPr>
              <w:spacing w:before="240" w:after="120" w:line="360" w:lineRule="atLeast"/>
              <w:ind w:left="360" w:hanging="360"/>
              <w:jc w:val="center"/>
              <w:rPr>
                <w:rFonts w:ascii="Arial" w:hAnsi="Arial" w:cs="Arial"/>
                <w:sz w:val="22"/>
                <w:highlight w:val="yellow"/>
              </w:rPr>
            </w:pPr>
            <w:r w:rsidRPr="00FF5CE6">
              <w:rPr>
                <w:rFonts w:ascii="Arial" w:hAnsi="Arial" w:cs="Arial"/>
                <w:b/>
                <w:sz w:val="22"/>
              </w:rPr>
              <w:t>REDACTED</w:t>
            </w:r>
          </w:p>
        </w:tc>
        <w:tc>
          <w:tcPr>
            <w:tcW w:w="1530" w:type="dxa"/>
            <w:tcBorders>
              <w:top w:val="double" w:sz="6" w:space="0" w:color="auto"/>
              <w:left w:val="single" w:sz="4" w:space="0" w:color="000000"/>
              <w:bottom w:val="double" w:sz="6" w:space="0" w:color="auto"/>
              <w:right w:val="single" w:sz="4" w:space="0" w:color="000000"/>
            </w:tcBorders>
          </w:tcPr>
          <w:p w14:paraId="7CD1EC21" w14:textId="2716AC10" w:rsidR="00A81750" w:rsidRPr="000C0597" w:rsidRDefault="00A81750" w:rsidP="00A81750">
            <w:pPr>
              <w:spacing w:before="240" w:after="120" w:line="360" w:lineRule="atLeast"/>
              <w:ind w:left="360" w:hanging="360"/>
              <w:jc w:val="center"/>
              <w:rPr>
                <w:rFonts w:ascii="Arial" w:hAnsi="Arial" w:cs="Arial"/>
                <w:sz w:val="22"/>
                <w:highlight w:val="yellow"/>
              </w:rPr>
            </w:pPr>
            <w:r w:rsidRPr="00FF5CE6">
              <w:rPr>
                <w:rFonts w:ascii="Arial" w:hAnsi="Arial" w:cs="Arial"/>
                <w:b/>
                <w:sz w:val="22"/>
              </w:rPr>
              <w:t>REDACTED</w:t>
            </w:r>
          </w:p>
        </w:tc>
        <w:tc>
          <w:tcPr>
            <w:tcW w:w="1440" w:type="dxa"/>
            <w:tcBorders>
              <w:top w:val="double" w:sz="6" w:space="0" w:color="auto"/>
              <w:left w:val="single" w:sz="4" w:space="0" w:color="000000"/>
              <w:bottom w:val="double" w:sz="6" w:space="0" w:color="auto"/>
              <w:right w:val="double" w:sz="6" w:space="0" w:color="auto"/>
            </w:tcBorders>
          </w:tcPr>
          <w:p w14:paraId="1C5CAE0B" w14:textId="29CD7247" w:rsidR="00A81750" w:rsidRPr="000C0597" w:rsidRDefault="00A81750" w:rsidP="00A81750">
            <w:pPr>
              <w:spacing w:before="240" w:after="120" w:line="360" w:lineRule="atLeast"/>
              <w:ind w:left="360" w:hanging="360"/>
              <w:jc w:val="center"/>
              <w:rPr>
                <w:rFonts w:ascii="Arial" w:hAnsi="Arial" w:cs="Arial"/>
                <w:sz w:val="22"/>
                <w:highlight w:val="yellow"/>
              </w:rPr>
            </w:pPr>
            <w:r w:rsidRPr="00E73B28">
              <w:rPr>
                <w:rFonts w:ascii="Arial" w:hAnsi="Arial" w:cs="Arial"/>
                <w:b/>
                <w:sz w:val="22"/>
              </w:rPr>
              <w:t>REDACTED</w:t>
            </w:r>
          </w:p>
        </w:tc>
      </w:tr>
    </w:tbl>
    <w:p w14:paraId="16388A70" w14:textId="77777777" w:rsidR="00BD6A65" w:rsidRPr="000675A8" w:rsidRDefault="00BD6A65" w:rsidP="00A83DFB">
      <w:pPr>
        <w:spacing w:line="360" w:lineRule="atLeast"/>
        <w:ind w:left="360" w:right="1620" w:hanging="360"/>
        <w:rPr>
          <w:rFonts w:ascii="Arial" w:hAnsi="Arial" w:cs="Arial"/>
          <w:sz w:val="24"/>
          <w:highlight w:val="yellow"/>
        </w:rPr>
      </w:pPr>
    </w:p>
    <w:p w14:paraId="1223B40C" w14:textId="3DF4C792" w:rsidR="00BD6A65" w:rsidRPr="000675A8" w:rsidRDefault="00930DCF" w:rsidP="00A83DFB">
      <w:pPr>
        <w:spacing w:line="360" w:lineRule="atLeast"/>
        <w:ind w:left="270" w:right="1620"/>
        <w:rPr>
          <w:rFonts w:ascii="Arial" w:hAnsi="Arial" w:cs="Arial"/>
          <w:sz w:val="24"/>
        </w:rPr>
      </w:pPr>
      <w:r>
        <w:rPr>
          <w:rFonts w:ascii="Arial" w:hAnsi="Arial" w:cs="Arial"/>
          <w:sz w:val="24"/>
          <w:highlight w:val="yellow"/>
        </w:rPr>
        <w:t xml:space="preserve"> </w:t>
      </w:r>
    </w:p>
    <w:p w14:paraId="7EBEDD2A" w14:textId="77777777" w:rsidR="00BD6A65" w:rsidRPr="000C0597" w:rsidRDefault="00BD6A65" w:rsidP="000B291A">
      <w:pPr>
        <w:pStyle w:val="TableHead"/>
        <w:numPr>
          <w:ilvl w:val="0"/>
          <w:numId w:val="3"/>
        </w:numPr>
        <w:spacing w:line="360" w:lineRule="atLeast"/>
        <w:rPr>
          <w:rFonts w:ascii="Arial" w:hAnsi="Arial" w:cs="Arial"/>
          <w:sz w:val="22"/>
        </w:rPr>
      </w:pPr>
      <w:r w:rsidRPr="000C0597">
        <w:rPr>
          <w:rFonts w:ascii="Arial" w:hAnsi="Arial" w:cs="Arial"/>
          <w:sz w:val="22"/>
        </w:rPr>
        <w:t>Discount and Inflation Rates</w:t>
      </w:r>
    </w:p>
    <w:tbl>
      <w:tblPr>
        <w:tblW w:w="0" w:type="auto"/>
        <w:tblInd w:w="118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4770"/>
        <w:gridCol w:w="1440"/>
      </w:tblGrid>
      <w:tr w:rsidR="00A07EA2" w:rsidRPr="000C0597" w14:paraId="1DC3DCAE" w14:textId="77777777" w:rsidTr="003B4C09">
        <w:trPr>
          <w:cantSplit/>
          <w:trHeight w:val="480"/>
        </w:trPr>
        <w:tc>
          <w:tcPr>
            <w:tcW w:w="4770" w:type="dxa"/>
            <w:tcBorders>
              <w:top w:val="double" w:sz="6" w:space="0" w:color="auto"/>
              <w:bottom w:val="double" w:sz="6" w:space="0" w:color="auto"/>
            </w:tcBorders>
            <w:shd w:val="clear" w:color="auto" w:fill="FFFF99"/>
          </w:tcPr>
          <w:p w14:paraId="7B3785EC" w14:textId="77777777" w:rsidR="00A07EA2" w:rsidRPr="000C0597" w:rsidRDefault="00A07EA2" w:rsidP="00682E4A">
            <w:pPr>
              <w:spacing w:line="360" w:lineRule="atLeast"/>
              <w:jc w:val="left"/>
              <w:rPr>
                <w:rFonts w:ascii="Arial" w:hAnsi="Arial" w:cs="Arial"/>
                <w:b/>
                <w:sz w:val="22"/>
              </w:rPr>
            </w:pPr>
            <w:r w:rsidRPr="000C0597">
              <w:rPr>
                <w:rFonts w:ascii="Arial" w:hAnsi="Arial" w:cs="Arial"/>
                <w:b/>
                <w:sz w:val="22"/>
              </w:rPr>
              <w:t>Component</w:t>
            </w:r>
          </w:p>
        </w:tc>
        <w:tc>
          <w:tcPr>
            <w:tcW w:w="1440" w:type="dxa"/>
            <w:tcBorders>
              <w:top w:val="double" w:sz="6" w:space="0" w:color="auto"/>
              <w:bottom w:val="double" w:sz="6" w:space="0" w:color="auto"/>
            </w:tcBorders>
            <w:shd w:val="clear" w:color="auto" w:fill="FFFF99"/>
          </w:tcPr>
          <w:p w14:paraId="1C199DB5" w14:textId="77777777" w:rsidR="00A07EA2" w:rsidRPr="000C0597" w:rsidRDefault="00A07EA2" w:rsidP="00682E4A">
            <w:pPr>
              <w:spacing w:line="360" w:lineRule="atLeast"/>
              <w:jc w:val="center"/>
              <w:rPr>
                <w:rFonts w:ascii="Arial" w:hAnsi="Arial" w:cs="Arial"/>
                <w:b/>
                <w:sz w:val="22"/>
              </w:rPr>
            </w:pPr>
            <w:r w:rsidRPr="000C0597">
              <w:rPr>
                <w:rFonts w:ascii="Arial" w:hAnsi="Arial" w:cs="Arial"/>
                <w:b/>
                <w:sz w:val="22"/>
              </w:rPr>
              <w:t>Cost</w:t>
            </w:r>
          </w:p>
        </w:tc>
      </w:tr>
      <w:tr w:rsidR="00A81750" w:rsidRPr="000C0597" w14:paraId="4B79820B" w14:textId="77777777" w:rsidTr="00B10551">
        <w:trPr>
          <w:cantSplit/>
        </w:trPr>
        <w:tc>
          <w:tcPr>
            <w:tcW w:w="4770" w:type="dxa"/>
          </w:tcPr>
          <w:p w14:paraId="7DF5D453" w14:textId="77777777" w:rsidR="00A81750" w:rsidRPr="000C0597" w:rsidRDefault="00A81750" w:rsidP="00A81750">
            <w:pPr>
              <w:spacing w:line="360" w:lineRule="atLeast"/>
              <w:rPr>
                <w:rFonts w:ascii="Arial" w:hAnsi="Arial" w:cs="Arial"/>
                <w:sz w:val="22"/>
              </w:rPr>
            </w:pPr>
            <w:r w:rsidRPr="000C0597">
              <w:rPr>
                <w:rFonts w:ascii="Arial" w:hAnsi="Arial" w:cs="Arial"/>
                <w:sz w:val="22"/>
              </w:rPr>
              <w:t>Discount Rate</w:t>
            </w:r>
          </w:p>
        </w:tc>
        <w:tc>
          <w:tcPr>
            <w:tcW w:w="1440" w:type="dxa"/>
          </w:tcPr>
          <w:p w14:paraId="5ADF818A" w14:textId="1145E4B0" w:rsidR="00A81750" w:rsidRPr="000C0597" w:rsidRDefault="00A81750" w:rsidP="00A81750">
            <w:pPr>
              <w:spacing w:line="360" w:lineRule="atLeast"/>
              <w:jc w:val="center"/>
              <w:rPr>
                <w:rFonts w:ascii="Arial" w:hAnsi="Arial" w:cs="Arial"/>
                <w:sz w:val="22"/>
                <w:highlight w:val="yellow"/>
              </w:rPr>
            </w:pPr>
            <w:r w:rsidRPr="00914317">
              <w:rPr>
                <w:rFonts w:ascii="Arial" w:hAnsi="Arial" w:cs="Arial"/>
                <w:b/>
                <w:sz w:val="22"/>
              </w:rPr>
              <w:t>REDACTED</w:t>
            </w:r>
          </w:p>
        </w:tc>
      </w:tr>
      <w:tr w:rsidR="00A81750" w:rsidRPr="000C0597" w14:paraId="1988707E" w14:textId="77777777" w:rsidTr="003B4C09">
        <w:trPr>
          <w:cantSplit/>
        </w:trPr>
        <w:tc>
          <w:tcPr>
            <w:tcW w:w="4770" w:type="dxa"/>
          </w:tcPr>
          <w:p w14:paraId="15765828" w14:textId="6F2D2337" w:rsidR="00A81750" w:rsidRPr="000C0597" w:rsidRDefault="00A81750" w:rsidP="00A81750">
            <w:pPr>
              <w:spacing w:line="360" w:lineRule="atLeast"/>
              <w:rPr>
                <w:rFonts w:ascii="Arial" w:hAnsi="Arial" w:cs="Arial"/>
                <w:sz w:val="22"/>
              </w:rPr>
            </w:pPr>
            <w:r w:rsidRPr="000C0597">
              <w:rPr>
                <w:rFonts w:ascii="Arial" w:hAnsi="Arial" w:cs="Arial"/>
                <w:sz w:val="22"/>
              </w:rPr>
              <w:t>Construction Escalation Rate</w:t>
            </w:r>
          </w:p>
        </w:tc>
        <w:tc>
          <w:tcPr>
            <w:tcW w:w="1440" w:type="dxa"/>
          </w:tcPr>
          <w:p w14:paraId="7820B338" w14:textId="0A09E28C" w:rsidR="00A81750" w:rsidRPr="000C0597" w:rsidRDefault="00A81750" w:rsidP="00A81750">
            <w:pPr>
              <w:spacing w:line="360" w:lineRule="atLeast"/>
              <w:jc w:val="center"/>
              <w:rPr>
                <w:rFonts w:ascii="Arial" w:hAnsi="Arial" w:cs="Arial"/>
                <w:sz w:val="22"/>
                <w:highlight w:val="yellow"/>
              </w:rPr>
            </w:pPr>
            <w:r w:rsidRPr="00914317">
              <w:rPr>
                <w:rFonts w:ascii="Arial" w:hAnsi="Arial" w:cs="Arial"/>
                <w:b/>
                <w:sz w:val="22"/>
              </w:rPr>
              <w:t>REDACTED</w:t>
            </w:r>
          </w:p>
        </w:tc>
      </w:tr>
      <w:tr w:rsidR="00A81750" w:rsidRPr="000C0597" w14:paraId="76BAE261" w14:textId="77777777" w:rsidTr="003B4C09">
        <w:trPr>
          <w:cantSplit/>
        </w:trPr>
        <w:tc>
          <w:tcPr>
            <w:tcW w:w="4770" w:type="dxa"/>
          </w:tcPr>
          <w:p w14:paraId="6C3D468D" w14:textId="77777777" w:rsidR="00A81750" w:rsidRPr="000C0597" w:rsidRDefault="00A81750" w:rsidP="00A81750">
            <w:pPr>
              <w:spacing w:line="360" w:lineRule="atLeast"/>
              <w:rPr>
                <w:rFonts w:ascii="Arial" w:hAnsi="Arial" w:cs="Arial"/>
                <w:sz w:val="22"/>
              </w:rPr>
            </w:pPr>
            <w:r w:rsidRPr="000C0597">
              <w:rPr>
                <w:rFonts w:ascii="Arial" w:hAnsi="Arial" w:cs="Arial"/>
                <w:sz w:val="22"/>
              </w:rPr>
              <w:t>Long-Term Inflation Rate</w:t>
            </w:r>
          </w:p>
        </w:tc>
        <w:tc>
          <w:tcPr>
            <w:tcW w:w="1440" w:type="dxa"/>
          </w:tcPr>
          <w:p w14:paraId="05C87847" w14:textId="40846B66" w:rsidR="00A81750" w:rsidRPr="000C0597" w:rsidRDefault="00A81750" w:rsidP="00A81750">
            <w:pPr>
              <w:spacing w:line="360" w:lineRule="atLeast"/>
              <w:jc w:val="center"/>
              <w:rPr>
                <w:rFonts w:ascii="Arial" w:hAnsi="Arial" w:cs="Arial"/>
                <w:sz w:val="22"/>
                <w:highlight w:val="yellow"/>
              </w:rPr>
            </w:pPr>
            <w:r w:rsidRPr="00914317">
              <w:rPr>
                <w:rFonts w:ascii="Arial" w:hAnsi="Arial" w:cs="Arial"/>
                <w:b/>
                <w:sz w:val="22"/>
              </w:rPr>
              <w:t>REDACTED</w:t>
            </w:r>
          </w:p>
        </w:tc>
      </w:tr>
      <w:tr w:rsidR="00A81750" w:rsidRPr="000C0597" w14:paraId="6D60ACE3" w14:textId="77777777" w:rsidTr="00B10551">
        <w:trPr>
          <w:cantSplit/>
        </w:trPr>
        <w:tc>
          <w:tcPr>
            <w:tcW w:w="4770" w:type="dxa"/>
          </w:tcPr>
          <w:p w14:paraId="7A8B91FB" w14:textId="77777777" w:rsidR="00A81750" w:rsidRPr="000C0597" w:rsidRDefault="00A81750" w:rsidP="00A81750">
            <w:pPr>
              <w:spacing w:line="360" w:lineRule="atLeast"/>
              <w:rPr>
                <w:rFonts w:ascii="Arial" w:hAnsi="Arial" w:cs="Arial"/>
                <w:sz w:val="22"/>
              </w:rPr>
            </w:pPr>
            <w:r w:rsidRPr="000C0597">
              <w:rPr>
                <w:rFonts w:ascii="Arial" w:hAnsi="Arial" w:cs="Arial"/>
                <w:sz w:val="22"/>
              </w:rPr>
              <w:t>Variable O&amp;M</w:t>
            </w:r>
          </w:p>
        </w:tc>
        <w:tc>
          <w:tcPr>
            <w:tcW w:w="1440" w:type="dxa"/>
          </w:tcPr>
          <w:p w14:paraId="576C3601" w14:textId="61873E91" w:rsidR="00A81750" w:rsidRPr="000C0597" w:rsidRDefault="00A81750" w:rsidP="00A81750">
            <w:pPr>
              <w:spacing w:line="360" w:lineRule="atLeast"/>
              <w:jc w:val="center"/>
              <w:rPr>
                <w:rFonts w:ascii="Arial" w:hAnsi="Arial" w:cs="Arial"/>
                <w:sz w:val="22"/>
                <w:highlight w:val="yellow"/>
              </w:rPr>
            </w:pPr>
            <w:r w:rsidRPr="00914317">
              <w:rPr>
                <w:rFonts w:ascii="Arial" w:hAnsi="Arial" w:cs="Arial"/>
                <w:b/>
                <w:sz w:val="22"/>
              </w:rPr>
              <w:t>REDACTED</w:t>
            </w:r>
          </w:p>
        </w:tc>
      </w:tr>
      <w:tr w:rsidR="00A81750" w:rsidRPr="000C0597" w14:paraId="4FF81A19" w14:textId="77777777" w:rsidTr="00B10551">
        <w:trPr>
          <w:cantSplit/>
        </w:trPr>
        <w:tc>
          <w:tcPr>
            <w:tcW w:w="4770" w:type="dxa"/>
          </w:tcPr>
          <w:p w14:paraId="30D56937" w14:textId="77777777" w:rsidR="00A81750" w:rsidRPr="000C0597" w:rsidRDefault="00A81750" w:rsidP="00A81750">
            <w:pPr>
              <w:spacing w:line="360" w:lineRule="atLeast"/>
              <w:rPr>
                <w:rFonts w:ascii="Arial" w:hAnsi="Arial" w:cs="Arial"/>
                <w:sz w:val="22"/>
              </w:rPr>
            </w:pPr>
            <w:r w:rsidRPr="000C0597">
              <w:rPr>
                <w:rFonts w:ascii="Arial" w:hAnsi="Arial" w:cs="Arial"/>
                <w:sz w:val="22"/>
              </w:rPr>
              <w:t>Fixed O&amp;M</w:t>
            </w:r>
          </w:p>
        </w:tc>
        <w:tc>
          <w:tcPr>
            <w:tcW w:w="1440" w:type="dxa"/>
          </w:tcPr>
          <w:p w14:paraId="06323A6D" w14:textId="4BDF4F1A" w:rsidR="00A81750" w:rsidRPr="000C0597" w:rsidRDefault="00A81750" w:rsidP="00A81750">
            <w:pPr>
              <w:spacing w:line="360" w:lineRule="atLeast"/>
              <w:jc w:val="center"/>
              <w:rPr>
                <w:rFonts w:ascii="Arial" w:hAnsi="Arial" w:cs="Arial"/>
                <w:sz w:val="22"/>
                <w:highlight w:val="yellow"/>
              </w:rPr>
            </w:pPr>
            <w:r w:rsidRPr="00914317">
              <w:rPr>
                <w:rFonts w:ascii="Arial" w:hAnsi="Arial" w:cs="Arial"/>
                <w:b/>
                <w:sz w:val="22"/>
              </w:rPr>
              <w:t>REDACTED</w:t>
            </w:r>
          </w:p>
        </w:tc>
      </w:tr>
    </w:tbl>
    <w:p w14:paraId="7C0E1B41" w14:textId="77777777" w:rsidR="00BD6A65" w:rsidRPr="000675A8" w:rsidRDefault="00BD6A65" w:rsidP="00243513">
      <w:pPr>
        <w:spacing w:line="360" w:lineRule="atLeast"/>
        <w:rPr>
          <w:rFonts w:ascii="Arial" w:hAnsi="Arial" w:cs="Arial"/>
          <w:sz w:val="24"/>
        </w:rPr>
      </w:pPr>
    </w:p>
    <w:p w14:paraId="44387537" w14:textId="77777777" w:rsidR="00BD6A65" w:rsidRPr="000C0597" w:rsidRDefault="00522ADC" w:rsidP="00A04A13">
      <w:pPr>
        <w:pStyle w:val="Heading2"/>
        <w:spacing w:line="360" w:lineRule="atLeast"/>
        <w:ind w:left="846"/>
        <w:rPr>
          <w:rFonts w:ascii="Arial" w:hAnsi="Arial" w:cs="Arial"/>
          <w:sz w:val="22"/>
          <w:szCs w:val="22"/>
        </w:rPr>
      </w:pPr>
      <w:bookmarkStart w:id="17" w:name="_Toc305487199"/>
      <w:r w:rsidRPr="000C0597">
        <w:rPr>
          <w:rFonts w:ascii="Arial" w:hAnsi="Arial" w:cs="Arial"/>
          <w:sz w:val="22"/>
          <w:szCs w:val="22"/>
        </w:rPr>
        <w:t>EXISTING UNITS</w:t>
      </w:r>
      <w:bookmarkEnd w:id="17"/>
    </w:p>
    <w:p w14:paraId="44F58856" w14:textId="437C0DF4"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A discussion of </w:t>
      </w:r>
      <w:r w:rsidR="00052006" w:rsidRPr="000C0597">
        <w:rPr>
          <w:rFonts w:ascii="Arial" w:hAnsi="Arial" w:cs="Arial"/>
          <w:sz w:val="22"/>
          <w:szCs w:val="22"/>
        </w:rPr>
        <w:t>the Strategist</w:t>
      </w:r>
      <w:r w:rsidRPr="000C0597">
        <w:rPr>
          <w:rFonts w:ascii="Arial" w:hAnsi="Arial" w:cs="Arial"/>
          <w:sz w:val="22"/>
          <w:szCs w:val="22"/>
        </w:rPr>
        <w:t xml:space="preserve"> inputs associated with the existing units can be found in </w:t>
      </w:r>
      <w:r w:rsidR="00F22E70" w:rsidRPr="000C0597">
        <w:rPr>
          <w:rFonts w:ascii="Arial" w:hAnsi="Arial" w:cs="Arial"/>
          <w:sz w:val="22"/>
          <w:szCs w:val="22"/>
        </w:rPr>
        <w:t xml:space="preserve">Section </w:t>
      </w:r>
      <w:r w:rsidRPr="000C0597">
        <w:rPr>
          <w:rFonts w:ascii="Arial" w:hAnsi="Arial" w:cs="Arial"/>
          <w:sz w:val="22"/>
          <w:szCs w:val="22"/>
        </w:rPr>
        <w:t>1</w:t>
      </w:r>
      <w:r w:rsidR="00BB2D2B" w:rsidRPr="000C0597">
        <w:rPr>
          <w:rFonts w:ascii="Arial" w:hAnsi="Arial" w:cs="Arial"/>
          <w:sz w:val="22"/>
          <w:szCs w:val="22"/>
        </w:rPr>
        <w:t>.2.</w:t>
      </w:r>
      <w:r w:rsidRPr="000C0597">
        <w:rPr>
          <w:rFonts w:ascii="Arial" w:hAnsi="Arial" w:cs="Arial"/>
          <w:sz w:val="22"/>
          <w:szCs w:val="22"/>
        </w:rPr>
        <w:t xml:space="preserve"> </w:t>
      </w:r>
      <w:r w:rsidR="00835243">
        <w:rPr>
          <w:rFonts w:ascii="Arial" w:hAnsi="Arial" w:cs="Arial"/>
          <w:sz w:val="22"/>
          <w:szCs w:val="22"/>
        </w:rPr>
        <w:t xml:space="preserve">These </w:t>
      </w:r>
      <w:r w:rsidRPr="000C0597">
        <w:rPr>
          <w:rFonts w:ascii="Arial" w:hAnsi="Arial" w:cs="Arial"/>
          <w:sz w:val="22"/>
          <w:szCs w:val="22"/>
        </w:rPr>
        <w:t>data</w:t>
      </w:r>
      <w:r w:rsidR="004022CF" w:rsidRPr="000C0597">
        <w:rPr>
          <w:rFonts w:ascii="Arial" w:hAnsi="Arial" w:cs="Arial"/>
          <w:sz w:val="22"/>
          <w:szCs w:val="22"/>
        </w:rPr>
        <w:t xml:space="preserve"> </w:t>
      </w:r>
      <w:r w:rsidR="00835243">
        <w:rPr>
          <w:rFonts w:ascii="Arial" w:hAnsi="Arial" w:cs="Arial"/>
          <w:sz w:val="22"/>
          <w:szCs w:val="22"/>
        </w:rPr>
        <w:t>are</w:t>
      </w:r>
      <w:r w:rsidR="00835243" w:rsidRPr="000C0597">
        <w:rPr>
          <w:rFonts w:ascii="Arial" w:hAnsi="Arial" w:cs="Arial"/>
          <w:sz w:val="22"/>
          <w:szCs w:val="22"/>
        </w:rPr>
        <w:t xml:space="preserve"> </w:t>
      </w:r>
      <w:r w:rsidR="004022CF" w:rsidRPr="000C0597">
        <w:rPr>
          <w:rFonts w:ascii="Arial" w:hAnsi="Arial" w:cs="Arial"/>
          <w:sz w:val="22"/>
          <w:szCs w:val="22"/>
        </w:rPr>
        <w:t>provided by each operating company and</w:t>
      </w:r>
      <w:r w:rsidRPr="000C0597">
        <w:rPr>
          <w:rFonts w:ascii="Arial" w:hAnsi="Arial" w:cs="Arial"/>
          <w:sz w:val="22"/>
          <w:szCs w:val="22"/>
        </w:rPr>
        <w:t xml:space="preserve"> consist of the following:</w:t>
      </w:r>
    </w:p>
    <w:p w14:paraId="1A7C1E6A" w14:textId="77777777" w:rsidR="00BD6A65" w:rsidRPr="000C0597" w:rsidRDefault="00BD6A65" w:rsidP="00243513">
      <w:pPr>
        <w:spacing w:line="360" w:lineRule="atLeast"/>
        <w:ind w:left="504" w:hanging="504"/>
        <w:rPr>
          <w:rFonts w:ascii="Arial" w:hAnsi="Arial" w:cs="Arial"/>
          <w:sz w:val="22"/>
          <w:szCs w:val="22"/>
        </w:rPr>
      </w:pPr>
    </w:p>
    <w:p w14:paraId="26A793D0" w14:textId="5D6DAEED" w:rsidR="00BD6A65" w:rsidRPr="000C0597" w:rsidRDefault="00BD6A65" w:rsidP="009E4429">
      <w:pPr>
        <w:pStyle w:val="ListParagraph"/>
        <w:numPr>
          <w:ilvl w:val="0"/>
          <w:numId w:val="16"/>
        </w:numPr>
        <w:spacing w:line="360" w:lineRule="atLeast"/>
        <w:rPr>
          <w:rFonts w:ascii="Arial" w:hAnsi="Arial" w:cs="Arial"/>
          <w:sz w:val="22"/>
          <w:szCs w:val="22"/>
        </w:rPr>
      </w:pPr>
      <w:r w:rsidRPr="000C0597">
        <w:rPr>
          <w:rFonts w:ascii="Arial" w:hAnsi="Arial" w:cs="Arial"/>
          <w:sz w:val="22"/>
          <w:szCs w:val="22"/>
        </w:rPr>
        <w:t>Unit Ratings</w:t>
      </w:r>
    </w:p>
    <w:p w14:paraId="05DE5B19" w14:textId="0E994E19" w:rsidR="00D17A03" w:rsidRPr="000C0597" w:rsidRDefault="00D17A03" w:rsidP="009E4429">
      <w:pPr>
        <w:pStyle w:val="ListParagraph"/>
        <w:numPr>
          <w:ilvl w:val="0"/>
          <w:numId w:val="16"/>
        </w:numPr>
        <w:spacing w:line="360" w:lineRule="atLeast"/>
        <w:rPr>
          <w:rFonts w:ascii="Arial" w:hAnsi="Arial" w:cs="Arial"/>
          <w:sz w:val="22"/>
          <w:szCs w:val="22"/>
        </w:rPr>
      </w:pPr>
      <w:r w:rsidRPr="000C0597">
        <w:rPr>
          <w:rFonts w:ascii="Arial" w:hAnsi="Arial" w:cs="Arial"/>
          <w:sz w:val="22"/>
          <w:szCs w:val="22"/>
        </w:rPr>
        <w:t>In-Service Dates</w:t>
      </w:r>
      <w:r w:rsidR="008E516E" w:rsidRPr="000C0597">
        <w:rPr>
          <w:rFonts w:ascii="Arial" w:hAnsi="Arial" w:cs="Arial"/>
          <w:sz w:val="22"/>
          <w:szCs w:val="22"/>
        </w:rPr>
        <w:t xml:space="preserve"> </w:t>
      </w:r>
    </w:p>
    <w:p w14:paraId="460E3009" w14:textId="327E6BEF" w:rsidR="009E4429" w:rsidRPr="000C0597" w:rsidRDefault="003C300D" w:rsidP="009E4429">
      <w:pPr>
        <w:pStyle w:val="ListParagraph"/>
        <w:numPr>
          <w:ilvl w:val="0"/>
          <w:numId w:val="16"/>
        </w:numPr>
        <w:spacing w:line="360" w:lineRule="atLeast"/>
        <w:rPr>
          <w:rFonts w:ascii="Arial" w:hAnsi="Arial" w:cs="Arial"/>
          <w:sz w:val="22"/>
          <w:szCs w:val="22"/>
        </w:rPr>
      </w:pPr>
      <w:r w:rsidRPr="000C0597">
        <w:rPr>
          <w:rFonts w:ascii="Arial" w:hAnsi="Arial" w:cs="Arial"/>
          <w:sz w:val="22"/>
          <w:szCs w:val="22"/>
        </w:rPr>
        <w:t>Retirement Dates</w:t>
      </w:r>
    </w:p>
    <w:p w14:paraId="01220B7F" w14:textId="44A6977B" w:rsidR="0070493F" w:rsidRPr="000C0597" w:rsidRDefault="0070493F" w:rsidP="009E4429">
      <w:pPr>
        <w:pStyle w:val="ListParagraph"/>
        <w:numPr>
          <w:ilvl w:val="0"/>
          <w:numId w:val="16"/>
        </w:numPr>
        <w:spacing w:line="360" w:lineRule="atLeast"/>
        <w:rPr>
          <w:rFonts w:ascii="Arial" w:hAnsi="Arial" w:cs="Arial"/>
          <w:sz w:val="22"/>
          <w:szCs w:val="22"/>
        </w:rPr>
      </w:pPr>
      <w:r w:rsidRPr="000C0597">
        <w:rPr>
          <w:rFonts w:ascii="Arial" w:hAnsi="Arial" w:cs="Arial"/>
          <w:sz w:val="22"/>
          <w:szCs w:val="22"/>
        </w:rPr>
        <w:t>Projected Unavailability Dates</w:t>
      </w:r>
    </w:p>
    <w:p w14:paraId="3E597AF7" w14:textId="3D0C8DFF" w:rsidR="001C5C92" w:rsidRPr="000C0597" w:rsidRDefault="001C5C92" w:rsidP="0070493F">
      <w:pPr>
        <w:spacing w:line="360" w:lineRule="atLeast"/>
        <w:ind w:left="540" w:hanging="504"/>
        <w:rPr>
          <w:rFonts w:ascii="Arial" w:hAnsi="Arial" w:cs="Arial"/>
          <w:sz w:val="22"/>
          <w:szCs w:val="22"/>
        </w:rPr>
      </w:pPr>
    </w:p>
    <w:p w14:paraId="6B3E72C5" w14:textId="77777777" w:rsidR="00BD6A65" w:rsidRPr="000C0597" w:rsidRDefault="00522ADC" w:rsidP="00EC6BC9">
      <w:pPr>
        <w:pStyle w:val="Heading2"/>
        <w:spacing w:line="360" w:lineRule="atLeast"/>
        <w:ind w:left="846"/>
        <w:rPr>
          <w:rFonts w:ascii="Arial" w:hAnsi="Arial" w:cs="Arial"/>
          <w:sz w:val="22"/>
          <w:szCs w:val="22"/>
        </w:rPr>
      </w:pPr>
      <w:bookmarkStart w:id="18" w:name="_Toc305487200"/>
      <w:r w:rsidRPr="000C0597">
        <w:rPr>
          <w:rFonts w:ascii="Arial" w:hAnsi="Arial" w:cs="Arial"/>
          <w:sz w:val="22"/>
          <w:szCs w:val="22"/>
        </w:rPr>
        <w:t>CANDIDATE UNITS</w:t>
      </w:r>
      <w:bookmarkEnd w:id="18"/>
    </w:p>
    <w:p w14:paraId="55C5E98C" w14:textId="77777777" w:rsidR="00BD6A65" w:rsidRPr="000C0597" w:rsidRDefault="00BD6A65" w:rsidP="00FE55F2">
      <w:pPr>
        <w:pStyle w:val="Heading3"/>
        <w:numPr>
          <w:ilvl w:val="0"/>
          <w:numId w:val="0"/>
        </w:numPr>
        <w:spacing w:line="360" w:lineRule="atLeast"/>
        <w:ind w:left="720" w:hanging="720"/>
        <w:rPr>
          <w:rFonts w:ascii="Arial" w:hAnsi="Arial" w:cs="Arial"/>
          <w:sz w:val="22"/>
          <w:szCs w:val="22"/>
        </w:rPr>
      </w:pPr>
      <w:bookmarkStart w:id="19" w:name="_Toc305487201"/>
      <w:r w:rsidRPr="000C0597">
        <w:rPr>
          <w:rFonts w:ascii="Arial" w:hAnsi="Arial" w:cs="Arial"/>
          <w:sz w:val="22"/>
          <w:szCs w:val="22"/>
        </w:rPr>
        <w:t>Candidate Unit Installation Costs</w:t>
      </w:r>
      <w:bookmarkEnd w:id="19"/>
    </w:p>
    <w:p w14:paraId="249D94F9" w14:textId="026185CB" w:rsidR="00BD6A65" w:rsidRPr="000C0597" w:rsidRDefault="00BD6A65" w:rsidP="005E2186">
      <w:pPr>
        <w:spacing w:line="360" w:lineRule="atLeast"/>
        <w:rPr>
          <w:rFonts w:ascii="Arial" w:hAnsi="Arial" w:cs="Arial"/>
          <w:sz w:val="22"/>
          <w:szCs w:val="22"/>
        </w:rPr>
      </w:pPr>
      <w:r w:rsidRPr="000C0597">
        <w:rPr>
          <w:rFonts w:ascii="Arial" w:hAnsi="Arial" w:cs="Arial"/>
          <w:sz w:val="22"/>
          <w:szCs w:val="22"/>
        </w:rPr>
        <w:t xml:space="preserve">Candidate units were selected </w:t>
      </w:r>
      <w:r w:rsidR="006A3EAB" w:rsidRPr="000C0597">
        <w:rPr>
          <w:rFonts w:ascii="Arial" w:hAnsi="Arial" w:cs="Arial"/>
          <w:sz w:val="22"/>
          <w:szCs w:val="22"/>
        </w:rPr>
        <w:t xml:space="preserve">based upon the results of </w:t>
      </w:r>
      <w:r w:rsidR="00F3476D" w:rsidRPr="000C0597">
        <w:rPr>
          <w:rFonts w:ascii="Arial" w:hAnsi="Arial" w:cs="Arial"/>
          <w:sz w:val="22"/>
          <w:szCs w:val="22"/>
        </w:rPr>
        <w:t xml:space="preserve">the </w:t>
      </w:r>
      <w:r w:rsidR="006A3EAB" w:rsidRPr="000C0597">
        <w:rPr>
          <w:rFonts w:ascii="Arial" w:hAnsi="Arial" w:cs="Arial"/>
          <w:sz w:val="22"/>
          <w:szCs w:val="22"/>
        </w:rPr>
        <w:t xml:space="preserve">busbar </w:t>
      </w:r>
      <w:r w:rsidR="00C201A8" w:rsidRPr="000C0597">
        <w:rPr>
          <w:rFonts w:ascii="Arial" w:hAnsi="Arial" w:cs="Arial"/>
          <w:sz w:val="22"/>
          <w:szCs w:val="22"/>
        </w:rPr>
        <w:t>analysis</w:t>
      </w:r>
      <w:r w:rsidR="008244ED" w:rsidRPr="000C0597">
        <w:rPr>
          <w:rFonts w:ascii="Arial" w:hAnsi="Arial" w:cs="Arial"/>
          <w:sz w:val="22"/>
          <w:szCs w:val="22"/>
        </w:rPr>
        <w:t xml:space="preserve">. </w:t>
      </w:r>
      <w:r w:rsidR="004820EC" w:rsidRPr="000C0597">
        <w:rPr>
          <w:rFonts w:ascii="Arial" w:hAnsi="Arial" w:cs="Arial"/>
          <w:sz w:val="22"/>
          <w:szCs w:val="22"/>
        </w:rPr>
        <w:t xml:space="preserve">As </w:t>
      </w:r>
      <w:r w:rsidR="00F22E70" w:rsidRPr="000C0597">
        <w:rPr>
          <w:rFonts w:ascii="Arial" w:hAnsi="Arial" w:cs="Arial"/>
          <w:sz w:val="22"/>
          <w:szCs w:val="22"/>
        </w:rPr>
        <w:t xml:space="preserve">Table </w:t>
      </w:r>
      <w:r w:rsidR="004820EC" w:rsidRPr="000C0597">
        <w:rPr>
          <w:rFonts w:ascii="Arial" w:hAnsi="Arial" w:cs="Arial"/>
          <w:sz w:val="22"/>
          <w:szCs w:val="22"/>
        </w:rPr>
        <w:t>4 shows, t</w:t>
      </w:r>
      <w:r w:rsidRPr="000C0597">
        <w:rPr>
          <w:rFonts w:ascii="Arial" w:hAnsi="Arial" w:cs="Arial"/>
          <w:sz w:val="22"/>
          <w:szCs w:val="22"/>
        </w:rPr>
        <w:t xml:space="preserve">he candidate units for this study are combined cycle, </w:t>
      </w:r>
      <w:r w:rsidR="00ED6C72" w:rsidRPr="000C0597">
        <w:rPr>
          <w:rFonts w:ascii="Arial" w:hAnsi="Arial" w:cs="Arial"/>
          <w:sz w:val="22"/>
          <w:szCs w:val="22"/>
        </w:rPr>
        <w:t>combined cycle with CC</w:t>
      </w:r>
      <w:r w:rsidR="00E87440" w:rsidRPr="000C0597">
        <w:rPr>
          <w:rFonts w:ascii="Arial" w:hAnsi="Arial" w:cs="Arial"/>
          <w:sz w:val="22"/>
          <w:szCs w:val="22"/>
        </w:rPr>
        <w:t>C</w:t>
      </w:r>
      <w:r w:rsidR="00ED6C72" w:rsidRPr="000C0597">
        <w:rPr>
          <w:rFonts w:ascii="Arial" w:hAnsi="Arial" w:cs="Arial"/>
          <w:sz w:val="22"/>
          <w:szCs w:val="22"/>
        </w:rPr>
        <w:t xml:space="preserve">, </w:t>
      </w:r>
      <w:r w:rsidRPr="000C0597">
        <w:rPr>
          <w:rFonts w:ascii="Arial" w:hAnsi="Arial" w:cs="Arial"/>
          <w:sz w:val="22"/>
          <w:szCs w:val="22"/>
        </w:rPr>
        <w:t>combustion turbine</w:t>
      </w:r>
      <w:r w:rsidR="001513EC" w:rsidRPr="000C0597">
        <w:rPr>
          <w:rFonts w:ascii="Arial" w:hAnsi="Arial" w:cs="Arial"/>
          <w:sz w:val="22"/>
          <w:szCs w:val="22"/>
        </w:rPr>
        <w:t xml:space="preserve"> and combustion turbine with SCR</w:t>
      </w:r>
      <w:r w:rsidR="008244ED" w:rsidRPr="000C0597">
        <w:rPr>
          <w:rFonts w:ascii="Arial" w:hAnsi="Arial" w:cs="Arial"/>
          <w:sz w:val="22"/>
          <w:szCs w:val="22"/>
        </w:rPr>
        <w:t xml:space="preserve">. </w:t>
      </w:r>
      <w:r w:rsidRPr="000C0597">
        <w:rPr>
          <w:rFonts w:ascii="Arial" w:hAnsi="Arial" w:cs="Arial"/>
          <w:sz w:val="22"/>
          <w:szCs w:val="22"/>
        </w:rPr>
        <w:t>The overnight construction cost, design data, reliability data, and operating and maintenance costs for these technologies</w:t>
      </w:r>
      <w:r w:rsidR="00300F53" w:rsidRPr="000C0597">
        <w:rPr>
          <w:rFonts w:ascii="Arial" w:hAnsi="Arial" w:cs="Arial"/>
          <w:sz w:val="22"/>
          <w:szCs w:val="22"/>
        </w:rPr>
        <w:t xml:space="preserve"> </w:t>
      </w:r>
      <w:r w:rsidRPr="000C0597">
        <w:rPr>
          <w:rFonts w:ascii="Arial" w:hAnsi="Arial" w:cs="Arial"/>
          <w:sz w:val="22"/>
          <w:szCs w:val="22"/>
        </w:rPr>
        <w:t xml:space="preserve">are contained in the </w:t>
      </w:r>
      <w:r w:rsidR="00D173D3" w:rsidRPr="000C0597">
        <w:rPr>
          <w:rFonts w:ascii="Arial" w:hAnsi="Arial" w:cs="Arial"/>
          <w:sz w:val="22"/>
          <w:szCs w:val="22"/>
        </w:rPr>
        <w:t xml:space="preserve">attached </w:t>
      </w:r>
      <w:r w:rsidR="007614F3" w:rsidRPr="000C0597">
        <w:rPr>
          <w:rFonts w:ascii="Arial" w:hAnsi="Arial" w:cs="Arial"/>
          <w:sz w:val="22"/>
          <w:szCs w:val="22"/>
        </w:rPr>
        <w:t xml:space="preserve">2019 </w:t>
      </w:r>
      <w:r w:rsidRPr="000C0597">
        <w:rPr>
          <w:rFonts w:ascii="Arial" w:hAnsi="Arial" w:cs="Arial"/>
          <w:sz w:val="22"/>
          <w:szCs w:val="22"/>
        </w:rPr>
        <w:t xml:space="preserve">Integrated Resource Plan Generation Technology Data Book prepared by </w:t>
      </w:r>
      <w:r w:rsidR="00536A43" w:rsidRPr="000C0597">
        <w:rPr>
          <w:rFonts w:ascii="Arial" w:hAnsi="Arial" w:cs="Arial"/>
          <w:sz w:val="22"/>
          <w:szCs w:val="22"/>
        </w:rPr>
        <w:t xml:space="preserve">E&amp;CS and </w:t>
      </w:r>
      <w:r w:rsidR="008C01EE" w:rsidRPr="000C0597">
        <w:rPr>
          <w:rFonts w:ascii="Arial" w:hAnsi="Arial" w:cs="Arial"/>
          <w:sz w:val="22"/>
          <w:szCs w:val="22"/>
        </w:rPr>
        <w:t>GPD</w:t>
      </w:r>
      <w:r w:rsidR="00536A43" w:rsidRPr="000C0597">
        <w:rPr>
          <w:rFonts w:ascii="Arial" w:hAnsi="Arial" w:cs="Arial"/>
          <w:sz w:val="22"/>
          <w:szCs w:val="22"/>
        </w:rPr>
        <w:t>.</w:t>
      </w:r>
    </w:p>
    <w:p w14:paraId="4C68EAA0" w14:textId="77777777" w:rsidR="00BD6A65" w:rsidRPr="000C0597" w:rsidRDefault="00BD6A65" w:rsidP="005E2186">
      <w:pPr>
        <w:spacing w:line="360" w:lineRule="atLeast"/>
        <w:ind w:right="180"/>
        <w:jc w:val="center"/>
        <w:rPr>
          <w:rFonts w:ascii="Arial" w:hAnsi="Arial" w:cs="Arial"/>
          <w:sz w:val="22"/>
          <w:szCs w:val="22"/>
        </w:rPr>
      </w:pPr>
      <w:bookmarkStart w:id="20" w:name="_Toc305487202"/>
    </w:p>
    <w:p w14:paraId="6FFDD19E" w14:textId="77777777" w:rsidR="00BD6A65" w:rsidRPr="000C0597" w:rsidRDefault="00BD6A65" w:rsidP="000B291A">
      <w:pPr>
        <w:numPr>
          <w:ilvl w:val="0"/>
          <w:numId w:val="3"/>
        </w:numPr>
        <w:spacing w:line="360" w:lineRule="atLeast"/>
        <w:ind w:right="180"/>
        <w:jc w:val="center"/>
        <w:rPr>
          <w:rFonts w:ascii="Arial" w:hAnsi="Arial" w:cs="Arial"/>
          <w:sz w:val="22"/>
          <w:szCs w:val="22"/>
        </w:rPr>
      </w:pPr>
      <w:r w:rsidRPr="000C0597">
        <w:rPr>
          <w:rFonts w:ascii="Arial" w:hAnsi="Arial" w:cs="Arial"/>
          <w:sz w:val="22"/>
          <w:szCs w:val="22"/>
        </w:rPr>
        <w:t>Candidate Technology Assumptions</w:t>
      </w:r>
    </w:p>
    <w:p w14:paraId="775F7DE6" w14:textId="77777777" w:rsidR="00BD6A65" w:rsidRPr="000C0597" w:rsidRDefault="00BD6A65" w:rsidP="00243513">
      <w:pPr>
        <w:spacing w:line="360" w:lineRule="atLeast"/>
        <w:jc w:val="center"/>
        <w:rPr>
          <w:rFonts w:ascii="Arial" w:hAnsi="Arial" w:cs="Arial"/>
          <w:b/>
          <w:sz w:val="22"/>
          <w:szCs w:val="22"/>
          <w:highlight w:val="yellow"/>
        </w:rPr>
      </w:pPr>
    </w:p>
    <w:tbl>
      <w:tblPr>
        <w:tblW w:w="7487" w:type="dxa"/>
        <w:jc w:val="center"/>
        <w:tblBorders>
          <w:top w:val="double" w:sz="6" w:space="0" w:color="auto"/>
          <w:left w:val="double" w:sz="6" w:space="0" w:color="auto"/>
          <w:bottom w:val="double" w:sz="6" w:space="0" w:color="auto"/>
          <w:right w:val="double" w:sz="6" w:space="0" w:color="auto"/>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563"/>
        <w:gridCol w:w="1481"/>
        <w:gridCol w:w="1481"/>
        <w:gridCol w:w="1481"/>
        <w:gridCol w:w="1481"/>
      </w:tblGrid>
      <w:tr w:rsidR="003852AB" w:rsidRPr="000C0597" w14:paraId="186FEF79" w14:textId="77777777" w:rsidTr="003852AB">
        <w:trPr>
          <w:trHeight w:val="924"/>
          <w:jc w:val="center"/>
        </w:trPr>
        <w:tc>
          <w:tcPr>
            <w:tcW w:w="1563" w:type="dxa"/>
            <w:tcBorders>
              <w:top w:val="double" w:sz="6" w:space="0" w:color="auto"/>
              <w:bottom w:val="double" w:sz="6" w:space="0" w:color="auto"/>
            </w:tcBorders>
            <w:shd w:val="pct30" w:color="FFFF00" w:fill="FFFFFF"/>
          </w:tcPr>
          <w:p w14:paraId="256DE927" w14:textId="77777777" w:rsidR="003852AB" w:rsidRPr="000C0597" w:rsidRDefault="003852AB" w:rsidP="00682E4A">
            <w:pPr>
              <w:spacing w:line="360" w:lineRule="atLeast"/>
              <w:jc w:val="right"/>
              <w:rPr>
                <w:rFonts w:ascii="Arial" w:hAnsi="Arial" w:cs="Arial"/>
                <w:sz w:val="22"/>
                <w:szCs w:val="22"/>
                <w:highlight w:val="yellow"/>
              </w:rPr>
            </w:pPr>
          </w:p>
        </w:tc>
        <w:tc>
          <w:tcPr>
            <w:tcW w:w="1481" w:type="dxa"/>
            <w:tcBorders>
              <w:top w:val="double" w:sz="6" w:space="0" w:color="auto"/>
              <w:bottom w:val="double" w:sz="6" w:space="0" w:color="auto"/>
            </w:tcBorders>
            <w:shd w:val="pct30" w:color="FFFF00" w:fill="FFFFFF"/>
          </w:tcPr>
          <w:p w14:paraId="119872D2" w14:textId="665E249C" w:rsidR="003852AB" w:rsidRPr="000C0597" w:rsidRDefault="003852AB" w:rsidP="002837E2">
            <w:pPr>
              <w:spacing w:line="360" w:lineRule="atLeast"/>
              <w:jc w:val="center"/>
              <w:rPr>
                <w:rFonts w:ascii="Arial" w:hAnsi="Arial" w:cs="Arial"/>
                <w:b/>
                <w:sz w:val="22"/>
                <w:szCs w:val="22"/>
                <w:highlight w:val="yellow"/>
              </w:rPr>
            </w:pPr>
            <w:r w:rsidRPr="000C0597">
              <w:rPr>
                <w:rFonts w:ascii="Arial" w:hAnsi="Arial" w:cs="Arial"/>
                <w:b/>
                <w:sz w:val="22"/>
                <w:szCs w:val="22"/>
              </w:rPr>
              <w:t xml:space="preserve"> Combined Cycle</w:t>
            </w:r>
          </w:p>
        </w:tc>
        <w:tc>
          <w:tcPr>
            <w:tcW w:w="1481" w:type="dxa"/>
            <w:tcBorders>
              <w:top w:val="double" w:sz="6" w:space="0" w:color="auto"/>
              <w:bottom w:val="double" w:sz="6" w:space="0" w:color="auto"/>
            </w:tcBorders>
            <w:shd w:val="pct30" w:color="FFFF00" w:fill="FFFFFF"/>
          </w:tcPr>
          <w:p w14:paraId="2079AFFE" w14:textId="23B4D298" w:rsidR="003852AB" w:rsidRPr="000C0597" w:rsidRDefault="003852AB" w:rsidP="002837E2">
            <w:pPr>
              <w:spacing w:line="360" w:lineRule="atLeast"/>
              <w:jc w:val="center"/>
              <w:rPr>
                <w:rFonts w:ascii="Arial" w:hAnsi="Arial" w:cs="Arial"/>
                <w:b/>
                <w:sz w:val="22"/>
                <w:szCs w:val="22"/>
              </w:rPr>
            </w:pPr>
            <w:r w:rsidRPr="000C0597">
              <w:rPr>
                <w:rFonts w:ascii="Arial" w:hAnsi="Arial" w:cs="Arial"/>
                <w:b/>
                <w:sz w:val="22"/>
                <w:szCs w:val="22"/>
              </w:rPr>
              <w:t xml:space="preserve"> Combined Cycle with CCC</w:t>
            </w:r>
          </w:p>
        </w:tc>
        <w:tc>
          <w:tcPr>
            <w:tcW w:w="1481" w:type="dxa"/>
            <w:tcBorders>
              <w:top w:val="double" w:sz="6" w:space="0" w:color="auto"/>
              <w:bottom w:val="double" w:sz="6" w:space="0" w:color="auto"/>
            </w:tcBorders>
            <w:shd w:val="pct30" w:color="FFFF00" w:fill="FFFFFF"/>
          </w:tcPr>
          <w:p w14:paraId="7761649C" w14:textId="77777777" w:rsidR="003852AB" w:rsidRPr="000C0597" w:rsidRDefault="003852AB" w:rsidP="00682E4A">
            <w:pPr>
              <w:spacing w:line="360" w:lineRule="atLeast"/>
              <w:jc w:val="center"/>
              <w:rPr>
                <w:rFonts w:ascii="Arial" w:hAnsi="Arial" w:cs="Arial"/>
                <w:b/>
                <w:sz w:val="22"/>
                <w:szCs w:val="22"/>
                <w:highlight w:val="yellow"/>
              </w:rPr>
            </w:pPr>
            <w:r w:rsidRPr="000C0597">
              <w:rPr>
                <w:rFonts w:ascii="Arial" w:hAnsi="Arial" w:cs="Arial"/>
                <w:b/>
                <w:sz w:val="22"/>
                <w:szCs w:val="22"/>
              </w:rPr>
              <w:t xml:space="preserve"> Combustion Turbine</w:t>
            </w:r>
          </w:p>
        </w:tc>
        <w:tc>
          <w:tcPr>
            <w:tcW w:w="1481" w:type="dxa"/>
            <w:tcBorders>
              <w:top w:val="double" w:sz="6" w:space="0" w:color="auto"/>
              <w:bottom w:val="double" w:sz="6" w:space="0" w:color="auto"/>
            </w:tcBorders>
            <w:shd w:val="pct30" w:color="FFFF00" w:fill="FFFFFF"/>
          </w:tcPr>
          <w:p w14:paraId="6E5D9D7E" w14:textId="77777777" w:rsidR="003852AB" w:rsidRPr="000C0597" w:rsidRDefault="003852AB" w:rsidP="00682E4A">
            <w:pPr>
              <w:spacing w:line="360" w:lineRule="atLeast"/>
              <w:jc w:val="center"/>
              <w:rPr>
                <w:rFonts w:ascii="Arial" w:hAnsi="Arial" w:cs="Arial"/>
                <w:b/>
                <w:sz w:val="22"/>
                <w:szCs w:val="22"/>
              </w:rPr>
            </w:pPr>
            <w:r w:rsidRPr="000C0597">
              <w:rPr>
                <w:rFonts w:ascii="Arial" w:hAnsi="Arial" w:cs="Arial"/>
                <w:b/>
                <w:sz w:val="22"/>
                <w:szCs w:val="22"/>
              </w:rPr>
              <w:t>Combustion Turbine with SCR</w:t>
            </w:r>
          </w:p>
        </w:tc>
      </w:tr>
      <w:tr w:rsidR="003852AB" w:rsidRPr="000C0597" w14:paraId="20B66E7D" w14:textId="77777777" w:rsidTr="003852AB">
        <w:trPr>
          <w:trHeight w:val="609"/>
          <w:jc w:val="center"/>
        </w:trPr>
        <w:tc>
          <w:tcPr>
            <w:tcW w:w="1563" w:type="dxa"/>
            <w:tcBorders>
              <w:top w:val="double" w:sz="6" w:space="0" w:color="auto"/>
            </w:tcBorders>
            <w:shd w:val="clear" w:color="auto" w:fill="auto"/>
            <w:vAlign w:val="center"/>
          </w:tcPr>
          <w:p w14:paraId="1942C2CF" w14:textId="77777777" w:rsidR="003852AB" w:rsidRPr="000C0597" w:rsidRDefault="003852AB" w:rsidP="00A81750">
            <w:pPr>
              <w:spacing w:line="360" w:lineRule="atLeast"/>
              <w:jc w:val="center"/>
              <w:rPr>
                <w:rFonts w:ascii="Arial" w:hAnsi="Arial" w:cs="Arial"/>
                <w:sz w:val="22"/>
                <w:szCs w:val="22"/>
              </w:rPr>
            </w:pPr>
            <w:r w:rsidRPr="000C0597">
              <w:rPr>
                <w:rFonts w:ascii="Arial" w:hAnsi="Arial" w:cs="Arial"/>
                <w:sz w:val="22"/>
                <w:szCs w:val="22"/>
              </w:rPr>
              <w:t>Installed Cost</w:t>
            </w:r>
          </w:p>
          <w:p w14:paraId="31384E79" w14:textId="77777777" w:rsidR="003852AB" w:rsidRPr="000C0597" w:rsidRDefault="003852AB" w:rsidP="00A81750">
            <w:pPr>
              <w:spacing w:line="360" w:lineRule="atLeast"/>
              <w:jc w:val="center"/>
              <w:rPr>
                <w:rFonts w:ascii="Arial" w:hAnsi="Arial" w:cs="Arial"/>
                <w:sz w:val="22"/>
                <w:szCs w:val="22"/>
              </w:rPr>
            </w:pPr>
            <w:r w:rsidRPr="000C0597">
              <w:rPr>
                <w:rFonts w:ascii="Arial" w:hAnsi="Arial" w:cs="Arial"/>
                <w:sz w:val="22"/>
                <w:szCs w:val="22"/>
              </w:rPr>
              <w:t>$/KW</w:t>
            </w:r>
            <w:r w:rsidRPr="00835243">
              <w:rPr>
                <w:rStyle w:val="FootnoteReference"/>
                <w:rFonts w:ascii="Arial" w:hAnsi="Arial" w:cs="Arial"/>
                <w:szCs w:val="22"/>
              </w:rPr>
              <w:footnoteReference w:id="1"/>
            </w:r>
          </w:p>
        </w:tc>
        <w:tc>
          <w:tcPr>
            <w:tcW w:w="1481" w:type="dxa"/>
            <w:tcBorders>
              <w:top w:val="double" w:sz="6" w:space="0" w:color="auto"/>
            </w:tcBorders>
            <w:shd w:val="clear" w:color="auto" w:fill="auto"/>
          </w:tcPr>
          <w:p w14:paraId="787C8524" w14:textId="5E1B3420"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Borders>
              <w:top w:val="double" w:sz="6" w:space="0" w:color="auto"/>
            </w:tcBorders>
          </w:tcPr>
          <w:p w14:paraId="5C0C9C34" w14:textId="36A9CD92"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Borders>
              <w:top w:val="double" w:sz="6" w:space="0" w:color="auto"/>
            </w:tcBorders>
            <w:shd w:val="clear" w:color="auto" w:fill="auto"/>
          </w:tcPr>
          <w:p w14:paraId="6AD166E8" w14:textId="52DC4E1D"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Borders>
              <w:top w:val="double" w:sz="6" w:space="0" w:color="auto"/>
            </w:tcBorders>
          </w:tcPr>
          <w:p w14:paraId="7E65C152" w14:textId="342B1B4D"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r>
      <w:tr w:rsidR="003852AB" w:rsidRPr="000C0597" w14:paraId="4CE35A2C" w14:textId="77777777" w:rsidTr="003852AB">
        <w:trPr>
          <w:trHeight w:val="609"/>
          <w:jc w:val="center"/>
        </w:trPr>
        <w:tc>
          <w:tcPr>
            <w:tcW w:w="1563" w:type="dxa"/>
            <w:vAlign w:val="center"/>
          </w:tcPr>
          <w:p w14:paraId="11B96317" w14:textId="77777777" w:rsidR="003852AB" w:rsidRPr="000C0597" w:rsidRDefault="003852AB" w:rsidP="00A81750">
            <w:pPr>
              <w:spacing w:line="360" w:lineRule="atLeast"/>
              <w:jc w:val="center"/>
              <w:rPr>
                <w:rFonts w:ascii="Arial" w:hAnsi="Arial" w:cs="Arial"/>
                <w:sz w:val="22"/>
                <w:szCs w:val="22"/>
                <w:highlight w:val="yellow"/>
              </w:rPr>
            </w:pPr>
            <w:r w:rsidRPr="000C0597">
              <w:rPr>
                <w:rFonts w:ascii="Arial" w:hAnsi="Arial" w:cs="Arial"/>
                <w:sz w:val="22"/>
                <w:szCs w:val="22"/>
              </w:rPr>
              <w:t>Installed / In service Year</w:t>
            </w:r>
          </w:p>
        </w:tc>
        <w:tc>
          <w:tcPr>
            <w:tcW w:w="1481" w:type="dxa"/>
          </w:tcPr>
          <w:p w14:paraId="7DA36CBA" w14:textId="555D9989" w:rsidR="003852AB" w:rsidRPr="000C0597" w:rsidRDefault="003852AB" w:rsidP="00A81750">
            <w:pPr>
              <w:spacing w:before="240" w:after="120" w:line="360" w:lineRule="atLeast"/>
              <w:jc w:val="center"/>
              <w:outlineLvl w:val="1"/>
              <w:rPr>
                <w:rFonts w:ascii="Arial" w:hAnsi="Arial" w:cs="Arial"/>
                <w:sz w:val="22"/>
                <w:szCs w:val="22"/>
                <w:highlight w:val="yellow"/>
              </w:rPr>
            </w:pPr>
            <w:r w:rsidRPr="00223141">
              <w:rPr>
                <w:rFonts w:ascii="Arial" w:hAnsi="Arial" w:cs="Arial"/>
                <w:b/>
                <w:sz w:val="22"/>
              </w:rPr>
              <w:t>REDACTED</w:t>
            </w:r>
          </w:p>
        </w:tc>
        <w:tc>
          <w:tcPr>
            <w:tcW w:w="1481" w:type="dxa"/>
          </w:tcPr>
          <w:p w14:paraId="018F072C" w14:textId="5A692105" w:rsidR="003852AB" w:rsidRPr="000C0597" w:rsidRDefault="003852AB" w:rsidP="00A81750">
            <w:pPr>
              <w:spacing w:before="240" w:after="120" w:line="360" w:lineRule="atLeast"/>
              <w:jc w:val="center"/>
              <w:outlineLvl w:val="1"/>
              <w:rPr>
                <w:rFonts w:ascii="Arial" w:hAnsi="Arial" w:cs="Arial"/>
                <w:sz w:val="22"/>
                <w:szCs w:val="22"/>
                <w:highlight w:val="yellow"/>
              </w:rPr>
            </w:pPr>
            <w:r w:rsidRPr="00223141">
              <w:rPr>
                <w:rFonts w:ascii="Arial" w:hAnsi="Arial" w:cs="Arial"/>
                <w:b/>
                <w:sz w:val="22"/>
              </w:rPr>
              <w:t>REDACTED</w:t>
            </w:r>
          </w:p>
        </w:tc>
        <w:tc>
          <w:tcPr>
            <w:tcW w:w="1481" w:type="dxa"/>
          </w:tcPr>
          <w:p w14:paraId="6712D02A" w14:textId="63CE82A0" w:rsidR="003852AB" w:rsidRPr="000C0597" w:rsidRDefault="003852AB" w:rsidP="00A81750">
            <w:pPr>
              <w:spacing w:before="240" w:after="120" w:line="360" w:lineRule="atLeast"/>
              <w:jc w:val="center"/>
              <w:outlineLvl w:val="1"/>
              <w:rPr>
                <w:rFonts w:ascii="Arial" w:hAnsi="Arial" w:cs="Arial"/>
                <w:sz w:val="22"/>
                <w:szCs w:val="22"/>
                <w:highlight w:val="yellow"/>
              </w:rPr>
            </w:pPr>
            <w:r w:rsidRPr="00223141">
              <w:rPr>
                <w:rFonts w:ascii="Arial" w:hAnsi="Arial" w:cs="Arial"/>
                <w:b/>
                <w:sz w:val="22"/>
              </w:rPr>
              <w:t>REDACTED</w:t>
            </w:r>
          </w:p>
        </w:tc>
        <w:tc>
          <w:tcPr>
            <w:tcW w:w="1481" w:type="dxa"/>
          </w:tcPr>
          <w:p w14:paraId="57C8C967" w14:textId="7E421596" w:rsidR="003852AB" w:rsidRPr="000C0597" w:rsidRDefault="003852AB" w:rsidP="00A81750">
            <w:pPr>
              <w:spacing w:before="240" w:after="120" w:line="360" w:lineRule="atLeast"/>
              <w:jc w:val="center"/>
              <w:outlineLvl w:val="1"/>
              <w:rPr>
                <w:rFonts w:ascii="Arial" w:hAnsi="Arial" w:cs="Arial"/>
                <w:sz w:val="22"/>
                <w:szCs w:val="22"/>
                <w:highlight w:val="yellow"/>
              </w:rPr>
            </w:pPr>
            <w:r w:rsidRPr="00223141">
              <w:rPr>
                <w:rFonts w:ascii="Arial" w:hAnsi="Arial" w:cs="Arial"/>
                <w:b/>
                <w:sz w:val="22"/>
              </w:rPr>
              <w:t>REDACTED</w:t>
            </w:r>
          </w:p>
        </w:tc>
      </w:tr>
      <w:tr w:rsidR="003852AB" w:rsidRPr="000C0597" w14:paraId="7281F9E9" w14:textId="77777777" w:rsidTr="003852AB">
        <w:trPr>
          <w:trHeight w:val="462"/>
          <w:jc w:val="center"/>
        </w:trPr>
        <w:tc>
          <w:tcPr>
            <w:tcW w:w="1563" w:type="dxa"/>
            <w:vAlign w:val="center"/>
          </w:tcPr>
          <w:p w14:paraId="49071716" w14:textId="77777777" w:rsidR="003852AB" w:rsidRPr="000C0597" w:rsidRDefault="003852AB" w:rsidP="00A81750">
            <w:pPr>
              <w:spacing w:line="360" w:lineRule="atLeast"/>
              <w:jc w:val="center"/>
              <w:rPr>
                <w:rFonts w:ascii="Arial" w:hAnsi="Arial" w:cs="Arial"/>
                <w:sz w:val="22"/>
                <w:szCs w:val="22"/>
                <w:highlight w:val="yellow"/>
              </w:rPr>
            </w:pPr>
            <w:r w:rsidRPr="000C0597">
              <w:rPr>
                <w:rFonts w:ascii="Arial" w:hAnsi="Arial" w:cs="Arial"/>
                <w:sz w:val="22"/>
                <w:szCs w:val="22"/>
              </w:rPr>
              <w:t>Heat Rate</w:t>
            </w:r>
          </w:p>
        </w:tc>
        <w:tc>
          <w:tcPr>
            <w:tcW w:w="1481" w:type="dxa"/>
          </w:tcPr>
          <w:p w14:paraId="63A36E3A" w14:textId="36555FB8"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1F785D98" w14:textId="2DE24F20"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356CBA7E" w14:textId="40392BF2"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29C12A56" w14:textId="510BD31A"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r>
      <w:tr w:rsidR="003852AB" w:rsidRPr="000C0597" w14:paraId="2897983B" w14:textId="77777777" w:rsidTr="003852AB">
        <w:trPr>
          <w:trHeight w:val="672"/>
          <w:jc w:val="center"/>
        </w:trPr>
        <w:tc>
          <w:tcPr>
            <w:tcW w:w="1563" w:type="dxa"/>
            <w:vAlign w:val="center"/>
          </w:tcPr>
          <w:p w14:paraId="7F5D4338" w14:textId="77777777" w:rsidR="003852AB" w:rsidRPr="000C0597" w:rsidRDefault="003852AB" w:rsidP="00A81750">
            <w:pPr>
              <w:spacing w:line="360" w:lineRule="atLeast"/>
              <w:jc w:val="center"/>
              <w:rPr>
                <w:rFonts w:ascii="Arial" w:hAnsi="Arial" w:cs="Arial"/>
                <w:sz w:val="22"/>
                <w:szCs w:val="22"/>
                <w:highlight w:val="yellow"/>
              </w:rPr>
            </w:pPr>
          </w:p>
          <w:p w14:paraId="37E8CAFB" w14:textId="77777777" w:rsidR="003852AB" w:rsidRPr="000C0597" w:rsidRDefault="003852AB" w:rsidP="00A81750">
            <w:pPr>
              <w:spacing w:line="360" w:lineRule="atLeast"/>
              <w:jc w:val="center"/>
              <w:rPr>
                <w:rFonts w:ascii="Arial" w:hAnsi="Arial" w:cs="Arial"/>
                <w:sz w:val="22"/>
                <w:szCs w:val="22"/>
                <w:highlight w:val="yellow"/>
              </w:rPr>
            </w:pPr>
            <w:r w:rsidRPr="000C0597">
              <w:rPr>
                <w:rFonts w:ascii="Arial" w:hAnsi="Arial" w:cs="Arial"/>
                <w:sz w:val="22"/>
                <w:szCs w:val="22"/>
              </w:rPr>
              <w:t>Size (MW)</w:t>
            </w:r>
          </w:p>
        </w:tc>
        <w:tc>
          <w:tcPr>
            <w:tcW w:w="1481" w:type="dxa"/>
          </w:tcPr>
          <w:p w14:paraId="19045E4A" w14:textId="07B8CFE5"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7B0D4566" w14:textId="195C522D"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0D109666" w14:textId="7CA36D46"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052CF3F4" w14:textId="35FE770C"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r>
      <w:tr w:rsidR="003852AB" w:rsidRPr="000C0597" w14:paraId="5437403B" w14:textId="77777777" w:rsidTr="003852AB">
        <w:trPr>
          <w:trHeight w:val="630"/>
          <w:jc w:val="center"/>
        </w:trPr>
        <w:tc>
          <w:tcPr>
            <w:tcW w:w="1563" w:type="dxa"/>
            <w:vAlign w:val="center"/>
          </w:tcPr>
          <w:p w14:paraId="5AB7D8F0" w14:textId="77777777" w:rsidR="003852AB" w:rsidRPr="000C0597" w:rsidRDefault="003852AB" w:rsidP="00A81750">
            <w:pPr>
              <w:spacing w:line="360" w:lineRule="atLeast"/>
              <w:jc w:val="center"/>
              <w:rPr>
                <w:rFonts w:ascii="Arial" w:hAnsi="Arial" w:cs="Arial"/>
                <w:sz w:val="22"/>
                <w:szCs w:val="22"/>
              </w:rPr>
            </w:pPr>
          </w:p>
          <w:p w14:paraId="5A0A504B" w14:textId="77777777" w:rsidR="003852AB" w:rsidRPr="000C0597" w:rsidRDefault="003852AB" w:rsidP="00A81750">
            <w:pPr>
              <w:spacing w:line="360" w:lineRule="atLeast"/>
              <w:jc w:val="center"/>
              <w:rPr>
                <w:rFonts w:ascii="Arial" w:hAnsi="Arial" w:cs="Arial"/>
                <w:sz w:val="22"/>
                <w:szCs w:val="22"/>
              </w:rPr>
            </w:pPr>
            <w:r w:rsidRPr="000C0597">
              <w:rPr>
                <w:rFonts w:ascii="Arial" w:hAnsi="Arial" w:cs="Arial"/>
                <w:sz w:val="22"/>
                <w:szCs w:val="22"/>
              </w:rPr>
              <w:t>Life (Years)</w:t>
            </w:r>
          </w:p>
        </w:tc>
        <w:tc>
          <w:tcPr>
            <w:tcW w:w="1481" w:type="dxa"/>
          </w:tcPr>
          <w:p w14:paraId="156D5935" w14:textId="671114AE"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79A9A8E9" w14:textId="14003FB7"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33C2AC4B" w14:textId="45641DD7"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c>
          <w:tcPr>
            <w:tcW w:w="1481" w:type="dxa"/>
          </w:tcPr>
          <w:p w14:paraId="3412E711" w14:textId="25DCA848" w:rsidR="003852AB" w:rsidRPr="000C0597" w:rsidRDefault="003852AB" w:rsidP="00A81750">
            <w:pPr>
              <w:spacing w:line="360" w:lineRule="atLeast"/>
              <w:jc w:val="center"/>
              <w:rPr>
                <w:rFonts w:ascii="Arial" w:hAnsi="Arial" w:cs="Arial"/>
                <w:sz w:val="22"/>
                <w:szCs w:val="22"/>
                <w:highlight w:val="yellow"/>
              </w:rPr>
            </w:pPr>
            <w:r w:rsidRPr="00223141">
              <w:rPr>
                <w:rFonts w:ascii="Arial" w:hAnsi="Arial" w:cs="Arial"/>
                <w:b/>
                <w:sz w:val="22"/>
              </w:rPr>
              <w:t>REDACTED</w:t>
            </w:r>
          </w:p>
        </w:tc>
      </w:tr>
    </w:tbl>
    <w:p w14:paraId="4B23D2F9" w14:textId="77777777" w:rsidR="001252C0" w:rsidRPr="000C0597" w:rsidRDefault="001252C0" w:rsidP="00243513">
      <w:pPr>
        <w:spacing w:line="360" w:lineRule="atLeast"/>
        <w:jc w:val="left"/>
        <w:rPr>
          <w:rFonts w:ascii="Arial" w:hAnsi="Arial" w:cs="Arial"/>
          <w:sz w:val="22"/>
          <w:szCs w:val="22"/>
        </w:rPr>
      </w:pPr>
    </w:p>
    <w:p w14:paraId="726A80BF" w14:textId="77777777" w:rsidR="00835243" w:rsidRDefault="00835243">
      <w:pPr>
        <w:jc w:val="left"/>
        <w:rPr>
          <w:rFonts w:ascii="Arial" w:hAnsi="Arial" w:cs="Arial"/>
          <w:sz w:val="22"/>
          <w:szCs w:val="22"/>
          <w:u w:val="single"/>
        </w:rPr>
      </w:pPr>
      <w:r>
        <w:rPr>
          <w:rFonts w:ascii="Arial" w:hAnsi="Arial" w:cs="Arial"/>
          <w:sz w:val="22"/>
          <w:szCs w:val="22"/>
          <w:u w:val="single"/>
        </w:rPr>
        <w:br w:type="page"/>
      </w:r>
    </w:p>
    <w:p w14:paraId="66A7F518" w14:textId="44AE6BCD" w:rsidR="00BD6A65" w:rsidRPr="000C0597" w:rsidRDefault="00BD6A65" w:rsidP="00243513">
      <w:pPr>
        <w:spacing w:line="360" w:lineRule="atLeast"/>
        <w:jc w:val="left"/>
        <w:rPr>
          <w:rFonts w:ascii="Arial" w:hAnsi="Arial" w:cs="Arial"/>
          <w:sz w:val="22"/>
          <w:szCs w:val="22"/>
        </w:rPr>
      </w:pPr>
      <w:r w:rsidRPr="000C0597">
        <w:rPr>
          <w:rFonts w:ascii="Arial" w:hAnsi="Arial" w:cs="Arial"/>
          <w:sz w:val="22"/>
          <w:szCs w:val="22"/>
          <w:u w:val="single"/>
        </w:rPr>
        <w:t>Spending Curves:</w:t>
      </w:r>
      <w:bookmarkEnd w:id="20"/>
      <w:r w:rsidR="00930DCF">
        <w:rPr>
          <w:rFonts w:ascii="Arial" w:hAnsi="Arial" w:cs="Arial"/>
          <w:sz w:val="22"/>
          <w:szCs w:val="22"/>
        </w:rPr>
        <w:t xml:space="preserve"> </w:t>
      </w:r>
    </w:p>
    <w:p w14:paraId="32C99562" w14:textId="77777777" w:rsidR="00577243" w:rsidRPr="000C0597" w:rsidRDefault="00577243" w:rsidP="00711578">
      <w:pPr>
        <w:pStyle w:val="TableHead"/>
        <w:numPr>
          <w:ilvl w:val="0"/>
          <w:numId w:val="0"/>
        </w:numPr>
        <w:spacing w:before="0" w:after="0" w:line="360" w:lineRule="atLeast"/>
        <w:jc w:val="left"/>
        <w:rPr>
          <w:rFonts w:ascii="Arial" w:hAnsi="Arial" w:cs="Arial"/>
          <w:sz w:val="22"/>
          <w:szCs w:val="22"/>
        </w:rPr>
      </w:pPr>
    </w:p>
    <w:p w14:paraId="54727581" w14:textId="4163F562" w:rsidR="00BD6A65" w:rsidRPr="000C0597" w:rsidRDefault="00BD6A65" w:rsidP="00711578">
      <w:pPr>
        <w:pStyle w:val="TableHead"/>
        <w:numPr>
          <w:ilvl w:val="0"/>
          <w:numId w:val="0"/>
        </w:numPr>
        <w:spacing w:before="0" w:after="0" w:line="360" w:lineRule="atLeast"/>
        <w:jc w:val="left"/>
        <w:rPr>
          <w:rFonts w:ascii="Arial" w:hAnsi="Arial" w:cs="Arial"/>
          <w:b/>
          <w:sz w:val="22"/>
          <w:szCs w:val="22"/>
        </w:rPr>
      </w:pPr>
      <w:r w:rsidRPr="000C0597">
        <w:rPr>
          <w:rFonts w:ascii="Arial" w:hAnsi="Arial" w:cs="Arial"/>
          <w:sz w:val="22"/>
          <w:szCs w:val="22"/>
        </w:rPr>
        <w:t>Table 5 shows the direct spending curves used to spread the overnight construction cost over the entire construction period.</w:t>
      </w:r>
    </w:p>
    <w:p w14:paraId="4612C342" w14:textId="77777777" w:rsidR="00BD6A65" w:rsidRPr="000C0597" w:rsidRDefault="00BD6A65" w:rsidP="000B291A">
      <w:pPr>
        <w:pStyle w:val="TableHead"/>
        <w:numPr>
          <w:ilvl w:val="0"/>
          <w:numId w:val="3"/>
        </w:numPr>
        <w:spacing w:line="360" w:lineRule="atLeast"/>
        <w:rPr>
          <w:rFonts w:ascii="Arial" w:hAnsi="Arial" w:cs="Arial"/>
          <w:sz w:val="22"/>
          <w:szCs w:val="22"/>
        </w:rPr>
      </w:pPr>
      <w:r w:rsidRPr="000C0597">
        <w:rPr>
          <w:rFonts w:ascii="Arial" w:hAnsi="Arial" w:cs="Arial"/>
          <w:sz w:val="22"/>
          <w:szCs w:val="22"/>
        </w:rPr>
        <w:t>Direct Spending Curves</w:t>
      </w:r>
    </w:p>
    <w:tbl>
      <w:tblPr>
        <w:tblW w:w="4567"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350"/>
        <w:gridCol w:w="1507"/>
        <w:gridCol w:w="1710"/>
      </w:tblGrid>
      <w:tr w:rsidR="0046215A" w:rsidRPr="000C0597" w14:paraId="664B0539" w14:textId="77777777" w:rsidTr="00A81750">
        <w:trPr>
          <w:cantSplit/>
          <w:trHeight w:val="400"/>
          <w:jc w:val="center"/>
        </w:trPr>
        <w:tc>
          <w:tcPr>
            <w:tcW w:w="1350" w:type="dxa"/>
            <w:tcBorders>
              <w:top w:val="double" w:sz="6" w:space="0" w:color="auto"/>
              <w:bottom w:val="double" w:sz="6" w:space="0" w:color="auto"/>
            </w:tcBorders>
            <w:shd w:val="clear" w:color="auto" w:fill="FFFF99"/>
          </w:tcPr>
          <w:p w14:paraId="58D99C4F" w14:textId="77777777" w:rsidR="0046215A" w:rsidRPr="000C0597" w:rsidRDefault="0046215A" w:rsidP="00682E4A">
            <w:pPr>
              <w:spacing w:line="360" w:lineRule="atLeast"/>
              <w:jc w:val="center"/>
              <w:rPr>
                <w:rFonts w:ascii="Arial" w:hAnsi="Arial" w:cs="Arial"/>
                <w:b/>
                <w:sz w:val="22"/>
                <w:szCs w:val="22"/>
              </w:rPr>
            </w:pPr>
            <w:bookmarkStart w:id="21" w:name="_Toc305487203"/>
            <w:r w:rsidRPr="000C0597">
              <w:rPr>
                <w:rFonts w:ascii="Arial" w:hAnsi="Arial" w:cs="Arial"/>
                <w:b/>
                <w:sz w:val="22"/>
                <w:szCs w:val="22"/>
              </w:rPr>
              <w:t>Year</w:t>
            </w:r>
          </w:p>
        </w:tc>
        <w:tc>
          <w:tcPr>
            <w:tcW w:w="1507" w:type="dxa"/>
            <w:tcBorders>
              <w:top w:val="double" w:sz="6" w:space="0" w:color="auto"/>
              <w:bottom w:val="double" w:sz="6" w:space="0" w:color="auto"/>
            </w:tcBorders>
            <w:shd w:val="clear" w:color="auto" w:fill="FFFF99"/>
          </w:tcPr>
          <w:p w14:paraId="2F4E5AAB" w14:textId="77777777" w:rsidR="0046215A" w:rsidRPr="000C0597" w:rsidRDefault="0046215A" w:rsidP="00A67C4B">
            <w:pPr>
              <w:spacing w:line="360" w:lineRule="atLeast"/>
              <w:jc w:val="center"/>
              <w:rPr>
                <w:rFonts w:ascii="Arial" w:hAnsi="Arial" w:cs="Arial"/>
                <w:b/>
                <w:sz w:val="22"/>
                <w:szCs w:val="22"/>
              </w:rPr>
            </w:pPr>
            <w:r w:rsidRPr="000C0597">
              <w:rPr>
                <w:rFonts w:ascii="Arial" w:hAnsi="Arial" w:cs="Arial"/>
                <w:b/>
                <w:sz w:val="22"/>
                <w:szCs w:val="22"/>
              </w:rPr>
              <w:t>CT</w:t>
            </w:r>
          </w:p>
        </w:tc>
        <w:tc>
          <w:tcPr>
            <w:tcW w:w="1710" w:type="dxa"/>
            <w:tcBorders>
              <w:top w:val="double" w:sz="6" w:space="0" w:color="auto"/>
              <w:bottom w:val="double" w:sz="6" w:space="0" w:color="auto"/>
            </w:tcBorders>
            <w:shd w:val="clear" w:color="auto" w:fill="FFFF99"/>
          </w:tcPr>
          <w:p w14:paraId="6BF90F09" w14:textId="77777777" w:rsidR="0046215A" w:rsidRPr="000C0597" w:rsidRDefault="0046215A" w:rsidP="00A67C4B">
            <w:pPr>
              <w:spacing w:line="360" w:lineRule="atLeast"/>
              <w:jc w:val="center"/>
              <w:rPr>
                <w:rFonts w:ascii="Arial" w:hAnsi="Arial" w:cs="Arial"/>
                <w:b/>
                <w:sz w:val="22"/>
                <w:szCs w:val="22"/>
              </w:rPr>
            </w:pPr>
            <w:r w:rsidRPr="000C0597">
              <w:rPr>
                <w:rFonts w:ascii="Arial" w:hAnsi="Arial" w:cs="Arial"/>
                <w:b/>
                <w:sz w:val="22"/>
                <w:szCs w:val="22"/>
              </w:rPr>
              <w:t>CC</w:t>
            </w:r>
          </w:p>
        </w:tc>
      </w:tr>
      <w:tr w:rsidR="00A81750" w:rsidRPr="000C0597" w14:paraId="4D4EF658" w14:textId="77777777" w:rsidTr="001E4272">
        <w:trPr>
          <w:cantSplit/>
          <w:trHeight w:val="2615"/>
          <w:jc w:val="center"/>
        </w:trPr>
        <w:tc>
          <w:tcPr>
            <w:tcW w:w="4567" w:type="dxa"/>
            <w:gridSpan w:val="3"/>
            <w:tcBorders>
              <w:top w:val="double" w:sz="6" w:space="0" w:color="auto"/>
            </w:tcBorders>
          </w:tcPr>
          <w:p w14:paraId="7C556DDB" w14:textId="7D4C5D0C" w:rsidR="00A81750" w:rsidRPr="000C0597" w:rsidRDefault="00A81750" w:rsidP="00A81750">
            <w:pPr>
              <w:spacing w:line="360" w:lineRule="atLeast"/>
              <w:jc w:val="center"/>
              <w:rPr>
                <w:rFonts w:ascii="Arial" w:hAnsi="Arial" w:cs="Arial"/>
                <w:sz w:val="22"/>
                <w:szCs w:val="22"/>
                <w:highlight w:val="yellow"/>
              </w:rPr>
            </w:pPr>
            <w:r w:rsidRPr="00A81750">
              <w:rPr>
                <w:rFonts w:ascii="Arial" w:hAnsi="Arial" w:cs="Arial"/>
                <w:noProof/>
                <w:sz w:val="22"/>
                <w:szCs w:val="22"/>
                <w:highlight w:val="yellow"/>
              </w:rPr>
              <mc:AlternateContent>
                <mc:Choice Requires="wps">
                  <w:drawing>
                    <wp:anchor distT="45720" distB="45720" distL="114300" distR="114300" simplePos="0" relativeHeight="251660288" behindDoc="0" locked="0" layoutInCell="1" allowOverlap="1" wp14:anchorId="759A9B8E" wp14:editId="60692206">
                      <wp:simplePos x="0" y="0"/>
                      <wp:positionH relativeFrom="column">
                        <wp:posOffset>698609</wp:posOffset>
                      </wp:positionH>
                      <wp:positionV relativeFrom="paragraph">
                        <wp:posOffset>552465</wp:posOffset>
                      </wp:positionV>
                      <wp:extent cx="1270635" cy="1404620"/>
                      <wp:effectExtent l="0" t="0" r="2476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1404620"/>
                              </a:xfrm>
                              <a:prstGeom prst="rect">
                                <a:avLst/>
                              </a:prstGeom>
                              <a:solidFill>
                                <a:srgbClr val="FFFFFF"/>
                              </a:solidFill>
                              <a:ln w="9525">
                                <a:solidFill>
                                  <a:srgbClr val="000000"/>
                                </a:solidFill>
                                <a:miter lim="800000"/>
                                <a:headEnd/>
                                <a:tailEnd/>
                              </a:ln>
                            </wps:spPr>
                            <wps:txbx>
                              <w:txbxContent>
                                <w:p w14:paraId="1E7FBCCF" w14:textId="5D66E2A6" w:rsidR="007B3FC7" w:rsidRPr="00A81750" w:rsidRDefault="007B3FC7" w:rsidP="00A81750">
                                  <w:pPr>
                                    <w:jc w:val="center"/>
                                    <w:rPr>
                                      <w:b/>
                                      <w:sz w:val="28"/>
                                      <w:szCs w:val="28"/>
                                    </w:rPr>
                                  </w:pPr>
                                  <w:r w:rsidRPr="00A81750">
                                    <w:rPr>
                                      <w:b/>
                                      <w:sz w:val="28"/>
                                      <w:szCs w:val="28"/>
                                    </w:rPr>
                                    <w:t>REDACTED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9A9B8E" id="_x0000_t202" coordsize="21600,21600" o:spt="202" path="m,l,21600r21600,l21600,xe">
                      <v:stroke joinstyle="miter"/>
                      <v:path gradientshapeok="t" o:connecttype="rect"/>
                    </v:shapetype>
                    <v:shape id="Text Box 2" o:spid="_x0000_s1026" type="#_x0000_t202" style="position:absolute;left:0;text-align:left;margin-left:55pt;margin-top:43.5pt;width:100.0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">
                      <v:textbox style="mso-fit-shape-to-text:t">
                        <w:txbxContent>
                          <w:p w14:paraId="1E7FBCCF" w14:textId="5D66E2A6" w:rsidR="007B3FC7" w:rsidRPr="00A81750" w:rsidRDefault="007B3FC7" w:rsidP="00A81750">
                            <w:pPr>
                              <w:jc w:val="center"/>
                              <w:rPr>
                                <w:b/>
                                <w:sz w:val="28"/>
                                <w:szCs w:val="28"/>
                              </w:rPr>
                            </w:pPr>
                            <w:r w:rsidRPr="00A81750">
                              <w:rPr>
                                <w:b/>
                                <w:sz w:val="28"/>
                                <w:szCs w:val="28"/>
                              </w:rPr>
                              <w:t>REDACTED</w:t>
                            </w:r>
                          </w:p>
                        </w:txbxContent>
                      </v:textbox>
                      <w10:wrap type="square"/>
                    </v:shape>
                  </w:pict>
                </mc:Fallback>
              </mc:AlternateContent>
            </w:r>
          </w:p>
        </w:tc>
      </w:tr>
    </w:tbl>
    <w:p w14:paraId="1C1B68E8" w14:textId="77777777" w:rsidR="00A23818" w:rsidRPr="00CB6A74" w:rsidRDefault="00A23818" w:rsidP="00CB6A74">
      <w:pPr>
        <w:pStyle w:val="NormalIndent"/>
        <w:rPr>
          <w:highlight w:val="yellow"/>
        </w:rPr>
      </w:pPr>
    </w:p>
    <w:p w14:paraId="13119489" w14:textId="6D5635C2" w:rsidR="00BD6A65" w:rsidRPr="000C0597" w:rsidRDefault="00BD6A65" w:rsidP="006D78D2">
      <w:pPr>
        <w:pStyle w:val="Heading3"/>
        <w:numPr>
          <w:ilvl w:val="0"/>
          <w:numId w:val="0"/>
        </w:numPr>
        <w:spacing w:line="360" w:lineRule="atLeast"/>
        <w:ind w:left="720" w:hanging="720"/>
        <w:rPr>
          <w:rFonts w:ascii="Arial" w:hAnsi="Arial" w:cs="Arial"/>
          <w:sz w:val="22"/>
          <w:szCs w:val="22"/>
        </w:rPr>
      </w:pPr>
      <w:r w:rsidRPr="000C0597">
        <w:rPr>
          <w:rFonts w:ascii="Arial" w:hAnsi="Arial" w:cs="Arial"/>
          <w:sz w:val="22"/>
          <w:szCs w:val="22"/>
        </w:rPr>
        <w:t>Escalation and Performance Assumptions</w:t>
      </w:r>
      <w:bookmarkEnd w:id="21"/>
      <w:r w:rsidR="00930DCF">
        <w:rPr>
          <w:rFonts w:ascii="Arial" w:hAnsi="Arial" w:cs="Arial"/>
          <w:sz w:val="22"/>
          <w:szCs w:val="22"/>
        </w:rPr>
        <w:t xml:space="preserve"> </w:t>
      </w:r>
    </w:p>
    <w:p w14:paraId="479F3BA8" w14:textId="1B8EAD8A" w:rsidR="00BD6A65" w:rsidRPr="000C0597" w:rsidRDefault="00EE495A" w:rsidP="00CB6A74">
      <w:pPr>
        <w:spacing w:after="240" w:line="360" w:lineRule="atLeast"/>
        <w:rPr>
          <w:rFonts w:ascii="Arial" w:hAnsi="Arial" w:cs="Arial"/>
          <w:sz w:val="22"/>
          <w:szCs w:val="22"/>
        </w:rPr>
      </w:pPr>
      <w:r w:rsidRPr="000C0597">
        <w:rPr>
          <w:rFonts w:ascii="Arial" w:hAnsi="Arial" w:cs="Arial"/>
          <w:sz w:val="22"/>
          <w:szCs w:val="22"/>
        </w:rPr>
        <w:t xml:space="preserve">Escalation and performance assumptions, for all technologies, were developed by SCS utilizing our own experience and supplementing </w:t>
      </w:r>
      <w:r w:rsidRPr="000C0597">
        <w:rPr>
          <w:rFonts w:ascii="Arial" w:hAnsi="Arial" w:cs="Arial"/>
          <w:color w:val="000000" w:themeColor="text1"/>
          <w:sz w:val="22"/>
          <w:szCs w:val="22"/>
        </w:rPr>
        <w:t>with information from external consultants</w:t>
      </w:r>
      <w:r w:rsidR="008244ED" w:rsidRPr="000C0597">
        <w:rPr>
          <w:rFonts w:ascii="Arial" w:hAnsi="Arial" w:cs="Arial"/>
          <w:color w:val="000000" w:themeColor="text1"/>
          <w:sz w:val="22"/>
          <w:szCs w:val="22"/>
        </w:rPr>
        <w:t xml:space="preserve">. </w:t>
      </w:r>
      <w:r w:rsidRPr="000C0597">
        <w:rPr>
          <w:rFonts w:ascii="Arial" w:hAnsi="Arial" w:cs="Arial"/>
          <w:sz w:val="22"/>
          <w:szCs w:val="22"/>
        </w:rPr>
        <w:t xml:space="preserve">Candidate units were modeled in Strategist by having construction costs for technologies inflate at </w:t>
      </w:r>
      <w:r w:rsidR="00A81750" w:rsidRPr="00603573">
        <w:rPr>
          <w:rFonts w:ascii="Arial" w:hAnsi="Arial" w:cs="Arial"/>
          <w:b/>
          <w:color w:val="000000"/>
          <w:sz w:val="6"/>
          <w:szCs w:val="14"/>
        </w:rPr>
        <w:t>REDACTED</w:t>
      </w:r>
      <w:r w:rsidRPr="000C0597">
        <w:rPr>
          <w:rFonts w:ascii="Arial" w:hAnsi="Arial" w:cs="Arial"/>
          <w:sz w:val="22"/>
          <w:szCs w:val="22"/>
        </w:rPr>
        <w:t xml:space="preserve">% for the duration of the planning period. </w:t>
      </w:r>
    </w:p>
    <w:p w14:paraId="42C07CEA" w14:textId="6C051F33" w:rsidR="00BD6A65" w:rsidRPr="000C0597" w:rsidRDefault="00BD6A65" w:rsidP="006D78D2">
      <w:pPr>
        <w:pStyle w:val="Heading3"/>
        <w:numPr>
          <w:ilvl w:val="0"/>
          <w:numId w:val="0"/>
        </w:numPr>
        <w:spacing w:line="360" w:lineRule="atLeast"/>
        <w:ind w:left="720" w:hanging="720"/>
        <w:rPr>
          <w:rFonts w:ascii="Arial" w:hAnsi="Arial" w:cs="Arial"/>
          <w:sz w:val="22"/>
          <w:szCs w:val="22"/>
        </w:rPr>
      </w:pPr>
      <w:bookmarkStart w:id="22" w:name="_Toc305487204"/>
      <w:r w:rsidRPr="000C0597">
        <w:rPr>
          <w:rFonts w:ascii="Arial" w:hAnsi="Arial" w:cs="Arial"/>
          <w:sz w:val="22"/>
          <w:szCs w:val="22"/>
        </w:rPr>
        <w:t>Unit Sizes for Mix Study</w:t>
      </w:r>
      <w:bookmarkEnd w:id="22"/>
    </w:p>
    <w:p w14:paraId="20329DB0" w14:textId="3883914E" w:rsidR="00BD6A65" w:rsidRPr="000C0597" w:rsidRDefault="00BD6A65" w:rsidP="00243513">
      <w:pPr>
        <w:spacing w:line="360" w:lineRule="atLeast"/>
        <w:rPr>
          <w:rFonts w:ascii="Arial" w:hAnsi="Arial" w:cs="Arial"/>
          <w:sz w:val="22"/>
          <w:szCs w:val="22"/>
          <w:highlight w:val="yellow"/>
        </w:rPr>
      </w:pPr>
      <w:r w:rsidRPr="000C0597">
        <w:rPr>
          <w:rFonts w:ascii="Arial" w:hAnsi="Arial" w:cs="Arial"/>
          <w:sz w:val="22"/>
          <w:szCs w:val="22"/>
        </w:rPr>
        <w:t xml:space="preserve">The </w:t>
      </w:r>
      <w:r w:rsidR="00AF7D08" w:rsidRPr="000C0597">
        <w:rPr>
          <w:rFonts w:ascii="Arial" w:hAnsi="Arial" w:cs="Arial"/>
          <w:sz w:val="22"/>
          <w:szCs w:val="22"/>
        </w:rPr>
        <w:t>PROVIEW</w:t>
      </w:r>
      <w:r w:rsidRPr="000C0597">
        <w:rPr>
          <w:rFonts w:ascii="Arial" w:hAnsi="Arial" w:cs="Arial"/>
          <w:sz w:val="22"/>
          <w:szCs w:val="22"/>
        </w:rPr>
        <w:t xml:space="preserve"> model selects new units based on minimizing total operating and capital costs.</w:t>
      </w:r>
      <w:r w:rsidR="008244ED" w:rsidRPr="000C0597">
        <w:rPr>
          <w:rFonts w:ascii="Arial" w:hAnsi="Arial" w:cs="Arial"/>
          <w:sz w:val="22"/>
          <w:szCs w:val="22"/>
        </w:rPr>
        <w:t xml:space="preserve"> </w:t>
      </w:r>
      <w:r w:rsidRPr="000C0597">
        <w:rPr>
          <w:rFonts w:ascii="Arial" w:hAnsi="Arial" w:cs="Arial"/>
          <w:sz w:val="22"/>
          <w:szCs w:val="22"/>
        </w:rPr>
        <w:t>In order to</w:t>
      </w:r>
      <w:r w:rsidR="0004719E" w:rsidRPr="000C0597">
        <w:rPr>
          <w:rFonts w:ascii="Arial" w:hAnsi="Arial" w:cs="Arial"/>
          <w:sz w:val="22"/>
          <w:szCs w:val="22"/>
        </w:rPr>
        <w:t xml:space="preserve"> minimize potential size </w:t>
      </w:r>
      <w:r w:rsidRPr="000C0597">
        <w:rPr>
          <w:rFonts w:ascii="Arial" w:hAnsi="Arial" w:cs="Arial"/>
          <w:sz w:val="22"/>
          <w:szCs w:val="22"/>
        </w:rPr>
        <w:t>bias</w:t>
      </w:r>
      <w:r w:rsidR="00BB2D2B" w:rsidRPr="000C0597">
        <w:rPr>
          <w:rFonts w:ascii="Arial" w:hAnsi="Arial" w:cs="Arial"/>
          <w:sz w:val="22"/>
          <w:szCs w:val="22"/>
        </w:rPr>
        <w:t>,</w:t>
      </w:r>
      <w:r w:rsidRPr="000C0597">
        <w:rPr>
          <w:rFonts w:ascii="Arial" w:hAnsi="Arial" w:cs="Arial"/>
          <w:sz w:val="22"/>
          <w:szCs w:val="22"/>
        </w:rPr>
        <w:t xml:space="preserve"> a </w:t>
      </w:r>
      <w:r w:rsidR="00CC691F" w:rsidRPr="000C0597">
        <w:rPr>
          <w:rFonts w:ascii="Arial" w:hAnsi="Arial" w:cs="Arial"/>
          <w:sz w:val="22"/>
          <w:szCs w:val="22"/>
        </w:rPr>
        <w:t xml:space="preserve">unit </w:t>
      </w:r>
      <w:r w:rsidRPr="000C0597">
        <w:rPr>
          <w:rFonts w:ascii="Arial" w:hAnsi="Arial" w:cs="Arial"/>
          <w:sz w:val="22"/>
          <w:szCs w:val="22"/>
        </w:rPr>
        <w:t xml:space="preserve">size of 300 MW </w:t>
      </w:r>
      <w:r w:rsidR="00BF1549" w:rsidRPr="000C0597">
        <w:rPr>
          <w:rFonts w:ascii="Arial" w:hAnsi="Arial" w:cs="Arial"/>
          <w:sz w:val="22"/>
          <w:szCs w:val="22"/>
        </w:rPr>
        <w:t xml:space="preserve">was </w:t>
      </w:r>
      <w:r w:rsidRPr="000C0597">
        <w:rPr>
          <w:rFonts w:ascii="Arial" w:hAnsi="Arial" w:cs="Arial"/>
          <w:sz w:val="22"/>
          <w:szCs w:val="22"/>
        </w:rPr>
        <w:t>considered for all technologies</w:t>
      </w:r>
      <w:r w:rsidR="008244ED" w:rsidRPr="000C0597">
        <w:rPr>
          <w:rFonts w:ascii="Arial" w:hAnsi="Arial" w:cs="Arial"/>
          <w:sz w:val="22"/>
          <w:szCs w:val="22"/>
        </w:rPr>
        <w:t xml:space="preserve">. </w:t>
      </w:r>
      <w:r w:rsidRPr="000C0597">
        <w:rPr>
          <w:rFonts w:ascii="Arial" w:hAnsi="Arial" w:cs="Arial"/>
          <w:sz w:val="22"/>
          <w:szCs w:val="22"/>
        </w:rPr>
        <w:t>The model adds resources in multiples of 300 MW</w:t>
      </w:r>
      <w:r w:rsidR="008244ED" w:rsidRPr="000C0597">
        <w:rPr>
          <w:rFonts w:ascii="Arial" w:hAnsi="Arial" w:cs="Arial"/>
          <w:sz w:val="22"/>
          <w:szCs w:val="22"/>
        </w:rPr>
        <w:t xml:space="preserve">. </w:t>
      </w:r>
      <w:r w:rsidRPr="000C0597">
        <w:rPr>
          <w:rFonts w:ascii="Arial" w:hAnsi="Arial" w:cs="Arial"/>
          <w:sz w:val="22"/>
          <w:szCs w:val="22"/>
        </w:rPr>
        <w:t xml:space="preserve">The actual </w:t>
      </w:r>
      <w:r w:rsidR="009818A2" w:rsidRPr="000C0597">
        <w:rPr>
          <w:rFonts w:ascii="Arial" w:hAnsi="Arial" w:cs="Arial"/>
          <w:sz w:val="22"/>
          <w:szCs w:val="22"/>
        </w:rPr>
        <w:t xml:space="preserve">unit </w:t>
      </w:r>
      <w:r w:rsidRPr="000C0597">
        <w:rPr>
          <w:rFonts w:ascii="Arial" w:hAnsi="Arial" w:cs="Arial"/>
          <w:sz w:val="22"/>
          <w:szCs w:val="22"/>
        </w:rPr>
        <w:t>additions are matched as close</w:t>
      </w:r>
      <w:r w:rsidR="009818A2" w:rsidRPr="000C0597">
        <w:rPr>
          <w:rFonts w:ascii="Arial" w:hAnsi="Arial" w:cs="Arial"/>
          <w:sz w:val="22"/>
          <w:szCs w:val="22"/>
        </w:rPr>
        <w:t>ly</w:t>
      </w:r>
      <w:r w:rsidRPr="000C0597">
        <w:rPr>
          <w:rFonts w:ascii="Arial" w:hAnsi="Arial" w:cs="Arial"/>
          <w:sz w:val="22"/>
          <w:szCs w:val="22"/>
        </w:rPr>
        <w:t xml:space="preserve"> as possible to this resource schedule of 300 MW units</w:t>
      </w:r>
      <w:r w:rsidR="008244ED" w:rsidRPr="000C0597">
        <w:rPr>
          <w:rFonts w:ascii="Arial" w:hAnsi="Arial" w:cs="Arial"/>
          <w:sz w:val="22"/>
          <w:szCs w:val="22"/>
        </w:rPr>
        <w:t xml:space="preserve">. </w:t>
      </w:r>
      <w:r w:rsidRPr="000C0597">
        <w:rPr>
          <w:rFonts w:ascii="Arial" w:hAnsi="Arial" w:cs="Arial"/>
          <w:sz w:val="22"/>
          <w:szCs w:val="22"/>
        </w:rPr>
        <w:t>For a slight improvement in accuracy</w:t>
      </w:r>
      <w:r w:rsidR="00BB2D2B" w:rsidRPr="000C0597">
        <w:rPr>
          <w:rFonts w:ascii="Arial" w:hAnsi="Arial" w:cs="Arial"/>
          <w:sz w:val="22"/>
          <w:szCs w:val="22"/>
        </w:rPr>
        <w:t>,</w:t>
      </w:r>
      <w:r w:rsidRPr="000C0597">
        <w:rPr>
          <w:rFonts w:ascii="Arial" w:hAnsi="Arial" w:cs="Arial"/>
          <w:sz w:val="22"/>
          <w:szCs w:val="22"/>
        </w:rPr>
        <w:t xml:space="preserve"> a smaller unit size (200, 100 MW) can be used, resulting in a considerable increase in the analysis time</w:t>
      </w:r>
      <w:r w:rsidR="008244ED" w:rsidRPr="000C0597">
        <w:rPr>
          <w:rFonts w:ascii="Arial" w:hAnsi="Arial" w:cs="Arial"/>
          <w:sz w:val="22"/>
          <w:szCs w:val="22"/>
        </w:rPr>
        <w:t xml:space="preserve">. </w:t>
      </w:r>
      <w:r w:rsidR="004D7FB1" w:rsidRPr="000C0597">
        <w:rPr>
          <w:rFonts w:ascii="Arial" w:hAnsi="Arial" w:cs="Arial"/>
          <w:sz w:val="22"/>
          <w:szCs w:val="22"/>
        </w:rPr>
        <w:t xml:space="preserve">However, for </w:t>
      </w:r>
      <w:r w:rsidRPr="000C0597">
        <w:rPr>
          <w:rFonts w:ascii="Arial" w:hAnsi="Arial" w:cs="Arial"/>
          <w:sz w:val="22"/>
          <w:szCs w:val="22"/>
        </w:rPr>
        <w:t>a system the size of Southern</w:t>
      </w:r>
      <w:r w:rsidR="00FE058B" w:rsidRPr="000C0597">
        <w:rPr>
          <w:rFonts w:ascii="Arial" w:hAnsi="Arial" w:cs="Arial"/>
          <w:sz w:val="22"/>
          <w:szCs w:val="22"/>
        </w:rPr>
        <w:t xml:space="preserve"> Company</w:t>
      </w:r>
      <w:r w:rsidR="00BB2D2B" w:rsidRPr="000C0597">
        <w:rPr>
          <w:rFonts w:ascii="Arial" w:hAnsi="Arial" w:cs="Arial"/>
          <w:sz w:val="22"/>
          <w:szCs w:val="22"/>
        </w:rPr>
        <w:t>,</w:t>
      </w:r>
      <w:r w:rsidRPr="000C0597">
        <w:rPr>
          <w:rFonts w:ascii="Arial" w:hAnsi="Arial" w:cs="Arial"/>
          <w:sz w:val="22"/>
          <w:szCs w:val="22"/>
        </w:rPr>
        <w:t xml:space="preserve"> a 300 MW unit size is appropriate.</w:t>
      </w:r>
      <w:r w:rsidRPr="000C0597">
        <w:rPr>
          <w:rFonts w:ascii="Arial" w:hAnsi="Arial" w:cs="Arial"/>
          <w:sz w:val="22"/>
          <w:szCs w:val="22"/>
        </w:rPr>
        <w:br w:type="page"/>
      </w:r>
    </w:p>
    <w:p w14:paraId="50D83417" w14:textId="77777777" w:rsidR="00BD6A65" w:rsidRPr="000C0597" w:rsidRDefault="00522ADC" w:rsidP="00243513">
      <w:pPr>
        <w:pStyle w:val="Heading2"/>
        <w:spacing w:line="360" w:lineRule="atLeast"/>
        <w:rPr>
          <w:rFonts w:ascii="Arial" w:hAnsi="Arial" w:cs="Arial"/>
          <w:sz w:val="22"/>
          <w:szCs w:val="22"/>
        </w:rPr>
      </w:pPr>
      <w:bookmarkStart w:id="23" w:name="_Toc305487205"/>
      <w:r w:rsidRPr="000C0597">
        <w:rPr>
          <w:rFonts w:ascii="Arial" w:hAnsi="Arial" w:cs="Arial"/>
          <w:sz w:val="22"/>
          <w:szCs w:val="22"/>
        </w:rPr>
        <w:t>FUEL PRICES</w:t>
      </w:r>
      <w:bookmarkEnd w:id="23"/>
    </w:p>
    <w:p w14:paraId="11533751" w14:textId="2C99633D" w:rsidR="00BD6A65" w:rsidRPr="000C0597" w:rsidRDefault="00CC0602" w:rsidP="00243513">
      <w:pPr>
        <w:spacing w:line="360" w:lineRule="atLeast"/>
        <w:rPr>
          <w:rFonts w:ascii="Arial" w:hAnsi="Arial" w:cs="Arial"/>
          <w:sz w:val="22"/>
          <w:szCs w:val="22"/>
        </w:rPr>
      </w:pPr>
      <w:r w:rsidRPr="000C0597">
        <w:rPr>
          <w:rFonts w:ascii="Arial" w:hAnsi="Arial" w:cs="Arial"/>
          <w:sz w:val="22"/>
          <w:szCs w:val="22"/>
        </w:rPr>
        <w:t>Nea</w:t>
      </w:r>
      <w:r w:rsidR="00052006" w:rsidRPr="000C0597">
        <w:rPr>
          <w:rFonts w:ascii="Arial" w:hAnsi="Arial" w:cs="Arial"/>
          <w:sz w:val="22"/>
          <w:szCs w:val="22"/>
        </w:rPr>
        <w:t>r</w:t>
      </w:r>
      <w:r w:rsidRPr="000C0597">
        <w:rPr>
          <w:rFonts w:ascii="Arial" w:hAnsi="Arial" w:cs="Arial"/>
          <w:sz w:val="22"/>
          <w:szCs w:val="22"/>
        </w:rPr>
        <w:t xml:space="preserve"> term </w:t>
      </w:r>
      <w:r w:rsidR="00030041" w:rsidRPr="000C0597">
        <w:rPr>
          <w:rFonts w:ascii="Arial" w:hAnsi="Arial" w:cs="Arial"/>
          <w:sz w:val="22"/>
          <w:szCs w:val="22"/>
        </w:rPr>
        <w:t xml:space="preserve">base </w:t>
      </w:r>
      <w:r w:rsidRPr="000C0597">
        <w:rPr>
          <w:rFonts w:ascii="Arial" w:hAnsi="Arial" w:cs="Arial"/>
          <w:sz w:val="22"/>
          <w:szCs w:val="22"/>
        </w:rPr>
        <w:t xml:space="preserve">fuel </w:t>
      </w:r>
      <w:r w:rsidR="00BD6A65" w:rsidRPr="000C0597">
        <w:rPr>
          <w:rFonts w:ascii="Arial" w:hAnsi="Arial" w:cs="Arial"/>
          <w:sz w:val="22"/>
          <w:szCs w:val="22"/>
        </w:rPr>
        <w:t xml:space="preserve">costs are based on the </w:t>
      </w:r>
      <w:r w:rsidR="006F49A7" w:rsidRPr="000C0597">
        <w:rPr>
          <w:rFonts w:ascii="Arial" w:hAnsi="Arial" w:cs="Arial"/>
          <w:sz w:val="22"/>
          <w:szCs w:val="22"/>
        </w:rPr>
        <w:t>Southern Company fuel budgeting process</w:t>
      </w:r>
      <w:r w:rsidR="008244ED" w:rsidRPr="000C0597">
        <w:rPr>
          <w:rFonts w:ascii="Arial" w:hAnsi="Arial" w:cs="Arial"/>
          <w:sz w:val="22"/>
          <w:szCs w:val="22"/>
        </w:rPr>
        <w:t xml:space="preserve">. </w:t>
      </w:r>
      <w:r w:rsidRPr="000C0597">
        <w:rPr>
          <w:rFonts w:ascii="Arial" w:hAnsi="Arial" w:cs="Arial"/>
          <w:sz w:val="22"/>
          <w:szCs w:val="22"/>
        </w:rPr>
        <w:t xml:space="preserve">Long term </w:t>
      </w:r>
      <w:r w:rsidR="00030041" w:rsidRPr="000C0597">
        <w:rPr>
          <w:rFonts w:ascii="Arial" w:hAnsi="Arial" w:cs="Arial"/>
          <w:sz w:val="22"/>
          <w:szCs w:val="22"/>
        </w:rPr>
        <w:t xml:space="preserve">base </w:t>
      </w:r>
      <w:r w:rsidRPr="000C0597">
        <w:rPr>
          <w:rFonts w:ascii="Arial" w:hAnsi="Arial" w:cs="Arial"/>
          <w:sz w:val="22"/>
          <w:szCs w:val="22"/>
        </w:rPr>
        <w:t>fuel costs are based on forecasts developed for Southern Company by CRA</w:t>
      </w:r>
      <w:r w:rsidR="00827F64" w:rsidRPr="000C0597">
        <w:rPr>
          <w:rFonts w:ascii="Arial" w:hAnsi="Arial" w:cs="Arial"/>
          <w:sz w:val="22"/>
          <w:szCs w:val="22"/>
        </w:rPr>
        <w:t xml:space="preserve"> and reviewed in the Scenario Fuel Forecast in Technical Appendix Volume 1</w:t>
      </w:r>
      <w:r w:rsidR="00BD6A65" w:rsidRPr="000C0597">
        <w:rPr>
          <w:rFonts w:ascii="Arial" w:hAnsi="Arial" w:cs="Arial"/>
          <w:sz w:val="22"/>
          <w:szCs w:val="22"/>
        </w:rPr>
        <w:t>.</w:t>
      </w:r>
    </w:p>
    <w:p w14:paraId="407DD38D" w14:textId="77777777" w:rsidR="00BD6A65" w:rsidRPr="000C0597" w:rsidRDefault="00BD6A65" w:rsidP="00243513">
      <w:pPr>
        <w:spacing w:line="360" w:lineRule="atLeast"/>
        <w:rPr>
          <w:rFonts w:ascii="Arial" w:hAnsi="Arial" w:cs="Arial"/>
          <w:sz w:val="22"/>
          <w:szCs w:val="22"/>
        </w:rPr>
      </w:pPr>
    </w:p>
    <w:p w14:paraId="362999BF" w14:textId="77777777" w:rsidR="00BD6A65" w:rsidRPr="000C0597" w:rsidRDefault="00BD6A65" w:rsidP="00243513">
      <w:pPr>
        <w:spacing w:line="360" w:lineRule="atLeast"/>
        <w:rPr>
          <w:rFonts w:ascii="Arial" w:hAnsi="Arial" w:cs="Arial"/>
          <w:sz w:val="22"/>
          <w:szCs w:val="22"/>
        </w:rPr>
      </w:pPr>
    </w:p>
    <w:p w14:paraId="74FBFFD6" w14:textId="28F103E7" w:rsidR="00BD6A65" w:rsidRPr="00AE5224" w:rsidRDefault="00F5064A" w:rsidP="00243513">
      <w:pPr>
        <w:keepNext/>
        <w:spacing w:line="360" w:lineRule="atLeast"/>
        <w:jc w:val="center"/>
        <w:rPr>
          <w:rFonts w:ascii="Arial" w:hAnsi="Arial" w:cs="Arial"/>
          <w:sz w:val="22"/>
          <w:szCs w:val="22"/>
        </w:rPr>
      </w:pPr>
      <w:r w:rsidRPr="00AE5224">
        <w:rPr>
          <w:rFonts w:ascii="Arial" w:hAnsi="Arial" w:cs="Arial"/>
          <w:sz w:val="22"/>
          <w:szCs w:val="22"/>
        </w:rPr>
        <w:fldChar w:fldCharType="begin"/>
      </w:r>
      <w:r w:rsidR="009A57D9" w:rsidRPr="00AE5224">
        <w:rPr>
          <w:rFonts w:ascii="Arial" w:hAnsi="Arial" w:cs="Arial"/>
          <w:sz w:val="22"/>
          <w:szCs w:val="22"/>
        </w:rPr>
        <w:instrText>tc "</w:instrText>
      </w:r>
      <w:bookmarkStart w:id="24" w:name="_Toc305559513"/>
      <w:bookmarkStart w:id="25" w:name="_Toc305571506"/>
      <w:bookmarkStart w:id="26" w:name="_Toc305573785"/>
      <w:bookmarkStart w:id="27" w:name="_Toc307114106"/>
      <w:bookmarkStart w:id="28" w:name="_Toc315687780"/>
      <w:r w:rsidR="009A57D9" w:rsidRPr="00AE5224">
        <w:rPr>
          <w:rFonts w:ascii="Arial" w:hAnsi="Arial" w:cs="Arial"/>
          <w:sz w:val="22"/>
          <w:szCs w:val="22"/>
        </w:rPr>
        <w:instrText xml:space="preserve">Figure 6.4: </w:instrText>
      </w:r>
      <w:bookmarkEnd w:id="24"/>
      <w:bookmarkEnd w:id="25"/>
      <w:bookmarkEnd w:id="26"/>
      <w:bookmarkEnd w:id="27"/>
      <w:r w:rsidR="009A57D9" w:rsidRPr="00AE5224">
        <w:rPr>
          <w:rFonts w:ascii="Arial" w:hAnsi="Arial" w:cs="Arial"/>
          <w:sz w:val="22"/>
          <w:szCs w:val="22"/>
        </w:rPr>
        <w:instrText>Fuel Cost Projections</w:instrText>
      </w:r>
      <w:bookmarkEnd w:id="28"/>
      <w:r w:rsidR="009A57D9" w:rsidRPr="00AE5224">
        <w:rPr>
          <w:rFonts w:ascii="Arial" w:hAnsi="Arial" w:cs="Arial"/>
          <w:sz w:val="22"/>
          <w:szCs w:val="22"/>
        </w:rPr>
        <w:instrText>" \f f</w:instrText>
      </w:r>
      <w:r w:rsidRPr="00AE5224">
        <w:rPr>
          <w:rFonts w:ascii="Arial" w:hAnsi="Arial" w:cs="Arial"/>
          <w:sz w:val="22"/>
          <w:szCs w:val="22"/>
        </w:rPr>
        <w:fldChar w:fldCharType="end"/>
      </w:r>
      <w:r w:rsidR="009A57D9" w:rsidRPr="00AE5224">
        <w:rPr>
          <w:rFonts w:ascii="Arial" w:hAnsi="Arial" w:cs="Arial"/>
          <w:sz w:val="22"/>
          <w:szCs w:val="22"/>
        </w:rPr>
        <w:t>Figure 3.7.1 - Fuel Cost Projections</w:t>
      </w:r>
    </w:p>
    <w:p w14:paraId="412F7282" w14:textId="77777777" w:rsidR="00C45C91" w:rsidRPr="000675A8" w:rsidRDefault="00C45C91" w:rsidP="00243513">
      <w:pPr>
        <w:keepNext/>
        <w:spacing w:line="360" w:lineRule="atLeast"/>
        <w:jc w:val="center"/>
        <w:rPr>
          <w:rFonts w:ascii="Arial" w:hAnsi="Arial" w:cs="Arial"/>
          <w:sz w:val="24"/>
          <w:highlight w:val="green"/>
        </w:rPr>
      </w:pPr>
    </w:p>
    <w:p w14:paraId="0292B194" w14:textId="6870E704" w:rsidR="00BD6A65" w:rsidRPr="000675A8" w:rsidRDefault="008A22E8" w:rsidP="00243513">
      <w:pPr>
        <w:spacing w:line="360" w:lineRule="atLeast"/>
        <w:rPr>
          <w:rFonts w:ascii="Arial" w:hAnsi="Arial" w:cs="Arial"/>
          <w:sz w:val="24"/>
        </w:rPr>
      </w:pPr>
      <w:r w:rsidRPr="000675A8">
        <w:rPr>
          <w:rFonts w:ascii="Arial" w:hAnsi="Arial" w:cs="Arial"/>
          <w:noProof/>
          <w:sz w:val="24"/>
          <w:highlight w:val="green"/>
        </w:rPr>
        <mc:AlternateContent>
          <mc:Choice Requires="wps">
            <w:drawing>
              <wp:anchor distT="0" distB="0" distL="114300" distR="114300" simplePos="0" relativeHeight="251658240" behindDoc="0" locked="0" layoutInCell="1" allowOverlap="1" wp14:anchorId="67E1D60A" wp14:editId="5DDD27E1">
                <wp:simplePos x="0" y="0"/>
                <wp:positionH relativeFrom="column">
                  <wp:posOffset>-125730</wp:posOffset>
                </wp:positionH>
                <wp:positionV relativeFrom="paragraph">
                  <wp:posOffset>152400</wp:posOffset>
                </wp:positionV>
                <wp:extent cx="5781675" cy="3981450"/>
                <wp:effectExtent l="0" t="0" r="9525" b="0"/>
                <wp:wrapNone/>
                <wp:docPr id="3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398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3242E" id="Rectangle 2" o:spid="_x0000_s1026" style="position:absolute;margin-left:-9.9pt;margin-top:12pt;width:455.2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" filled="f" stroked="f">
                <v:textbox inset="0,0,0,0"/>
              </v:rect>
            </w:pict>
          </mc:Fallback>
        </mc:AlternateContent>
      </w:r>
      <w:r w:rsidR="00BE404F">
        <w:rPr>
          <w:rFonts w:ascii="Arial" w:hAnsi="Arial" w:cs="Arial"/>
          <w:noProof/>
          <w:sz w:val="24"/>
        </w:rPr>
        <w:drawing>
          <wp:inline distT="0" distB="0" distL="0" distR="0" wp14:anchorId="3F00F786" wp14:editId="31BADB04">
            <wp:extent cx="5621020" cy="4041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1020" cy="4041775"/>
                    </a:xfrm>
                    <a:prstGeom prst="rect">
                      <a:avLst/>
                    </a:prstGeom>
                    <a:noFill/>
                  </pic:spPr>
                </pic:pic>
              </a:graphicData>
            </a:graphic>
          </wp:inline>
        </w:drawing>
      </w:r>
    </w:p>
    <w:p w14:paraId="02CE6B8D" w14:textId="5A04A3BA" w:rsidR="00BD6A65" w:rsidRPr="000C0597" w:rsidRDefault="00827F64" w:rsidP="00CB6A74">
      <w:pPr>
        <w:spacing w:before="240" w:after="240"/>
      </w:pPr>
      <w:bookmarkStart w:id="29" w:name="_Toc305487206"/>
      <w:r w:rsidRPr="000C0597" w:rsidDel="00827F64">
        <w:t xml:space="preserve"> </w:t>
      </w:r>
      <w:bookmarkEnd w:id="29"/>
    </w:p>
    <w:p w14:paraId="4400A5FD" w14:textId="758A4BC8"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The candidate</w:t>
      </w:r>
      <w:r w:rsidR="00827F64" w:rsidRPr="000C0597">
        <w:rPr>
          <w:rFonts w:ascii="Arial" w:hAnsi="Arial" w:cs="Arial"/>
          <w:sz w:val="22"/>
          <w:szCs w:val="22"/>
        </w:rPr>
        <w:t xml:space="preserve"> expansion</w:t>
      </w:r>
      <w:r w:rsidRPr="000C0597">
        <w:rPr>
          <w:rFonts w:ascii="Arial" w:hAnsi="Arial" w:cs="Arial"/>
          <w:sz w:val="22"/>
          <w:szCs w:val="22"/>
        </w:rPr>
        <w:t xml:space="preserve"> unit gas price is a </w:t>
      </w:r>
      <w:r w:rsidR="005F0394" w:rsidRPr="000C0597">
        <w:rPr>
          <w:rFonts w:ascii="Arial" w:hAnsi="Arial" w:cs="Arial"/>
          <w:sz w:val="22"/>
          <w:szCs w:val="22"/>
        </w:rPr>
        <w:t xml:space="preserve">capacity </w:t>
      </w:r>
      <w:r w:rsidR="00AB797A" w:rsidRPr="000C0597">
        <w:rPr>
          <w:rFonts w:ascii="Arial" w:hAnsi="Arial" w:cs="Arial"/>
          <w:sz w:val="22"/>
          <w:szCs w:val="22"/>
        </w:rPr>
        <w:t xml:space="preserve">need </w:t>
      </w:r>
      <w:r w:rsidRPr="000C0597">
        <w:rPr>
          <w:rFonts w:ascii="Arial" w:hAnsi="Arial" w:cs="Arial"/>
          <w:sz w:val="22"/>
          <w:szCs w:val="22"/>
        </w:rPr>
        <w:t xml:space="preserve">weighted average, by </w:t>
      </w:r>
      <w:r w:rsidR="00CE45EB" w:rsidRPr="000C0597">
        <w:rPr>
          <w:rFonts w:ascii="Arial" w:hAnsi="Arial" w:cs="Arial"/>
          <w:sz w:val="22"/>
          <w:szCs w:val="22"/>
        </w:rPr>
        <w:t xml:space="preserve">operating </w:t>
      </w:r>
      <w:r w:rsidRPr="000C0597">
        <w:rPr>
          <w:rFonts w:ascii="Arial" w:hAnsi="Arial" w:cs="Arial"/>
          <w:sz w:val="22"/>
          <w:szCs w:val="22"/>
        </w:rPr>
        <w:t xml:space="preserve">company, of several potential plant locations throughout the Southern </w:t>
      </w:r>
      <w:r w:rsidR="00FE058B" w:rsidRPr="000C0597">
        <w:rPr>
          <w:rFonts w:ascii="Arial" w:hAnsi="Arial" w:cs="Arial"/>
          <w:sz w:val="22"/>
          <w:szCs w:val="22"/>
        </w:rPr>
        <w:t xml:space="preserve">Company </w:t>
      </w:r>
      <w:r w:rsidRPr="000C0597">
        <w:rPr>
          <w:rFonts w:ascii="Arial" w:hAnsi="Arial" w:cs="Arial"/>
          <w:sz w:val="22"/>
          <w:szCs w:val="22"/>
        </w:rPr>
        <w:t>system</w:t>
      </w:r>
      <w:r w:rsidR="008244ED" w:rsidRPr="000C0597">
        <w:rPr>
          <w:rFonts w:ascii="Arial" w:hAnsi="Arial" w:cs="Arial"/>
          <w:sz w:val="22"/>
          <w:szCs w:val="22"/>
        </w:rPr>
        <w:t xml:space="preserve">. </w:t>
      </w:r>
      <w:r w:rsidR="00B678FB" w:rsidRPr="000C0597">
        <w:rPr>
          <w:rFonts w:ascii="Arial" w:hAnsi="Arial" w:cs="Arial"/>
          <w:sz w:val="22"/>
          <w:szCs w:val="22"/>
        </w:rPr>
        <w:t>C</w:t>
      </w:r>
      <w:r w:rsidRPr="000C0597">
        <w:rPr>
          <w:rFonts w:ascii="Arial" w:hAnsi="Arial" w:cs="Arial"/>
          <w:sz w:val="22"/>
          <w:szCs w:val="22"/>
        </w:rPr>
        <w:t xml:space="preserve">ombined cycle </w:t>
      </w:r>
      <w:r w:rsidR="00C94EFB" w:rsidRPr="000C0597">
        <w:rPr>
          <w:rFonts w:ascii="Arial" w:hAnsi="Arial" w:cs="Arial"/>
          <w:sz w:val="22"/>
          <w:szCs w:val="22"/>
        </w:rPr>
        <w:t>additions include the cost of contracting for firm annual natural gas deliver</w:t>
      </w:r>
      <w:r w:rsidR="00FE55F2" w:rsidRPr="000C0597">
        <w:rPr>
          <w:rFonts w:ascii="Arial" w:hAnsi="Arial" w:cs="Arial"/>
          <w:sz w:val="22"/>
          <w:szCs w:val="22"/>
        </w:rPr>
        <w:t>y</w:t>
      </w:r>
      <w:r w:rsidR="00C94EFB" w:rsidRPr="000C0597">
        <w:rPr>
          <w:rFonts w:ascii="Arial" w:hAnsi="Arial" w:cs="Arial"/>
          <w:sz w:val="22"/>
          <w:szCs w:val="22"/>
        </w:rPr>
        <w:t xml:space="preserve"> </w:t>
      </w:r>
      <w:r w:rsidR="005F0394" w:rsidRPr="000C0597">
        <w:rPr>
          <w:rFonts w:ascii="Arial" w:hAnsi="Arial" w:cs="Arial"/>
          <w:sz w:val="22"/>
          <w:szCs w:val="22"/>
        </w:rPr>
        <w:t xml:space="preserve">and combustion turbine </w:t>
      </w:r>
      <w:r w:rsidRPr="000C0597">
        <w:rPr>
          <w:rFonts w:ascii="Arial" w:hAnsi="Arial" w:cs="Arial"/>
          <w:sz w:val="22"/>
          <w:szCs w:val="22"/>
        </w:rPr>
        <w:t xml:space="preserve">additions include the cost of contracting for firm </w:t>
      </w:r>
      <w:r w:rsidR="00C94EFB" w:rsidRPr="000C0597">
        <w:rPr>
          <w:rFonts w:ascii="Arial" w:hAnsi="Arial" w:cs="Arial"/>
          <w:sz w:val="22"/>
          <w:szCs w:val="22"/>
        </w:rPr>
        <w:t xml:space="preserve">summer only </w:t>
      </w:r>
      <w:r w:rsidRPr="000C0597">
        <w:rPr>
          <w:rFonts w:ascii="Arial" w:hAnsi="Arial" w:cs="Arial"/>
          <w:sz w:val="22"/>
          <w:szCs w:val="22"/>
        </w:rPr>
        <w:t>natural gas delivery.</w:t>
      </w:r>
    </w:p>
    <w:p w14:paraId="558A2C78" w14:textId="30D8D854" w:rsidR="009E4429" w:rsidRPr="000C0597" w:rsidRDefault="009E4429" w:rsidP="00243513">
      <w:pPr>
        <w:spacing w:line="360" w:lineRule="atLeast"/>
        <w:rPr>
          <w:rFonts w:ascii="Arial" w:hAnsi="Arial" w:cs="Arial"/>
          <w:sz w:val="22"/>
          <w:szCs w:val="22"/>
        </w:rPr>
      </w:pPr>
    </w:p>
    <w:p w14:paraId="09EFD51A" w14:textId="50CEFDF7" w:rsidR="009E4429" w:rsidRPr="000C0597" w:rsidRDefault="009E4429" w:rsidP="00243513">
      <w:pPr>
        <w:spacing w:line="360" w:lineRule="atLeast"/>
        <w:rPr>
          <w:rFonts w:ascii="Arial" w:hAnsi="Arial" w:cs="Arial"/>
          <w:sz w:val="22"/>
          <w:szCs w:val="22"/>
        </w:rPr>
      </w:pPr>
    </w:p>
    <w:p w14:paraId="5D156828" w14:textId="77777777" w:rsidR="009E4429" w:rsidRPr="000C0597" w:rsidRDefault="009E4429" w:rsidP="00243513">
      <w:pPr>
        <w:spacing w:line="360" w:lineRule="atLeast"/>
        <w:rPr>
          <w:rFonts w:ascii="Arial" w:hAnsi="Arial" w:cs="Arial"/>
          <w:sz w:val="22"/>
          <w:szCs w:val="22"/>
          <w:highlight w:val="yellow"/>
        </w:rPr>
      </w:pPr>
    </w:p>
    <w:p w14:paraId="67ECA35E" w14:textId="77777777" w:rsidR="00BD6A65" w:rsidRPr="000C0597" w:rsidRDefault="00522ADC" w:rsidP="00DE4AE8">
      <w:pPr>
        <w:pStyle w:val="Heading2"/>
        <w:keepLines/>
        <w:tabs>
          <w:tab w:val="num" w:pos="720"/>
        </w:tabs>
        <w:spacing w:line="360" w:lineRule="atLeast"/>
        <w:ind w:left="720" w:hanging="720"/>
        <w:rPr>
          <w:rFonts w:ascii="Arial" w:hAnsi="Arial" w:cs="Arial"/>
          <w:sz w:val="22"/>
          <w:szCs w:val="22"/>
        </w:rPr>
      </w:pPr>
      <w:bookmarkStart w:id="30" w:name="_Toc305487207"/>
      <w:r w:rsidRPr="000C0597">
        <w:rPr>
          <w:rFonts w:ascii="Arial" w:hAnsi="Arial" w:cs="Arial"/>
          <w:sz w:val="22"/>
          <w:szCs w:val="22"/>
        </w:rPr>
        <w:t>LOADS</w:t>
      </w:r>
      <w:bookmarkEnd w:id="30"/>
    </w:p>
    <w:p w14:paraId="718EAE79" w14:textId="43F67511" w:rsidR="00A23818" w:rsidRPr="000C0597" w:rsidRDefault="00DE4AE8" w:rsidP="00CB6A74">
      <w:pPr>
        <w:keepLines/>
        <w:spacing w:after="240" w:line="360" w:lineRule="atLeast"/>
        <w:rPr>
          <w:rFonts w:ascii="Arial" w:hAnsi="Arial" w:cs="Arial"/>
          <w:sz w:val="22"/>
          <w:szCs w:val="22"/>
        </w:rPr>
      </w:pPr>
      <w:r w:rsidRPr="000C0597">
        <w:rPr>
          <w:rFonts w:ascii="Arial" w:hAnsi="Arial" w:cs="Arial"/>
          <w:color w:val="000000"/>
          <w:sz w:val="22"/>
          <w:szCs w:val="22"/>
        </w:rPr>
        <w:t xml:space="preserve">Load </w:t>
      </w:r>
      <w:r w:rsidR="00BD6A65" w:rsidRPr="000C0597">
        <w:rPr>
          <w:rFonts w:ascii="Arial" w:hAnsi="Arial" w:cs="Arial"/>
          <w:color w:val="000000"/>
          <w:sz w:val="22"/>
          <w:szCs w:val="22"/>
        </w:rPr>
        <w:t>forecast</w:t>
      </w:r>
      <w:r w:rsidR="00370C7B" w:rsidRPr="000C0597">
        <w:rPr>
          <w:rFonts w:ascii="Arial" w:hAnsi="Arial" w:cs="Arial"/>
          <w:color w:val="000000"/>
          <w:sz w:val="22"/>
          <w:szCs w:val="22"/>
        </w:rPr>
        <w:t>s</w:t>
      </w:r>
      <w:r w:rsidR="00BD6A65" w:rsidRPr="000C0597">
        <w:rPr>
          <w:rFonts w:ascii="Arial" w:hAnsi="Arial" w:cs="Arial"/>
          <w:color w:val="000000"/>
          <w:sz w:val="22"/>
          <w:szCs w:val="22"/>
        </w:rPr>
        <w:t xml:space="preserve"> </w:t>
      </w:r>
      <w:r w:rsidRPr="000C0597">
        <w:rPr>
          <w:rFonts w:ascii="Arial" w:hAnsi="Arial" w:cs="Arial"/>
          <w:color w:val="000000"/>
          <w:sz w:val="22"/>
          <w:szCs w:val="22"/>
        </w:rPr>
        <w:t xml:space="preserve">were </w:t>
      </w:r>
      <w:r w:rsidR="00BD6A65" w:rsidRPr="000C0597">
        <w:rPr>
          <w:rFonts w:ascii="Arial" w:hAnsi="Arial" w:cs="Arial"/>
          <w:color w:val="000000"/>
          <w:sz w:val="22"/>
          <w:szCs w:val="22"/>
        </w:rPr>
        <w:t xml:space="preserve">provided by each </w:t>
      </w:r>
      <w:r w:rsidR="009E59FB" w:rsidRPr="000C0597">
        <w:rPr>
          <w:rFonts w:ascii="Arial" w:hAnsi="Arial" w:cs="Arial"/>
          <w:sz w:val="22"/>
          <w:szCs w:val="22"/>
        </w:rPr>
        <w:t xml:space="preserve">retail </w:t>
      </w:r>
      <w:r w:rsidR="00BD6A65" w:rsidRPr="000C0597">
        <w:rPr>
          <w:rFonts w:ascii="Arial" w:hAnsi="Arial" w:cs="Arial"/>
          <w:color w:val="000000"/>
          <w:sz w:val="22"/>
          <w:szCs w:val="22"/>
        </w:rPr>
        <w:t>operating company</w:t>
      </w:r>
      <w:r w:rsidR="008244ED" w:rsidRPr="000C0597">
        <w:rPr>
          <w:rFonts w:ascii="Arial" w:hAnsi="Arial" w:cs="Arial"/>
          <w:color w:val="000000"/>
          <w:sz w:val="22"/>
          <w:szCs w:val="22"/>
        </w:rPr>
        <w:t xml:space="preserve">. </w:t>
      </w:r>
      <w:r w:rsidR="00BD6A65" w:rsidRPr="000C0597">
        <w:rPr>
          <w:rFonts w:ascii="Arial" w:hAnsi="Arial" w:cs="Arial"/>
          <w:sz w:val="22"/>
          <w:szCs w:val="22"/>
        </w:rPr>
        <w:t>More information on load forecasts can be found in the</w:t>
      </w:r>
      <w:r w:rsidR="00835243">
        <w:rPr>
          <w:rFonts w:ascii="Arial" w:hAnsi="Arial" w:cs="Arial"/>
          <w:sz w:val="22"/>
          <w:szCs w:val="22"/>
        </w:rPr>
        <w:t xml:space="preserve"> Budget 2019</w:t>
      </w:r>
      <w:r w:rsidR="00BD6A65" w:rsidRPr="000C0597">
        <w:rPr>
          <w:rFonts w:ascii="Arial" w:hAnsi="Arial" w:cs="Arial"/>
          <w:sz w:val="22"/>
          <w:szCs w:val="22"/>
        </w:rPr>
        <w:t xml:space="preserve"> Load and Energy Forecast</w:t>
      </w:r>
      <w:r w:rsidR="00835243">
        <w:rPr>
          <w:rFonts w:ascii="Arial" w:hAnsi="Arial" w:cs="Arial"/>
          <w:sz w:val="22"/>
          <w:szCs w:val="22"/>
        </w:rPr>
        <w:t>s</w:t>
      </w:r>
      <w:r w:rsidR="00BD6A65" w:rsidRPr="000C0597">
        <w:rPr>
          <w:rFonts w:ascii="Arial" w:hAnsi="Arial" w:cs="Arial"/>
          <w:sz w:val="22"/>
          <w:szCs w:val="22"/>
        </w:rPr>
        <w:t xml:space="preserve"> in Technical Appendix Volume </w:t>
      </w:r>
      <w:r w:rsidR="00827F64" w:rsidRPr="000C0597">
        <w:rPr>
          <w:rFonts w:ascii="Arial" w:hAnsi="Arial" w:cs="Arial"/>
          <w:sz w:val="22"/>
          <w:szCs w:val="22"/>
        </w:rPr>
        <w:t>1</w:t>
      </w:r>
      <w:r w:rsidR="00BD6A65" w:rsidRPr="000C0597">
        <w:rPr>
          <w:rFonts w:ascii="Arial" w:hAnsi="Arial" w:cs="Arial"/>
          <w:sz w:val="22"/>
          <w:szCs w:val="22"/>
        </w:rPr>
        <w:t>.</w:t>
      </w:r>
    </w:p>
    <w:p w14:paraId="520192C6" w14:textId="491C8F8D" w:rsidR="003D276E" w:rsidRPr="000C0597" w:rsidRDefault="00BD6A65" w:rsidP="00CB6A74">
      <w:pPr>
        <w:spacing w:after="240" w:line="360" w:lineRule="atLeast"/>
        <w:rPr>
          <w:rFonts w:ascii="Arial" w:hAnsi="Arial" w:cs="Arial"/>
          <w:sz w:val="22"/>
          <w:szCs w:val="22"/>
        </w:rPr>
      </w:pPr>
      <w:r w:rsidRPr="000C0597">
        <w:rPr>
          <w:rFonts w:ascii="Arial" w:hAnsi="Arial" w:cs="Arial"/>
          <w:sz w:val="22"/>
          <w:szCs w:val="22"/>
        </w:rPr>
        <w:t xml:space="preserve">The load shape used in </w:t>
      </w:r>
      <w:r w:rsidR="000D26C8" w:rsidRPr="000C0597">
        <w:rPr>
          <w:rFonts w:ascii="Arial" w:hAnsi="Arial" w:cs="Arial"/>
          <w:sz w:val="22"/>
          <w:szCs w:val="22"/>
        </w:rPr>
        <w:t>Strategist</w:t>
      </w:r>
      <w:r w:rsidR="00370C7B" w:rsidRPr="000C0597">
        <w:rPr>
          <w:rFonts w:ascii="Arial" w:hAnsi="Arial" w:cs="Arial"/>
          <w:sz w:val="22"/>
          <w:szCs w:val="22"/>
        </w:rPr>
        <w:t xml:space="preserve"> </w:t>
      </w:r>
      <w:r w:rsidRPr="000C0597">
        <w:rPr>
          <w:rFonts w:ascii="Arial" w:hAnsi="Arial" w:cs="Arial"/>
          <w:sz w:val="22"/>
          <w:szCs w:val="22"/>
        </w:rPr>
        <w:t xml:space="preserve">was derived from </w:t>
      </w:r>
      <w:r w:rsidR="000C0EB6" w:rsidRPr="000C0597">
        <w:rPr>
          <w:rFonts w:ascii="Arial" w:hAnsi="Arial" w:cs="Arial"/>
          <w:sz w:val="22"/>
          <w:szCs w:val="22"/>
        </w:rPr>
        <w:t>forecasted hourly</w:t>
      </w:r>
      <w:r w:rsidRPr="000C0597">
        <w:rPr>
          <w:rFonts w:ascii="Arial" w:hAnsi="Arial" w:cs="Arial"/>
          <w:sz w:val="22"/>
          <w:szCs w:val="22"/>
        </w:rPr>
        <w:t xml:space="preserve"> load </w:t>
      </w:r>
      <w:r w:rsidR="000C0EB6" w:rsidRPr="000C0597">
        <w:rPr>
          <w:rFonts w:ascii="Arial" w:hAnsi="Arial" w:cs="Arial"/>
          <w:sz w:val="22"/>
          <w:szCs w:val="22"/>
        </w:rPr>
        <w:t>data</w:t>
      </w:r>
      <w:r w:rsidRPr="000C0597">
        <w:rPr>
          <w:rFonts w:ascii="Arial" w:hAnsi="Arial" w:cs="Arial"/>
          <w:sz w:val="22"/>
          <w:szCs w:val="22"/>
        </w:rPr>
        <w:t xml:space="preserve"> for </w:t>
      </w:r>
      <w:r w:rsidR="000C0EB6" w:rsidRPr="000C0597">
        <w:rPr>
          <w:rFonts w:ascii="Arial" w:hAnsi="Arial" w:cs="Arial"/>
          <w:sz w:val="22"/>
          <w:szCs w:val="22"/>
        </w:rPr>
        <w:t>the</w:t>
      </w:r>
      <w:r w:rsidR="00307F2D" w:rsidRPr="000C0597">
        <w:rPr>
          <w:rFonts w:ascii="Arial" w:hAnsi="Arial" w:cs="Arial"/>
          <w:sz w:val="22"/>
          <w:szCs w:val="22"/>
        </w:rPr>
        <w:t xml:space="preserve"> </w:t>
      </w:r>
      <w:r w:rsidR="00E8784D" w:rsidRPr="000C0597">
        <w:rPr>
          <w:rFonts w:ascii="Arial" w:hAnsi="Arial" w:cs="Arial"/>
          <w:sz w:val="22"/>
          <w:szCs w:val="22"/>
        </w:rPr>
        <w:t>retail</w:t>
      </w:r>
      <w:r w:rsidR="009E59FB" w:rsidRPr="000C0597">
        <w:rPr>
          <w:rFonts w:ascii="Arial" w:hAnsi="Arial" w:cs="Arial"/>
          <w:sz w:val="22"/>
          <w:szCs w:val="22"/>
        </w:rPr>
        <w:t xml:space="preserve"> operating companies</w:t>
      </w:r>
      <w:r w:rsidR="008244ED" w:rsidRPr="000C0597">
        <w:rPr>
          <w:rFonts w:ascii="Arial" w:hAnsi="Arial" w:cs="Arial"/>
          <w:sz w:val="22"/>
          <w:szCs w:val="22"/>
        </w:rPr>
        <w:t xml:space="preserve">. </w:t>
      </w:r>
      <w:r w:rsidRPr="000C0597">
        <w:rPr>
          <w:rFonts w:ascii="Arial" w:hAnsi="Arial" w:cs="Arial"/>
          <w:sz w:val="22"/>
          <w:szCs w:val="22"/>
        </w:rPr>
        <w:t xml:space="preserve">The development of the load profile used in </w:t>
      </w:r>
      <w:r w:rsidR="000D26C8" w:rsidRPr="000C0597">
        <w:rPr>
          <w:rFonts w:ascii="Arial" w:hAnsi="Arial" w:cs="Arial"/>
          <w:sz w:val="22"/>
          <w:szCs w:val="22"/>
        </w:rPr>
        <w:t>Strategist</w:t>
      </w:r>
      <w:r w:rsidR="00370C7B" w:rsidRPr="000C0597">
        <w:rPr>
          <w:rFonts w:ascii="Arial" w:hAnsi="Arial" w:cs="Arial"/>
          <w:sz w:val="22"/>
          <w:szCs w:val="22"/>
        </w:rPr>
        <w:t xml:space="preserve"> </w:t>
      </w:r>
      <w:r w:rsidRPr="000C0597">
        <w:rPr>
          <w:rFonts w:ascii="Arial" w:hAnsi="Arial" w:cs="Arial"/>
          <w:sz w:val="22"/>
          <w:szCs w:val="22"/>
        </w:rPr>
        <w:t>is described below.</w:t>
      </w:r>
    </w:p>
    <w:p w14:paraId="437D08F2" w14:textId="03377232" w:rsidR="003D276E" w:rsidRPr="000C0597" w:rsidRDefault="003D276E" w:rsidP="00CB6A74">
      <w:pPr>
        <w:spacing w:after="240" w:line="360" w:lineRule="atLeast"/>
        <w:rPr>
          <w:rFonts w:ascii="Arial" w:hAnsi="Arial" w:cs="Arial"/>
          <w:sz w:val="22"/>
          <w:szCs w:val="22"/>
        </w:rPr>
      </w:pPr>
      <w:r w:rsidRPr="000C0597">
        <w:rPr>
          <w:rFonts w:ascii="Arial" w:hAnsi="Arial" w:cs="Arial"/>
          <w:color w:val="000000"/>
          <w:sz w:val="22"/>
          <w:szCs w:val="22"/>
        </w:rPr>
        <w:t xml:space="preserve">The retail operating companies’ base combined weather-normal summer peak demand is forecasted to increase at </w:t>
      </w:r>
      <w:r w:rsidRPr="00063A38">
        <w:rPr>
          <w:rFonts w:ascii="Arial" w:hAnsi="Arial" w:cs="Arial"/>
          <w:color w:val="000000"/>
          <w:sz w:val="22"/>
          <w:szCs w:val="22"/>
        </w:rPr>
        <w:t>approximately 0.50</w:t>
      </w:r>
      <w:r w:rsidRPr="000C0597">
        <w:rPr>
          <w:rFonts w:ascii="Arial" w:hAnsi="Arial" w:cs="Arial"/>
          <w:color w:val="000000"/>
          <w:sz w:val="22"/>
          <w:szCs w:val="22"/>
        </w:rPr>
        <w:t>% per year on average over the next 20 years</w:t>
      </w:r>
      <w:r w:rsidR="00A23818">
        <w:rPr>
          <w:rFonts w:ascii="Arial" w:hAnsi="Arial" w:cs="Arial"/>
          <w:color w:val="000000"/>
          <w:sz w:val="22"/>
          <w:szCs w:val="22"/>
        </w:rPr>
        <w:t>,</w:t>
      </w:r>
      <w:r w:rsidRPr="000C0597">
        <w:rPr>
          <w:rFonts w:ascii="Arial" w:hAnsi="Arial" w:cs="Arial"/>
          <w:color w:val="000000"/>
          <w:sz w:val="22"/>
          <w:szCs w:val="22"/>
        </w:rPr>
        <w:t xml:space="preserve"> and the weather-normal winter peak demand is forecasted to increase at </w:t>
      </w:r>
      <w:r w:rsidRPr="00063A38">
        <w:rPr>
          <w:rFonts w:ascii="Arial" w:hAnsi="Arial" w:cs="Arial"/>
          <w:color w:val="000000"/>
          <w:sz w:val="22"/>
          <w:szCs w:val="22"/>
        </w:rPr>
        <w:t>approximately 0.55%.</w:t>
      </w:r>
      <w:r w:rsidRPr="000C0597">
        <w:rPr>
          <w:rFonts w:ascii="Arial" w:hAnsi="Arial" w:cs="Arial"/>
          <w:color w:val="000000"/>
          <w:sz w:val="22"/>
          <w:szCs w:val="22"/>
        </w:rPr>
        <w:t xml:space="preserve"> As a result, additional generating capacity will be required to reliably meet the increasing demand and maintain the appropriate seasonal reserve margins.</w:t>
      </w:r>
    </w:p>
    <w:p w14:paraId="58F1EEBE" w14:textId="77777777" w:rsidR="00BD6A65" w:rsidRPr="00CB6A74" w:rsidRDefault="00BD6A65" w:rsidP="00CB6A74">
      <w:pPr>
        <w:pStyle w:val="Heading3"/>
        <w:numPr>
          <w:ilvl w:val="0"/>
          <w:numId w:val="0"/>
        </w:numPr>
        <w:spacing w:line="360" w:lineRule="atLeast"/>
        <w:ind w:left="720" w:hanging="720"/>
        <w:rPr>
          <w:rFonts w:ascii="Arial" w:hAnsi="Arial" w:cs="Arial"/>
          <w:sz w:val="22"/>
        </w:rPr>
      </w:pPr>
      <w:r w:rsidRPr="00CB6A74">
        <w:rPr>
          <w:rFonts w:ascii="Arial" w:hAnsi="Arial" w:cs="Arial"/>
          <w:sz w:val="22"/>
        </w:rPr>
        <w:t xml:space="preserve">Representative Load Profiles (Seed </w:t>
      </w:r>
      <w:r w:rsidR="002C294F" w:rsidRPr="00CB6A74">
        <w:rPr>
          <w:rFonts w:ascii="Arial" w:hAnsi="Arial" w:cs="Arial"/>
          <w:sz w:val="22"/>
        </w:rPr>
        <w:t>Shapes</w:t>
      </w:r>
      <w:r w:rsidRPr="00CB6A74">
        <w:rPr>
          <w:rFonts w:ascii="Arial" w:hAnsi="Arial" w:cs="Arial"/>
          <w:sz w:val="22"/>
        </w:rPr>
        <w:t>)</w:t>
      </w:r>
    </w:p>
    <w:p w14:paraId="5460C770" w14:textId="026BCDC2" w:rsidR="00BD6A65" w:rsidRPr="00A23818" w:rsidRDefault="00BD6A65" w:rsidP="00CB6A74">
      <w:pPr>
        <w:spacing w:after="240" w:line="360" w:lineRule="atLeast"/>
        <w:rPr>
          <w:rFonts w:ascii="Arial" w:hAnsi="Arial" w:cs="Arial"/>
          <w:sz w:val="22"/>
          <w:szCs w:val="22"/>
        </w:rPr>
      </w:pPr>
      <w:r w:rsidRPr="00A23818">
        <w:rPr>
          <w:rFonts w:ascii="Arial" w:hAnsi="Arial" w:cs="Arial"/>
          <w:sz w:val="22"/>
          <w:szCs w:val="22"/>
        </w:rPr>
        <w:t>Representative load profiles have been assembled and maintained for each operating company</w:t>
      </w:r>
      <w:r w:rsidR="008244ED" w:rsidRPr="00A23818">
        <w:rPr>
          <w:rFonts w:ascii="Arial" w:hAnsi="Arial" w:cs="Arial"/>
          <w:sz w:val="22"/>
          <w:szCs w:val="22"/>
        </w:rPr>
        <w:t xml:space="preserve">. </w:t>
      </w:r>
      <w:r w:rsidRPr="00A23818">
        <w:rPr>
          <w:rFonts w:ascii="Arial" w:hAnsi="Arial" w:cs="Arial"/>
          <w:sz w:val="22"/>
          <w:szCs w:val="22"/>
        </w:rPr>
        <w:t xml:space="preserve">Each company’s seed shape contains </w:t>
      </w:r>
      <w:r w:rsidR="002C294F" w:rsidRPr="00A23818">
        <w:rPr>
          <w:rFonts w:ascii="Arial" w:hAnsi="Arial" w:cs="Arial"/>
          <w:sz w:val="22"/>
          <w:szCs w:val="22"/>
        </w:rPr>
        <w:t>one</w:t>
      </w:r>
      <w:r w:rsidRPr="00A23818">
        <w:rPr>
          <w:rFonts w:ascii="Arial" w:hAnsi="Arial" w:cs="Arial"/>
          <w:sz w:val="22"/>
          <w:szCs w:val="22"/>
        </w:rPr>
        <w:t xml:space="preserve"> year (8760 hours) of load data</w:t>
      </w:r>
      <w:r w:rsidR="000C0EB6" w:rsidRPr="00A23818">
        <w:rPr>
          <w:rFonts w:ascii="Arial" w:hAnsi="Arial" w:cs="Arial"/>
          <w:sz w:val="22"/>
          <w:szCs w:val="22"/>
        </w:rPr>
        <w:t>.</w:t>
      </w:r>
    </w:p>
    <w:p w14:paraId="1FCFFA6B" w14:textId="77777777" w:rsidR="00BD6A65" w:rsidRPr="00CB6A74" w:rsidRDefault="00BD6A65" w:rsidP="00CB6A74">
      <w:pPr>
        <w:pStyle w:val="Heading3"/>
        <w:numPr>
          <w:ilvl w:val="0"/>
          <w:numId w:val="0"/>
        </w:numPr>
        <w:spacing w:line="360" w:lineRule="atLeast"/>
        <w:ind w:left="720" w:hanging="720"/>
        <w:rPr>
          <w:rFonts w:ascii="Arial" w:hAnsi="Arial" w:cs="Arial"/>
          <w:sz w:val="22"/>
        </w:rPr>
      </w:pPr>
      <w:r w:rsidRPr="00CB6A74">
        <w:rPr>
          <w:rFonts w:ascii="Arial" w:hAnsi="Arial" w:cs="Arial"/>
          <w:sz w:val="22"/>
        </w:rPr>
        <w:t>Company Load Shape</w:t>
      </w:r>
    </w:p>
    <w:p w14:paraId="48FAF61C" w14:textId="52AB7FD8" w:rsidR="007A4D2F" w:rsidRPr="00A23818" w:rsidRDefault="007A4D2F" w:rsidP="007A4D2F">
      <w:pPr>
        <w:spacing w:line="360" w:lineRule="atLeast"/>
        <w:rPr>
          <w:rFonts w:ascii="Arial" w:hAnsi="Arial" w:cs="Arial"/>
          <w:sz w:val="22"/>
          <w:szCs w:val="22"/>
        </w:rPr>
      </w:pPr>
      <w:r w:rsidRPr="00A23818">
        <w:rPr>
          <w:rFonts w:ascii="Arial" w:hAnsi="Arial" w:cs="Arial"/>
          <w:sz w:val="22"/>
          <w:szCs w:val="22"/>
        </w:rPr>
        <w:t>The initial year of company load data was developed utilizing the Peak Demand Model (PDM). Refer to Technical Appendix Vol</w:t>
      </w:r>
      <w:r w:rsidR="00827F64" w:rsidRPr="00A23818">
        <w:rPr>
          <w:rFonts w:ascii="Arial" w:hAnsi="Arial" w:cs="Arial"/>
          <w:sz w:val="22"/>
          <w:szCs w:val="22"/>
        </w:rPr>
        <w:t>ume</w:t>
      </w:r>
      <w:r w:rsidRPr="00A23818">
        <w:rPr>
          <w:rFonts w:ascii="Arial" w:hAnsi="Arial" w:cs="Arial"/>
          <w:sz w:val="22"/>
          <w:szCs w:val="22"/>
        </w:rPr>
        <w:t xml:space="preserve"> </w:t>
      </w:r>
      <w:r w:rsidR="00827F64" w:rsidRPr="00E54806">
        <w:rPr>
          <w:rFonts w:ascii="Arial" w:hAnsi="Arial" w:cs="Arial"/>
          <w:sz w:val="22"/>
          <w:szCs w:val="22"/>
        </w:rPr>
        <w:t>1</w:t>
      </w:r>
      <w:r w:rsidRPr="00E54806">
        <w:rPr>
          <w:rFonts w:ascii="Arial" w:hAnsi="Arial" w:cs="Arial"/>
          <w:sz w:val="22"/>
          <w:szCs w:val="22"/>
        </w:rPr>
        <w:t>, Section 6 for a description</w:t>
      </w:r>
      <w:r w:rsidR="008244ED" w:rsidRPr="00E54806">
        <w:rPr>
          <w:rFonts w:ascii="Arial" w:hAnsi="Arial" w:cs="Arial"/>
          <w:sz w:val="22"/>
          <w:szCs w:val="22"/>
        </w:rPr>
        <w:t xml:space="preserve">. </w:t>
      </w:r>
      <w:r w:rsidRPr="00E54806">
        <w:rPr>
          <w:rFonts w:ascii="Arial" w:hAnsi="Arial" w:cs="Arial"/>
          <w:sz w:val="22"/>
          <w:szCs w:val="22"/>
        </w:rPr>
        <w:t>If the future years of the company load forecast represent typical load growth, each additional year is assumed to have the same shape as the initial year</w:t>
      </w:r>
      <w:r w:rsidR="008244ED" w:rsidRPr="00A23818">
        <w:rPr>
          <w:rFonts w:ascii="Arial" w:hAnsi="Arial" w:cs="Arial"/>
          <w:sz w:val="22"/>
          <w:szCs w:val="22"/>
        </w:rPr>
        <w:t xml:space="preserve">. </w:t>
      </w:r>
      <w:r w:rsidRPr="00A23818">
        <w:rPr>
          <w:rFonts w:ascii="Arial" w:hAnsi="Arial" w:cs="Arial"/>
          <w:sz w:val="22"/>
          <w:szCs w:val="22"/>
        </w:rPr>
        <w:t>If the load forecast includes additional influences, each additional year must be represented with a different seed shape.</w:t>
      </w:r>
    </w:p>
    <w:p w14:paraId="60C0F2E4" w14:textId="02824E81" w:rsidR="00BD6A65" w:rsidRPr="00CB6A74" w:rsidRDefault="00A23818" w:rsidP="00CB6A74">
      <w:pPr>
        <w:pStyle w:val="Heading3"/>
        <w:numPr>
          <w:ilvl w:val="0"/>
          <w:numId w:val="0"/>
        </w:numPr>
        <w:spacing w:line="360" w:lineRule="atLeast"/>
        <w:ind w:left="720" w:hanging="720"/>
        <w:rPr>
          <w:rFonts w:ascii="Arial" w:hAnsi="Arial" w:cs="Arial"/>
          <w:sz w:val="22"/>
        </w:rPr>
      </w:pPr>
      <w:r w:rsidRPr="00CB6A74">
        <w:rPr>
          <w:rFonts w:ascii="Arial" w:hAnsi="Arial" w:cs="Arial"/>
          <w:sz w:val="22"/>
        </w:rPr>
        <w:t>R</w:t>
      </w:r>
      <w:r w:rsidR="009E59FB" w:rsidRPr="00CB6A74">
        <w:rPr>
          <w:rFonts w:ascii="Arial" w:hAnsi="Arial" w:cs="Arial"/>
          <w:sz w:val="22"/>
        </w:rPr>
        <w:t xml:space="preserve">etail </w:t>
      </w:r>
      <w:r w:rsidRPr="00CB6A74">
        <w:rPr>
          <w:rFonts w:ascii="Arial" w:hAnsi="Arial" w:cs="Arial"/>
          <w:sz w:val="22"/>
        </w:rPr>
        <w:t>O</w:t>
      </w:r>
      <w:r w:rsidR="009E59FB" w:rsidRPr="00CB6A74">
        <w:rPr>
          <w:rFonts w:ascii="Arial" w:hAnsi="Arial" w:cs="Arial"/>
          <w:sz w:val="22"/>
        </w:rPr>
        <w:t xml:space="preserve">perating Companies’ </w:t>
      </w:r>
      <w:r w:rsidR="00BD6A65" w:rsidRPr="00CB6A74">
        <w:rPr>
          <w:rFonts w:ascii="Arial" w:hAnsi="Arial" w:cs="Arial"/>
          <w:sz w:val="22"/>
        </w:rPr>
        <w:t>Load Shape</w:t>
      </w:r>
    </w:p>
    <w:p w14:paraId="653304FE" w14:textId="70A3EFD6" w:rsidR="00BD6A65" w:rsidRPr="00A23818" w:rsidRDefault="00BD6A65" w:rsidP="00243513">
      <w:pPr>
        <w:spacing w:line="360" w:lineRule="atLeast"/>
        <w:rPr>
          <w:rFonts w:ascii="Arial" w:hAnsi="Arial" w:cs="Arial"/>
          <w:sz w:val="22"/>
          <w:szCs w:val="22"/>
        </w:rPr>
      </w:pPr>
      <w:r w:rsidRPr="00A23818">
        <w:rPr>
          <w:rFonts w:ascii="Arial" w:hAnsi="Arial" w:cs="Arial"/>
          <w:sz w:val="22"/>
          <w:szCs w:val="22"/>
        </w:rPr>
        <w:t xml:space="preserve">The system load shape is the sum of </w:t>
      </w:r>
      <w:r w:rsidR="00BF05AF" w:rsidRPr="00A23818">
        <w:rPr>
          <w:rFonts w:ascii="Arial" w:hAnsi="Arial" w:cs="Arial"/>
          <w:sz w:val="22"/>
          <w:szCs w:val="22"/>
        </w:rPr>
        <w:t>each</w:t>
      </w:r>
      <w:r w:rsidRPr="00A23818">
        <w:rPr>
          <w:rFonts w:ascii="Arial" w:hAnsi="Arial" w:cs="Arial"/>
          <w:sz w:val="22"/>
          <w:szCs w:val="22"/>
        </w:rPr>
        <w:t xml:space="preserve"> </w:t>
      </w:r>
      <w:r w:rsidR="00CE144D" w:rsidRPr="00E54806">
        <w:rPr>
          <w:rFonts w:ascii="Arial" w:hAnsi="Arial" w:cs="Arial"/>
          <w:sz w:val="22"/>
          <w:szCs w:val="22"/>
        </w:rPr>
        <w:t>retail</w:t>
      </w:r>
      <w:r w:rsidR="009E59FB" w:rsidRPr="00E54806">
        <w:rPr>
          <w:rFonts w:ascii="Arial" w:hAnsi="Arial" w:cs="Arial"/>
          <w:sz w:val="22"/>
          <w:szCs w:val="22"/>
        </w:rPr>
        <w:t xml:space="preserve"> operating </w:t>
      </w:r>
      <w:r w:rsidRPr="00E54806">
        <w:rPr>
          <w:rFonts w:ascii="Arial" w:hAnsi="Arial" w:cs="Arial"/>
          <w:sz w:val="22"/>
          <w:szCs w:val="22"/>
        </w:rPr>
        <w:t>company 8760-hour load shape with each month’s peak constrained to fit the user</w:t>
      </w:r>
      <w:r w:rsidR="005529F5" w:rsidRPr="00A23818">
        <w:rPr>
          <w:rFonts w:ascii="Arial" w:hAnsi="Arial" w:cs="Arial"/>
          <w:sz w:val="22"/>
          <w:szCs w:val="22"/>
        </w:rPr>
        <w:t>-</w:t>
      </w:r>
      <w:r w:rsidRPr="00A23818">
        <w:rPr>
          <w:rFonts w:ascii="Arial" w:hAnsi="Arial" w:cs="Arial"/>
          <w:sz w:val="22"/>
          <w:szCs w:val="22"/>
        </w:rPr>
        <w:t>supplied diversity constraints</w:t>
      </w:r>
      <w:r w:rsidR="008244ED" w:rsidRPr="00A23818">
        <w:rPr>
          <w:rFonts w:ascii="Arial" w:hAnsi="Arial" w:cs="Arial"/>
          <w:sz w:val="22"/>
          <w:szCs w:val="22"/>
        </w:rPr>
        <w:t xml:space="preserve">. </w:t>
      </w:r>
      <w:r w:rsidRPr="00A23818">
        <w:rPr>
          <w:rFonts w:ascii="Arial" w:hAnsi="Arial" w:cs="Arial"/>
          <w:sz w:val="22"/>
          <w:szCs w:val="22"/>
        </w:rPr>
        <w:t>The diversity constraint is user supplied as a monthly percent diversity to forecast the system monthly target from the sum of each individual company monthly peak</w:t>
      </w:r>
      <w:r w:rsidR="008244ED" w:rsidRPr="00A23818">
        <w:rPr>
          <w:rFonts w:ascii="Arial" w:hAnsi="Arial" w:cs="Arial"/>
          <w:sz w:val="22"/>
          <w:szCs w:val="22"/>
        </w:rPr>
        <w:t xml:space="preserve">. </w:t>
      </w:r>
      <w:r w:rsidR="00E811F9" w:rsidRPr="00A23818">
        <w:rPr>
          <w:rFonts w:ascii="Arial" w:hAnsi="Arial" w:cs="Arial"/>
          <w:sz w:val="22"/>
          <w:szCs w:val="22"/>
        </w:rPr>
        <w:t xml:space="preserve">The diversity percentages are based on a historical ten-year average of monthly diversities from </w:t>
      </w:r>
      <w:r w:rsidR="006E51AA" w:rsidRPr="00A23818">
        <w:rPr>
          <w:rFonts w:ascii="Arial" w:hAnsi="Arial" w:cs="Arial"/>
          <w:sz w:val="22"/>
          <w:szCs w:val="22"/>
        </w:rPr>
        <w:t xml:space="preserve">2008 </w:t>
      </w:r>
      <w:r w:rsidR="00E811F9" w:rsidRPr="00A23818">
        <w:rPr>
          <w:rFonts w:ascii="Arial" w:hAnsi="Arial" w:cs="Arial"/>
          <w:sz w:val="22"/>
          <w:szCs w:val="22"/>
        </w:rPr>
        <w:t>throu</w:t>
      </w:r>
      <w:r w:rsidR="00C54306" w:rsidRPr="00A23818">
        <w:rPr>
          <w:rFonts w:ascii="Arial" w:hAnsi="Arial" w:cs="Arial"/>
          <w:sz w:val="22"/>
          <w:szCs w:val="22"/>
        </w:rPr>
        <w:t xml:space="preserve">gh </w:t>
      </w:r>
      <w:r w:rsidR="006E51AA" w:rsidRPr="00A23818">
        <w:rPr>
          <w:rFonts w:ascii="Arial" w:hAnsi="Arial" w:cs="Arial"/>
          <w:sz w:val="22"/>
          <w:szCs w:val="22"/>
        </w:rPr>
        <w:t xml:space="preserve">2017 </w:t>
      </w:r>
      <w:r w:rsidR="00634620" w:rsidRPr="00A23818">
        <w:rPr>
          <w:rFonts w:ascii="Arial" w:hAnsi="Arial" w:cs="Arial"/>
          <w:sz w:val="22"/>
          <w:szCs w:val="22"/>
        </w:rPr>
        <w:t xml:space="preserve">and can be found in Appendix </w:t>
      </w:r>
      <w:r w:rsidR="007B4567" w:rsidRPr="00A23818">
        <w:rPr>
          <w:rFonts w:ascii="Arial" w:hAnsi="Arial" w:cs="Arial"/>
          <w:sz w:val="22"/>
          <w:szCs w:val="22"/>
        </w:rPr>
        <w:t>C</w:t>
      </w:r>
      <w:r w:rsidR="00634620" w:rsidRPr="00A23818">
        <w:rPr>
          <w:rFonts w:ascii="Arial" w:hAnsi="Arial" w:cs="Arial"/>
          <w:sz w:val="22"/>
          <w:szCs w:val="22"/>
        </w:rPr>
        <w:t>.</w:t>
      </w:r>
    </w:p>
    <w:p w14:paraId="71538140" w14:textId="77BC8E66" w:rsidR="00BD6A65" w:rsidRPr="00CB6A74" w:rsidRDefault="00A23818" w:rsidP="00CB6A74">
      <w:pPr>
        <w:pStyle w:val="Heading3"/>
        <w:keepNext/>
        <w:numPr>
          <w:ilvl w:val="0"/>
          <w:numId w:val="0"/>
        </w:numPr>
        <w:spacing w:line="360" w:lineRule="atLeast"/>
        <w:ind w:left="720" w:hanging="720"/>
        <w:rPr>
          <w:rFonts w:ascii="Arial" w:hAnsi="Arial" w:cs="Arial"/>
          <w:sz w:val="22"/>
        </w:rPr>
      </w:pPr>
      <w:r>
        <w:rPr>
          <w:rFonts w:ascii="Arial" w:hAnsi="Arial" w:cs="Arial"/>
          <w:sz w:val="22"/>
        </w:rPr>
        <w:t>R</w:t>
      </w:r>
      <w:r w:rsidR="009E59FB" w:rsidRPr="00CB6A74">
        <w:rPr>
          <w:rFonts w:ascii="Arial" w:hAnsi="Arial" w:cs="Arial"/>
          <w:sz w:val="22"/>
        </w:rPr>
        <w:t xml:space="preserve">etail </w:t>
      </w:r>
      <w:r>
        <w:rPr>
          <w:rFonts w:ascii="Arial" w:hAnsi="Arial" w:cs="Arial"/>
          <w:sz w:val="22"/>
        </w:rPr>
        <w:t>O</w:t>
      </w:r>
      <w:r w:rsidR="009E59FB" w:rsidRPr="00CB6A74">
        <w:rPr>
          <w:rFonts w:ascii="Arial" w:hAnsi="Arial" w:cs="Arial"/>
          <w:sz w:val="22"/>
        </w:rPr>
        <w:t>perating Companies’</w:t>
      </w:r>
      <w:r w:rsidR="00BD6A65" w:rsidRPr="00CB6A74">
        <w:rPr>
          <w:rFonts w:ascii="Arial" w:hAnsi="Arial" w:cs="Arial"/>
          <w:sz w:val="22"/>
        </w:rPr>
        <w:t xml:space="preserve"> </w:t>
      </w:r>
      <w:r w:rsidR="00F07AD9" w:rsidRPr="00CB6A74">
        <w:rPr>
          <w:rFonts w:ascii="Arial" w:hAnsi="Arial" w:cs="Arial"/>
          <w:sz w:val="22"/>
        </w:rPr>
        <w:t>S</w:t>
      </w:r>
      <w:r>
        <w:rPr>
          <w:rFonts w:ascii="Arial" w:hAnsi="Arial" w:cs="Arial"/>
          <w:sz w:val="22"/>
        </w:rPr>
        <w:t>trategist</w:t>
      </w:r>
      <w:r w:rsidR="00F07AD9" w:rsidRPr="00CB6A74">
        <w:rPr>
          <w:rFonts w:ascii="Arial" w:hAnsi="Arial" w:cs="Arial"/>
          <w:sz w:val="22"/>
          <w:vertAlign w:val="superscript"/>
        </w:rPr>
        <w:t xml:space="preserve"> </w:t>
      </w:r>
      <w:r w:rsidR="00BD6A65" w:rsidRPr="00CB6A74">
        <w:rPr>
          <w:rFonts w:ascii="Arial" w:hAnsi="Arial" w:cs="Arial"/>
          <w:sz w:val="22"/>
        </w:rPr>
        <w:t>Load Shape</w:t>
      </w:r>
    </w:p>
    <w:p w14:paraId="2B92738E" w14:textId="08772E4E" w:rsidR="00370C7B" w:rsidRPr="000C0597" w:rsidRDefault="00370C7B" w:rsidP="00CB6A74">
      <w:pPr>
        <w:keepNext/>
        <w:spacing w:line="360" w:lineRule="atLeast"/>
        <w:rPr>
          <w:rFonts w:ascii="Arial" w:hAnsi="Arial" w:cs="Arial"/>
          <w:sz w:val="22"/>
          <w:szCs w:val="22"/>
        </w:rPr>
      </w:pPr>
      <w:r w:rsidRPr="000C0597">
        <w:rPr>
          <w:rFonts w:ascii="Arial" w:hAnsi="Arial" w:cs="Arial"/>
          <w:sz w:val="22"/>
          <w:szCs w:val="22"/>
        </w:rPr>
        <w:t xml:space="preserve">The </w:t>
      </w:r>
      <w:r w:rsidR="00A71F14" w:rsidRPr="000C0597">
        <w:rPr>
          <w:rFonts w:ascii="Arial" w:hAnsi="Arial" w:cs="Arial"/>
          <w:sz w:val="22"/>
          <w:szCs w:val="22"/>
        </w:rPr>
        <w:t xml:space="preserve">seed </w:t>
      </w:r>
      <w:r w:rsidRPr="000C0597">
        <w:rPr>
          <w:rFonts w:ascii="Arial" w:hAnsi="Arial" w:cs="Arial"/>
          <w:sz w:val="22"/>
          <w:szCs w:val="22"/>
        </w:rPr>
        <w:t xml:space="preserve">load shape used in </w:t>
      </w:r>
      <w:r w:rsidR="000D26C8" w:rsidRPr="000C0597">
        <w:rPr>
          <w:rFonts w:ascii="Arial" w:hAnsi="Arial" w:cs="Arial"/>
          <w:sz w:val="22"/>
          <w:szCs w:val="22"/>
        </w:rPr>
        <w:t>Strategist</w:t>
      </w:r>
      <w:r w:rsidRPr="000C0597">
        <w:rPr>
          <w:rFonts w:ascii="Arial" w:hAnsi="Arial" w:cs="Arial"/>
          <w:sz w:val="22"/>
          <w:szCs w:val="22"/>
        </w:rPr>
        <w:t xml:space="preserve"> was derived from</w:t>
      </w:r>
      <w:r w:rsidR="007A4D2F" w:rsidRPr="000C0597">
        <w:rPr>
          <w:rFonts w:ascii="Arial" w:hAnsi="Arial" w:cs="Arial"/>
          <w:sz w:val="22"/>
          <w:szCs w:val="22"/>
        </w:rPr>
        <w:t xml:space="preserve"> Budget 2019 8760 hourly load</w:t>
      </w:r>
      <w:r w:rsidR="0046215A" w:rsidRPr="000C0597">
        <w:rPr>
          <w:rFonts w:ascii="Arial" w:hAnsi="Arial" w:cs="Arial"/>
          <w:sz w:val="22"/>
          <w:szCs w:val="22"/>
        </w:rPr>
        <w:t xml:space="preserve"> data</w:t>
      </w:r>
      <w:r w:rsidR="008244ED" w:rsidRPr="000C0597">
        <w:rPr>
          <w:rFonts w:ascii="Arial" w:hAnsi="Arial" w:cs="Arial"/>
          <w:sz w:val="22"/>
          <w:szCs w:val="22"/>
        </w:rPr>
        <w:t xml:space="preserve">. </w:t>
      </w:r>
      <w:r w:rsidRPr="000C0597">
        <w:rPr>
          <w:rFonts w:ascii="Arial" w:hAnsi="Arial" w:cs="Arial"/>
          <w:sz w:val="22"/>
          <w:szCs w:val="22"/>
        </w:rPr>
        <w:t xml:space="preserve">The data was converted to </w:t>
      </w:r>
      <w:r w:rsidR="00A71F14" w:rsidRPr="000C0597">
        <w:rPr>
          <w:rFonts w:ascii="Arial" w:hAnsi="Arial" w:cs="Arial"/>
          <w:sz w:val="22"/>
          <w:szCs w:val="22"/>
        </w:rPr>
        <w:t xml:space="preserve">typical week </w:t>
      </w:r>
      <w:r w:rsidRPr="000C0597">
        <w:rPr>
          <w:rFonts w:ascii="Arial" w:hAnsi="Arial" w:cs="Arial"/>
          <w:sz w:val="22"/>
          <w:szCs w:val="22"/>
        </w:rPr>
        <w:t>(168 hours) holding official monthly peaks and energy forecasts</w:t>
      </w:r>
      <w:r w:rsidR="008244ED" w:rsidRPr="000C0597">
        <w:rPr>
          <w:rFonts w:ascii="Arial" w:hAnsi="Arial" w:cs="Arial"/>
          <w:sz w:val="22"/>
          <w:szCs w:val="22"/>
        </w:rPr>
        <w:t xml:space="preserve">. </w:t>
      </w:r>
      <w:r w:rsidR="00A71F14" w:rsidRPr="000C0597">
        <w:rPr>
          <w:rFonts w:ascii="Arial" w:hAnsi="Arial" w:cs="Arial"/>
          <w:sz w:val="22"/>
          <w:szCs w:val="22"/>
        </w:rPr>
        <w:t xml:space="preserve">Load </w:t>
      </w:r>
      <w:r w:rsidRPr="000C0597">
        <w:rPr>
          <w:rFonts w:ascii="Arial" w:hAnsi="Arial" w:cs="Arial"/>
          <w:sz w:val="22"/>
          <w:szCs w:val="22"/>
        </w:rPr>
        <w:t>forecast peaks and energies were</w:t>
      </w:r>
      <w:r w:rsidR="00A71F14" w:rsidRPr="000C0597">
        <w:rPr>
          <w:rFonts w:ascii="Arial" w:hAnsi="Arial" w:cs="Arial"/>
          <w:sz w:val="22"/>
          <w:szCs w:val="22"/>
        </w:rPr>
        <w:t xml:space="preserve"> then</w:t>
      </w:r>
      <w:r w:rsidRPr="000C0597">
        <w:rPr>
          <w:rFonts w:ascii="Arial" w:hAnsi="Arial" w:cs="Arial"/>
          <w:sz w:val="22"/>
          <w:szCs w:val="22"/>
        </w:rPr>
        <w:t xml:space="preserve"> incorporated on a monthly basis.</w:t>
      </w:r>
    </w:p>
    <w:p w14:paraId="2C67D971" w14:textId="77777777" w:rsidR="00BD6A65" w:rsidRPr="000C0597" w:rsidRDefault="00BD6A65" w:rsidP="009E4429">
      <w:pPr>
        <w:pStyle w:val="Heading1"/>
        <w:spacing w:line="360" w:lineRule="atLeast"/>
        <w:jc w:val="left"/>
        <w:rPr>
          <w:rFonts w:ascii="Arial" w:hAnsi="Arial" w:cs="Arial"/>
          <w:sz w:val="22"/>
          <w:szCs w:val="22"/>
        </w:rPr>
      </w:pPr>
      <w:bookmarkStart w:id="31" w:name="_Toc305487210"/>
      <w:r w:rsidRPr="000C0597">
        <w:rPr>
          <w:rFonts w:ascii="Arial" w:hAnsi="Arial" w:cs="Arial"/>
          <w:sz w:val="22"/>
          <w:szCs w:val="22"/>
        </w:rPr>
        <w:t>SELECTION OF CANDIDATE UNITS</w:t>
      </w:r>
      <w:bookmarkEnd w:id="31"/>
    </w:p>
    <w:p w14:paraId="270D8923" w14:textId="5C55CBF3" w:rsidR="001A7AB9"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The candidate generating units investigated </w:t>
      </w:r>
      <w:r w:rsidR="006A3EAB" w:rsidRPr="000C0597">
        <w:rPr>
          <w:rFonts w:ascii="Arial" w:hAnsi="Arial" w:cs="Arial"/>
          <w:sz w:val="22"/>
          <w:szCs w:val="22"/>
        </w:rPr>
        <w:t>were</w:t>
      </w:r>
      <w:r w:rsidR="00C201A8" w:rsidRPr="000C0597">
        <w:rPr>
          <w:rFonts w:ascii="Arial" w:hAnsi="Arial" w:cs="Arial"/>
          <w:sz w:val="22"/>
          <w:szCs w:val="22"/>
        </w:rPr>
        <w:t xml:space="preserve"> selected</w:t>
      </w:r>
      <w:r w:rsidRPr="000C0597">
        <w:rPr>
          <w:rFonts w:ascii="Arial" w:hAnsi="Arial" w:cs="Arial"/>
          <w:sz w:val="22"/>
          <w:szCs w:val="22"/>
        </w:rPr>
        <w:t xml:space="preserve"> </w:t>
      </w:r>
      <w:r w:rsidR="006A3EAB" w:rsidRPr="000C0597">
        <w:rPr>
          <w:rFonts w:ascii="Arial" w:hAnsi="Arial" w:cs="Arial"/>
          <w:sz w:val="22"/>
          <w:szCs w:val="22"/>
        </w:rPr>
        <w:t>based on the re</w:t>
      </w:r>
      <w:r w:rsidR="00C201A8" w:rsidRPr="000C0597">
        <w:rPr>
          <w:rFonts w:ascii="Arial" w:hAnsi="Arial" w:cs="Arial"/>
          <w:sz w:val="22"/>
          <w:szCs w:val="22"/>
        </w:rPr>
        <w:t xml:space="preserve">sults of </w:t>
      </w:r>
      <w:r w:rsidR="005E2186" w:rsidRPr="000C0597">
        <w:rPr>
          <w:rFonts w:ascii="Arial" w:hAnsi="Arial" w:cs="Arial"/>
          <w:sz w:val="22"/>
          <w:szCs w:val="22"/>
        </w:rPr>
        <w:t xml:space="preserve">the </w:t>
      </w:r>
      <w:r w:rsidR="001D036F" w:rsidRPr="000C0597">
        <w:rPr>
          <w:rFonts w:ascii="Arial" w:hAnsi="Arial" w:cs="Arial"/>
          <w:sz w:val="22"/>
          <w:szCs w:val="22"/>
        </w:rPr>
        <w:t xml:space="preserve">generation </w:t>
      </w:r>
      <w:r w:rsidR="00C201A8" w:rsidRPr="000C0597">
        <w:rPr>
          <w:rFonts w:ascii="Arial" w:hAnsi="Arial" w:cs="Arial"/>
          <w:sz w:val="22"/>
          <w:szCs w:val="22"/>
        </w:rPr>
        <w:t>busbar analysis</w:t>
      </w:r>
      <w:r w:rsidR="008244ED" w:rsidRPr="000C0597">
        <w:rPr>
          <w:rFonts w:ascii="Arial" w:hAnsi="Arial" w:cs="Arial"/>
          <w:sz w:val="22"/>
          <w:szCs w:val="22"/>
        </w:rPr>
        <w:t xml:space="preserve">. </w:t>
      </w:r>
      <w:r w:rsidRPr="000C0597">
        <w:rPr>
          <w:rFonts w:ascii="Arial" w:hAnsi="Arial" w:cs="Arial"/>
          <w:sz w:val="22"/>
          <w:szCs w:val="22"/>
        </w:rPr>
        <w:t xml:space="preserve">The candidate generating technologies considered for future installation on the Southern </w:t>
      </w:r>
      <w:r w:rsidR="00AA39AB" w:rsidRPr="000C0597">
        <w:rPr>
          <w:rFonts w:ascii="Arial" w:hAnsi="Arial" w:cs="Arial"/>
          <w:sz w:val="22"/>
          <w:szCs w:val="22"/>
        </w:rPr>
        <w:t xml:space="preserve">Company </w:t>
      </w:r>
      <w:r w:rsidR="00FE058B" w:rsidRPr="000C0597">
        <w:rPr>
          <w:rFonts w:ascii="Arial" w:hAnsi="Arial" w:cs="Arial"/>
          <w:sz w:val="22"/>
          <w:szCs w:val="22"/>
        </w:rPr>
        <w:t>e</w:t>
      </w:r>
      <w:r w:rsidR="0044659B" w:rsidRPr="000C0597">
        <w:rPr>
          <w:rFonts w:ascii="Arial" w:hAnsi="Arial" w:cs="Arial"/>
          <w:sz w:val="22"/>
          <w:szCs w:val="22"/>
        </w:rPr>
        <w:t xml:space="preserve">lectric </w:t>
      </w:r>
      <w:r w:rsidR="00FE058B" w:rsidRPr="000C0597">
        <w:rPr>
          <w:rFonts w:ascii="Arial" w:hAnsi="Arial" w:cs="Arial"/>
          <w:sz w:val="22"/>
          <w:szCs w:val="22"/>
        </w:rPr>
        <w:t>s</w:t>
      </w:r>
      <w:r w:rsidR="0044659B" w:rsidRPr="000C0597">
        <w:rPr>
          <w:rFonts w:ascii="Arial" w:hAnsi="Arial" w:cs="Arial"/>
          <w:sz w:val="22"/>
          <w:szCs w:val="22"/>
        </w:rPr>
        <w:t xml:space="preserve">ystem </w:t>
      </w:r>
      <w:r w:rsidRPr="000C0597">
        <w:rPr>
          <w:rFonts w:ascii="Arial" w:hAnsi="Arial" w:cs="Arial"/>
          <w:sz w:val="22"/>
          <w:szCs w:val="22"/>
        </w:rPr>
        <w:t>are:</w:t>
      </w:r>
    </w:p>
    <w:p w14:paraId="4D52C953" w14:textId="77777777" w:rsidR="00BD6A65" w:rsidRPr="000C0597" w:rsidRDefault="00BD6A65" w:rsidP="00243513">
      <w:pPr>
        <w:spacing w:line="360" w:lineRule="atLeast"/>
        <w:rPr>
          <w:rFonts w:ascii="Arial" w:hAnsi="Arial" w:cs="Arial"/>
          <w:sz w:val="22"/>
          <w:szCs w:val="22"/>
        </w:rPr>
      </w:pPr>
    </w:p>
    <w:p w14:paraId="7E24A8E2" w14:textId="3E5660FF" w:rsidR="00A26DD7" w:rsidRPr="000C0597" w:rsidRDefault="00AE5224" w:rsidP="000B291A">
      <w:pPr>
        <w:numPr>
          <w:ilvl w:val="0"/>
          <w:numId w:val="5"/>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0B3E4B" w:rsidRPr="000C0597">
        <w:rPr>
          <w:rFonts w:ascii="Arial" w:hAnsi="Arial" w:cs="Arial"/>
          <w:sz w:val="22"/>
          <w:szCs w:val="22"/>
        </w:rPr>
        <w:t xml:space="preserve">MW </w:t>
      </w:r>
      <w:r w:rsidR="000E1754" w:rsidRPr="000C0597">
        <w:rPr>
          <w:rFonts w:ascii="Arial" w:hAnsi="Arial" w:cs="Arial"/>
          <w:sz w:val="22"/>
          <w:szCs w:val="22"/>
        </w:rPr>
        <w:t xml:space="preserve">Gas Only </w:t>
      </w:r>
      <w:r w:rsidR="00252C32" w:rsidRPr="000C0597">
        <w:rPr>
          <w:rFonts w:ascii="Arial" w:hAnsi="Arial" w:cs="Arial"/>
          <w:sz w:val="22"/>
          <w:szCs w:val="22"/>
        </w:rPr>
        <w:t xml:space="preserve">Combined Cycle – </w:t>
      </w:r>
      <w:r w:rsidR="006E51AA" w:rsidRPr="000C0597">
        <w:rPr>
          <w:rFonts w:ascii="Arial" w:hAnsi="Arial" w:cs="Arial"/>
          <w:sz w:val="22"/>
          <w:szCs w:val="22"/>
        </w:rPr>
        <w:t xml:space="preserve">one </w:t>
      </w:r>
      <w:r w:rsidR="000B3E4B" w:rsidRPr="000C0597">
        <w:rPr>
          <w:rFonts w:ascii="Arial" w:hAnsi="Arial" w:cs="Arial"/>
          <w:sz w:val="22"/>
          <w:szCs w:val="22"/>
        </w:rPr>
        <w:t>unit site</w:t>
      </w:r>
    </w:p>
    <w:p w14:paraId="5F6FE8B3" w14:textId="661F5C9D" w:rsidR="00A26DD7" w:rsidRPr="000C0597" w:rsidRDefault="00AE5224" w:rsidP="000B291A">
      <w:pPr>
        <w:numPr>
          <w:ilvl w:val="0"/>
          <w:numId w:val="5"/>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0B3E4B" w:rsidRPr="000C0597">
        <w:rPr>
          <w:rFonts w:ascii="Arial" w:hAnsi="Arial" w:cs="Arial"/>
          <w:sz w:val="22"/>
          <w:szCs w:val="22"/>
        </w:rPr>
        <w:t xml:space="preserve">MW </w:t>
      </w:r>
      <w:r w:rsidR="000E1754" w:rsidRPr="000C0597">
        <w:rPr>
          <w:rFonts w:ascii="Arial" w:hAnsi="Arial" w:cs="Arial"/>
          <w:sz w:val="22"/>
          <w:szCs w:val="22"/>
        </w:rPr>
        <w:t xml:space="preserve">Gas Only </w:t>
      </w:r>
      <w:r w:rsidR="00A26DD7" w:rsidRPr="000C0597">
        <w:rPr>
          <w:rFonts w:ascii="Arial" w:hAnsi="Arial" w:cs="Arial"/>
          <w:sz w:val="22"/>
          <w:szCs w:val="22"/>
        </w:rPr>
        <w:t>Combined Cycle with CC</w:t>
      </w:r>
      <w:r w:rsidR="00E87440" w:rsidRPr="000C0597">
        <w:rPr>
          <w:rFonts w:ascii="Arial" w:hAnsi="Arial" w:cs="Arial"/>
          <w:sz w:val="22"/>
          <w:szCs w:val="22"/>
        </w:rPr>
        <w:t>C</w:t>
      </w:r>
      <w:r w:rsidR="000B3E4B" w:rsidRPr="000C0597">
        <w:rPr>
          <w:rFonts w:ascii="Arial" w:hAnsi="Arial" w:cs="Arial"/>
          <w:sz w:val="22"/>
          <w:szCs w:val="22"/>
        </w:rPr>
        <w:t xml:space="preserve"> – </w:t>
      </w:r>
      <w:r w:rsidR="006E51AA" w:rsidRPr="000C0597">
        <w:rPr>
          <w:rFonts w:ascii="Arial" w:hAnsi="Arial" w:cs="Arial"/>
          <w:sz w:val="22"/>
          <w:szCs w:val="22"/>
        </w:rPr>
        <w:t xml:space="preserve">one </w:t>
      </w:r>
      <w:r w:rsidR="000B3E4B" w:rsidRPr="000C0597">
        <w:rPr>
          <w:rFonts w:ascii="Arial" w:hAnsi="Arial" w:cs="Arial"/>
          <w:sz w:val="22"/>
          <w:szCs w:val="22"/>
        </w:rPr>
        <w:t>unit site</w:t>
      </w:r>
    </w:p>
    <w:p w14:paraId="633F0BF1" w14:textId="59D120C9" w:rsidR="00A26DD7" w:rsidRPr="000C0597" w:rsidRDefault="00AE5224" w:rsidP="000B291A">
      <w:pPr>
        <w:numPr>
          <w:ilvl w:val="0"/>
          <w:numId w:val="5"/>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A26DD7" w:rsidRPr="000C0597">
        <w:rPr>
          <w:rFonts w:ascii="Arial" w:hAnsi="Arial" w:cs="Arial"/>
          <w:sz w:val="22"/>
          <w:szCs w:val="22"/>
        </w:rPr>
        <w:t xml:space="preserve">MW </w:t>
      </w:r>
      <w:r w:rsidR="006A1740" w:rsidRPr="000C0597">
        <w:rPr>
          <w:rFonts w:ascii="Arial" w:hAnsi="Arial" w:cs="Arial"/>
          <w:sz w:val="22"/>
          <w:szCs w:val="22"/>
        </w:rPr>
        <w:t>Dual Fuel</w:t>
      </w:r>
      <w:r w:rsidR="00A26DD7" w:rsidRPr="000C0597">
        <w:rPr>
          <w:rFonts w:ascii="Arial" w:hAnsi="Arial" w:cs="Arial"/>
          <w:sz w:val="22"/>
          <w:szCs w:val="22"/>
        </w:rPr>
        <w:t xml:space="preserve"> Combustion Turbine</w:t>
      </w:r>
      <w:r w:rsidR="000B3E4B" w:rsidRPr="000C0597">
        <w:rPr>
          <w:rFonts w:ascii="Arial" w:hAnsi="Arial" w:cs="Arial"/>
          <w:sz w:val="22"/>
          <w:szCs w:val="22"/>
        </w:rPr>
        <w:t xml:space="preserve"> – </w:t>
      </w:r>
      <w:r w:rsidR="00252C32" w:rsidRPr="000C0597">
        <w:rPr>
          <w:rFonts w:ascii="Arial" w:hAnsi="Arial" w:cs="Arial"/>
          <w:sz w:val="22"/>
          <w:szCs w:val="22"/>
        </w:rPr>
        <w:t>four</w:t>
      </w:r>
      <w:r w:rsidR="000B3E4B" w:rsidRPr="000C0597">
        <w:rPr>
          <w:rFonts w:ascii="Arial" w:hAnsi="Arial" w:cs="Arial"/>
          <w:sz w:val="22"/>
          <w:szCs w:val="22"/>
        </w:rPr>
        <w:t xml:space="preserve"> unit site</w:t>
      </w:r>
    </w:p>
    <w:p w14:paraId="04BA127E" w14:textId="23918B6D" w:rsidR="00A26DD7" w:rsidRPr="000C0597" w:rsidRDefault="00AE5224" w:rsidP="000B291A">
      <w:pPr>
        <w:numPr>
          <w:ilvl w:val="0"/>
          <w:numId w:val="5"/>
        </w:numPr>
        <w:spacing w:line="360" w:lineRule="atLeast"/>
        <w:rPr>
          <w:rFonts w:ascii="Arial" w:hAnsi="Arial" w:cs="Arial"/>
          <w:sz w:val="22"/>
          <w:szCs w:val="22"/>
        </w:rPr>
      </w:pPr>
      <w:r w:rsidRPr="00170DCF">
        <w:rPr>
          <w:rFonts w:ascii="Arial" w:hAnsi="Arial" w:cs="Arial"/>
          <w:b/>
          <w:color w:val="000000"/>
          <w:sz w:val="16"/>
          <w:szCs w:val="16"/>
        </w:rPr>
        <w:t>REDACTED</w:t>
      </w:r>
      <w:r w:rsidRPr="000C0597">
        <w:rPr>
          <w:rFonts w:ascii="Arial" w:hAnsi="Arial" w:cs="Arial"/>
          <w:sz w:val="22"/>
          <w:szCs w:val="22"/>
        </w:rPr>
        <w:t xml:space="preserve"> </w:t>
      </w:r>
      <w:r w:rsidR="000B3E4B" w:rsidRPr="000C0597">
        <w:rPr>
          <w:rFonts w:ascii="Arial" w:hAnsi="Arial" w:cs="Arial"/>
          <w:sz w:val="22"/>
          <w:szCs w:val="22"/>
        </w:rPr>
        <w:t xml:space="preserve">MW </w:t>
      </w:r>
      <w:r w:rsidR="006A1740" w:rsidRPr="000C0597">
        <w:rPr>
          <w:rFonts w:ascii="Arial" w:hAnsi="Arial" w:cs="Arial"/>
          <w:sz w:val="22"/>
          <w:szCs w:val="22"/>
        </w:rPr>
        <w:t>Dual Fuel</w:t>
      </w:r>
      <w:r w:rsidR="00A26DD7" w:rsidRPr="000C0597">
        <w:rPr>
          <w:rFonts w:ascii="Arial" w:hAnsi="Arial" w:cs="Arial"/>
          <w:sz w:val="22"/>
          <w:szCs w:val="22"/>
        </w:rPr>
        <w:t xml:space="preserve"> Combustion Turbine with SCR</w:t>
      </w:r>
      <w:r w:rsidR="000B3E4B" w:rsidRPr="000C0597">
        <w:rPr>
          <w:rFonts w:ascii="Arial" w:hAnsi="Arial" w:cs="Arial"/>
          <w:sz w:val="22"/>
          <w:szCs w:val="22"/>
        </w:rPr>
        <w:t xml:space="preserve"> – </w:t>
      </w:r>
      <w:r w:rsidR="00252C32" w:rsidRPr="000C0597">
        <w:rPr>
          <w:rFonts w:ascii="Arial" w:hAnsi="Arial" w:cs="Arial"/>
          <w:sz w:val="22"/>
          <w:szCs w:val="22"/>
        </w:rPr>
        <w:t>four</w:t>
      </w:r>
      <w:r w:rsidR="000B3E4B" w:rsidRPr="000C0597">
        <w:rPr>
          <w:rFonts w:ascii="Arial" w:hAnsi="Arial" w:cs="Arial"/>
          <w:sz w:val="22"/>
          <w:szCs w:val="22"/>
        </w:rPr>
        <w:t xml:space="preserve"> unit site</w:t>
      </w:r>
    </w:p>
    <w:p w14:paraId="71641B80" w14:textId="77777777" w:rsidR="000B3E4B" w:rsidRPr="000C0597" w:rsidRDefault="000B3E4B" w:rsidP="000B3E4B">
      <w:pPr>
        <w:spacing w:line="360" w:lineRule="atLeast"/>
        <w:ind w:left="374"/>
        <w:rPr>
          <w:rFonts w:ascii="Arial" w:hAnsi="Arial" w:cs="Arial"/>
          <w:sz w:val="22"/>
          <w:szCs w:val="22"/>
        </w:rPr>
      </w:pPr>
      <w:r w:rsidRPr="000C0597">
        <w:rPr>
          <w:rFonts w:ascii="Arial" w:hAnsi="Arial" w:cs="Arial"/>
          <w:sz w:val="22"/>
          <w:szCs w:val="22"/>
        </w:rPr>
        <w:t>Note: All MW output values are net of station service.</w:t>
      </w:r>
    </w:p>
    <w:p w14:paraId="287FF264" w14:textId="77777777" w:rsidR="00BD6A65" w:rsidRPr="000C0597" w:rsidRDefault="00BD6A65" w:rsidP="00243513">
      <w:pPr>
        <w:spacing w:line="360" w:lineRule="atLeast"/>
        <w:rPr>
          <w:rFonts w:ascii="Arial" w:hAnsi="Arial" w:cs="Arial"/>
          <w:sz w:val="22"/>
          <w:szCs w:val="22"/>
          <w:highlight w:val="yellow"/>
        </w:rPr>
      </w:pPr>
    </w:p>
    <w:p w14:paraId="4F82A797" w14:textId="4D223D75" w:rsidR="00BD6A65" w:rsidRPr="000C0597" w:rsidRDefault="00AA39AB" w:rsidP="00243513">
      <w:pPr>
        <w:spacing w:line="360" w:lineRule="atLeast"/>
        <w:rPr>
          <w:rFonts w:ascii="Arial" w:hAnsi="Arial" w:cs="Arial"/>
          <w:sz w:val="22"/>
          <w:szCs w:val="22"/>
        </w:rPr>
      </w:pPr>
      <w:r w:rsidRPr="000C0597">
        <w:rPr>
          <w:rFonts w:ascii="Arial" w:hAnsi="Arial" w:cs="Arial"/>
          <w:sz w:val="22"/>
          <w:szCs w:val="22"/>
        </w:rPr>
        <w:t xml:space="preserve">The candidate units are based on results from the Technology Evaluation Process and Economic Screening as described in </w:t>
      </w:r>
      <w:r w:rsidR="000C25B7">
        <w:rPr>
          <w:rFonts w:ascii="Arial" w:hAnsi="Arial" w:cs="Arial"/>
          <w:sz w:val="22"/>
          <w:szCs w:val="22"/>
        </w:rPr>
        <w:t xml:space="preserve">CHAPTER 4 </w:t>
      </w:r>
      <w:r w:rsidRPr="000C0597">
        <w:rPr>
          <w:rFonts w:ascii="Arial" w:hAnsi="Arial" w:cs="Arial"/>
          <w:sz w:val="22"/>
          <w:szCs w:val="22"/>
        </w:rPr>
        <w:t xml:space="preserve">of the </w:t>
      </w:r>
      <w:r w:rsidR="007B5135" w:rsidRPr="000C0597">
        <w:rPr>
          <w:rFonts w:ascii="Arial" w:hAnsi="Arial" w:cs="Arial"/>
          <w:sz w:val="22"/>
          <w:szCs w:val="22"/>
        </w:rPr>
        <w:t xml:space="preserve">IRP </w:t>
      </w:r>
      <w:r w:rsidRPr="000C0597">
        <w:rPr>
          <w:rFonts w:ascii="Arial" w:hAnsi="Arial" w:cs="Arial"/>
          <w:sz w:val="22"/>
          <w:szCs w:val="22"/>
        </w:rPr>
        <w:t>Main Document</w:t>
      </w:r>
      <w:r w:rsidR="008244ED" w:rsidRPr="000C0597">
        <w:rPr>
          <w:rFonts w:ascii="Arial" w:hAnsi="Arial" w:cs="Arial"/>
          <w:sz w:val="22"/>
          <w:szCs w:val="22"/>
        </w:rPr>
        <w:t xml:space="preserve">. </w:t>
      </w:r>
      <w:r w:rsidRPr="000C0597">
        <w:rPr>
          <w:rFonts w:ascii="Arial" w:hAnsi="Arial" w:cs="Arial"/>
          <w:sz w:val="22"/>
          <w:szCs w:val="22"/>
        </w:rPr>
        <w:t xml:space="preserve">Selection is </w:t>
      </w:r>
      <w:r w:rsidR="00BD6A65" w:rsidRPr="000C0597">
        <w:rPr>
          <w:rFonts w:ascii="Arial" w:hAnsi="Arial" w:cs="Arial"/>
          <w:sz w:val="22"/>
          <w:szCs w:val="22"/>
        </w:rPr>
        <w:t>based on the</w:t>
      </w:r>
      <w:r w:rsidR="000C0EB6" w:rsidRPr="000C0597">
        <w:rPr>
          <w:rFonts w:ascii="Arial" w:hAnsi="Arial" w:cs="Arial"/>
          <w:sz w:val="22"/>
          <w:szCs w:val="22"/>
        </w:rPr>
        <w:t xml:space="preserve"> results of the busbar </w:t>
      </w:r>
      <w:r w:rsidR="00BD6A65" w:rsidRPr="000C0597">
        <w:rPr>
          <w:rFonts w:ascii="Arial" w:hAnsi="Arial" w:cs="Arial"/>
          <w:sz w:val="22"/>
          <w:szCs w:val="22"/>
        </w:rPr>
        <w:t xml:space="preserve">assessment concerning the </w:t>
      </w:r>
      <w:r w:rsidR="00D87B15" w:rsidRPr="000C0597">
        <w:rPr>
          <w:rFonts w:ascii="Arial" w:hAnsi="Arial" w:cs="Arial"/>
          <w:sz w:val="22"/>
          <w:szCs w:val="22"/>
        </w:rPr>
        <w:t xml:space="preserve">capital and operating </w:t>
      </w:r>
      <w:r w:rsidR="00BD6A65" w:rsidRPr="000C0597">
        <w:rPr>
          <w:rFonts w:ascii="Arial" w:hAnsi="Arial" w:cs="Arial"/>
          <w:sz w:val="22"/>
          <w:szCs w:val="22"/>
        </w:rPr>
        <w:t>cost</w:t>
      </w:r>
      <w:r w:rsidR="00D87B15" w:rsidRPr="000C0597">
        <w:rPr>
          <w:rFonts w:ascii="Arial" w:hAnsi="Arial" w:cs="Arial"/>
          <w:sz w:val="22"/>
          <w:szCs w:val="22"/>
        </w:rPr>
        <w:t>s</w:t>
      </w:r>
      <w:r w:rsidR="00BD6A65" w:rsidRPr="000C0597">
        <w:rPr>
          <w:rFonts w:ascii="Arial" w:hAnsi="Arial" w:cs="Arial"/>
          <w:sz w:val="22"/>
          <w:szCs w:val="22"/>
        </w:rPr>
        <w:t xml:space="preserve">, an evaluation of risk associated with installing the technology on the Southern </w:t>
      </w:r>
      <w:r w:rsidRPr="000C0597">
        <w:rPr>
          <w:rFonts w:ascii="Arial" w:hAnsi="Arial" w:cs="Arial"/>
          <w:sz w:val="22"/>
          <w:szCs w:val="22"/>
        </w:rPr>
        <w:t xml:space="preserve">Company </w:t>
      </w:r>
      <w:r w:rsidR="00FE058B" w:rsidRPr="000C0597">
        <w:rPr>
          <w:rFonts w:ascii="Arial" w:hAnsi="Arial" w:cs="Arial"/>
          <w:sz w:val="22"/>
          <w:szCs w:val="22"/>
        </w:rPr>
        <w:t>e</w:t>
      </w:r>
      <w:r w:rsidR="00EA7C94" w:rsidRPr="000C0597">
        <w:rPr>
          <w:rFonts w:ascii="Arial" w:hAnsi="Arial" w:cs="Arial"/>
          <w:sz w:val="22"/>
          <w:szCs w:val="22"/>
        </w:rPr>
        <w:t xml:space="preserve">lectric </w:t>
      </w:r>
      <w:r w:rsidR="00FE058B" w:rsidRPr="000C0597">
        <w:rPr>
          <w:rFonts w:ascii="Arial" w:hAnsi="Arial" w:cs="Arial"/>
          <w:sz w:val="22"/>
          <w:szCs w:val="22"/>
        </w:rPr>
        <w:t>s</w:t>
      </w:r>
      <w:r w:rsidR="00EA7C94" w:rsidRPr="000C0597">
        <w:rPr>
          <w:rFonts w:ascii="Arial" w:hAnsi="Arial" w:cs="Arial"/>
          <w:sz w:val="22"/>
          <w:szCs w:val="22"/>
        </w:rPr>
        <w:t>ystem</w:t>
      </w:r>
      <w:r w:rsidR="00BD6A65" w:rsidRPr="000C0597">
        <w:rPr>
          <w:rFonts w:ascii="Arial" w:hAnsi="Arial" w:cs="Arial"/>
          <w:sz w:val="22"/>
          <w:szCs w:val="22"/>
        </w:rPr>
        <w:t>, and various other factors.</w:t>
      </w:r>
    </w:p>
    <w:p w14:paraId="62642DB6" w14:textId="77777777" w:rsidR="00BD6A65" w:rsidRPr="000C0597" w:rsidRDefault="00BD6A65" w:rsidP="00243513">
      <w:pPr>
        <w:spacing w:line="360" w:lineRule="atLeast"/>
        <w:rPr>
          <w:rFonts w:ascii="Arial" w:hAnsi="Arial" w:cs="Arial"/>
          <w:sz w:val="22"/>
          <w:szCs w:val="22"/>
        </w:rPr>
      </w:pPr>
    </w:p>
    <w:p w14:paraId="383A8180" w14:textId="7799AF60" w:rsidR="00716D47" w:rsidRPr="000C0597" w:rsidRDefault="00716D47" w:rsidP="00243513">
      <w:pPr>
        <w:spacing w:line="360" w:lineRule="atLeast"/>
        <w:rPr>
          <w:rFonts w:ascii="Arial" w:hAnsi="Arial" w:cs="Arial"/>
          <w:sz w:val="22"/>
          <w:szCs w:val="22"/>
        </w:rPr>
      </w:pPr>
      <w:r w:rsidRPr="000C0597">
        <w:rPr>
          <w:rFonts w:ascii="Arial" w:hAnsi="Arial" w:cs="Arial"/>
          <w:sz w:val="22"/>
          <w:szCs w:val="22"/>
        </w:rPr>
        <w:t>Intermittent resources were not included as technologies for the model to select</w:t>
      </w:r>
      <w:r w:rsidR="008E191F" w:rsidRPr="000C0597">
        <w:rPr>
          <w:rFonts w:ascii="Arial" w:hAnsi="Arial" w:cs="Arial"/>
          <w:sz w:val="22"/>
          <w:szCs w:val="22"/>
        </w:rPr>
        <w:t xml:space="preserve"> due to model limitations</w:t>
      </w:r>
      <w:r w:rsidR="00510FDE" w:rsidRPr="000C0597">
        <w:rPr>
          <w:rFonts w:ascii="Arial" w:hAnsi="Arial" w:cs="Arial"/>
          <w:sz w:val="22"/>
          <w:szCs w:val="22"/>
        </w:rPr>
        <w:t xml:space="preserve"> associated with the inclusion of intermittent resources</w:t>
      </w:r>
      <w:r w:rsidRPr="000C0597">
        <w:rPr>
          <w:rFonts w:ascii="Arial" w:hAnsi="Arial" w:cs="Arial"/>
          <w:sz w:val="22"/>
          <w:szCs w:val="22"/>
        </w:rPr>
        <w:t xml:space="preserve"> but instead were reflected in the model </w:t>
      </w:r>
      <w:r w:rsidR="00386E9A" w:rsidRPr="000C0597">
        <w:rPr>
          <w:rFonts w:ascii="Arial" w:hAnsi="Arial" w:cs="Arial"/>
          <w:sz w:val="22"/>
          <w:szCs w:val="22"/>
        </w:rPr>
        <w:t>as planned and committed resources</w:t>
      </w:r>
      <w:r w:rsidR="008244ED" w:rsidRPr="000C0597">
        <w:rPr>
          <w:rFonts w:ascii="Arial" w:hAnsi="Arial" w:cs="Arial"/>
          <w:sz w:val="22"/>
          <w:szCs w:val="22"/>
        </w:rPr>
        <w:t xml:space="preserve">. </w:t>
      </w:r>
      <w:r w:rsidR="004238A6" w:rsidRPr="000C0597">
        <w:rPr>
          <w:rFonts w:ascii="Arial" w:hAnsi="Arial" w:cs="Arial"/>
          <w:sz w:val="22"/>
          <w:szCs w:val="22"/>
        </w:rPr>
        <w:t xml:space="preserve">Such planned resources include the </w:t>
      </w:r>
      <w:r w:rsidRPr="000C0597">
        <w:rPr>
          <w:rFonts w:ascii="Arial" w:hAnsi="Arial" w:cs="Arial"/>
          <w:sz w:val="22"/>
          <w:szCs w:val="22"/>
        </w:rPr>
        <w:t xml:space="preserve">recommended addition of </w:t>
      </w:r>
      <w:r w:rsidR="0046215A" w:rsidRPr="000C0597">
        <w:rPr>
          <w:rFonts w:ascii="Arial" w:hAnsi="Arial" w:cs="Arial"/>
          <w:sz w:val="22"/>
          <w:szCs w:val="22"/>
        </w:rPr>
        <w:t xml:space="preserve">1,000 </w:t>
      </w:r>
      <w:r w:rsidR="004238A6" w:rsidRPr="000C0597">
        <w:rPr>
          <w:rFonts w:ascii="Arial" w:hAnsi="Arial" w:cs="Arial"/>
          <w:sz w:val="22"/>
          <w:szCs w:val="22"/>
        </w:rPr>
        <w:t>MW of renewable resources</w:t>
      </w:r>
      <w:r w:rsidR="008244ED" w:rsidRPr="000C0597">
        <w:rPr>
          <w:rFonts w:ascii="Arial" w:hAnsi="Arial" w:cs="Arial"/>
          <w:sz w:val="22"/>
          <w:szCs w:val="22"/>
        </w:rPr>
        <w:t xml:space="preserve">. </w:t>
      </w:r>
      <w:r w:rsidR="00510FDE" w:rsidRPr="000C0597">
        <w:rPr>
          <w:rFonts w:ascii="Arial" w:hAnsi="Arial" w:cs="Arial"/>
          <w:sz w:val="22"/>
          <w:szCs w:val="22"/>
        </w:rPr>
        <w:t>Finally, the supply-side additions modeled in this Mix Study are not determinative of the resources that will ultimately be selected to meet an identified capacity need</w:t>
      </w:r>
      <w:r w:rsidR="008244ED" w:rsidRPr="000C0597">
        <w:rPr>
          <w:rFonts w:ascii="Arial" w:hAnsi="Arial" w:cs="Arial"/>
          <w:sz w:val="22"/>
          <w:szCs w:val="22"/>
        </w:rPr>
        <w:t xml:space="preserve">. </w:t>
      </w:r>
      <w:r w:rsidR="00510FDE" w:rsidRPr="000C0597">
        <w:rPr>
          <w:rFonts w:ascii="Arial" w:hAnsi="Arial" w:cs="Arial"/>
          <w:sz w:val="22"/>
          <w:szCs w:val="22"/>
        </w:rPr>
        <w:t>Any capacity need identified through an IRP will be met in accordance with the Commission’s RFP rules.</w:t>
      </w:r>
    </w:p>
    <w:p w14:paraId="3786D1EF" w14:textId="77777777" w:rsidR="00716D47" w:rsidRPr="000C0597" w:rsidRDefault="00716D47" w:rsidP="00243513">
      <w:pPr>
        <w:spacing w:line="360" w:lineRule="atLeast"/>
        <w:rPr>
          <w:rFonts w:ascii="Arial" w:hAnsi="Arial" w:cs="Arial"/>
          <w:sz w:val="22"/>
          <w:szCs w:val="22"/>
        </w:rPr>
      </w:pPr>
    </w:p>
    <w:p w14:paraId="4A308DC6" w14:textId="3BD40C62" w:rsidR="00BD6A65" w:rsidRPr="000C0597" w:rsidRDefault="00BD6A65" w:rsidP="00243513">
      <w:pPr>
        <w:spacing w:line="360" w:lineRule="atLeast"/>
        <w:rPr>
          <w:rFonts w:ascii="Arial" w:hAnsi="Arial" w:cs="Arial"/>
          <w:sz w:val="22"/>
          <w:szCs w:val="22"/>
        </w:rPr>
      </w:pPr>
      <w:r w:rsidRPr="000C0597">
        <w:rPr>
          <w:rFonts w:ascii="Arial" w:hAnsi="Arial" w:cs="Arial"/>
          <w:sz w:val="22"/>
          <w:szCs w:val="22"/>
        </w:rPr>
        <w:t xml:space="preserve">In general, the operating characteristics and the projected costs associated with installing a more "proven" technology can be more accurately anticipated than a less </w:t>
      </w:r>
      <w:r w:rsidR="002A0E86" w:rsidRPr="000C0597">
        <w:rPr>
          <w:rFonts w:ascii="Arial" w:hAnsi="Arial" w:cs="Arial"/>
          <w:sz w:val="22"/>
          <w:szCs w:val="22"/>
        </w:rPr>
        <w:t>“proven”</w:t>
      </w:r>
      <w:r w:rsidRPr="000C0597">
        <w:rPr>
          <w:rFonts w:ascii="Arial" w:hAnsi="Arial" w:cs="Arial"/>
          <w:sz w:val="22"/>
          <w:szCs w:val="22"/>
        </w:rPr>
        <w:t xml:space="preserve"> technology</w:t>
      </w:r>
      <w:r w:rsidR="008244ED" w:rsidRPr="000C0597">
        <w:rPr>
          <w:rFonts w:ascii="Arial" w:hAnsi="Arial" w:cs="Arial"/>
          <w:sz w:val="22"/>
          <w:szCs w:val="22"/>
        </w:rPr>
        <w:t xml:space="preserve">. </w:t>
      </w:r>
      <w:r w:rsidRPr="000C0597">
        <w:rPr>
          <w:rFonts w:ascii="Arial" w:hAnsi="Arial" w:cs="Arial"/>
          <w:sz w:val="22"/>
          <w:szCs w:val="22"/>
        </w:rPr>
        <w:t>As a result, cost estimates for proven technologies can be developed with more confidence than estimates for an immature technology</w:t>
      </w:r>
      <w:r w:rsidR="008244ED" w:rsidRPr="000C0597">
        <w:rPr>
          <w:rFonts w:ascii="Arial" w:hAnsi="Arial" w:cs="Arial"/>
          <w:sz w:val="22"/>
          <w:szCs w:val="22"/>
        </w:rPr>
        <w:t xml:space="preserve">. </w:t>
      </w:r>
      <w:r w:rsidRPr="000C0597">
        <w:rPr>
          <w:rFonts w:ascii="Arial" w:hAnsi="Arial" w:cs="Arial"/>
          <w:sz w:val="22"/>
          <w:szCs w:val="22"/>
        </w:rPr>
        <w:t>Even though cost is an important aspect of evaluating technologies, risk factors associated with installing a technology must be considered</w:t>
      </w:r>
      <w:r w:rsidR="008244ED" w:rsidRPr="000C0597">
        <w:rPr>
          <w:rFonts w:ascii="Arial" w:hAnsi="Arial" w:cs="Arial"/>
          <w:sz w:val="22"/>
          <w:szCs w:val="22"/>
        </w:rPr>
        <w:t xml:space="preserve">. </w:t>
      </w:r>
      <w:r w:rsidRPr="000C0597">
        <w:rPr>
          <w:rFonts w:ascii="Arial" w:hAnsi="Arial" w:cs="Arial"/>
          <w:sz w:val="22"/>
          <w:szCs w:val="22"/>
        </w:rPr>
        <w:t>The</w:t>
      </w:r>
      <w:r w:rsidR="00EA7C94" w:rsidRPr="000C0597">
        <w:rPr>
          <w:rFonts w:ascii="Arial" w:hAnsi="Arial" w:cs="Arial"/>
          <w:sz w:val="22"/>
          <w:szCs w:val="22"/>
        </w:rPr>
        <w:t>se</w:t>
      </w:r>
      <w:r w:rsidRPr="000C0597">
        <w:rPr>
          <w:rFonts w:ascii="Arial" w:hAnsi="Arial" w:cs="Arial"/>
          <w:sz w:val="22"/>
          <w:szCs w:val="22"/>
        </w:rPr>
        <w:t xml:space="preserve"> risk factors include construction lead</w:t>
      </w:r>
      <w:r w:rsidR="00EA7C94" w:rsidRPr="000C0597">
        <w:rPr>
          <w:rFonts w:ascii="Arial" w:hAnsi="Arial" w:cs="Arial"/>
          <w:sz w:val="22"/>
          <w:szCs w:val="22"/>
        </w:rPr>
        <w:t xml:space="preserve"> </w:t>
      </w:r>
      <w:r w:rsidRPr="000C0597">
        <w:rPr>
          <w:rFonts w:ascii="Arial" w:hAnsi="Arial" w:cs="Arial"/>
          <w:sz w:val="22"/>
          <w:szCs w:val="22"/>
        </w:rPr>
        <w:t xml:space="preserve">time, fuel diversity, environmental considerations, and </w:t>
      </w:r>
      <w:r w:rsidR="00EA7C94" w:rsidRPr="000C0597">
        <w:rPr>
          <w:rFonts w:ascii="Arial" w:hAnsi="Arial" w:cs="Arial"/>
          <w:sz w:val="22"/>
          <w:szCs w:val="22"/>
        </w:rPr>
        <w:t xml:space="preserve">operational </w:t>
      </w:r>
      <w:r w:rsidRPr="000C0597">
        <w:rPr>
          <w:rFonts w:ascii="Arial" w:hAnsi="Arial" w:cs="Arial"/>
          <w:sz w:val="22"/>
          <w:szCs w:val="22"/>
        </w:rPr>
        <w:t>flexibility.</w:t>
      </w:r>
    </w:p>
    <w:p w14:paraId="43BBB780" w14:textId="3E8D872C" w:rsidR="00BD6A65" w:rsidRPr="000C0597" w:rsidRDefault="00930DCF" w:rsidP="00243513">
      <w:pPr>
        <w:spacing w:line="360" w:lineRule="atLeast"/>
        <w:rPr>
          <w:rFonts w:ascii="Arial" w:hAnsi="Arial" w:cs="Arial"/>
          <w:sz w:val="22"/>
          <w:szCs w:val="22"/>
        </w:rPr>
      </w:pPr>
      <w:r>
        <w:rPr>
          <w:rFonts w:ascii="Arial" w:hAnsi="Arial" w:cs="Arial"/>
          <w:sz w:val="22"/>
          <w:szCs w:val="22"/>
        </w:rPr>
        <w:t xml:space="preserve"> </w:t>
      </w:r>
    </w:p>
    <w:p w14:paraId="137B89C9" w14:textId="7C25053D" w:rsidR="00BD6A65" w:rsidRPr="000C0597" w:rsidRDefault="009B5508" w:rsidP="00243513">
      <w:pPr>
        <w:spacing w:line="360" w:lineRule="atLeast"/>
        <w:rPr>
          <w:rFonts w:ascii="Arial" w:hAnsi="Arial" w:cs="Arial"/>
          <w:sz w:val="22"/>
          <w:szCs w:val="22"/>
        </w:rPr>
      </w:pPr>
      <w:r w:rsidRPr="000C0597">
        <w:rPr>
          <w:rFonts w:ascii="Arial" w:hAnsi="Arial" w:cs="Arial"/>
          <w:sz w:val="22"/>
          <w:szCs w:val="22"/>
        </w:rPr>
        <w:t>Additionally,</w:t>
      </w:r>
      <w:r w:rsidR="00BD6A65" w:rsidRPr="000C0597">
        <w:rPr>
          <w:rFonts w:ascii="Arial" w:hAnsi="Arial" w:cs="Arial"/>
          <w:sz w:val="22"/>
          <w:szCs w:val="22"/>
        </w:rPr>
        <w:t xml:space="preserve"> </w:t>
      </w:r>
      <w:r w:rsidR="00386E9A" w:rsidRPr="000C0597">
        <w:rPr>
          <w:rFonts w:ascii="Arial" w:hAnsi="Arial" w:cs="Arial"/>
          <w:sz w:val="22"/>
          <w:szCs w:val="22"/>
        </w:rPr>
        <w:t>environmental factors must be considered in evaluating technologies</w:t>
      </w:r>
      <w:r w:rsidR="008244ED" w:rsidRPr="000C0597">
        <w:rPr>
          <w:rFonts w:ascii="Arial" w:hAnsi="Arial" w:cs="Arial"/>
          <w:sz w:val="22"/>
          <w:szCs w:val="22"/>
        </w:rPr>
        <w:t xml:space="preserve">. </w:t>
      </w:r>
      <w:r w:rsidR="00386E9A" w:rsidRPr="000C0597">
        <w:rPr>
          <w:rFonts w:ascii="Arial" w:hAnsi="Arial" w:cs="Arial"/>
          <w:sz w:val="22"/>
          <w:szCs w:val="22"/>
        </w:rPr>
        <w:t>The environmental legislation and regulations applicable to the operation of utility generation are subject to change over time</w:t>
      </w:r>
      <w:r w:rsidR="008244ED" w:rsidRPr="000C0597">
        <w:rPr>
          <w:rFonts w:ascii="Arial" w:hAnsi="Arial" w:cs="Arial"/>
          <w:sz w:val="22"/>
          <w:szCs w:val="22"/>
        </w:rPr>
        <w:t xml:space="preserve">. </w:t>
      </w:r>
      <w:r w:rsidR="00386E9A" w:rsidRPr="000C0597">
        <w:rPr>
          <w:rFonts w:ascii="Arial" w:hAnsi="Arial" w:cs="Arial"/>
          <w:sz w:val="22"/>
          <w:szCs w:val="22"/>
        </w:rPr>
        <w:t>As a result, the candidate technologies must be selected with present and potential emission compliance issues considered</w:t>
      </w:r>
      <w:r w:rsidR="008244ED" w:rsidRPr="000C0597">
        <w:rPr>
          <w:rFonts w:ascii="Arial" w:hAnsi="Arial" w:cs="Arial"/>
          <w:sz w:val="22"/>
          <w:szCs w:val="22"/>
        </w:rPr>
        <w:t xml:space="preserve">. </w:t>
      </w:r>
      <w:r w:rsidR="00386E9A" w:rsidRPr="000C0597">
        <w:rPr>
          <w:rFonts w:ascii="Arial" w:hAnsi="Arial" w:cs="Arial"/>
          <w:sz w:val="22"/>
          <w:szCs w:val="22"/>
        </w:rPr>
        <w:t>F</w:t>
      </w:r>
      <w:r w:rsidR="00BD6A65" w:rsidRPr="000C0597">
        <w:rPr>
          <w:rFonts w:ascii="Arial" w:hAnsi="Arial" w:cs="Arial"/>
          <w:sz w:val="22"/>
          <w:szCs w:val="22"/>
        </w:rPr>
        <w:t>uture improvements in real cost and operating efficiency associated with anticipated technological advancement of the design and manufacturing process</w:t>
      </w:r>
      <w:r w:rsidR="00E62FFA" w:rsidRPr="000C0597">
        <w:rPr>
          <w:rFonts w:ascii="Arial" w:hAnsi="Arial" w:cs="Arial"/>
          <w:sz w:val="22"/>
          <w:szCs w:val="22"/>
        </w:rPr>
        <w:t xml:space="preserve"> </w:t>
      </w:r>
      <w:r w:rsidRPr="000C0597">
        <w:rPr>
          <w:rFonts w:ascii="Arial" w:hAnsi="Arial" w:cs="Arial"/>
          <w:sz w:val="22"/>
          <w:szCs w:val="22"/>
        </w:rPr>
        <w:t xml:space="preserve">were </w:t>
      </w:r>
      <w:r w:rsidR="00386E9A" w:rsidRPr="000C0597">
        <w:rPr>
          <w:rFonts w:ascii="Arial" w:hAnsi="Arial" w:cs="Arial"/>
          <w:sz w:val="22"/>
          <w:szCs w:val="22"/>
        </w:rPr>
        <w:t xml:space="preserve">also </w:t>
      </w:r>
      <w:r w:rsidRPr="000C0597">
        <w:rPr>
          <w:rFonts w:ascii="Arial" w:hAnsi="Arial" w:cs="Arial"/>
          <w:sz w:val="22"/>
          <w:szCs w:val="22"/>
        </w:rPr>
        <w:t xml:space="preserve">projected (see </w:t>
      </w:r>
      <w:r w:rsidR="00E62FFA" w:rsidRPr="000C0597">
        <w:rPr>
          <w:rFonts w:ascii="Arial" w:hAnsi="Arial" w:cs="Arial"/>
          <w:sz w:val="22"/>
          <w:szCs w:val="22"/>
        </w:rPr>
        <w:t xml:space="preserve">Generation Technology Data Book found in </w:t>
      </w:r>
      <w:r w:rsidRPr="000C0597">
        <w:rPr>
          <w:rFonts w:ascii="Arial" w:hAnsi="Arial" w:cs="Arial"/>
          <w:sz w:val="22"/>
          <w:szCs w:val="22"/>
        </w:rPr>
        <w:t xml:space="preserve">Technical Appendix </w:t>
      </w:r>
      <w:r w:rsidR="00F02E03" w:rsidRPr="000C0597">
        <w:rPr>
          <w:rFonts w:ascii="Arial" w:hAnsi="Arial" w:cs="Arial"/>
          <w:sz w:val="22"/>
          <w:szCs w:val="22"/>
        </w:rPr>
        <w:t xml:space="preserve">Volume </w:t>
      </w:r>
      <w:r w:rsidRPr="000C0597">
        <w:rPr>
          <w:rFonts w:ascii="Arial" w:hAnsi="Arial" w:cs="Arial"/>
          <w:sz w:val="22"/>
          <w:szCs w:val="22"/>
        </w:rPr>
        <w:t>1)</w:t>
      </w:r>
      <w:r w:rsidR="00BD6A65" w:rsidRPr="000C0597">
        <w:rPr>
          <w:rFonts w:ascii="Arial" w:hAnsi="Arial" w:cs="Arial"/>
          <w:sz w:val="22"/>
          <w:szCs w:val="22"/>
        </w:rPr>
        <w:t>.</w:t>
      </w:r>
    </w:p>
    <w:p w14:paraId="0561A729" w14:textId="77777777" w:rsidR="00BD6A65" w:rsidRPr="000C0597" w:rsidRDefault="00BD6A65" w:rsidP="00DB6D6D">
      <w:pPr>
        <w:pStyle w:val="Heading1"/>
        <w:spacing w:line="360" w:lineRule="atLeast"/>
        <w:jc w:val="left"/>
        <w:rPr>
          <w:rFonts w:ascii="Arial" w:hAnsi="Arial" w:cs="Arial"/>
          <w:sz w:val="22"/>
          <w:szCs w:val="22"/>
        </w:rPr>
      </w:pPr>
      <w:bookmarkStart w:id="32" w:name="_Toc305487211"/>
      <w:r w:rsidRPr="000C0597">
        <w:rPr>
          <w:rFonts w:ascii="Arial" w:hAnsi="Arial" w:cs="Arial"/>
          <w:sz w:val="22"/>
          <w:szCs w:val="22"/>
        </w:rPr>
        <w:t>RECOMMENDATION</w:t>
      </w:r>
      <w:bookmarkEnd w:id="32"/>
    </w:p>
    <w:p w14:paraId="0E5679C8" w14:textId="120A3FC3" w:rsidR="00BD6A65" w:rsidRPr="000C0597" w:rsidRDefault="003C300D" w:rsidP="00074AF6">
      <w:pPr>
        <w:spacing w:line="360" w:lineRule="atLeast"/>
        <w:rPr>
          <w:rFonts w:ascii="Arial" w:hAnsi="Arial" w:cs="Arial"/>
          <w:sz w:val="22"/>
          <w:szCs w:val="22"/>
        </w:rPr>
      </w:pPr>
      <w:r w:rsidRPr="000C0597">
        <w:rPr>
          <w:rFonts w:ascii="Arial" w:hAnsi="Arial" w:cs="Arial"/>
          <w:sz w:val="22"/>
          <w:szCs w:val="22"/>
        </w:rPr>
        <w:t>T</w:t>
      </w:r>
      <w:r w:rsidR="00BD6A65" w:rsidRPr="000C0597">
        <w:rPr>
          <w:rFonts w:ascii="Arial" w:hAnsi="Arial" w:cs="Arial"/>
          <w:sz w:val="22"/>
          <w:szCs w:val="22"/>
        </w:rPr>
        <w:t xml:space="preserve">he following </w:t>
      </w:r>
      <w:r w:rsidR="003F20DB" w:rsidRPr="000C0597">
        <w:rPr>
          <w:rFonts w:ascii="Arial" w:hAnsi="Arial" w:cs="Arial"/>
          <w:sz w:val="22"/>
          <w:szCs w:val="22"/>
        </w:rPr>
        <w:t xml:space="preserve">base case </w:t>
      </w:r>
      <w:r w:rsidR="00BD6A65" w:rsidRPr="000C0597">
        <w:rPr>
          <w:rFonts w:ascii="Arial" w:hAnsi="Arial" w:cs="Arial"/>
          <w:sz w:val="22"/>
          <w:szCs w:val="22"/>
        </w:rPr>
        <w:t xml:space="preserve">capacity addition schedule </w:t>
      </w:r>
      <w:r w:rsidRPr="000C0597">
        <w:rPr>
          <w:rFonts w:ascii="Arial" w:hAnsi="Arial" w:cs="Arial"/>
          <w:sz w:val="22"/>
          <w:szCs w:val="22"/>
        </w:rPr>
        <w:t xml:space="preserve">was </w:t>
      </w:r>
      <w:r w:rsidR="00BD6A65" w:rsidRPr="000C0597">
        <w:rPr>
          <w:rFonts w:ascii="Arial" w:hAnsi="Arial" w:cs="Arial"/>
          <w:sz w:val="22"/>
          <w:szCs w:val="22"/>
        </w:rPr>
        <w:t xml:space="preserve">used as </w:t>
      </w:r>
      <w:r w:rsidR="00096B4B" w:rsidRPr="000C0597">
        <w:rPr>
          <w:rFonts w:ascii="Arial" w:hAnsi="Arial" w:cs="Arial"/>
          <w:sz w:val="22"/>
          <w:szCs w:val="22"/>
        </w:rPr>
        <w:t xml:space="preserve">an </w:t>
      </w:r>
      <w:r w:rsidR="00BD6A65" w:rsidRPr="000C0597">
        <w:rPr>
          <w:rFonts w:ascii="Arial" w:hAnsi="Arial" w:cs="Arial"/>
          <w:sz w:val="22"/>
          <w:szCs w:val="22"/>
        </w:rPr>
        <w:t xml:space="preserve">input to the </w:t>
      </w:r>
      <w:r w:rsidR="009201F7" w:rsidRPr="000C0597">
        <w:rPr>
          <w:rFonts w:ascii="Arial" w:hAnsi="Arial" w:cs="Arial"/>
          <w:sz w:val="22"/>
          <w:szCs w:val="22"/>
        </w:rPr>
        <w:t xml:space="preserve">integrated resource planning </w:t>
      </w:r>
      <w:r w:rsidR="00BD6A65" w:rsidRPr="000C0597">
        <w:rPr>
          <w:rFonts w:ascii="Arial" w:hAnsi="Arial" w:cs="Arial"/>
          <w:sz w:val="22"/>
          <w:szCs w:val="22"/>
        </w:rPr>
        <w:t xml:space="preserve">process for the </w:t>
      </w:r>
      <w:r w:rsidR="002448EC" w:rsidRPr="000C0597">
        <w:rPr>
          <w:rFonts w:ascii="Arial" w:hAnsi="Arial" w:cs="Arial"/>
          <w:sz w:val="22"/>
          <w:szCs w:val="22"/>
        </w:rPr>
        <w:t>Retail OpCos</w:t>
      </w:r>
      <w:r w:rsidR="008244ED" w:rsidRPr="000C0597">
        <w:rPr>
          <w:rFonts w:ascii="Arial" w:hAnsi="Arial" w:cs="Arial"/>
          <w:sz w:val="22"/>
          <w:szCs w:val="22"/>
        </w:rPr>
        <w:t>.</w:t>
      </w:r>
      <w:r w:rsidR="002571D6" w:rsidRPr="000C0597">
        <w:rPr>
          <w:rFonts w:ascii="Arial" w:hAnsi="Arial" w:cs="Arial"/>
          <w:sz w:val="22"/>
          <w:szCs w:val="22"/>
        </w:rPr>
        <w:t xml:space="preserve"> The base case scenario reflects the moderate gas, </w:t>
      </w:r>
      <w:r w:rsidR="00190844" w:rsidRPr="000C0597">
        <w:rPr>
          <w:rFonts w:ascii="Arial" w:hAnsi="Arial" w:cs="Arial"/>
          <w:sz w:val="22"/>
          <w:szCs w:val="22"/>
        </w:rPr>
        <w:t>zero-dollar</w:t>
      </w:r>
      <w:r w:rsidR="002571D6" w:rsidRPr="000C0597">
        <w:rPr>
          <w:rFonts w:ascii="Arial" w:hAnsi="Arial" w:cs="Arial"/>
          <w:sz w:val="22"/>
          <w:szCs w:val="22"/>
        </w:rPr>
        <w:t xml:space="preserve"> carbon (“MG0”) scenario.</w:t>
      </w:r>
      <w:r w:rsidR="008244ED" w:rsidRPr="000C0597">
        <w:rPr>
          <w:rFonts w:ascii="Arial" w:hAnsi="Arial" w:cs="Arial"/>
          <w:sz w:val="22"/>
          <w:szCs w:val="22"/>
        </w:rPr>
        <w:t xml:space="preserve"> </w:t>
      </w:r>
      <w:r w:rsidR="0079201E" w:rsidRPr="000C0597">
        <w:rPr>
          <w:rFonts w:ascii="Arial" w:hAnsi="Arial" w:cs="Arial"/>
          <w:sz w:val="22"/>
          <w:szCs w:val="22"/>
        </w:rPr>
        <w:t>Table 6</w:t>
      </w:r>
      <w:r w:rsidR="00BD6A65" w:rsidRPr="000C0597">
        <w:rPr>
          <w:rFonts w:ascii="Arial" w:hAnsi="Arial" w:cs="Arial"/>
          <w:sz w:val="22"/>
          <w:szCs w:val="22"/>
        </w:rPr>
        <w:t xml:space="preserve"> below shows the recommended </w:t>
      </w:r>
      <w:r w:rsidR="002571D6" w:rsidRPr="000C0597">
        <w:rPr>
          <w:rFonts w:ascii="Arial" w:hAnsi="Arial" w:cs="Arial"/>
          <w:sz w:val="22"/>
          <w:szCs w:val="22"/>
        </w:rPr>
        <w:t xml:space="preserve">summer </w:t>
      </w:r>
      <w:r w:rsidR="00BD6A65" w:rsidRPr="000C0597">
        <w:rPr>
          <w:rFonts w:ascii="Arial" w:hAnsi="Arial" w:cs="Arial"/>
          <w:sz w:val="22"/>
          <w:szCs w:val="22"/>
        </w:rPr>
        <w:t xml:space="preserve">capacity addition schedule </w:t>
      </w:r>
      <w:r w:rsidR="002448EC" w:rsidRPr="000C0597">
        <w:rPr>
          <w:rFonts w:ascii="Arial" w:hAnsi="Arial" w:cs="Arial"/>
          <w:sz w:val="22"/>
          <w:szCs w:val="22"/>
        </w:rPr>
        <w:t xml:space="preserve">for generic expansion units </w:t>
      </w:r>
      <w:r w:rsidR="00BD6A65" w:rsidRPr="000C0597">
        <w:rPr>
          <w:rFonts w:ascii="Arial" w:hAnsi="Arial" w:cs="Arial"/>
          <w:sz w:val="22"/>
          <w:szCs w:val="22"/>
        </w:rPr>
        <w:t>based on 300 MW capacity block sizes</w:t>
      </w:r>
      <w:r w:rsidR="008244ED" w:rsidRPr="000C0597">
        <w:rPr>
          <w:rFonts w:ascii="Arial" w:hAnsi="Arial" w:cs="Arial"/>
          <w:sz w:val="22"/>
          <w:szCs w:val="22"/>
        </w:rPr>
        <w:t xml:space="preserve">. </w:t>
      </w:r>
      <w:r w:rsidR="00E11485" w:rsidRPr="000C0597">
        <w:rPr>
          <w:rFonts w:ascii="Arial" w:hAnsi="Arial" w:cs="Arial"/>
          <w:sz w:val="22"/>
          <w:szCs w:val="22"/>
        </w:rPr>
        <w:t>The base case includes</w:t>
      </w:r>
      <w:r w:rsidR="002D3743" w:rsidRPr="000C0597">
        <w:rPr>
          <w:rFonts w:ascii="Arial" w:hAnsi="Arial" w:cs="Arial"/>
          <w:sz w:val="22"/>
          <w:szCs w:val="22"/>
        </w:rPr>
        <w:t xml:space="preserve"> the proposed </w:t>
      </w:r>
      <w:r w:rsidR="00B618F7" w:rsidRPr="000C0597">
        <w:rPr>
          <w:rFonts w:ascii="Arial" w:hAnsi="Arial" w:cs="Arial"/>
          <w:sz w:val="22"/>
          <w:szCs w:val="22"/>
        </w:rPr>
        <w:t>1,000</w:t>
      </w:r>
      <w:r w:rsidR="002571D6" w:rsidRPr="000C0597">
        <w:rPr>
          <w:rFonts w:ascii="Arial" w:hAnsi="Arial" w:cs="Arial"/>
          <w:sz w:val="22"/>
          <w:szCs w:val="22"/>
        </w:rPr>
        <w:t xml:space="preserve"> </w:t>
      </w:r>
      <w:r w:rsidR="002D3743" w:rsidRPr="000C0597">
        <w:rPr>
          <w:rFonts w:ascii="Arial" w:hAnsi="Arial" w:cs="Arial"/>
          <w:sz w:val="22"/>
          <w:szCs w:val="22"/>
        </w:rPr>
        <w:t xml:space="preserve">MW of </w:t>
      </w:r>
      <w:r w:rsidR="002571D6" w:rsidRPr="000C0597">
        <w:rPr>
          <w:rFonts w:ascii="Arial" w:hAnsi="Arial" w:cs="Arial"/>
          <w:sz w:val="22"/>
          <w:szCs w:val="22"/>
        </w:rPr>
        <w:t xml:space="preserve">new </w:t>
      </w:r>
      <w:r w:rsidR="002D3743" w:rsidRPr="000C0597">
        <w:rPr>
          <w:rFonts w:ascii="Arial" w:hAnsi="Arial" w:cs="Arial"/>
          <w:sz w:val="22"/>
          <w:szCs w:val="22"/>
        </w:rPr>
        <w:t>renewable resources and thus</w:t>
      </w:r>
      <w:r w:rsidR="00E11485" w:rsidRPr="000C0597">
        <w:rPr>
          <w:rFonts w:ascii="Arial" w:hAnsi="Arial" w:cs="Arial"/>
          <w:sz w:val="22"/>
          <w:szCs w:val="22"/>
        </w:rPr>
        <w:t xml:space="preserve"> the projected generic capacities below are evaluated after the addition of </w:t>
      </w:r>
      <w:r w:rsidR="002D3743" w:rsidRPr="000C0597">
        <w:rPr>
          <w:rFonts w:ascii="Arial" w:hAnsi="Arial" w:cs="Arial"/>
          <w:sz w:val="22"/>
          <w:szCs w:val="22"/>
        </w:rPr>
        <w:t>such renewable resources</w:t>
      </w:r>
      <w:r w:rsidR="00E11485" w:rsidRPr="000C0597">
        <w:rPr>
          <w:rFonts w:ascii="Arial" w:hAnsi="Arial" w:cs="Arial"/>
          <w:sz w:val="22"/>
          <w:szCs w:val="22"/>
        </w:rPr>
        <w:t>.</w:t>
      </w:r>
    </w:p>
    <w:p w14:paraId="268AB5BD" w14:textId="34985307" w:rsidR="00BD6A65" w:rsidRPr="000675A8" w:rsidRDefault="009A57D9" w:rsidP="00AE5224">
      <w:pPr>
        <w:pStyle w:val="TableHead"/>
        <w:numPr>
          <w:ilvl w:val="0"/>
          <w:numId w:val="3"/>
        </w:numPr>
        <w:spacing w:line="360" w:lineRule="atLeast"/>
        <w:rPr>
          <w:rFonts w:ascii="Arial" w:hAnsi="Arial" w:cs="Arial"/>
        </w:rPr>
      </w:pPr>
      <w:r w:rsidRPr="000C0597">
        <w:rPr>
          <w:rFonts w:ascii="Arial" w:hAnsi="Arial" w:cs="Arial"/>
          <w:sz w:val="22"/>
          <w:szCs w:val="22"/>
        </w:rPr>
        <w:t>The Base Case</w:t>
      </w:r>
      <w:r w:rsidR="006E51AA" w:rsidRPr="000C0597">
        <w:rPr>
          <w:rFonts w:ascii="Arial" w:hAnsi="Arial" w:cs="Arial"/>
          <w:sz w:val="22"/>
          <w:szCs w:val="22"/>
        </w:rPr>
        <w:t xml:space="preserve"> (Summe</w:t>
      </w:r>
      <w:r w:rsidR="00B2117B" w:rsidRPr="000C0597">
        <w:rPr>
          <w:rFonts w:ascii="Arial" w:hAnsi="Arial" w:cs="Arial"/>
          <w:sz w:val="22"/>
          <w:szCs w:val="22"/>
        </w:rPr>
        <w:t>r)</w:t>
      </w:r>
      <w:r w:rsidR="00AE5224" w:rsidRPr="00AE5224">
        <w:rPr>
          <w:rFonts w:ascii="Arial" w:hAnsi="Arial" w:cs="Arial"/>
          <w:sz w:val="22"/>
          <w:szCs w:val="22"/>
        </w:rPr>
        <w:t xml:space="preserve"> </w:t>
      </w:r>
      <w:r w:rsidR="00AE5224" w:rsidRPr="00AE5224">
        <w:rPr>
          <w:noProof/>
        </w:rPr>
        <w:drawing>
          <wp:inline distT="0" distB="0" distL="0" distR="0" wp14:anchorId="312F08EF" wp14:editId="66BE9200">
            <wp:extent cx="5943600" cy="5852160"/>
            <wp:effectExtent l="0" t="0" r="0"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852160"/>
                    </a:xfrm>
                    <a:prstGeom prst="rect">
                      <a:avLst/>
                    </a:prstGeom>
                    <a:noFill/>
                    <a:ln>
                      <a:noFill/>
                    </a:ln>
                  </pic:spPr>
                </pic:pic>
              </a:graphicData>
            </a:graphic>
          </wp:inline>
        </w:drawing>
      </w:r>
    </w:p>
    <w:p w14:paraId="56C51906" w14:textId="7125C1F9" w:rsidR="00BD6A65" w:rsidRPr="000C0597" w:rsidRDefault="00BD6A65" w:rsidP="00243513">
      <w:pPr>
        <w:spacing w:line="360" w:lineRule="atLeast"/>
        <w:rPr>
          <w:rFonts w:ascii="Arial" w:hAnsi="Arial" w:cs="Arial"/>
          <w:sz w:val="22"/>
        </w:rPr>
      </w:pPr>
      <w:r w:rsidRPr="000C0597">
        <w:rPr>
          <w:rFonts w:ascii="Arial" w:hAnsi="Arial" w:cs="Arial"/>
          <w:sz w:val="22"/>
        </w:rPr>
        <w:t xml:space="preserve">This schedule represents the lowest cost sequence of generic generation additions to the </w:t>
      </w:r>
      <w:r w:rsidR="002448EC" w:rsidRPr="000C0597">
        <w:rPr>
          <w:rFonts w:ascii="Arial" w:hAnsi="Arial" w:cs="Arial"/>
          <w:sz w:val="22"/>
        </w:rPr>
        <w:t>combined Retail OpCos</w:t>
      </w:r>
      <w:r w:rsidR="003F20DB" w:rsidRPr="000C0597">
        <w:rPr>
          <w:rFonts w:ascii="Arial" w:hAnsi="Arial" w:cs="Arial"/>
          <w:sz w:val="22"/>
        </w:rPr>
        <w:t xml:space="preserve"> </w:t>
      </w:r>
      <w:r w:rsidR="00E732A5" w:rsidRPr="000C0597">
        <w:rPr>
          <w:rFonts w:ascii="Arial" w:hAnsi="Arial" w:cs="Arial"/>
          <w:sz w:val="22"/>
        </w:rPr>
        <w:t xml:space="preserve">when </w:t>
      </w:r>
      <w:r w:rsidR="003F20DB" w:rsidRPr="000C0597">
        <w:rPr>
          <w:rFonts w:ascii="Arial" w:hAnsi="Arial" w:cs="Arial"/>
          <w:sz w:val="22"/>
        </w:rPr>
        <w:t>utilizing the base case assumptions</w:t>
      </w:r>
      <w:r w:rsidR="008244ED" w:rsidRPr="000C0597">
        <w:rPr>
          <w:rFonts w:ascii="Arial" w:hAnsi="Arial" w:cs="Arial"/>
          <w:sz w:val="22"/>
        </w:rPr>
        <w:t xml:space="preserve">. </w:t>
      </w:r>
      <w:r w:rsidRPr="000C0597">
        <w:rPr>
          <w:rFonts w:ascii="Arial" w:hAnsi="Arial" w:cs="Arial"/>
          <w:sz w:val="22"/>
        </w:rPr>
        <w:t xml:space="preserve">This schedule is the result of optimizing generation requirements based upon a minimum reserve margin, the </w:t>
      </w:r>
      <w:r w:rsidR="00781C11" w:rsidRPr="000C0597">
        <w:rPr>
          <w:rFonts w:ascii="Arial" w:hAnsi="Arial" w:cs="Arial"/>
          <w:sz w:val="22"/>
        </w:rPr>
        <w:t xml:space="preserve">base case </w:t>
      </w:r>
      <w:r w:rsidRPr="000C0597">
        <w:rPr>
          <w:rFonts w:ascii="Arial" w:hAnsi="Arial" w:cs="Arial"/>
          <w:sz w:val="22"/>
        </w:rPr>
        <w:t>load forecast, DSOs</w:t>
      </w:r>
      <w:r w:rsidR="00B56171" w:rsidRPr="000C0597">
        <w:rPr>
          <w:rFonts w:ascii="Arial" w:hAnsi="Arial" w:cs="Arial"/>
          <w:sz w:val="22"/>
        </w:rPr>
        <w:t xml:space="preserve">, </w:t>
      </w:r>
      <w:r w:rsidRPr="000C0597">
        <w:rPr>
          <w:rFonts w:ascii="Arial" w:hAnsi="Arial" w:cs="Arial"/>
          <w:sz w:val="22"/>
        </w:rPr>
        <w:t>and generation capital costs</w:t>
      </w:r>
      <w:r w:rsidR="008244ED" w:rsidRPr="000C0597">
        <w:rPr>
          <w:rFonts w:ascii="Arial" w:hAnsi="Arial" w:cs="Arial"/>
          <w:sz w:val="22"/>
        </w:rPr>
        <w:t xml:space="preserve">. </w:t>
      </w:r>
      <w:r w:rsidRPr="000C0597">
        <w:rPr>
          <w:rFonts w:ascii="Arial" w:hAnsi="Arial" w:cs="Arial"/>
          <w:sz w:val="22"/>
        </w:rPr>
        <w:t xml:space="preserve">Currently, the </w:t>
      </w:r>
      <w:r w:rsidR="00FF5CC6" w:rsidRPr="000C0597">
        <w:rPr>
          <w:rFonts w:ascii="Arial" w:hAnsi="Arial" w:cs="Arial"/>
          <w:sz w:val="22"/>
        </w:rPr>
        <w:t xml:space="preserve">planning </w:t>
      </w:r>
      <w:r w:rsidR="002571D6" w:rsidRPr="000C0597">
        <w:rPr>
          <w:rFonts w:ascii="Arial" w:hAnsi="Arial" w:cs="Arial"/>
          <w:sz w:val="22"/>
        </w:rPr>
        <w:t xml:space="preserve">Summer Target Reserve </w:t>
      </w:r>
      <w:r w:rsidR="007A2047" w:rsidRPr="000C0597">
        <w:rPr>
          <w:rFonts w:ascii="Arial" w:hAnsi="Arial" w:cs="Arial"/>
          <w:sz w:val="22"/>
        </w:rPr>
        <w:t>Margin is</w:t>
      </w:r>
      <w:r w:rsidRPr="000C0597">
        <w:rPr>
          <w:rFonts w:ascii="Arial" w:hAnsi="Arial" w:cs="Arial"/>
          <w:sz w:val="22"/>
        </w:rPr>
        <w:t xml:space="preserve"> </w:t>
      </w:r>
      <w:r w:rsidR="006E51AA" w:rsidRPr="000C0597">
        <w:rPr>
          <w:rFonts w:ascii="Arial" w:hAnsi="Arial" w:cs="Arial"/>
          <w:sz w:val="22"/>
        </w:rPr>
        <w:t>16.25</w:t>
      </w:r>
      <w:r w:rsidRPr="000C0597">
        <w:rPr>
          <w:rFonts w:ascii="Arial" w:hAnsi="Arial" w:cs="Arial"/>
          <w:sz w:val="22"/>
        </w:rPr>
        <w:t>%</w:t>
      </w:r>
      <w:r w:rsidR="006E51AA" w:rsidRPr="000C0597">
        <w:rPr>
          <w:rFonts w:ascii="Arial" w:hAnsi="Arial" w:cs="Arial"/>
          <w:sz w:val="22"/>
        </w:rPr>
        <w:t xml:space="preserve"> and the proposed </w:t>
      </w:r>
      <w:r w:rsidR="00190844" w:rsidRPr="000C0597">
        <w:rPr>
          <w:rFonts w:ascii="Arial" w:hAnsi="Arial" w:cs="Arial"/>
          <w:sz w:val="22"/>
        </w:rPr>
        <w:t>Winter Target Reserve Margin</w:t>
      </w:r>
      <w:r w:rsidR="006E51AA" w:rsidRPr="000C0597">
        <w:rPr>
          <w:rFonts w:ascii="Arial" w:hAnsi="Arial" w:cs="Arial"/>
          <w:sz w:val="22"/>
        </w:rPr>
        <w:t xml:space="preserve"> is 26%</w:t>
      </w:r>
      <w:r w:rsidRPr="000C0597">
        <w:rPr>
          <w:rFonts w:ascii="Arial" w:hAnsi="Arial" w:cs="Arial"/>
          <w:sz w:val="22"/>
        </w:rPr>
        <w:t>.</w:t>
      </w:r>
      <w:r w:rsidR="00190844" w:rsidRPr="000C0597">
        <w:rPr>
          <w:rFonts w:ascii="Arial" w:hAnsi="Arial" w:cs="Arial"/>
          <w:sz w:val="22"/>
        </w:rPr>
        <w:t xml:space="preserve"> Table 7 below shows the recommended winter capacity addition schedule for generic expansion units</w:t>
      </w:r>
      <w:r w:rsidR="00FC0080" w:rsidRPr="000C0597">
        <w:rPr>
          <w:rFonts w:ascii="Arial" w:hAnsi="Arial" w:cs="Arial"/>
          <w:sz w:val="22"/>
        </w:rPr>
        <w:t>.</w:t>
      </w:r>
    </w:p>
    <w:p w14:paraId="291134CF" w14:textId="398542EA" w:rsidR="006E51AA" w:rsidRPr="000675A8" w:rsidRDefault="00BC6D28" w:rsidP="00AE5224">
      <w:pPr>
        <w:pStyle w:val="TableHead"/>
        <w:numPr>
          <w:ilvl w:val="0"/>
          <w:numId w:val="3"/>
        </w:numPr>
        <w:spacing w:line="360" w:lineRule="atLeast"/>
        <w:rPr>
          <w:rFonts w:ascii="Arial" w:hAnsi="Arial" w:cs="Arial"/>
        </w:rPr>
      </w:pPr>
      <w:r w:rsidRPr="000C0597">
        <w:rPr>
          <w:rFonts w:ascii="Arial" w:hAnsi="Arial" w:cs="Arial"/>
          <w:sz w:val="22"/>
        </w:rPr>
        <w:t>Recommended Winter Case</w:t>
      </w:r>
      <w:r w:rsidR="00AE5224" w:rsidRPr="00AE5224">
        <w:rPr>
          <w:rFonts w:ascii="Arial" w:hAnsi="Arial" w:cs="Arial"/>
          <w:sz w:val="22"/>
        </w:rPr>
        <w:t xml:space="preserve"> </w:t>
      </w:r>
      <w:r w:rsidR="00AE5224" w:rsidRPr="00AE5224">
        <w:rPr>
          <w:noProof/>
        </w:rPr>
        <w:drawing>
          <wp:inline distT="0" distB="0" distL="0" distR="0" wp14:anchorId="2FAA4086" wp14:editId="1108BBDE">
            <wp:extent cx="5943600" cy="58496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849610"/>
                    </a:xfrm>
                    <a:prstGeom prst="rect">
                      <a:avLst/>
                    </a:prstGeom>
                    <a:noFill/>
                    <a:ln>
                      <a:noFill/>
                    </a:ln>
                  </pic:spPr>
                </pic:pic>
              </a:graphicData>
            </a:graphic>
          </wp:inline>
        </w:drawing>
      </w:r>
    </w:p>
    <w:p w14:paraId="442DA125" w14:textId="77777777" w:rsidR="006E51AA" w:rsidRPr="000C0597" w:rsidRDefault="006E51AA" w:rsidP="00243513">
      <w:pPr>
        <w:spacing w:line="360" w:lineRule="atLeast"/>
        <w:rPr>
          <w:rFonts w:ascii="Arial" w:hAnsi="Arial" w:cs="Arial"/>
          <w:sz w:val="22"/>
        </w:rPr>
      </w:pPr>
    </w:p>
    <w:p w14:paraId="46FDF8C1" w14:textId="71D3E36D" w:rsidR="00AC5B5F" w:rsidRPr="000C0597" w:rsidRDefault="00BD6A65" w:rsidP="006D78D2">
      <w:pPr>
        <w:keepLines/>
        <w:spacing w:line="360" w:lineRule="atLeast"/>
        <w:rPr>
          <w:rFonts w:ascii="Arial" w:hAnsi="Arial" w:cs="Arial"/>
          <w:sz w:val="22"/>
        </w:rPr>
      </w:pPr>
      <w:r w:rsidRPr="000C0597">
        <w:rPr>
          <w:rFonts w:ascii="Arial" w:hAnsi="Arial" w:cs="Arial"/>
          <w:sz w:val="22"/>
        </w:rPr>
        <w:t>The conclusion of this study, based upon the results of the base case</w:t>
      </w:r>
      <w:r w:rsidR="004D461D" w:rsidRPr="000C0597">
        <w:rPr>
          <w:rFonts w:ascii="Arial" w:hAnsi="Arial" w:cs="Arial"/>
          <w:sz w:val="22"/>
        </w:rPr>
        <w:t>,</w:t>
      </w:r>
      <w:r w:rsidRPr="000C0597">
        <w:rPr>
          <w:rFonts w:ascii="Arial" w:hAnsi="Arial" w:cs="Arial"/>
          <w:sz w:val="22"/>
        </w:rPr>
        <w:t xml:space="preserve"> sensitivities</w:t>
      </w:r>
      <w:r w:rsidR="00665065">
        <w:rPr>
          <w:rFonts w:ascii="Arial" w:hAnsi="Arial" w:cs="Arial"/>
          <w:sz w:val="22"/>
        </w:rPr>
        <w:t>,</w:t>
      </w:r>
      <w:r w:rsidR="004D461D" w:rsidRPr="000C0597">
        <w:rPr>
          <w:rFonts w:ascii="Arial" w:hAnsi="Arial" w:cs="Arial"/>
          <w:sz w:val="22"/>
        </w:rPr>
        <w:t xml:space="preserve"> and </w:t>
      </w:r>
      <w:r w:rsidR="00FF1488" w:rsidRPr="000C0597">
        <w:rPr>
          <w:rFonts w:ascii="Arial" w:hAnsi="Arial" w:cs="Arial"/>
          <w:sz w:val="22"/>
        </w:rPr>
        <w:t xml:space="preserve">planning scenario case </w:t>
      </w:r>
      <w:r w:rsidR="004D461D" w:rsidRPr="000C0597">
        <w:rPr>
          <w:rFonts w:ascii="Arial" w:hAnsi="Arial" w:cs="Arial"/>
          <w:sz w:val="22"/>
        </w:rPr>
        <w:t>analyses</w:t>
      </w:r>
      <w:r w:rsidRPr="000C0597">
        <w:rPr>
          <w:rFonts w:ascii="Arial" w:hAnsi="Arial" w:cs="Arial"/>
          <w:sz w:val="22"/>
        </w:rPr>
        <w:t xml:space="preserve">, </w:t>
      </w:r>
      <w:r w:rsidR="00FF5CC6" w:rsidRPr="000C0597">
        <w:rPr>
          <w:rFonts w:ascii="Arial" w:hAnsi="Arial" w:cs="Arial"/>
          <w:sz w:val="22"/>
        </w:rPr>
        <w:t>i</w:t>
      </w:r>
      <w:r w:rsidRPr="000C0597">
        <w:rPr>
          <w:rFonts w:ascii="Arial" w:hAnsi="Arial" w:cs="Arial"/>
          <w:sz w:val="22"/>
        </w:rPr>
        <w:t>s that additional generation capacity requirements will likely be satisfied with a mixture of combustion turbine</w:t>
      </w:r>
      <w:r w:rsidR="00B56171" w:rsidRPr="000C0597">
        <w:rPr>
          <w:rFonts w:ascii="Arial" w:hAnsi="Arial" w:cs="Arial"/>
          <w:sz w:val="22"/>
        </w:rPr>
        <w:t xml:space="preserve">, </w:t>
      </w:r>
      <w:r w:rsidR="000D3F21" w:rsidRPr="000C0597">
        <w:rPr>
          <w:rFonts w:ascii="Arial" w:hAnsi="Arial" w:cs="Arial"/>
          <w:sz w:val="22"/>
        </w:rPr>
        <w:t xml:space="preserve">combustion turbine with SCR, </w:t>
      </w:r>
      <w:r w:rsidRPr="000C0597">
        <w:rPr>
          <w:rFonts w:ascii="Arial" w:hAnsi="Arial" w:cs="Arial"/>
          <w:sz w:val="22"/>
        </w:rPr>
        <w:t>combined cycle</w:t>
      </w:r>
      <w:r w:rsidR="00B56171" w:rsidRPr="000C0597">
        <w:rPr>
          <w:rFonts w:ascii="Arial" w:hAnsi="Arial" w:cs="Arial"/>
          <w:sz w:val="22"/>
        </w:rPr>
        <w:t xml:space="preserve">, </w:t>
      </w:r>
      <w:r w:rsidR="00C84002" w:rsidRPr="000C0597">
        <w:rPr>
          <w:rFonts w:ascii="Arial" w:hAnsi="Arial" w:cs="Arial"/>
          <w:sz w:val="22"/>
        </w:rPr>
        <w:t>combined cycle with CC</w:t>
      </w:r>
      <w:r w:rsidR="00D5512D" w:rsidRPr="000C0597">
        <w:rPr>
          <w:rFonts w:ascii="Arial" w:hAnsi="Arial" w:cs="Arial"/>
          <w:sz w:val="22"/>
        </w:rPr>
        <w:t>C</w:t>
      </w:r>
      <w:r w:rsidR="00344561" w:rsidRPr="000C0597">
        <w:rPr>
          <w:rFonts w:ascii="Arial" w:hAnsi="Arial" w:cs="Arial"/>
          <w:sz w:val="22"/>
        </w:rPr>
        <w:t xml:space="preserve">, </w:t>
      </w:r>
      <w:r w:rsidR="00552A72" w:rsidRPr="000C0597">
        <w:rPr>
          <w:rFonts w:ascii="Arial" w:hAnsi="Arial" w:cs="Arial"/>
          <w:sz w:val="22"/>
        </w:rPr>
        <w:t>or purchases</w:t>
      </w:r>
      <w:r w:rsidR="008244ED" w:rsidRPr="000C0597">
        <w:rPr>
          <w:rFonts w:ascii="Arial" w:hAnsi="Arial" w:cs="Arial"/>
          <w:sz w:val="22"/>
        </w:rPr>
        <w:t xml:space="preserve">. </w:t>
      </w:r>
      <w:r w:rsidR="00F13468" w:rsidRPr="000C0597">
        <w:rPr>
          <w:rFonts w:ascii="Arial" w:hAnsi="Arial" w:cs="Arial"/>
          <w:sz w:val="22"/>
        </w:rPr>
        <w:t>At the appropriate time, actual resource selection will occur in accordance with the Commission’s RFP rules.</w:t>
      </w:r>
      <w:r w:rsidR="00344561" w:rsidRPr="000C0597">
        <w:rPr>
          <w:rFonts w:ascii="Arial" w:hAnsi="Arial" w:cs="Arial"/>
          <w:sz w:val="18"/>
        </w:rPr>
        <w:t xml:space="preserve"> </w:t>
      </w:r>
    </w:p>
    <w:p w14:paraId="183CCF0B" w14:textId="77777777" w:rsidR="00BD6A65" w:rsidRPr="000C0597" w:rsidRDefault="00BD6A65" w:rsidP="00AC5B5F">
      <w:pPr>
        <w:jc w:val="center"/>
        <w:rPr>
          <w:rFonts w:ascii="Arial" w:hAnsi="Arial" w:cs="Arial"/>
          <w:sz w:val="22"/>
        </w:rPr>
      </w:pPr>
    </w:p>
    <w:p w14:paraId="6FDFA50C" w14:textId="0B56E23C" w:rsidR="00BD6A65" w:rsidRPr="000C0597" w:rsidRDefault="00190844" w:rsidP="007A2047">
      <w:pPr>
        <w:pStyle w:val="Heading1"/>
        <w:spacing w:line="360" w:lineRule="atLeast"/>
        <w:jc w:val="left"/>
        <w:rPr>
          <w:rFonts w:ascii="Arial" w:hAnsi="Arial" w:cs="Arial"/>
          <w:sz w:val="22"/>
        </w:rPr>
      </w:pPr>
      <w:bookmarkStart w:id="33" w:name="_Toc305487213"/>
      <w:r w:rsidRPr="000C0597">
        <w:rPr>
          <w:rFonts w:ascii="Arial" w:hAnsi="Arial" w:cs="Arial"/>
          <w:sz w:val="22"/>
        </w:rPr>
        <w:t xml:space="preserve">SENSITIVITY ANALYSIS AND </w:t>
      </w:r>
      <w:r w:rsidR="00BD6A65" w:rsidRPr="000C0597">
        <w:rPr>
          <w:rFonts w:ascii="Arial" w:hAnsi="Arial" w:cs="Arial"/>
          <w:sz w:val="22"/>
        </w:rPr>
        <w:t>DISCUSSION OF RESULTS</w:t>
      </w:r>
      <w:bookmarkEnd w:id="33"/>
    </w:p>
    <w:p w14:paraId="71CBA535" w14:textId="77777777" w:rsidR="00BD6A65" w:rsidRPr="000C0597" w:rsidRDefault="00522ADC" w:rsidP="00DB442E">
      <w:pPr>
        <w:pStyle w:val="Heading2"/>
        <w:spacing w:line="360" w:lineRule="atLeast"/>
        <w:ind w:hanging="1026"/>
        <w:rPr>
          <w:rFonts w:ascii="Arial" w:hAnsi="Arial" w:cs="Arial"/>
          <w:sz w:val="22"/>
        </w:rPr>
      </w:pPr>
      <w:bookmarkStart w:id="34" w:name="_Toc305487214"/>
      <w:r w:rsidRPr="000C0597">
        <w:rPr>
          <w:rFonts w:ascii="Arial" w:hAnsi="Arial" w:cs="Arial"/>
          <w:sz w:val="22"/>
        </w:rPr>
        <w:t>THE REFERENCE CASE</w:t>
      </w:r>
      <w:bookmarkEnd w:id="34"/>
    </w:p>
    <w:p w14:paraId="2C8DD92B" w14:textId="77777777" w:rsidR="00BD6A65" w:rsidRPr="000C0597" w:rsidRDefault="00BD6A65" w:rsidP="00243513">
      <w:pPr>
        <w:spacing w:line="360" w:lineRule="atLeast"/>
        <w:rPr>
          <w:rFonts w:ascii="Arial" w:hAnsi="Arial" w:cs="Arial"/>
          <w:sz w:val="22"/>
        </w:rPr>
      </w:pPr>
    </w:p>
    <w:p w14:paraId="58D10449" w14:textId="28A9A71F" w:rsidR="00BD6A65" w:rsidRDefault="00917992" w:rsidP="00120362">
      <w:pPr>
        <w:spacing w:line="360" w:lineRule="exact"/>
        <w:rPr>
          <w:rFonts w:ascii="Arial" w:hAnsi="Arial" w:cs="Arial"/>
          <w:sz w:val="22"/>
        </w:rPr>
      </w:pPr>
      <w:r w:rsidRPr="000C0597">
        <w:rPr>
          <w:rFonts w:ascii="Arial" w:hAnsi="Arial" w:cs="Arial"/>
          <w:sz w:val="22"/>
        </w:rPr>
        <w:t xml:space="preserve">For the </w:t>
      </w:r>
      <w:r w:rsidR="000744E8" w:rsidRPr="000C0597">
        <w:rPr>
          <w:rFonts w:ascii="Arial" w:hAnsi="Arial" w:cs="Arial"/>
          <w:sz w:val="22"/>
        </w:rPr>
        <w:t>201</w:t>
      </w:r>
      <w:r w:rsidR="0090475F" w:rsidRPr="000C0597">
        <w:rPr>
          <w:rFonts w:ascii="Arial" w:hAnsi="Arial" w:cs="Arial"/>
          <w:sz w:val="22"/>
        </w:rPr>
        <w:t>9</w:t>
      </w:r>
      <w:r w:rsidR="001D02F3" w:rsidRPr="000C0597">
        <w:rPr>
          <w:rFonts w:ascii="Arial" w:hAnsi="Arial" w:cs="Arial"/>
          <w:sz w:val="22"/>
        </w:rPr>
        <w:t xml:space="preserve"> </w:t>
      </w:r>
      <w:r w:rsidRPr="000C0597">
        <w:rPr>
          <w:rFonts w:ascii="Arial" w:hAnsi="Arial" w:cs="Arial"/>
          <w:sz w:val="22"/>
        </w:rPr>
        <w:t xml:space="preserve">IRP, </w:t>
      </w:r>
      <w:r w:rsidR="00402704" w:rsidRPr="000C0597">
        <w:rPr>
          <w:rFonts w:ascii="Arial" w:hAnsi="Arial" w:cs="Arial"/>
          <w:sz w:val="22"/>
        </w:rPr>
        <w:t>the reference case</w:t>
      </w:r>
      <w:r w:rsidR="00BC6D28" w:rsidRPr="000C0597">
        <w:rPr>
          <w:rFonts w:ascii="Arial" w:hAnsi="Arial" w:cs="Arial"/>
          <w:sz w:val="22"/>
        </w:rPr>
        <w:t xml:space="preserve"> is based on the approved 16.25% Summer Target Reserve Margin </w:t>
      </w:r>
      <w:r w:rsidR="00190844" w:rsidRPr="000C0597">
        <w:rPr>
          <w:rFonts w:ascii="Arial" w:hAnsi="Arial" w:cs="Arial"/>
          <w:sz w:val="22"/>
        </w:rPr>
        <w:t xml:space="preserve">for the MG0 scenario </w:t>
      </w:r>
      <w:r w:rsidR="00BC6D28" w:rsidRPr="000C0597">
        <w:rPr>
          <w:rFonts w:ascii="Arial" w:hAnsi="Arial" w:cs="Arial"/>
          <w:sz w:val="22"/>
        </w:rPr>
        <w:t>and</w:t>
      </w:r>
      <w:r w:rsidR="00402704" w:rsidRPr="000C0597">
        <w:rPr>
          <w:rFonts w:ascii="Arial" w:hAnsi="Arial" w:cs="Arial"/>
          <w:sz w:val="22"/>
        </w:rPr>
        <w:t xml:space="preserve"> is identical to the base case </w:t>
      </w:r>
      <w:r w:rsidR="00BC6D28" w:rsidRPr="000C0597">
        <w:rPr>
          <w:rFonts w:ascii="Arial" w:hAnsi="Arial" w:cs="Arial"/>
          <w:sz w:val="22"/>
        </w:rPr>
        <w:t xml:space="preserve">(see Table </w:t>
      </w:r>
      <w:r w:rsidR="00665065">
        <w:rPr>
          <w:rFonts w:ascii="Arial" w:hAnsi="Arial" w:cs="Arial"/>
          <w:sz w:val="22"/>
        </w:rPr>
        <w:t>8</w:t>
      </w:r>
      <w:r w:rsidR="00BC6D28" w:rsidRPr="000C0597">
        <w:rPr>
          <w:rFonts w:ascii="Arial" w:hAnsi="Arial" w:cs="Arial"/>
          <w:sz w:val="22"/>
        </w:rPr>
        <w:t xml:space="preserve"> </w:t>
      </w:r>
      <w:r w:rsidR="00D047E1" w:rsidRPr="000C0597">
        <w:rPr>
          <w:rFonts w:ascii="Arial" w:hAnsi="Arial" w:cs="Arial"/>
          <w:sz w:val="22"/>
        </w:rPr>
        <w:t>below</w:t>
      </w:r>
      <w:r w:rsidR="00BC6D28" w:rsidRPr="000C0597">
        <w:rPr>
          <w:rFonts w:ascii="Arial" w:hAnsi="Arial" w:cs="Arial"/>
          <w:sz w:val="22"/>
        </w:rPr>
        <w:t>)</w:t>
      </w:r>
      <w:r w:rsidR="008244ED" w:rsidRPr="000C0597">
        <w:rPr>
          <w:rFonts w:ascii="Arial" w:hAnsi="Arial" w:cs="Arial"/>
          <w:sz w:val="22"/>
        </w:rPr>
        <w:t xml:space="preserve">. </w:t>
      </w:r>
      <w:r w:rsidR="00BD6A65" w:rsidRPr="000C0597">
        <w:rPr>
          <w:rFonts w:ascii="Arial" w:hAnsi="Arial" w:cs="Arial"/>
          <w:sz w:val="22"/>
        </w:rPr>
        <w:t>Th</w:t>
      </w:r>
      <w:r w:rsidR="009D7FF1" w:rsidRPr="000C0597">
        <w:rPr>
          <w:rFonts w:ascii="Arial" w:hAnsi="Arial" w:cs="Arial"/>
          <w:sz w:val="22"/>
        </w:rPr>
        <w:t xml:space="preserve">e </w:t>
      </w:r>
      <w:r w:rsidR="00BD6A65" w:rsidRPr="000C0597">
        <w:rPr>
          <w:rFonts w:ascii="Arial" w:hAnsi="Arial" w:cs="Arial"/>
          <w:sz w:val="22"/>
        </w:rPr>
        <w:t xml:space="preserve">reference case was used to evaluate sensitivities where appropriate. These results indicate that additional generation capacity requirements will likely be satisfied with a mixture of </w:t>
      </w:r>
      <w:r w:rsidR="004F23DA" w:rsidRPr="000C0597">
        <w:rPr>
          <w:rFonts w:ascii="Arial" w:hAnsi="Arial" w:cs="Arial"/>
          <w:sz w:val="22"/>
        </w:rPr>
        <w:t>CT</w:t>
      </w:r>
      <w:r w:rsidR="00781C11" w:rsidRPr="000C0597">
        <w:rPr>
          <w:rFonts w:ascii="Arial" w:hAnsi="Arial" w:cs="Arial"/>
          <w:sz w:val="22"/>
        </w:rPr>
        <w:t xml:space="preserve"> and</w:t>
      </w:r>
      <w:r w:rsidR="004F23DA" w:rsidRPr="000C0597">
        <w:rPr>
          <w:rFonts w:ascii="Arial" w:hAnsi="Arial" w:cs="Arial"/>
          <w:sz w:val="22"/>
        </w:rPr>
        <w:t xml:space="preserve"> CC</w:t>
      </w:r>
      <w:r w:rsidR="006C4381" w:rsidRPr="000C0597">
        <w:rPr>
          <w:rFonts w:ascii="Arial" w:hAnsi="Arial" w:cs="Arial"/>
          <w:sz w:val="22"/>
        </w:rPr>
        <w:t xml:space="preserve"> units</w:t>
      </w:r>
      <w:r w:rsidR="008244ED" w:rsidRPr="000C0597">
        <w:rPr>
          <w:rFonts w:ascii="Arial" w:hAnsi="Arial" w:cs="Arial"/>
          <w:sz w:val="22"/>
        </w:rPr>
        <w:t xml:space="preserve">. </w:t>
      </w:r>
      <w:r w:rsidR="00F87ADB" w:rsidRPr="000C0597">
        <w:rPr>
          <w:rFonts w:ascii="Arial" w:hAnsi="Arial" w:cs="Arial"/>
          <w:sz w:val="22"/>
        </w:rPr>
        <w:t xml:space="preserve">The reference case </w:t>
      </w:r>
      <w:r w:rsidR="00BD6A65" w:rsidRPr="000C0597">
        <w:rPr>
          <w:rFonts w:ascii="Arial" w:hAnsi="Arial" w:cs="Arial"/>
          <w:sz w:val="22"/>
        </w:rPr>
        <w:t>was allowed to optimize</w:t>
      </w:r>
      <w:r w:rsidR="00F87ADB" w:rsidRPr="000C0597">
        <w:rPr>
          <w:rFonts w:ascii="Arial" w:hAnsi="Arial" w:cs="Arial"/>
          <w:sz w:val="22"/>
        </w:rPr>
        <w:t xml:space="preserve"> starting in year </w:t>
      </w:r>
      <w:r w:rsidR="000744E8" w:rsidRPr="000C0597">
        <w:rPr>
          <w:rFonts w:ascii="Arial" w:hAnsi="Arial" w:cs="Arial"/>
          <w:sz w:val="22"/>
        </w:rPr>
        <w:t>201</w:t>
      </w:r>
      <w:r w:rsidR="0090475F" w:rsidRPr="000C0597">
        <w:rPr>
          <w:rFonts w:ascii="Arial" w:hAnsi="Arial" w:cs="Arial"/>
          <w:sz w:val="22"/>
        </w:rPr>
        <w:t>9</w:t>
      </w:r>
      <w:r w:rsidR="002464F3" w:rsidRPr="000C0597">
        <w:rPr>
          <w:rFonts w:ascii="Arial" w:hAnsi="Arial" w:cs="Arial"/>
          <w:sz w:val="22"/>
        </w:rPr>
        <w:t xml:space="preserve">. </w:t>
      </w:r>
      <w:r w:rsidR="00593614" w:rsidRPr="000C0597">
        <w:rPr>
          <w:rFonts w:ascii="Arial" w:hAnsi="Arial" w:cs="Arial"/>
          <w:sz w:val="22"/>
        </w:rPr>
        <w:t xml:space="preserve">Capital cost </w:t>
      </w:r>
      <w:r w:rsidR="00BD6A65" w:rsidRPr="000C0597">
        <w:rPr>
          <w:rFonts w:ascii="Arial" w:hAnsi="Arial" w:cs="Arial"/>
          <w:sz w:val="22"/>
        </w:rPr>
        <w:t>projections will be reviewed as input data assumptions are updated</w:t>
      </w:r>
      <w:r w:rsidR="008244ED" w:rsidRPr="000C0597">
        <w:rPr>
          <w:rFonts w:ascii="Arial" w:hAnsi="Arial" w:cs="Arial"/>
          <w:sz w:val="22"/>
        </w:rPr>
        <w:t xml:space="preserve">. </w:t>
      </w:r>
      <w:r w:rsidR="00BD6A65" w:rsidRPr="000C0597">
        <w:rPr>
          <w:rFonts w:ascii="Arial" w:hAnsi="Arial" w:cs="Arial"/>
          <w:sz w:val="22"/>
        </w:rPr>
        <w:t xml:space="preserve">As mentioned earlier, the </w:t>
      </w:r>
      <w:r w:rsidR="004F2CBE" w:rsidRPr="000C0597">
        <w:rPr>
          <w:rFonts w:ascii="Arial" w:hAnsi="Arial" w:cs="Arial"/>
          <w:sz w:val="22"/>
        </w:rPr>
        <w:t>Strategist</w:t>
      </w:r>
      <w:r w:rsidR="002115E9" w:rsidRPr="000C0597">
        <w:rPr>
          <w:rFonts w:ascii="Arial" w:hAnsi="Arial" w:cs="Arial"/>
          <w:sz w:val="22"/>
        </w:rPr>
        <w:t xml:space="preserve"> </w:t>
      </w:r>
      <w:r w:rsidR="00BD6A65" w:rsidRPr="000C0597">
        <w:rPr>
          <w:rFonts w:ascii="Arial" w:hAnsi="Arial" w:cs="Arial"/>
          <w:sz w:val="22"/>
        </w:rPr>
        <w:t xml:space="preserve">slice or block size in this case and all </w:t>
      </w:r>
      <w:r w:rsidR="0005664F" w:rsidRPr="000C0597">
        <w:rPr>
          <w:rFonts w:ascii="Arial" w:hAnsi="Arial" w:cs="Arial"/>
          <w:sz w:val="22"/>
        </w:rPr>
        <w:t xml:space="preserve">scenario and </w:t>
      </w:r>
      <w:r w:rsidR="00BD6A65" w:rsidRPr="000C0597">
        <w:rPr>
          <w:rFonts w:ascii="Arial" w:hAnsi="Arial" w:cs="Arial"/>
          <w:sz w:val="22"/>
        </w:rPr>
        <w:t>sensitivity cases discussed in the following sections is 300 MW.</w:t>
      </w:r>
    </w:p>
    <w:p w14:paraId="3236C797" w14:textId="3014C396" w:rsidR="00381B7F" w:rsidRPr="00381B7F" w:rsidRDefault="009A57D9" w:rsidP="00381B7F">
      <w:pPr>
        <w:pStyle w:val="TableHead"/>
        <w:numPr>
          <w:ilvl w:val="0"/>
          <w:numId w:val="3"/>
        </w:numPr>
        <w:spacing w:line="360" w:lineRule="atLeast"/>
        <w:rPr>
          <w:rFonts w:ascii="Arial" w:hAnsi="Arial" w:cs="Arial"/>
        </w:rPr>
      </w:pPr>
      <w:r w:rsidRPr="000C0597">
        <w:rPr>
          <w:rFonts w:ascii="Arial" w:hAnsi="Arial" w:cs="Arial"/>
          <w:sz w:val="22"/>
        </w:rPr>
        <w:t>The Reference Case</w:t>
      </w:r>
    </w:p>
    <w:p w14:paraId="67041AEE" w14:textId="5E770A36" w:rsidR="00381B7F" w:rsidRDefault="00381B7F" w:rsidP="00745A24">
      <w:pPr>
        <w:pStyle w:val="TableHead"/>
        <w:numPr>
          <w:ilvl w:val="0"/>
          <w:numId w:val="0"/>
        </w:numPr>
        <w:spacing w:line="360" w:lineRule="atLeast"/>
        <w:rPr>
          <w:rFonts w:ascii="Arial" w:hAnsi="Arial" w:cs="Arial"/>
        </w:rPr>
      </w:pPr>
      <w:r w:rsidRPr="00381B7F">
        <w:rPr>
          <w:noProof/>
        </w:rPr>
        <w:drawing>
          <wp:inline distT="0" distB="0" distL="0" distR="0" wp14:anchorId="03691799" wp14:editId="78089D67">
            <wp:extent cx="4751614" cy="467546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9312" cy="4692880"/>
                    </a:xfrm>
                    <a:prstGeom prst="rect">
                      <a:avLst/>
                    </a:prstGeom>
                    <a:noFill/>
                    <a:ln>
                      <a:noFill/>
                    </a:ln>
                  </pic:spPr>
                </pic:pic>
              </a:graphicData>
            </a:graphic>
          </wp:inline>
        </w:drawing>
      </w:r>
    </w:p>
    <w:p w14:paraId="64CB41AA" w14:textId="6224D868" w:rsidR="00BD6A65" w:rsidRPr="000C0597" w:rsidRDefault="00522ADC" w:rsidP="00243513">
      <w:pPr>
        <w:pStyle w:val="Heading2"/>
        <w:tabs>
          <w:tab w:val="num" w:pos="0"/>
        </w:tabs>
        <w:spacing w:line="360" w:lineRule="atLeast"/>
        <w:ind w:left="0" w:firstLine="0"/>
        <w:jc w:val="left"/>
        <w:rPr>
          <w:rFonts w:ascii="Arial" w:hAnsi="Arial" w:cs="Arial"/>
          <w:sz w:val="22"/>
        </w:rPr>
      </w:pPr>
      <w:bookmarkStart w:id="35" w:name="_Toc305487215"/>
      <w:r w:rsidRPr="000C0597">
        <w:rPr>
          <w:rFonts w:ascii="Arial" w:hAnsi="Arial" w:cs="Arial"/>
          <w:sz w:val="22"/>
        </w:rPr>
        <w:t>LOAD FORECASTING VARIATIONS</w:t>
      </w:r>
      <w:bookmarkEnd w:id="35"/>
    </w:p>
    <w:p w14:paraId="64A2F64A" w14:textId="77777777" w:rsidR="00824A02" w:rsidRPr="000C0597" w:rsidRDefault="00824A02" w:rsidP="00243513">
      <w:pPr>
        <w:spacing w:line="360" w:lineRule="atLeast"/>
        <w:rPr>
          <w:rFonts w:ascii="Arial" w:hAnsi="Arial" w:cs="Arial"/>
          <w:sz w:val="22"/>
        </w:rPr>
      </w:pPr>
    </w:p>
    <w:p w14:paraId="5ACF656C" w14:textId="77777777" w:rsidR="00824A02" w:rsidRPr="000C0597" w:rsidRDefault="00A610FB" w:rsidP="008459CF">
      <w:pPr>
        <w:numPr>
          <w:ilvl w:val="0"/>
          <w:numId w:val="1"/>
        </w:numPr>
        <w:tabs>
          <w:tab w:val="left" w:pos="450"/>
        </w:tabs>
        <w:spacing w:line="360" w:lineRule="atLeast"/>
        <w:ind w:left="0" w:firstLine="0"/>
        <w:rPr>
          <w:rFonts w:ascii="Arial" w:hAnsi="Arial" w:cs="Arial"/>
          <w:sz w:val="22"/>
        </w:rPr>
      </w:pPr>
      <w:r w:rsidRPr="000C0597">
        <w:rPr>
          <w:rFonts w:ascii="Arial" w:hAnsi="Arial" w:cs="Arial"/>
          <w:sz w:val="22"/>
        </w:rPr>
        <w:t xml:space="preserve">No Load Growth </w:t>
      </w:r>
    </w:p>
    <w:p w14:paraId="6172D9B1" w14:textId="77777777" w:rsidR="00824A02" w:rsidRPr="000C0597" w:rsidRDefault="00824A02" w:rsidP="00243513">
      <w:pPr>
        <w:numPr>
          <w:ilvl w:val="12"/>
          <w:numId w:val="0"/>
        </w:numPr>
        <w:spacing w:line="360" w:lineRule="atLeast"/>
        <w:rPr>
          <w:rFonts w:ascii="Arial" w:hAnsi="Arial" w:cs="Arial"/>
          <w:sz w:val="22"/>
        </w:rPr>
      </w:pPr>
    </w:p>
    <w:p w14:paraId="0E164601" w14:textId="1BD18DFA" w:rsidR="00824A02" w:rsidRPr="000C0597" w:rsidRDefault="00824A02" w:rsidP="00243513">
      <w:pPr>
        <w:numPr>
          <w:ilvl w:val="12"/>
          <w:numId w:val="0"/>
        </w:numPr>
        <w:spacing w:line="360" w:lineRule="atLeast"/>
        <w:rPr>
          <w:rFonts w:ascii="Arial" w:hAnsi="Arial" w:cs="Arial"/>
          <w:sz w:val="22"/>
        </w:rPr>
      </w:pPr>
      <w:r w:rsidRPr="000C0597">
        <w:rPr>
          <w:rFonts w:ascii="Arial" w:hAnsi="Arial" w:cs="Arial"/>
          <w:sz w:val="22"/>
        </w:rPr>
        <w:t xml:space="preserve">For the no load growth case, the load forecasts were held constant at </w:t>
      </w:r>
      <w:r w:rsidR="000744E8" w:rsidRPr="000C0597">
        <w:rPr>
          <w:rFonts w:ascii="Arial" w:hAnsi="Arial" w:cs="Arial"/>
          <w:sz w:val="22"/>
        </w:rPr>
        <w:t>201</w:t>
      </w:r>
      <w:r w:rsidR="004E764D" w:rsidRPr="000C0597">
        <w:rPr>
          <w:rFonts w:ascii="Arial" w:hAnsi="Arial" w:cs="Arial"/>
          <w:sz w:val="22"/>
        </w:rPr>
        <w:t>9</w:t>
      </w:r>
      <w:r w:rsidRPr="000C0597">
        <w:rPr>
          <w:rFonts w:ascii="Arial" w:hAnsi="Arial" w:cs="Arial"/>
          <w:sz w:val="22"/>
        </w:rPr>
        <w:t xml:space="preserve"> levels throughout the </w:t>
      </w:r>
      <w:r w:rsidR="002F1471" w:rsidRPr="000C0597">
        <w:rPr>
          <w:rFonts w:ascii="Arial" w:hAnsi="Arial" w:cs="Arial"/>
          <w:sz w:val="22"/>
        </w:rPr>
        <w:t xml:space="preserve">planning </w:t>
      </w:r>
      <w:r w:rsidRPr="000C0597">
        <w:rPr>
          <w:rFonts w:ascii="Arial" w:hAnsi="Arial" w:cs="Arial"/>
          <w:sz w:val="22"/>
        </w:rPr>
        <w:t>period</w:t>
      </w:r>
      <w:r w:rsidR="008244ED" w:rsidRPr="000C0597">
        <w:rPr>
          <w:rFonts w:ascii="Arial" w:hAnsi="Arial" w:cs="Arial"/>
          <w:sz w:val="22"/>
        </w:rPr>
        <w:t xml:space="preserve">. </w:t>
      </w:r>
      <w:r w:rsidRPr="000C0597">
        <w:rPr>
          <w:rFonts w:ascii="Arial" w:hAnsi="Arial" w:cs="Arial"/>
          <w:sz w:val="22"/>
        </w:rPr>
        <w:t xml:space="preserve">As shown in the following table, </w:t>
      </w:r>
      <w:r w:rsidR="007A2047" w:rsidRPr="000C0597">
        <w:rPr>
          <w:rFonts w:ascii="Arial" w:hAnsi="Arial" w:cs="Arial"/>
          <w:sz w:val="22"/>
        </w:rPr>
        <w:t xml:space="preserve">the </w:t>
      </w:r>
      <w:r w:rsidRPr="000C0597">
        <w:rPr>
          <w:rFonts w:ascii="Arial" w:hAnsi="Arial" w:cs="Arial"/>
          <w:sz w:val="22"/>
        </w:rPr>
        <w:t xml:space="preserve">no load growth </w:t>
      </w:r>
      <w:r w:rsidR="007A2047" w:rsidRPr="000C0597">
        <w:rPr>
          <w:rFonts w:ascii="Arial" w:hAnsi="Arial" w:cs="Arial"/>
          <w:sz w:val="22"/>
        </w:rPr>
        <w:t xml:space="preserve">sensitivity </w:t>
      </w:r>
      <w:r w:rsidR="00D644A9" w:rsidRPr="000C0597">
        <w:rPr>
          <w:rFonts w:ascii="Arial" w:hAnsi="Arial" w:cs="Arial"/>
          <w:sz w:val="22"/>
        </w:rPr>
        <w:t xml:space="preserve">resulted in </w:t>
      </w:r>
      <w:r w:rsidR="001B7925" w:rsidRPr="001B7925">
        <w:rPr>
          <w:rFonts w:ascii="Arial" w:hAnsi="Arial" w:cs="Arial"/>
          <w:b/>
          <w:sz w:val="24"/>
          <w:szCs w:val="24"/>
        </w:rPr>
        <w:t>REDACTED</w:t>
      </w:r>
      <w:r w:rsidR="001B7925" w:rsidRPr="000C0597">
        <w:rPr>
          <w:rFonts w:ascii="Arial" w:hAnsi="Arial" w:cs="Arial"/>
          <w:sz w:val="22"/>
        </w:rPr>
        <w:t xml:space="preserve"> </w:t>
      </w:r>
      <w:r w:rsidR="00073247" w:rsidRPr="000C0597">
        <w:rPr>
          <w:rFonts w:ascii="Arial" w:hAnsi="Arial" w:cs="Arial"/>
          <w:sz w:val="22"/>
        </w:rPr>
        <w:t xml:space="preserve">and </w:t>
      </w:r>
      <w:r w:rsidR="001B7925" w:rsidRPr="001B7925">
        <w:rPr>
          <w:rFonts w:ascii="Arial" w:hAnsi="Arial" w:cs="Arial"/>
          <w:b/>
          <w:sz w:val="24"/>
          <w:szCs w:val="24"/>
        </w:rPr>
        <w:t>REDACTED</w:t>
      </w:r>
      <w:r w:rsidR="00073247" w:rsidRPr="000C0597">
        <w:rPr>
          <w:rFonts w:ascii="Arial" w:hAnsi="Arial" w:cs="Arial"/>
          <w:sz w:val="22"/>
        </w:rPr>
        <w:t xml:space="preserve"> </w:t>
      </w:r>
      <w:r w:rsidR="002B00CE" w:rsidRPr="000C0597">
        <w:rPr>
          <w:rFonts w:ascii="Arial" w:hAnsi="Arial" w:cs="Arial"/>
          <w:sz w:val="22"/>
        </w:rPr>
        <w:t>over</w:t>
      </w:r>
      <w:r w:rsidRPr="000C0597">
        <w:rPr>
          <w:rFonts w:ascii="Arial" w:hAnsi="Arial" w:cs="Arial"/>
          <w:sz w:val="22"/>
        </w:rPr>
        <w:t xml:space="preserve"> the </w:t>
      </w:r>
      <w:r w:rsidR="00211941" w:rsidRPr="000C0597">
        <w:rPr>
          <w:rFonts w:ascii="Arial" w:hAnsi="Arial" w:cs="Arial"/>
          <w:sz w:val="22"/>
        </w:rPr>
        <w:t xml:space="preserve">twenty-year planning </w:t>
      </w:r>
      <w:r w:rsidRPr="000C0597">
        <w:rPr>
          <w:rFonts w:ascii="Arial" w:hAnsi="Arial" w:cs="Arial"/>
          <w:sz w:val="22"/>
        </w:rPr>
        <w:t>period.</w:t>
      </w:r>
      <w:r w:rsidRPr="000C0597" w:rsidDel="00615207">
        <w:rPr>
          <w:rFonts w:ascii="Arial" w:hAnsi="Arial" w:cs="Arial"/>
          <w:sz w:val="22"/>
        </w:rPr>
        <w:t xml:space="preserve"> </w:t>
      </w:r>
    </w:p>
    <w:p w14:paraId="07883AA8" w14:textId="77777777" w:rsidR="00824A02" w:rsidRPr="000C0597" w:rsidRDefault="00824A02" w:rsidP="00243513">
      <w:pPr>
        <w:numPr>
          <w:ilvl w:val="12"/>
          <w:numId w:val="0"/>
        </w:numPr>
        <w:spacing w:line="360" w:lineRule="atLeast"/>
        <w:jc w:val="left"/>
        <w:rPr>
          <w:rFonts w:ascii="Arial" w:hAnsi="Arial" w:cs="Arial"/>
          <w:sz w:val="22"/>
          <w:highlight w:val="yellow"/>
        </w:rPr>
      </w:pPr>
    </w:p>
    <w:p w14:paraId="103EEB8B" w14:textId="77777777" w:rsidR="00824A02"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No Load Growth </w:t>
      </w:r>
    </w:p>
    <w:p w14:paraId="79B4771C" w14:textId="748A333B" w:rsidR="00BD6A65" w:rsidRPr="000675A8" w:rsidRDefault="00621B46" w:rsidP="005D666B">
      <w:pPr>
        <w:tabs>
          <w:tab w:val="left" w:pos="450"/>
        </w:tabs>
        <w:spacing w:line="360" w:lineRule="atLeast"/>
        <w:jc w:val="center"/>
        <w:rPr>
          <w:rFonts w:ascii="Arial" w:hAnsi="Arial" w:cs="Arial"/>
          <w:sz w:val="24"/>
        </w:rPr>
      </w:pPr>
      <w:r w:rsidRPr="00621B46">
        <w:rPr>
          <w:noProof/>
        </w:rPr>
        <w:drawing>
          <wp:inline distT="0" distB="0" distL="0" distR="0" wp14:anchorId="4A000DAC" wp14:editId="2D2B22BB">
            <wp:extent cx="5577840" cy="4224528"/>
            <wp:effectExtent l="0" t="0" r="3810" b="508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1B4A6549" w14:textId="77777777" w:rsidR="00D21B6D" w:rsidRPr="000C0597" w:rsidRDefault="00824A02" w:rsidP="00A37A5C">
      <w:pPr>
        <w:numPr>
          <w:ilvl w:val="0"/>
          <w:numId w:val="1"/>
        </w:numPr>
        <w:tabs>
          <w:tab w:val="left" w:pos="450"/>
        </w:tabs>
        <w:spacing w:line="360" w:lineRule="atLeast"/>
        <w:rPr>
          <w:rFonts w:ascii="Arial" w:hAnsi="Arial" w:cs="Arial"/>
          <w:sz w:val="22"/>
        </w:rPr>
      </w:pPr>
      <w:r w:rsidRPr="000675A8">
        <w:rPr>
          <w:rFonts w:ascii="Arial" w:hAnsi="Arial" w:cs="Arial"/>
          <w:sz w:val="24"/>
        </w:rPr>
        <w:br w:type="page"/>
      </w:r>
      <w:r w:rsidR="00A610FB" w:rsidRPr="000C0597">
        <w:rPr>
          <w:rFonts w:ascii="Arial" w:hAnsi="Arial" w:cs="Arial"/>
          <w:sz w:val="22"/>
        </w:rPr>
        <w:t>High Load Growth</w:t>
      </w:r>
    </w:p>
    <w:p w14:paraId="101C5B98" w14:textId="77777777" w:rsidR="00D21B6D" w:rsidRPr="000C0597" w:rsidRDefault="00D21B6D" w:rsidP="00243513">
      <w:pPr>
        <w:numPr>
          <w:ilvl w:val="12"/>
          <w:numId w:val="0"/>
        </w:numPr>
        <w:spacing w:line="360" w:lineRule="atLeast"/>
        <w:rPr>
          <w:rFonts w:ascii="Arial" w:hAnsi="Arial" w:cs="Arial"/>
          <w:sz w:val="22"/>
        </w:rPr>
      </w:pPr>
    </w:p>
    <w:p w14:paraId="2AF280EE" w14:textId="18A052E8" w:rsidR="003F600D" w:rsidRPr="000C0597" w:rsidRDefault="00D21B6D" w:rsidP="00243513">
      <w:pPr>
        <w:numPr>
          <w:ilvl w:val="12"/>
          <w:numId w:val="0"/>
        </w:numPr>
        <w:spacing w:line="360" w:lineRule="atLeast"/>
        <w:rPr>
          <w:rFonts w:ascii="Arial" w:hAnsi="Arial" w:cs="Arial"/>
          <w:sz w:val="22"/>
        </w:rPr>
      </w:pPr>
      <w:r w:rsidRPr="000C0597">
        <w:rPr>
          <w:rFonts w:ascii="Arial" w:hAnsi="Arial" w:cs="Arial"/>
          <w:sz w:val="22"/>
        </w:rPr>
        <w:t xml:space="preserve">The load forecast for this sensitivity was developed by </w:t>
      </w:r>
      <w:r w:rsidR="004F6CBC" w:rsidRPr="000C0597">
        <w:rPr>
          <w:rFonts w:ascii="Arial" w:hAnsi="Arial" w:cs="Arial"/>
          <w:sz w:val="22"/>
        </w:rPr>
        <w:t xml:space="preserve">Georgia Power </w:t>
      </w:r>
      <w:r w:rsidRPr="000C0597">
        <w:rPr>
          <w:rFonts w:ascii="Arial" w:hAnsi="Arial" w:cs="Arial"/>
          <w:sz w:val="22"/>
        </w:rPr>
        <w:t>Load Forecasting to represent an optimistic forecast of</w:t>
      </w:r>
      <w:r w:rsidR="007A2047" w:rsidRPr="000C0597">
        <w:rPr>
          <w:rFonts w:ascii="Arial" w:hAnsi="Arial" w:cs="Arial"/>
          <w:sz w:val="22"/>
        </w:rPr>
        <w:t xml:space="preserve"> load growth for Georgia Power. As shown in the following table</w:t>
      </w:r>
      <w:r w:rsidRPr="000C0597">
        <w:rPr>
          <w:rFonts w:ascii="Arial" w:hAnsi="Arial" w:cs="Arial"/>
          <w:sz w:val="22"/>
        </w:rPr>
        <w:t xml:space="preserve">, </w:t>
      </w:r>
      <w:r w:rsidR="007A2047" w:rsidRPr="000C0597">
        <w:rPr>
          <w:rFonts w:ascii="Arial" w:hAnsi="Arial" w:cs="Arial"/>
          <w:sz w:val="22"/>
        </w:rPr>
        <w:t xml:space="preserve">the high load growth sensitivity resulted in </w:t>
      </w:r>
      <w:r w:rsidR="001B7925" w:rsidRPr="001B7925">
        <w:rPr>
          <w:rFonts w:ascii="Arial" w:hAnsi="Arial" w:cs="Arial"/>
          <w:b/>
          <w:sz w:val="24"/>
          <w:szCs w:val="24"/>
        </w:rPr>
        <w:t>REDACTED</w:t>
      </w:r>
      <w:r w:rsidR="00745A24">
        <w:rPr>
          <w:rFonts w:ascii="Arial" w:hAnsi="Arial" w:cs="Arial"/>
          <w:b/>
          <w:sz w:val="24"/>
          <w:szCs w:val="24"/>
        </w:rPr>
        <w:t xml:space="preserve"> REDACTED</w:t>
      </w:r>
      <w:r w:rsidR="001B7925" w:rsidRPr="000C0597">
        <w:rPr>
          <w:rFonts w:ascii="Arial" w:hAnsi="Arial" w:cs="Arial"/>
          <w:sz w:val="22"/>
        </w:rPr>
        <w:t xml:space="preserve"> </w:t>
      </w:r>
      <w:r w:rsidR="00073247" w:rsidRPr="000C0597">
        <w:rPr>
          <w:rFonts w:ascii="Arial" w:hAnsi="Arial" w:cs="Arial"/>
          <w:sz w:val="22"/>
        </w:rPr>
        <w:t xml:space="preserve">and </w:t>
      </w:r>
      <w:r w:rsidR="001B7925" w:rsidRPr="001B7925">
        <w:rPr>
          <w:rFonts w:ascii="Arial" w:hAnsi="Arial" w:cs="Arial"/>
          <w:b/>
          <w:sz w:val="24"/>
          <w:szCs w:val="24"/>
        </w:rPr>
        <w:t>R</w:t>
      </w:r>
      <w:r w:rsidR="00745A24">
        <w:rPr>
          <w:rFonts w:ascii="Arial" w:hAnsi="Arial" w:cs="Arial"/>
          <w:b/>
          <w:sz w:val="24"/>
          <w:szCs w:val="24"/>
        </w:rPr>
        <w:t>EDACTED R</w:t>
      </w:r>
      <w:r w:rsidR="001B7925" w:rsidRPr="001B7925">
        <w:rPr>
          <w:rFonts w:ascii="Arial" w:hAnsi="Arial" w:cs="Arial"/>
          <w:b/>
          <w:sz w:val="24"/>
          <w:szCs w:val="24"/>
        </w:rPr>
        <w:t>EDACTED</w:t>
      </w:r>
      <w:r w:rsidR="001B7925" w:rsidRPr="000C0597">
        <w:rPr>
          <w:rFonts w:ascii="Arial" w:hAnsi="Arial" w:cs="Arial"/>
          <w:sz w:val="22"/>
        </w:rPr>
        <w:t xml:space="preserve"> </w:t>
      </w:r>
      <w:r w:rsidR="002B00CE" w:rsidRPr="000C0597">
        <w:rPr>
          <w:rFonts w:ascii="Arial" w:hAnsi="Arial" w:cs="Arial"/>
          <w:sz w:val="22"/>
        </w:rPr>
        <w:t>over</w:t>
      </w:r>
      <w:r w:rsidR="007A2047" w:rsidRPr="000C0597">
        <w:rPr>
          <w:rFonts w:ascii="Arial" w:hAnsi="Arial" w:cs="Arial"/>
          <w:sz w:val="22"/>
        </w:rPr>
        <w:t xml:space="preserve"> the twenty-year planning period</w:t>
      </w:r>
      <w:r w:rsidR="008244ED" w:rsidRPr="000C0597">
        <w:rPr>
          <w:rFonts w:ascii="Arial" w:hAnsi="Arial" w:cs="Arial"/>
          <w:sz w:val="22"/>
        </w:rPr>
        <w:t xml:space="preserve">. </w:t>
      </w:r>
    </w:p>
    <w:p w14:paraId="39D93E18" w14:textId="6C61C7CF" w:rsidR="007A2047" w:rsidRPr="000C0597" w:rsidRDefault="007A2047" w:rsidP="00243513">
      <w:pPr>
        <w:numPr>
          <w:ilvl w:val="12"/>
          <w:numId w:val="0"/>
        </w:numPr>
        <w:spacing w:line="360" w:lineRule="atLeast"/>
        <w:rPr>
          <w:rFonts w:ascii="Arial" w:hAnsi="Arial" w:cs="Arial"/>
          <w:sz w:val="22"/>
        </w:rPr>
      </w:pPr>
    </w:p>
    <w:p w14:paraId="3448F278" w14:textId="6C1D8D63" w:rsidR="002659D3" w:rsidRPr="000C0597" w:rsidRDefault="009A57D9" w:rsidP="00621B46">
      <w:pPr>
        <w:numPr>
          <w:ilvl w:val="0"/>
          <w:numId w:val="3"/>
        </w:numPr>
        <w:spacing w:line="360" w:lineRule="atLeast"/>
        <w:jc w:val="center"/>
        <w:rPr>
          <w:rFonts w:ascii="Arial" w:hAnsi="Arial" w:cs="Arial"/>
          <w:sz w:val="22"/>
        </w:rPr>
      </w:pPr>
      <w:r w:rsidRPr="000C0597">
        <w:rPr>
          <w:rFonts w:ascii="Arial" w:hAnsi="Arial" w:cs="Arial"/>
          <w:sz w:val="22"/>
        </w:rPr>
        <w:t>High Load Growth Case</w:t>
      </w:r>
      <w:r w:rsidR="00381B7F" w:rsidRPr="00381B7F">
        <w:rPr>
          <w:rFonts w:ascii="Arial" w:hAnsi="Arial" w:cs="Arial"/>
          <w:sz w:val="22"/>
        </w:rPr>
        <w:t xml:space="preserve"> </w:t>
      </w:r>
      <w:r w:rsidR="00621B46" w:rsidRPr="00621B46">
        <w:rPr>
          <w:noProof/>
        </w:rPr>
        <w:drawing>
          <wp:inline distT="0" distB="0" distL="0" distR="0" wp14:anchorId="67925E18" wp14:editId="2207948C">
            <wp:extent cx="5577840" cy="4224528"/>
            <wp:effectExtent l="0" t="0" r="3810" b="508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7C52545A" w14:textId="0C8A0F93" w:rsidR="00DE20D6" w:rsidRPr="000675A8" w:rsidRDefault="00DE20D6" w:rsidP="006D78D2">
      <w:pPr>
        <w:rPr>
          <w:rFonts w:ascii="Arial" w:hAnsi="Arial" w:cs="Arial"/>
        </w:rPr>
      </w:pPr>
    </w:p>
    <w:p w14:paraId="7D7AE8EB" w14:textId="7A99D861" w:rsidR="00F379E4" w:rsidRDefault="00F379E4">
      <w:pPr>
        <w:jc w:val="left"/>
        <w:rPr>
          <w:rFonts w:ascii="Arial" w:hAnsi="Arial" w:cs="Arial"/>
          <w:sz w:val="24"/>
        </w:rPr>
      </w:pPr>
      <w:r>
        <w:rPr>
          <w:rFonts w:ascii="Arial" w:hAnsi="Arial" w:cs="Arial"/>
          <w:sz w:val="24"/>
        </w:rPr>
        <w:br w:type="page"/>
      </w:r>
    </w:p>
    <w:p w14:paraId="097B3917" w14:textId="77777777" w:rsidR="00BD6A65" w:rsidRPr="000C0597" w:rsidRDefault="00A610FB" w:rsidP="000B291A">
      <w:pPr>
        <w:pStyle w:val="ListParagraph"/>
        <w:numPr>
          <w:ilvl w:val="0"/>
          <w:numId w:val="10"/>
        </w:numPr>
        <w:spacing w:line="360" w:lineRule="atLeast"/>
        <w:jc w:val="left"/>
        <w:rPr>
          <w:rFonts w:ascii="Arial" w:hAnsi="Arial" w:cs="Arial"/>
          <w:sz w:val="22"/>
        </w:rPr>
      </w:pPr>
      <w:r w:rsidRPr="000C0597">
        <w:rPr>
          <w:rFonts w:ascii="Arial" w:hAnsi="Arial" w:cs="Arial"/>
          <w:sz w:val="22"/>
        </w:rPr>
        <w:t>Low Load Growth</w:t>
      </w:r>
    </w:p>
    <w:p w14:paraId="5749E878" w14:textId="77777777" w:rsidR="00BD6A65" w:rsidRPr="000C0597" w:rsidRDefault="00BD6A65" w:rsidP="00243513">
      <w:pPr>
        <w:numPr>
          <w:ilvl w:val="12"/>
          <w:numId w:val="0"/>
        </w:numPr>
        <w:spacing w:line="360" w:lineRule="atLeast"/>
        <w:rPr>
          <w:rFonts w:ascii="Arial" w:hAnsi="Arial" w:cs="Arial"/>
          <w:sz w:val="22"/>
        </w:rPr>
      </w:pPr>
    </w:p>
    <w:p w14:paraId="49681783" w14:textId="508B986F" w:rsidR="00D21B6D" w:rsidRPr="000C0597" w:rsidRDefault="00D21B6D" w:rsidP="00243513">
      <w:pPr>
        <w:numPr>
          <w:ilvl w:val="12"/>
          <w:numId w:val="0"/>
        </w:numPr>
        <w:spacing w:line="360" w:lineRule="atLeast"/>
        <w:rPr>
          <w:rFonts w:ascii="Arial" w:hAnsi="Arial" w:cs="Arial"/>
          <w:sz w:val="22"/>
        </w:rPr>
      </w:pPr>
      <w:r w:rsidRPr="000C0597">
        <w:rPr>
          <w:rFonts w:ascii="Arial" w:hAnsi="Arial" w:cs="Arial"/>
          <w:sz w:val="22"/>
        </w:rPr>
        <w:t xml:space="preserve">The load forecast for this </w:t>
      </w:r>
      <w:r w:rsidR="007A2047" w:rsidRPr="000C0597">
        <w:rPr>
          <w:rFonts w:ascii="Arial" w:hAnsi="Arial" w:cs="Arial"/>
          <w:sz w:val="22"/>
        </w:rPr>
        <w:t>sensitivity</w:t>
      </w:r>
      <w:r w:rsidRPr="000C0597">
        <w:rPr>
          <w:rFonts w:ascii="Arial" w:hAnsi="Arial" w:cs="Arial"/>
          <w:sz w:val="22"/>
        </w:rPr>
        <w:t xml:space="preserve"> was developed by </w:t>
      </w:r>
      <w:r w:rsidR="004F6CBC" w:rsidRPr="000C0597">
        <w:rPr>
          <w:rFonts w:ascii="Arial" w:hAnsi="Arial" w:cs="Arial"/>
          <w:sz w:val="22"/>
        </w:rPr>
        <w:t xml:space="preserve">Georgia Power </w:t>
      </w:r>
      <w:r w:rsidRPr="000C0597">
        <w:rPr>
          <w:rFonts w:ascii="Arial" w:hAnsi="Arial" w:cs="Arial"/>
          <w:sz w:val="22"/>
        </w:rPr>
        <w:t xml:space="preserve">Load Forecasting to represent </w:t>
      </w:r>
      <w:r w:rsidR="009D7FF1" w:rsidRPr="000C0597">
        <w:rPr>
          <w:rFonts w:ascii="Arial" w:hAnsi="Arial" w:cs="Arial"/>
          <w:sz w:val="22"/>
        </w:rPr>
        <w:t xml:space="preserve">a pessimistic forecast of </w:t>
      </w:r>
      <w:r w:rsidRPr="000C0597">
        <w:rPr>
          <w:rFonts w:ascii="Arial" w:hAnsi="Arial" w:cs="Arial"/>
          <w:sz w:val="22"/>
        </w:rPr>
        <w:t>load growth for Georgia Power</w:t>
      </w:r>
      <w:r w:rsidR="008244ED" w:rsidRPr="000C0597">
        <w:rPr>
          <w:rFonts w:ascii="Arial" w:hAnsi="Arial" w:cs="Arial"/>
          <w:sz w:val="22"/>
        </w:rPr>
        <w:t xml:space="preserve">. </w:t>
      </w:r>
      <w:r w:rsidR="007A2047" w:rsidRPr="000C0597">
        <w:rPr>
          <w:rFonts w:ascii="Arial" w:hAnsi="Arial" w:cs="Arial"/>
          <w:sz w:val="22"/>
        </w:rPr>
        <w:t>As shown in the following table, the</w:t>
      </w:r>
      <w:r w:rsidRPr="000C0597">
        <w:rPr>
          <w:rFonts w:ascii="Arial" w:hAnsi="Arial" w:cs="Arial"/>
          <w:sz w:val="22"/>
        </w:rPr>
        <w:t xml:space="preserve"> low load growth </w:t>
      </w:r>
      <w:r w:rsidR="00211941" w:rsidRPr="000C0597">
        <w:rPr>
          <w:rFonts w:ascii="Arial" w:hAnsi="Arial" w:cs="Arial"/>
          <w:sz w:val="22"/>
        </w:rPr>
        <w:t xml:space="preserve">sensitivity </w:t>
      </w:r>
      <w:r w:rsidR="0044018D" w:rsidRPr="000C0597">
        <w:rPr>
          <w:rFonts w:ascii="Arial" w:hAnsi="Arial" w:cs="Arial"/>
          <w:sz w:val="22"/>
        </w:rPr>
        <w:t>resulted in</w:t>
      </w:r>
      <w:r w:rsidR="003E17DB" w:rsidRPr="000C0597">
        <w:rPr>
          <w:rFonts w:ascii="Arial" w:hAnsi="Arial" w:cs="Arial"/>
          <w:sz w:val="22"/>
        </w:rPr>
        <w:t xml:space="preserve"> </w:t>
      </w:r>
      <w:r w:rsidR="001B7925" w:rsidRPr="001B7925">
        <w:rPr>
          <w:rFonts w:ascii="Arial" w:hAnsi="Arial" w:cs="Arial"/>
          <w:b/>
          <w:sz w:val="24"/>
          <w:szCs w:val="24"/>
        </w:rPr>
        <w:t>REDACTED</w:t>
      </w:r>
      <w:r w:rsidR="00A678A0">
        <w:rPr>
          <w:rFonts w:ascii="Arial" w:hAnsi="Arial" w:cs="Arial"/>
          <w:b/>
          <w:sz w:val="24"/>
          <w:szCs w:val="24"/>
        </w:rPr>
        <w:t xml:space="preserve"> REDACTED</w:t>
      </w:r>
      <w:r w:rsidR="001B7925" w:rsidRPr="000C0597">
        <w:rPr>
          <w:rFonts w:ascii="Arial" w:hAnsi="Arial" w:cs="Arial"/>
          <w:sz w:val="22"/>
        </w:rPr>
        <w:t xml:space="preserve"> </w:t>
      </w:r>
      <w:r w:rsidR="00D57194" w:rsidRPr="000C0597">
        <w:rPr>
          <w:rFonts w:ascii="Arial" w:hAnsi="Arial" w:cs="Arial"/>
          <w:sz w:val="22"/>
        </w:rPr>
        <w:t xml:space="preserve">and </w:t>
      </w:r>
      <w:r w:rsidR="001B7925" w:rsidRPr="001B7925">
        <w:rPr>
          <w:rFonts w:ascii="Arial" w:hAnsi="Arial" w:cs="Arial"/>
          <w:b/>
          <w:sz w:val="24"/>
          <w:szCs w:val="24"/>
        </w:rPr>
        <w:t>REDACTED</w:t>
      </w:r>
      <w:r w:rsidR="001B7925" w:rsidRPr="000C0597">
        <w:rPr>
          <w:rFonts w:ascii="Arial" w:hAnsi="Arial" w:cs="Arial"/>
          <w:sz w:val="22"/>
        </w:rPr>
        <w:t xml:space="preserve"> </w:t>
      </w:r>
      <w:r w:rsidR="002B00CE" w:rsidRPr="000C0597">
        <w:rPr>
          <w:rFonts w:ascii="Arial" w:hAnsi="Arial" w:cs="Arial"/>
          <w:sz w:val="22"/>
        </w:rPr>
        <w:t>over</w:t>
      </w:r>
      <w:r w:rsidR="0044018D" w:rsidRPr="000C0597">
        <w:rPr>
          <w:rFonts w:ascii="Arial" w:hAnsi="Arial" w:cs="Arial"/>
          <w:sz w:val="22"/>
        </w:rPr>
        <w:t xml:space="preserve"> the twenty-year planning period</w:t>
      </w:r>
      <w:r w:rsidR="003E17DB" w:rsidRPr="000C0597">
        <w:rPr>
          <w:rFonts w:ascii="Arial" w:hAnsi="Arial" w:cs="Arial"/>
          <w:sz w:val="22"/>
        </w:rPr>
        <w:t>.</w:t>
      </w:r>
    </w:p>
    <w:p w14:paraId="1F2CF92B" w14:textId="4625AB09" w:rsidR="007A2047" w:rsidRPr="000C0597" w:rsidRDefault="007A2047" w:rsidP="00243513">
      <w:pPr>
        <w:numPr>
          <w:ilvl w:val="12"/>
          <w:numId w:val="0"/>
        </w:numPr>
        <w:spacing w:line="360" w:lineRule="atLeast"/>
        <w:rPr>
          <w:rFonts w:ascii="Arial" w:hAnsi="Arial" w:cs="Arial"/>
          <w:sz w:val="22"/>
        </w:rPr>
      </w:pPr>
    </w:p>
    <w:p w14:paraId="6F64EEA9" w14:textId="77777777" w:rsidR="00BD6A65" w:rsidRPr="000C0597" w:rsidRDefault="009A57D9" w:rsidP="007A2047">
      <w:pPr>
        <w:numPr>
          <w:ilvl w:val="0"/>
          <w:numId w:val="3"/>
        </w:numPr>
        <w:spacing w:line="360" w:lineRule="atLeast"/>
        <w:jc w:val="center"/>
        <w:rPr>
          <w:rFonts w:ascii="Arial" w:hAnsi="Arial" w:cs="Arial"/>
          <w:sz w:val="22"/>
        </w:rPr>
      </w:pPr>
      <w:r w:rsidRPr="000C0597">
        <w:rPr>
          <w:rFonts w:ascii="Arial" w:hAnsi="Arial" w:cs="Arial"/>
          <w:sz w:val="22"/>
        </w:rPr>
        <w:t>Low Load Growth Case</w:t>
      </w:r>
    </w:p>
    <w:p w14:paraId="0E24C6C1" w14:textId="6343D54B" w:rsidR="00090BE0" w:rsidRPr="000675A8" w:rsidRDefault="00621B46" w:rsidP="006D78D2">
      <w:pPr>
        <w:pStyle w:val="TableHead"/>
        <w:numPr>
          <w:ilvl w:val="0"/>
          <w:numId w:val="0"/>
        </w:numPr>
        <w:spacing w:line="360" w:lineRule="atLeast"/>
        <w:rPr>
          <w:rFonts w:ascii="Arial" w:hAnsi="Arial" w:cs="Arial"/>
        </w:rPr>
      </w:pPr>
      <w:r w:rsidRPr="00621B46">
        <w:rPr>
          <w:noProof/>
        </w:rPr>
        <w:drawing>
          <wp:inline distT="0" distB="0" distL="0" distR="0" wp14:anchorId="11A9C571" wp14:editId="6807D98B">
            <wp:extent cx="5577840" cy="4224528"/>
            <wp:effectExtent l="0" t="0" r="3810" b="508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33E9893F" w14:textId="15574CC8" w:rsidR="00F379E4" w:rsidRDefault="00F379E4">
      <w:pPr>
        <w:jc w:val="left"/>
        <w:rPr>
          <w:rFonts w:ascii="Arial" w:hAnsi="Arial" w:cs="Arial"/>
          <w:sz w:val="24"/>
        </w:rPr>
      </w:pPr>
      <w:r>
        <w:rPr>
          <w:rFonts w:ascii="Arial" w:hAnsi="Arial" w:cs="Arial"/>
          <w:sz w:val="24"/>
        </w:rPr>
        <w:br w:type="page"/>
      </w:r>
    </w:p>
    <w:p w14:paraId="207235C7" w14:textId="0C3A5491" w:rsidR="00BD6A65" w:rsidRPr="000C0597" w:rsidRDefault="00522ADC">
      <w:pPr>
        <w:pStyle w:val="Heading2"/>
        <w:spacing w:line="360" w:lineRule="atLeast"/>
        <w:ind w:hanging="1026"/>
        <w:rPr>
          <w:rFonts w:ascii="Arial" w:hAnsi="Arial" w:cs="Arial"/>
          <w:sz w:val="22"/>
        </w:rPr>
      </w:pPr>
      <w:r w:rsidRPr="000C0597">
        <w:rPr>
          <w:rFonts w:ascii="Arial" w:hAnsi="Arial" w:cs="Arial"/>
          <w:sz w:val="22"/>
        </w:rPr>
        <w:t>UNIT AVAILABILITY</w:t>
      </w:r>
    </w:p>
    <w:p w14:paraId="5885CBCA" w14:textId="77777777" w:rsidR="00BD6A65" w:rsidRPr="000C0597" w:rsidRDefault="00BD6A65" w:rsidP="00243513">
      <w:pPr>
        <w:numPr>
          <w:ilvl w:val="12"/>
          <w:numId w:val="0"/>
        </w:numPr>
        <w:tabs>
          <w:tab w:val="left" w:pos="450"/>
        </w:tabs>
        <w:spacing w:line="360" w:lineRule="atLeast"/>
        <w:rPr>
          <w:rFonts w:ascii="Arial" w:hAnsi="Arial" w:cs="Arial"/>
          <w:sz w:val="22"/>
        </w:rPr>
      </w:pPr>
    </w:p>
    <w:p w14:paraId="1FE7DC93" w14:textId="77777777" w:rsidR="00435F0F" w:rsidRPr="000C0597" w:rsidRDefault="00A610FB" w:rsidP="008459CF">
      <w:pPr>
        <w:numPr>
          <w:ilvl w:val="0"/>
          <w:numId w:val="1"/>
        </w:numPr>
        <w:tabs>
          <w:tab w:val="left" w:pos="450"/>
        </w:tabs>
        <w:spacing w:line="360" w:lineRule="atLeast"/>
        <w:ind w:left="0" w:firstLine="0"/>
        <w:rPr>
          <w:rFonts w:ascii="Arial" w:hAnsi="Arial" w:cs="Arial"/>
          <w:sz w:val="22"/>
        </w:rPr>
      </w:pPr>
      <w:r w:rsidRPr="000C0597">
        <w:rPr>
          <w:rFonts w:ascii="Arial" w:hAnsi="Arial" w:cs="Arial"/>
          <w:sz w:val="22"/>
        </w:rPr>
        <w:t>Unit Availability Increase</w:t>
      </w:r>
    </w:p>
    <w:p w14:paraId="1D05C53A" w14:textId="77777777" w:rsidR="00435F0F" w:rsidRPr="000C0597" w:rsidRDefault="00435F0F" w:rsidP="00243513">
      <w:pPr>
        <w:numPr>
          <w:ilvl w:val="12"/>
          <w:numId w:val="0"/>
        </w:numPr>
        <w:tabs>
          <w:tab w:val="left" w:pos="450"/>
        </w:tabs>
        <w:spacing w:line="360" w:lineRule="atLeast"/>
        <w:rPr>
          <w:rFonts w:ascii="Arial" w:hAnsi="Arial" w:cs="Arial"/>
          <w:sz w:val="22"/>
        </w:rPr>
      </w:pPr>
    </w:p>
    <w:p w14:paraId="016C030A" w14:textId="124C14AA" w:rsidR="00435F0F" w:rsidRPr="000C0597" w:rsidRDefault="00435F0F" w:rsidP="00243513">
      <w:pPr>
        <w:numPr>
          <w:ilvl w:val="12"/>
          <w:numId w:val="0"/>
        </w:numPr>
        <w:spacing w:line="360" w:lineRule="atLeast"/>
        <w:rPr>
          <w:rFonts w:ascii="Arial" w:hAnsi="Arial" w:cs="Arial"/>
          <w:sz w:val="22"/>
        </w:rPr>
      </w:pPr>
      <w:r w:rsidRPr="000C0597">
        <w:rPr>
          <w:rFonts w:ascii="Arial" w:hAnsi="Arial" w:cs="Arial"/>
          <w:sz w:val="22"/>
        </w:rPr>
        <w:t xml:space="preserve">For this </w:t>
      </w:r>
      <w:r w:rsidR="0044018D" w:rsidRPr="000C0597">
        <w:rPr>
          <w:rFonts w:ascii="Arial" w:hAnsi="Arial" w:cs="Arial"/>
          <w:sz w:val="22"/>
        </w:rPr>
        <w:t>sensitivity</w:t>
      </w:r>
      <w:r w:rsidRPr="000C0597">
        <w:rPr>
          <w:rFonts w:ascii="Arial" w:hAnsi="Arial" w:cs="Arial"/>
          <w:sz w:val="22"/>
        </w:rPr>
        <w:t xml:space="preserve">, unit availability was increased for all units </w:t>
      </w:r>
      <w:r w:rsidR="0066372A" w:rsidRPr="000C0597">
        <w:rPr>
          <w:rFonts w:ascii="Arial" w:hAnsi="Arial" w:cs="Arial"/>
          <w:sz w:val="22"/>
        </w:rPr>
        <w:t>by lowering EFOR</w:t>
      </w:r>
      <w:r w:rsidR="00A4609C" w:rsidRPr="000C0597">
        <w:rPr>
          <w:rFonts w:ascii="Arial" w:hAnsi="Arial" w:cs="Arial"/>
          <w:sz w:val="22"/>
        </w:rPr>
        <w:t xml:space="preserve"> by </w:t>
      </w:r>
      <w:r w:rsidR="0077230E" w:rsidRPr="000C0597">
        <w:rPr>
          <w:rFonts w:ascii="Arial" w:hAnsi="Arial" w:cs="Arial"/>
          <w:sz w:val="22"/>
        </w:rPr>
        <w:t>0</w:t>
      </w:r>
      <w:r w:rsidR="00AC3654" w:rsidRPr="000C0597">
        <w:rPr>
          <w:rFonts w:ascii="Arial" w:hAnsi="Arial" w:cs="Arial"/>
          <w:sz w:val="22"/>
        </w:rPr>
        <w:t>.5</w:t>
      </w:r>
      <w:r w:rsidR="00A4609C" w:rsidRPr="000C0597">
        <w:rPr>
          <w:rFonts w:ascii="Arial" w:hAnsi="Arial" w:cs="Arial"/>
          <w:sz w:val="22"/>
        </w:rPr>
        <w:t>%</w:t>
      </w:r>
      <w:r w:rsidR="008244ED" w:rsidRPr="000C0597">
        <w:rPr>
          <w:rFonts w:ascii="Arial" w:hAnsi="Arial" w:cs="Arial"/>
          <w:sz w:val="22"/>
        </w:rPr>
        <w:t xml:space="preserve">. </w:t>
      </w:r>
      <w:r w:rsidR="0044018D" w:rsidRPr="000C0597">
        <w:rPr>
          <w:rFonts w:ascii="Arial" w:hAnsi="Arial" w:cs="Arial"/>
          <w:sz w:val="22"/>
        </w:rPr>
        <w:t>As shown in the table below, the unit availability increase</w:t>
      </w:r>
      <w:r w:rsidRPr="000C0597">
        <w:rPr>
          <w:rFonts w:ascii="Arial" w:hAnsi="Arial" w:cs="Arial"/>
          <w:sz w:val="22"/>
        </w:rPr>
        <w:t xml:space="preserve"> sensitivity resulted </w:t>
      </w:r>
      <w:r w:rsidR="00E148F2" w:rsidRPr="000C0597">
        <w:rPr>
          <w:rFonts w:ascii="Arial" w:hAnsi="Arial" w:cs="Arial"/>
          <w:sz w:val="22"/>
        </w:rPr>
        <w:t xml:space="preserve">in </w:t>
      </w:r>
      <w:r w:rsidR="001B7925" w:rsidRPr="001B7925">
        <w:rPr>
          <w:rFonts w:ascii="Arial" w:hAnsi="Arial" w:cs="Arial"/>
          <w:b/>
          <w:sz w:val="24"/>
          <w:szCs w:val="24"/>
        </w:rPr>
        <w:t>REDACTED</w:t>
      </w:r>
      <w:r w:rsidR="001B7925" w:rsidRPr="001B7925">
        <w:rPr>
          <w:rFonts w:ascii="Arial" w:hAnsi="Arial" w:cs="Arial"/>
          <w:sz w:val="24"/>
          <w:szCs w:val="24"/>
        </w:rPr>
        <w:t xml:space="preserve"> </w:t>
      </w:r>
      <w:r w:rsidR="002B00CE" w:rsidRPr="000C0597">
        <w:rPr>
          <w:rFonts w:ascii="Arial" w:hAnsi="Arial" w:cs="Arial"/>
          <w:sz w:val="22"/>
        </w:rPr>
        <w:t>over</w:t>
      </w:r>
      <w:r w:rsidR="00033927" w:rsidRPr="000C0597">
        <w:rPr>
          <w:rFonts w:ascii="Arial" w:hAnsi="Arial" w:cs="Arial"/>
          <w:sz w:val="22"/>
        </w:rPr>
        <w:t xml:space="preserve"> the twenty-year planning </w:t>
      </w:r>
      <w:r w:rsidR="00B0786B" w:rsidRPr="000C0597">
        <w:rPr>
          <w:rFonts w:ascii="Arial" w:hAnsi="Arial" w:cs="Arial"/>
          <w:sz w:val="22"/>
        </w:rPr>
        <w:t>period.</w:t>
      </w:r>
    </w:p>
    <w:p w14:paraId="792AD755" w14:textId="77777777" w:rsidR="00534A1B" w:rsidRPr="000C0597" w:rsidRDefault="00534A1B" w:rsidP="00243513">
      <w:pPr>
        <w:numPr>
          <w:ilvl w:val="12"/>
          <w:numId w:val="0"/>
        </w:numPr>
        <w:spacing w:line="360" w:lineRule="atLeast"/>
        <w:rPr>
          <w:rFonts w:ascii="Arial" w:hAnsi="Arial" w:cs="Arial"/>
          <w:sz w:val="22"/>
        </w:rPr>
      </w:pPr>
    </w:p>
    <w:p w14:paraId="3C62D887" w14:textId="77777777" w:rsidR="00F543EC" w:rsidRDefault="00A610FB" w:rsidP="00F543EC">
      <w:pPr>
        <w:numPr>
          <w:ilvl w:val="0"/>
          <w:numId w:val="3"/>
        </w:numPr>
        <w:spacing w:line="360" w:lineRule="atLeast"/>
        <w:jc w:val="center"/>
        <w:rPr>
          <w:rFonts w:ascii="Arial" w:hAnsi="Arial" w:cs="Arial"/>
          <w:sz w:val="22"/>
        </w:rPr>
      </w:pPr>
      <w:r w:rsidRPr="000C0597">
        <w:rPr>
          <w:rFonts w:ascii="Arial" w:hAnsi="Arial" w:cs="Arial"/>
          <w:sz w:val="22"/>
        </w:rPr>
        <w:t>Unit Availability Increase</w:t>
      </w:r>
    </w:p>
    <w:p w14:paraId="6D7945B9" w14:textId="5B7F440F" w:rsidR="00435F0F" w:rsidRPr="00F543EC" w:rsidRDefault="00EC1C20" w:rsidP="00F543EC">
      <w:pPr>
        <w:spacing w:line="360" w:lineRule="atLeast"/>
        <w:ind w:left="58"/>
        <w:rPr>
          <w:rFonts w:ascii="Arial" w:hAnsi="Arial" w:cs="Arial"/>
          <w:sz w:val="22"/>
        </w:rPr>
      </w:pPr>
      <w:r w:rsidRPr="00EC1C20">
        <w:rPr>
          <w:noProof/>
        </w:rPr>
        <w:drawing>
          <wp:inline distT="0" distB="0" distL="0" distR="0" wp14:anchorId="5EF83815" wp14:editId="595D2825">
            <wp:extent cx="5577840" cy="4224528"/>
            <wp:effectExtent l="0" t="0" r="3810" b="508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r w:rsidR="00FD093E" w:rsidRPr="00F543EC">
        <w:rPr>
          <w:rFonts w:ascii="Arial" w:hAnsi="Arial" w:cs="Arial"/>
          <w:sz w:val="24"/>
          <w:highlight w:val="yellow"/>
        </w:rPr>
        <w:br w:type="page"/>
      </w:r>
    </w:p>
    <w:p w14:paraId="6074BDF8" w14:textId="77777777" w:rsidR="00435F0F" w:rsidRPr="000C0597" w:rsidRDefault="00A610FB" w:rsidP="008459CF">
      <w:pPr>
        <w:numPr>
          <w:ilvl w:val="0"/>
          <w:numId w:val="1"/>
        </w:numPr>
        <w:tabs>
          <w:tab w:val="left" w:pos="450"/>
        </w:tabs>
        <w:spacing w:line="360" w:lineRule="atLeast"/>
        <w:ind w:left="0" w:firstLine="0"/>
        <w:rPr>
          <w:rFonts w:ascii="Arial" w:hAnsi="Arial" w:cs="Arial"/>
          <w:sz w:val="22"/>
        </w:rPr>
      </w:pPr>
      <w:r w:rsidRPr="000C0597">
        <w:rPr>
          <w:rFonts w:ascii="Arial" w:hAnsi="Arial" w:cs="Arial"/>
          <w:sz w:val="22"/>
        </w:rPr>
        <w:t>Unit Availability Decrease</w:t>
      </w:r>
    </w:p>
    <w:p w14:paraId="79A8C55B" w14:textId="77777777" w:rsidR="00435F0F" w:rsidRPr="000C0597" w:rsidRDefault="00435F0F" w:rsidP="00243513">
      <w:pPr>
        <w:numPr>
          <w:ilvl w:val="12"/>
          <w:numId w:val="0"/>
        </w:numPr>
        <w:spacing w:line="360" w:lineRule="atLeast"/>
        <w:rPr>
          <w:rFonts w:ascii="Arial" w:hAnsi="Arial" w:cs="Arial"/>
          <w:sz w:val="22"/>
        </w:rPr>
      </w:pPr>
    </w:p>
    <w:p w14:paraId="5AA83456" w14:textId="45E3C46C" w:rsidR="00435F0F" w:rsidRPr="000C0597" w:rsidRDefault="00435F0F" w:rsidP="00243513">
      <w:pPr>
        <w:numPr>
          <w:ilvl w:val="12"/>
          <w:numId w:val="0"/>
        </w:numPr>
        <w:spacing w:line="360" w:lineRule="atLeast"/>
        <w:rPr>
          <w:rFonts w:ascii="Arial" w:hAnsi="Arial" w:cs="Arial"/>
          <w:sz w:val="22"/>
        </w:rPr>
      </w:pPr>
      <w:r w:rsidRPr="000C0597">
        <w:rPr>
          <w:rFonts w:ascii="Arial" w:hAnsi="Arial" w:cs="Arial"/>
          <w:sz w:val="22"/>
        </w:rPr>
        <w:t xml:space="preserve">For this </w:t>
      </w:r>
      <w:r w:rsidR="002B00CE" w:rsidRPr="000C0597">
        <w:rPr>
          <w:rFonts w:ascii="Arial" w:hAnsi="Arial" w:cs="Arial"/>
          <w:sz w:val="22"/>
        </w:rPr>
        <w:t>sensitivity</w:t>
      </w:r>
      <w:r w:rsidRPr="000C0597">
        <w:rPr>
          <w:rFonts w:ascii="Arial" w:hAnsi="Arial" w:cs="Arial"/>
          <w:sz w:val="22"/>
        </w:rPr>
        <w:t xml:space="preserve">, unit availability was decreased for all units </w:t>
      </w:r>
      <w:r w:rsidR="0066372A" w:rsidRPr="000C0597">
        <w:rPr>
          <w:rFonts w:ascii="Arial" w:hAnsi="Arial" w:cs="Arial"/>
          <w:sz w:val="22"/>
        </w:rPr>
        <w:t>by increasing EFOR</w:t>
      </w:r>
      <w:r w:rsidR="00A4609C" w:rsidRPr="000C0597">
        <w:rPr>
          <w:rFonts w:ascii="Arial" w:hAnsi="Arial" w:cs="Arial"/>
          <w:sz w:val="22"/>
        </w:rPr>
        <w:t xml:space="preserve"> by </w:t>
      </w:r>
      <w:r w:rsidR="00BB21A7" w:rsidRPr="000C0597">
        <w:rPr>
          <w:rFonts w:ascii="Arial" w:hAnsi="Arial" w:cs="Arial"/>
          <w:sz w:val="22"/>
        </w:rPr>
        <w:t>1</w:t>
      </w:r>
      <w:r w:rsidR="00A4609C" w:rsidRPr="000C0597">
        <w:rPr>
          <w:rFonts w:ascii="Arial" w:hAnsi="Arial" w:cs="Arial"/>
          <w:sz w:val="22"/>
        </w:rPr>
        <w:t>%</w:t>
      </w:r>
      <w:r w:rsidR="008244ED" w:rsidRPr="000C0597">
        <w:rPr>
          <w:rFonts w:ascii="Arial" w:hAnsi="Arial" w:cs="Arial"/>
          <w:sz w:val="22"/>
        </w:rPr>
        <w:t xml:space="preserve">. </w:t>
      </w:r>
      <w:r w:rsidR="002B00CE" w:rsidRPr="000C0597">
        <w:rPr>
          <w:rFonts w:ascii="Arial" w:hAnsi="Arial" w:cs="Arial"/>
          <w:sz w:val="22"/>
        </w:rPr>
        <w:t xml:space="preserve">As shown in the table below, the unit availability decrease </w:t>
      </w:r>
      <w:r w:rsidR="000A0D62" w:rsidRPr="000C0597">
        <w:rPr>
          <w:rFonts w:ascii="Arial" w:hAnsi="Arial" w:cs="Arial"/>
          <w:sz w:val="22"/>
        </w:rPr>
        <w:t xml:space="preserve">sensitivity resulted </w:t>
      </w:r>
      <w:r w:rsidR="009435CA" w:rsidRPr="000C0597">
        <w:rPr>
          <w:rFonts w:ascii="Arial" w:hAnsi="Arial" w:cs="Arial"/>
          <w:sz w:val="22"/>
        </w:rPr>
        <w:t xml:space="preserve">in </w:t>
      </w:r>
      <w:r w:rsidR="001B7925" w:rsidRPr="00B80817">
        <w:rPr>
          <w:rFonts w:ascii="Arial" w:hAnsi="Arial" w:cs="Arial"/>
          <w:b/>
          <w:sz w:val="22"/>
          <w:szCs w:val="28"/>
        </w:rPr>
        <w:t>REDACTED</w:t>
      </w:r>
      <w:r w:rsidR="00B80817">
        <w:rPr>
          <w:rFonts w:ascii="Arial" w:hAnsi="Arial" w:cs="Arial"/>
          <w:b/>
          <w:sz w:val="22"/>
          <w:szCs w:val="28"/>
        </w:rPr>
        <w:t xml:space="preserve"> REDACTED</w:t>
      </w:r>
      <w:r w:rsidR="001B7925" w:rsidRPr="00B80817">
        <w:rPr>
          <w:rFonts w:ascii="Arial" w:hAnsi="Arial" w:cs="Arial"/>
          <w:sz w:val="18"/>
        </w:rPr>
        <w:t xml:space="preserve"> </w:t>
      </w:r>
      <w:r w:rsidR="009435CA" w:rsidRPr="000C0597">
        <w:rPr>
          <w:rFonts w:ascii="Arial" w:hAnsi="Arial" w:cs="Arial"/>
          <w:sz w:val="22"/>
        </w:rPr>
        <w:t>over the twenty-year planning period.</w:t>
      </w:r>
    </w:p>
    <w:p w14:paraId="01EC9FE3" w14:textId="4DE7C7A4" w:rsidR="00435F0F" w:rsidRPr="000C0597" w:rsidRDefault="00435F0F" w:rsidP="00243513">
      <w:pPr>
        <w:numPr>
          <w:ilvl w:val="12"/>
          <w:numId w:val="0"/>
        </w:numPr>
        <w:spacing w:line="360" w:lineRule="atLeast"/>
        <w:rPr>
          <w:rFonts w:ascii="Arial" w:hAnsi="Arial" w:cs="Arial"/>
          <w:sz w:val="22"/>
        </w:rPr>
      </w:pPr>
    </w:p>
    <w:p w14:paraId="3ECFE91D" w14:textId="3F086157" w:rsidR="00435F0F" w:rsidRPr="000C0597" w:rsidRDefault="00A610FB" w:rsidP="00CA2201">
      <w:pPr>
        <w:numPr>
          <w:ilvl w:val="0"/>
          <w:numId w:val="3"/>
        </w:numPr>
        <w:spacing w:line="360" w:lineRule="atLeast"/>
        <w:jc w:val="center"/>
        <w:rPr>
          <w:rFonts w:ascii="Arial" w:hAnsi="Arial" w:cs="Arial"/>
          <w:sz w:val="22"/>
        </w:rPr>
      </w:pPr>
      <w:r w:rsidRPr="000C0597">
        <w:rPr>
          <w:rFonts w:ascii="Arial" w:hAnsi="Arial" w:cs="Arial"/>
          <w:sz w:val="22"/>
        </w:rPr>
        <w:t>Unit Availability Decrease</w:t>
      </w:r>
      <w:r w:rsidR="00F379E4" w:rsidRPr="00F379E4">
        <w:rPr>
          <w:rFonts w:ascii="Arial" w:hAnsi="Arial" w:cs="Arial"/>
          <w:sz w:val="22"/>
        </w:rPr>
        <w:t xml:space="preserve"> </w:t>
      </w:r>
      <w:r w:rsidR="00CA2201" w:rsidRPr="00CA2201">
        <w:rPr>
          <w:noProof/>
        </w:rPr>
        <w:drawing>
          <wp:inline distT="0" distB="0" distL="0" distR="0" wp14:anchorId="495009E9" wp14:editId="0DF60789">
            <wp:extent cx="5577840" cy="4224528"/>
            <wp:effectExtent l="0" t="0" r="3810" b="508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492EDCC5" w14:textId="2DFE30B5" w:rsidR="00435F0F" w:rsidRPr="000675A8" w:rsidRDefault="00435F0F" w:rsidP="006D78D2">
      <w:pPr>
        <w:numPr>
          <w:ilvl w:val="12"/>
          <w:numId w:val="0"/>
        </w:numPr>
        <w:spacing w:line="360" w:lineRule="atLeast"/>
        <w:ind w:left="2160" w:hanging="2160"/>
        <w:jc w:val="center"/>
        <w:rPr>
          <w:rFonts w:ascii="Arial" w:hAnsi="Arial" w:cs="Arial"/>
          <w:sz w:val="24"/>
          <w:highlight w:val="yellow"/>
        </w:rPr>
      </w:pPr>
    </w:p>
    <w:p w14:paraId="4DF0FF13" w14:textId="4C6604EA" w:rsidR="00F379E4" w:rsidRDefault="00F379E4">
      <w:pPr>
        <w:jc w:val="left"/>
        <w:rPr>
          <w:rFonts w:ascii="Arial" w:hAnsi="Arial" w:cs="Arial"/>
          <w:sz w:val="24"/>
          <w:highlight w:val="yellow"/>
        </w:rPr>
      </w:pPr>
      <w:r>
        <w:rPr>
          <w:rFonts w:ascii="Arial" w:hAnsi="Arial" w:cs="Arial"/>
          <w:sz w:val="24"/>
          <w:highlight w:val="yellow"/>
        </w:rPr>
        <w:br w:type="page"/>
      </w:r>
    </w:p>
    <w:p w14:paraId="59C6DF27" w14:textId="4080F204" w:rsidR="00D57428" w:rsidRPr="000C0597" w:rsidRDefault="00D57428" w:rsidP="00DB442E">
      <w:pPr>
        <w:pStyle w:val="Heading2"/>
        <w:spacing w:line="360" w:lineRule="atLeast"/>
        <w:ind w:hanging="1026"/>
        <w:rPr>
          <w:rFonts w:ascii="Arial" w:hAnsi="Arial" w:cs="Arial"/>
          <w:sz w:val="22"/>
        </w:rPr>
      </w:pPr>
      <w:r w:rsidRPr="000C0597">
        <w:rPr>
          <w:rFonts w:ascii="Arial" w:hAnsi="Arial" w:cs="Arial"/>
          <w:sz w:val="22"/>
        </w:rPr>
        <w:t xml:space="preserve">RATE IMPACT ANALYSIS </w:t>
      </w:r>
    </w:p>
    <w:p w14:paraId="3D6BB083" w14:textId="77777777" w:rsidR="00824A02" w:rsidRPr="000C0597" w:rsidRDefault="00824A02" w:rsidP="00243513">
      <w:pPr>
        <w:numPr>
          <w:ilvl w:val="12"/>
          <w:numId w:val="0"/>
        </w:numPr>
        <w:tabs>
          <w:tab w:val="left" w:pos="450"/>
        </w:tabs>
        <w:spacing w:line="360" w:lineRule="atLeast"/>
        <w:rPr>
          <w:rFonts w:ascii="Arial" w:hAnsi="Arial" w:cs="Arial"/>
          <w:sz w:val="22"/>
        </w:rPr>
      </w:pPr>
    </w:p>
    <w:p w14:paraId="675F6728" w14:textId="4E5AB4BD" w:rsidR="00824A02" w:rsidRPr="000C0597" w:rsidRDefault="00060EA2" w:rsidP="000B291A">
      <w:pPr>
        <w:numPr>
          <w:ilvl w:val="0"/>
          <w:numId w:val="6"/>
        </w:numPr>
        <w:tabs>
          <w:tab w:val="left" w:pos="450"/>
        </w:tabs>
        <w:spacing w:line="360" w:lineRule="atLeast"/>
        <w:ind w:left="360"/>
        <w:rPr>
          <w:rFonts w:ascii="Arial" w:hAnsi="Arial" w:cs="Arial"/>
          <w:sz w:val="22"/>
        </w:rPr>
      </w:pPr>
      <w:r w:rsidRPr="000C0597">
        <w:rPr>
          <w:rFonts w:ascii="Arial" w:hAnsi="Arial" w:cs="Arial"/>
          <w:sz w:val="22"/>
        </w:rPr>
        <w:t xml:space="preserve">See rate impact analysis in the Financial </w:t>
      </w:r>
      <w:r w:rsidR="00CC123E" w:rsidRPr="000C0597">
        <w:rPr>
          <w:rFonts w:ascii="Arial" w:hAnsi="Arial" w:cs="Arial"/>
          <w:sz w:val="22"/>
        </w:rPr>
        <w:t xml:space="preserve">Review </w:t>
      </w:r>
      <w:r w:rsidRPr="000C0597">
        <w:rPr>
          <w:rFonts w:ascii="Arial" w:hAnsi="Arial" w:cs="Arial"/>
          <w:sz w:val="22"/>
        </w:rPr>
        <w:t xml:space="preserve">Section found </w:t>
      </w:r>
      <w:r w:rsidR="00E71AE2" w:rsidRPr="000C0597">
        <w:rPr>
          <w:rFonts w:ascii="Arial" w:hAnsi="Arial" w:cs="Arial"/>
          <w:sz w:val="22"/>
        </w:rPr>
        <w:t>in</w:t>
      </w:r>
      <w:r w:rsidRPr="000C0597">
        <w:rPr>
          <w:rFonts w:ascii="Arial" w:hAnsi="Arial" w:cs="Arial"/>
          <w:sz w:val="22"/>
        </w:rPr>
        <w:t xml:space="preserve"> </w:t>
      </w:r>
      <w:r w:rsidR="00096B4B" w:rsidRPr="000C0597">
        <w:rPr>
          <w:rFonts w:ascii="Arial" w:hAnsi="Arial" w:cs="Arial"/>
          <w:sz w:val="22"/>
        </w:rPr>
        <w:t>Technical</w:t>
      </w:r>
      <w:r w:rsidR="00CC123E" w:rsidRPr="000C0597">
        <w:rPr>
          <w:rFonts w:ascii="Arial" w:hAnsi="Arial" w:cs="Arial"/>
          <w:sz w:val="22"/>
        </w:rPr>
        <w:t xml:space="preserve"> </w:t>
      </w:r>
      <w:r w:rsidRPr="000C0597">
        <w:rPr>
          <w:rFonts w:ascii="Arial" w:hAnsi="Arial" w:cs="Arial"/>
          <w:sz w:val="22"/>
        </w:rPr>
        <w:t>Append</w:t>
      </w:r>
      <w:r w:rsidR="00E71AE2" w:rsidRPr="000C0597">
        <w:rPr>
          <w:rFonts w:ascii="Arial" w:hAnsi="Arial" w:cs="Arial"/>
          <w:sz w:val="22"/>
        </w:rPr>
        <w:t>i</w:t>
      </w:r>
      <w:r w:rsidRPr="000C0597">
        <w:rPr>
          <w:rFonts w:ascii="Arial" w:hAnsi="Arial" w:cs="Arial"/>
          <w:sz w:val="22"/>
        </w:rPr>
        <w:t xml:space="preserve">x </w:t>
      </w:r>
      <w:r w:rsidR="00DF5707" w:rsidRPr="000C0597">
        <w:rPr>
          <w:rFonts w:ascii="Arial" w:hAnsi="Arial" w:cs="Arial"/>
          <w:sz w:val="22"/>
        </w:rPr>
        <w:t>Volume</w:t>
      </w:r>
      <w:r w:rsidR="00DF5707">
        <w:rPr>
          <w:rFonts w:ascii="Arial" w:hAnsi="Arial" w:cs="Arial"/>
          <w:sz w:val="22"/>
        </w:rPr>
        <w:t> </w:t>
      </w:r>
      <w:r w:rsidR="00F225CE" w:rsidRPr="000C0597">
        <w:rPr>
          <w:rFonts w:ascii="Arial" w:hAnsi="Arial" w:cs="Arial"/>
          <w:sz w:val="22"/>
        </w:rPr>
        <w:t>2</w:t>
      </w:r>
      <w:r w:rsidR="00CC123E" w:rsidRPr="000C0597">
        <w:rPr>
          <w:rFonts w:ascii="Arial" w:hAnsi="Arial" w:cs="Arial"/>
          <w:sz w:val="22"/>
        </w:rPr>
        <w:t>.</w:t>
      </w:r>
    </w:p>
    <w:p w14:paraId="52055401" w14:textId="77777777" w:rsidR="00EC6BC9" w:rsidRPr="000C0597" w:rsidRDefault="00EC6BC9" w:rsidP="00EC6BC9">
      <w:pPr>
        <w:tabs>
          <w:tab w:val="left" w:pos="450"/>
        </w:tabs>
        <w:spacing w:line="360" w:lineRule="atLeast"/>
        <w:rPr>
          <w:rFonts w:ascii="Arial" w:hAnsi="Arial" w:cs="Arial"/>
          <w:sz w:val="22"/>
        </w:rPr>
      </w:pPr>
    </w:p>
    <w:p w14:paraId="5EA46930" w14:textId="4817BDE4" w:rsidR="00824A02" w:rsidRPr="000C0597" w:rsidRDefault="00522ADC" w:rsidP="004F6CBC">
      <w:pPr>
        <w:pStyle w:val="Heading2"/>
        <w:tabs>
          <w:tab w:val="num" w:pos="0"/>
        </w:tabs>
        <w:spacing w:line="360" w:lineRule="atLeast"/>
        <w:ind w:left="0" w:firstLine="0"/>
        <w:jc w:val="left"/>
        <w:rPr>
          <w:rFonts w:ascii="Arial" w:hAnsi="Arial" w:cs="Arial"/>
          <w:sz w:val="22"/>
        </w:rPr>
      </w:pPr>
      <w:r w:rsidRPr="000C0597">
        <w:rPr>
          <w:rFonts w:ascii="Arial" w:hAnsi="Arial" w:cs="Arial"/>
          <w:sz w:val="22"/>
        </w:rPr>
        <w:t>IN SERVICE DATES OF SUPPLY AND DEMAND RESOURCES</w:t>
      </w:r>
    </w:p>
    <w:p w14:paraId="51DCB5C2" w14:textId="77777777" w:rsidR="004F6CBC" w:rsidRPr="000C0597" w:rsidRDefault="004F6CBC" w:rsidP="004F6CBC">
      <w:pPr>
        <w:rPr>
          <w:rFonts w:ascii="Arial" w:hAnsi="Arial" w:cs="Arial"/>
          <w:sz w:val="18"/>
        </w:rPr>
      </w:pPr>
    </w:p>
    <w:p w14:paraId="77964C2C" w14:textId="19F1513D" w:rsidR="006A210D" w:rsidRPr="000C0597" w:rsidRDefault="00A610FB" w:rsidP="004F6CBC">
      <w:pPr>
        <w:numPr>
          <w:ilvl w:val="0"/>
          <w:numId w:val="1"/>
        </w:numPr>
        <w:tabs>
          <w:tab w:val="left" w:pos="450"/>
        </w:tabs>
        <w:spacing w:line="360" w:lineRule="atLeast"/>
        <w:ind w:left="0" w:firstLine="0"/>
        <w:rPr>
          <w:rFonts w:ascii="Arial" w:hAnsi="Arial" w:cs="Arial"/>
          <w:sz w:val="22"/>
        </w:rPr>
      </w:pPr>
      <w:r w:rsidRPr="000C0597">
        <w:rPr>
          <w:rFonts w:ascii="Arial" w:hAnsi="Arial" w:cs="Arial"/>
          <w:sz w:val="22"/>
        </w:rPr>
        <w:t>No Non-</w:t>
      </w:r>
      <w:r w:rsidR="00DF5707">
        <w:rPr>
          <w:rFonts w:ascii="Arial" w:hAnsi="Arial" w:cs="Arial"/>
          <w:sz w:val="22"/>
        </w:rPr>
        <w:t>D</w:t>
      </w:r>
      <w:r w:rsidRPr="000C0597">
        <w:rPr>
          <w:rFonts w:ascii="Arial" w:hAnsi="Arial" w:cs="Arial"/>
          <w:sz w:val="22"/>
        </w:rPr>
        <w:t>ispatchable DSM</w:t>
      </w:r>
    </w:p>
    <w:p w14:paraId="184FEC85" w14:textId="77777777" w:rsidR="004F6CBC" w:rsidRPr="000C0597" w:rsidRDefault="004F6CBC" w:rsidP="004F6CBC">
      <w:pPr>
        <w:tabs>
          <w:tab w:val="left" w:pos="450"/>
        </w:tabs>
        <w:spacing w:line="360" w:lineRule="atLeast"/>
        <w:rPr>
          <w:rFonts w:ascii="Arial" w:hAnsi="Arial" w:cs="Arial"/>
          <w:sz w:val="22"/>
        </w:rPr>
      </w:pPr>
    </w:p>
    <w:p w14:paraId="5BF51D2F" w14:textId="608C2B7E" w:rsidR="006A210D" w:rsidRDefault="006A210D" w:rsidP="006A210D">
      <w:pPr>
        <w:numPr>
          <w:ilvl w:val="12"/>
          <w:numId w:val="0"/>
        </w:numPr>
        <w:spacing w:line="360" w:lineRule="atLeast"/>
        <w:rPr>
          <w:rFonts w:ascii="Arial" w:hAnsi="Arial" w:cs="Arial"/>
          <w:sz w:val="22"/>
        </w:rPr>
      </w:pPr>
      <w:r w:rsidRPr="000C0597">
        <w:rPr>
          <w:rFonts w:ascii="Arial" w:hAnsi="Arial" w:cs="Arial"/>
          <w:sz w:val="22"/>
        </w:rPr>
        <w:t xml:space="preserve">The load forecast for this case was developed by </w:t>
      </w:r>
      <w:r w:rsidR="004F6CBC" w:rsidRPr="000C0597">
        <w:rPr>
          <w:rFonts w:ascii="Arial" w:hAnsi="Arial" w:cs="Arial"/>
          <w:sz w:val="22"/>
        </w:rPr>
        <w:t xml:space="preserve">Georgia Power </w:t>
      </w:r>
      <w:r w:rsidRPr="000C0597">
        <w:rPr>
          <w:rFonts w:ascii="Arial" w:hAnsi="Arial" w:cs="Arial"/>
          <w:sz w:val="22"/>
        </w:rPr>
        <w:t>Load Forecasting to represent a no non-dispatchable DSM forecast for Georgia Power</w:t>
      </w:r>
      <w:r w:rsidR="008244ED" w:rsidRPr="000C0597">
        <w:rPr>
          <w:rFonts w:ascii="Arial" w:hAnsi="Arial" w:cs="Arial"/>
          <w:sz w:val="22"/>
        </w:rPr>
        <w:t xml:space="preserve">. </w:t>
      </w:r>
      <w:r w:rsidR="00330562" w:rsidRPr="000C0597">
        <w:rPr>
          <w:rFonts w:ascii="Arial" w:hAnsi="Arial" w:cs="Arial"/>
          <w:sz w:val="22"/>
        </w:rPr>
        <w:t xml:space="preserve">As shown in the table below, </w:t>
      </w:r>
      <w:r w:rsidR="001C640A" w:rsidRPr="000C0597">
        <w:rPr>
          <w:rFonts w:ascii="Arial" w:hAnsi="Arial" w:cs="Arial"/>
          <w:sz w:val="22"/>
        </w:rPr>
        <w:t>t</w:t>
      </w:r>
      <w:r w:rsidRPr="000C0597">
        <w:rPr>
          <w:rFonts w:ascii="Arial" w:hAnsi="Arial" w:cs="Arial"/>
          <w:sz w:val="22"/>
        </w:rPr>
        <w:t xml:space="preserve">he no non-dispatchable DSM </w:t>
      </w:r>
      <w:r w:rsidR="00330562" w:rsidRPr="000C0597">
        <w:rPr>
          <w:rFonts w:ascii="Arial" w:hAnsi="Arial" w:cs="Arial"/>
          <w:sz w:val="22"/>
        </w:rPr>
        <w:t>sensitivity</w:t>
      </w:r>
      <w:r w:rsidRPr="000C0597">
        <w:rPr>
          <w:rFonts w:ascii="Arial" w:hAnsi="Arial" w:cs="Arial"/>
          <w:sz w:val="22"/>
        </w:rPr>
        <w:t xml:space="preserve"> resulted </w:t>
      </w:r>
      <w:r w:rsidR="009435CA" w:rsidRPr="000C0597">
        <w:rPr>
          <w:rFonts w:ascii="Arial" w:hAnsi="Arial" w:cs="Arial"/>
          <w:sz w:val="22"/>
        </w:rPr>
        <w:t xml:space="preserve">in </w:t>
      </w:r>
      <w:r w:rsidR="001B7925" w:rsidRPr="00B80817">
        <w:rPr>
          <w:rFonts w:ascii="Arial" w:hAnsi="Arial" w:cs="Arial"/>
          <w:b/>
          <w:sz w:val="22"/>
          <w:szCs w:val="24"/>
        </w:rPr>
        <w:t>REDACTED</w:t>
      </w:r>
      <w:r w:rsidR="00B80817">
        <w:rPr>
          <w:rFonts w:ascii="Arial" w:hAnsi="Arial" w:cs="Arial"/>
          <w:b/>
          <w:sz w:val="22"/>
          <w:szCs w:val="24"/>
        </w:rPr>
        <w:t xml:space="preserve"> REDACTED</w:t>
      </w:r>
      <w:r w:rsidR="001B7925" w:rsidRPr="00B80817">
        <w:rPr>
          <w:rFonts w:ascii="Arial" w:hAnsi="Arial" w:cs="Arial"/>
        </w:rPr>
        <w:t xml:space="preserve"> </w:t>
      </w:r>
      <w:r w:rsidR="009435CA" w:rsidRPr="000C0597">
        <w:rPr>
          <w:rFonts w:ascii="Arial" w:hAnsi="Arial" w:cs="Arial"/>
          <w:sz w:val="22"/>
        </w:rPr>
        <w:t>over the twenty-year planning period</w:t>
      </w:r>
      <w:r w:rsidR="008244ED" w:rsidRPr="000C0597">
        <w:rPr>
          <w:rFonts w:ascii="Arial" w:hAnsi="Arial" w:cs="Arial"/>
          <w:sz w:val="22"/>
        </w:rPr>
        <w:t xml:space="preserve">. </w:t>
      </w:r>
      <w:r w:rsidR="00B53888" w:rsidRPr="000C0597">
        <w:rPr>
          <w:rFonts w:ascii="Arial" w:hAnsi="Arial" w:cs="Arial"/>
          <w:sz w:val="22"/>
        </w:rPr>
        <w:t xml:space="preserve">The need for additional capacity accelerated the need year </w:t>
      </w:r>
      <w:r w:rsidR="001B7925" w:rsidRPr="00B80817">
        <w:rPr>
          <w:rFonts w:ascii="Arial" w:hAnsi="Arial" w:cs="Arial"/>
          <w:b/>
          <w:sz w:val="22"/>
          <w:szCs w:val="24"/>
        </w:rPr>
        <w:t>REDACTED</w:t>
      </w:r>
      <w:r w:rsidR="00B53888" w:rsidRPr="000C0597">
        <w:rPr>
          <w:rFonts w:ascii="Arial" w:hAnsi="Arial" w:cs="Arial"/>
          <w:sz w:val="22"/>
        </w:rPr>
        <w:t>.</w:t>
      </w:r>
    </w:p>
    <w:p w14:paraId="590735AA" w14:textId="77777777" w:rsidR="00DF5707" w:rsidRPr="000C0597" w:rsidRDefault="00DF5707" w:rsidP="006A210D">
      <w:pPr>
        <w:numPr>
          <w:ilvl w:val="12"/>
          <w:numId w:val="0"/>
        </w:numPr>
        <w:spacing w:line="360" w:lineRule="atLeast"/>
        <w:rPr>
          <w:rFonts w:ascii="Arial" w:hAnsi="Arial" w:cs="Arial"/>
          <w:sz w:val="22"/>
        </w:rPr>
      </w:pPr>
    </w:p>
    <w:p w14:paraId="656D6ECF" w14:textId="77777777" w:rsidR="006A210D" w:rsidRPr="000C0597" w:rsidRDefault="009A57D9" w:rsidP="00330562">
      <w:pPr>
        <w:numPr>
          <w:ilvl w:val="0"/>
          <w:numId w:val="3"/>
        </w:numPr>
        <w:spacing w:line="360" w:lineRule="atLeast"/>
        <w:jc w:val="center"/>
        <w:rPr>
          <w:rFonts w:ascii="Arial" w:hAnsi="Arial" w:cs="Arial"/>
          <w:sz w:val="22"/>
        </w:rPr>
      </w:pPr>
      <w:bookmarkStart w:id="36" w:name="OLE_LINK1"/>
      <w:r w:rsidRPr="000C0597">
        <w:rPr>
          <w:rFonts w:ascii="Arial" w:hAnsi="Arial" w:cs="Arial"/>
          <w:sz w:val="22"/>
        </w:rPr>
        <w:t>No Non-</w:t>
      </w:r>
      <w:r w:rsidR="00B53888" w:rsidRPr="000C0597">
        <w:rPr>
          <w:rFonts w:ascii="Arial" w:hAnsi="Arial" w:cs="Arial"/>
          <w:sz w:val="22"/>
        </w:rPr>
        <w:t>D</w:t>
      </w:r>
      <w:r w:rsidRPr="000C0597">
        <w:rPr>
          <w:rFonts w:ascii="Arial" w:hAnsi="Arial" w:cs="Arial"/>
          <w:sz w:val="22"/>
        </w:rPr>
        <w:t>ispatchable DSM</w:t>
      </w:r>
      <w:bookmarkEnd w:id="36"/>
    </w:p>
    <w:p w14:paraId="3240FA21" w14:textId="73B65882" w:rsidR="006A210D" w:rsidRPr="000675A8" w:rsidRDefault="00CA2201" w:rsidP="006D78D2">
      <w:pPr>
        <w:spacing w:line="360" w:lineRule="atLeast"/>
        <w:jc w:val="center"/>
        <w:rPr>
          <w:rFonts w:ascii="Arial" w:hAnsi="Arial" w:cs="Arial"/>
          <w:sz w:val="24"/>
        </w:rPr>
      </w:pPr>
      <w:r w:rsidRPr="00CA2201">
        <w:rPr>
          <w:noProof/>
        </w:rPr>
        <w:drawing>
          <wp:inline distT="0" distB="0" distL="0" distR="0" wp14:anchorId="796AECD4" wp14:editId="1C8BDCC0">
            <wp:extent cx="5577840" cy="4224528"/>
            <wp:effectExtent l="0" t="0" r="3810" b="508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71AE445A" w14:textId="77777777" w:rsidR="00CA2201" w:rsidRDefault="00CA2201" w:rsidP="00CA2201">
      <w:pPr>
        <w:spacing w:line="360" w:lineRule="atLeast"/>
        <w:ind w:left="360"/>
        <w:rPr>
          <w:rFonts w:ascii="Arial" w:hAnsi="Arial" w:cs="Arial"/>
          <w:sz w:val="22"/>
        </w:rPr>
      </w:pPr>
    </w:p>
    <w:p w14:paraId="57CE023C" w14:textId="3CA06E25" w:rsidR="006A210D" w:rsidRPr="000C0597" w:rsidRDefault="007B0D0E" w:rsidP="00DF5707">
      <w:pPr>
        <w:numPr>
          <w:ilvl w:val="0"/>
          <w:numId w:val="1"/>
        </w:numPr>
        <w:spacing w:line="360" w:lineRule="atLeast"/>
        <w:ind w:left="360"/>
        <w:rPr>
          <w:rFonts w:ascii="Arial" w:hAnsi="Arial" w:cs="Arial"/>
          <w:sz w:val="22"/>
        </w:rPr>
      </w:pPr>
      <w:r w:rsidRPr="000C0597">
        <w:rPr>
          <w:rFonts w:ascii="Arial" w:hAnsi="Arial" w:cs="Arial"/>
          <w:sz w:val="22"/>
        </w:rPr>
        <w:t>Aggressive Non-</w:t>
      </w:r>
      <w:r w:rsidR="00DF5707">
        <w:rPr>
          <w:rFonts w:ascii="Arial" w:hAnsi="Arial" w:cs="Arial"/>
          <w:sz w:val="22"/>
        </w:rPr>
        <w:t>D</w:t>
      </w:r>
      <w:r w:rsidRPr="000C0597">
        <w:rPr>
          <w:rFonts w:ascii="Arial" w:hAnsi="Arial" w:cs="Arial"/>
          <w:sz w:val="22"/>
        </w:rPr>
        <w:t>ispatchable DSM Expansion</w:t>
      </w:r>
    </w:p>
    <w:p w14:paraId="15389DED" w14:textId="77777777" w:rsidR="006A210D" w:rsidRPr="000C0597" w:rsidRDefault="006A210D" w:rsidP="00A701FB">
      <w:pPr>
        <w:spacing w:line="360" w:lineRule="atLeast"/>
        <w:rPr>
          <w:rFonts w:ascii="Arial" w:hAnsi="Arial" w:cs="Arial"/>
          <w:sz w:val="22"/>
        </w:rPr>
      </w:pPr>
    </w:p>
    <w:p w14:paraId="380F56AE" w14:textId="772CEDE5" w:rsidR="00B85AAA" w:rsidRPr="000C0597" w:rsidRDefault="00493114" w:rsidP="00063A38">
      <w:pPr>
        <w:autoSpaceDE w:val="0"/>
        <w:autoSpaceDN w:val="0"/>
        <w:spacing w:line="360" w:lineRule="atLeast"/>
        <w:rPr>
          <w:rFonts w:ascii="Arial" w:hAnsi="Arial" w:cs="Arial"/>
          <w:sz w:val="22"/>
        </w:rPr>
      </w:pPr>
      <w:r w:rsidRPr="000C0597">
        <w:rPr>
          <w:rFonts w:ascii="Arial" w:hAnsi="Arial" w:cs="Arial"/>
          <w:sz w:val="22"/>
          <w:szCs w:val="24"/>
        </w:rPr>
        <w:t xml:space="preserve">The Aggressive Case sensitivity includes programs from the recommended Proposed Case, but with customer participation at higher penetration levels and associated higher budgets, as well as additional programs, measures, and associated budgets to help reach </w:t>
      </w:r>
      <w:r w:rsidR="00D87A63" w:rsidRPr="000C0597">
        <w:rPr>
          <w:rFonts w:ascii="Arial" w:hAnsi="Arial" w:cs="Arial"/>
          <w:sz w:val="22"/>
          <w:szCs w:val="24"/>
        </w:rPr>
        <w:t>approximate</w:t>
      </w:r>
      <w:r w:rsidR="00DF5707">
        <w:rPr>
          <w:rFonts w:ascii="Arial" w:hAnsi="Arial" w:cs="Arial"/>
          <w:sz w:val="22"/>
          <w:szCs w:val="24"/>
        </w:rPr>
        <w:t>ly</w:t>
      </w:r>
      <w:r w:rsidRPr="000C0597">
        <w:rPr>
          <w:rFonts w:ascii="Arial" w:hAnsi="Arial" w:cs="Arial"/>
          <w:sz w:val="22"/>
          <w:szCs w:val="24"/>
        </w:rPr>
        <w:t xml:space="preserve"> </w:t>
      </w:r>
      <w:r w:rsidR="001B7925" w:rsidRPr="00B80817">
        <w:rPr>
          <w:rFonts w:ascii="Arial" w:hAnsi="Arial" w:cs="Arial"/>
          <w:b/>
          <w:sz w:val="8"/>
          <w:szCs w:val="16"/>
        </w:rPr>
        <w:t>REDACTED</w:t>
      </w:r>
      <w:r w:rsidRPr="00B80817">
        <w:rPr>
          <w:rFonts w:ascii="Arial" w:hAnsi="Arial" w:cs="Arial"/>
          <w:sz w:val="14"/>
          <w:szCs w:val="24"/>
        </w:rPr>
        <w:t xml:space="preserve"> </w:t>
      </w:r>
      <w:r w:rsidRPr="000C0597">
        <w:rPr>
          <w:rFonts w:ascii="Arial" w:hAnsi="Arial" w:cs="Arial"/>
          <w:sz w:val="22"/>
          <w:szCs w:val="24"/>
        </w:rPr>
        <w:t>percent cumulative energy savings by 20</w:t>
      </w:r>
      <w:r w:rsidR="00D87A63" w:rsidRPr="000C0597">
        <w:rPr>
          <w:rFonts w:ascii="Arial" w:hAnsi="Arial" w:cs="Arial"/>
          <w:sz w:val="22"/>
          <w:szCs w:val="24"/>
        </w:rPr>
        <w:t>31</w:t>
      </w:r>
      <w:r w:rsidRPr="000C0597">
        <w:rPr>
          <w:rFonts w:ascii="Arial" w:hAnsi="Arial" w:cs="Arial"/>
          <w:sz w:val="22"/>
          <w:szCs w:val="24"/>
        </w:rPr>
        <w:t xml:space="preserve"> when compared to the Budget 201</w:t>
      </w:r>
      <w:r w:rsidR="00D87A63" w:rsidRPr="000C0597">
        <w:rPr>
          <w:rFonts w:ascii="Arial" w:hAnsi="Arial" w:cs="Arial"/>
          <w:sz w:val="22"/>
          <w:szCs w:val="24"/>
        </w:rPr>
        <w:t>9</w:t>
      </w:r>
      <w:r w:rsidRPr="000C0597">
        <w:rPr>
          <w:rFonts w:ascii="Arial" w:hAnsi="Arial" w:cs="Arial"/>
          <w:sz w:val="22"/>
          <w:szCs w:val="24"/>
        </w:rPr>
        <w:t xml:space="preserve"> forecast</w:t>
      </w:r>
      <w:r w:rsidR="008244ED" w:rsidRPr="000C0597">
        <w:rPr>
          <w:rFonts w:ascii="Arial" w:hAnsi="Arial" w:cs="Arial"/>
          <w:sz w:val="22"/>
          <w:szCs w:val="24"/>
        </w:rPr>
        <w:t xml:space="preserve">. </w:t>
      </w:r>
      <w:r w:rsidR="006A210D" w:rsidRPr="000C0597">
        <w:rPr>
          <w:rFonts w:ascii="Arial" w:hAnsi="Arial" w:cs="Arial"/>
          <w:sz w:val="22"/>
        </w:rPr>
        <w:t xml:space="preserve">As seen in the following table, the </w:t>
      </w:r>
      <w:r w:rsidR="001C640A" w:rsidRPr="000C0597">
        <w:rPr>
          <w:rFonts w:ascii="Arial" w:hAnsi="Arial" w:cs="Arial"/>
          <w:sz w:val="22"/>
        </w:rPr>
        <w:t>aggressive non-dispatch</w:t>
      </w:r>
      <w:r w:rsidR="00DF5707">
        <w:rPr>
          <w:rFonts w:ascii="Arial" w:hAnsi="Arial" w:cs="Arial"/>
          <w:sz w:val="22"/>
        </w:rPr>
        <w:t>able</w:t>
      </w:r>
      <w:r w:rsidR="001C640A" w:rsidRPr="000C0597">
        <w:rPr>
          <w:rFonts w:ascii="Arial" w:hAnsi="Arial" w:cs="Arial"/>
          <w:sz w:val="22"/>
        </w:rPr>
        <w:t xml:space="preserve"> DSM sensitivity</w:t>
      </w:r>
      <w:r w:rsidR="006A210D" w:rsidRPr="000C0597">
        <w:rPr>
          <w:rFonts w:ascii="Arial" w:hAnsi="Arial" w:cs="Arial"/>
          <w:sz w:val="22"/>
        </w:rPr>
        <w:t xml:space="preserve"> </w:t>
      </w:r>
      <w:r w:rsidR="00B85AAA" w:rsidRPr="000C0597">
        <w:rPr>
          <w:rFonts w:ascii="Arial" w:hAnsi="Arial" w:cs="Arial"/>
          <w:sz w:val="22"/>
        </w:rPr>
        <w:t xml:space="preserve">resulted in </w:t>
      </w:r>
      <w:r w:rsidR="001B7925" w:rsidRPr="00B80817">
        <w:rPr>
          <w:rFonts w:ascii="Arial" w:hAnsi="Arial" w:cs="Arial"/>
          <w:b/>
          <w:sz w:val="18"/>
          <w:szCs w:val="24"/>
        </w:rPr>
        <w:t>REDACTED</w:t>
      </w:r>
      <w:r w:rsidR="00B80817">
        <w:rPr>
          <w:rFonts w:ascii="Arial" w:hAnsi="Arial" w:cs="Arial"/>
          <w:b/>
          <w:sz w:val="18"/>
          <w:szCs w:val="24"/>
        </w:rPr>
        <w:t xml:space="preserve"> REDACTED</w:t>
      </w:r>
      <w:r w:rsidR="00E74A03" w:rsidRPr="00B80817">
        <w:rPr>
          <w:rFonts w:ascii="Arial" w:hAnsi="Arial" w:cs="Arial"/>
          <w:sz w:val="16"/>
        </w:rPr>
        <w:t xml:space="preserve"> </w:t>
      </w:r>
      <w:r w:rsidR="00E74A03" w:rsidRPr="000C0597">
        <w:rPr>
          <w:rFonts w:ascii="Arial" w:hAnsi="Arial" w:cs="Arial"/>
          <w:sz w:val="22"/>
        </w:rPr>
        <w:t xml:space="preserve">and </w:t>
      </w:r>
      <w:r w:rsidR="001B7925" w:rsidRPr="00B80817">
        <w:rPr>
          <w:rFonts w:ascii="Arial" w:hAnsi="Arial" w:cs="Arial"/>
          <w:b/>
          <w:sz w:val="22"/>
          <w:szCs w:val="24"/>
        </w:rPr>
        <w:t>REDACTED</w:t>
      </w:r>
      <w:r w:rsidR="001B7925" w:rsidRPr="00B80817">
        <w:rPr>
          <w:rFonts w:ascii="Arial" w:hAnsi="Arial" w:cs="Arial"/>
        </w:rPr>
        <w:t xml:space="preserve"> </w:t>
      </w:r>
      <w:r w:rsidR="009171A7" w:rsidRPr="000C0597">
        <w:rPr>
          <w:rFonts w:ascii="Arial" w:hAnsi="Arial" w:cs="Arial"/>
          <w:sz w:val="22"/>
        </w:rPr>
        <w:t>over the twenty-year planning period.</w:t>
      </w:r>
    </w:p>
    <w:p w14:paraId="3F7D12EC" w14:textId="77777777" w:rsidR="006A210D" w:rsidRPr="000C0597" w:rsidRDefault="006A210D" w:rsidP="00B85AAA">
      <w:pPr>
        <w:spacing w:line="360" w:lineRule="exact"/>
        <w:rPr>
          <w:rFonts w:ascii="Arial" w:hAnsi="Arial" w:cs="Arial"/>
          <w:color w:val="000000"/>
          <w:sz w:val="22"/>
        </w:rPr>
      </w:pPr>
    </w:p>
    <w:p w14:paraId="4B4C2783" w14:textId="4E2F3DAD" w:rsidR="004F6CBC" w:rsidRPr="00F379E4" w:rsidRDefault="001B382F" w:rsidP="00CA2201">
      <w:pPr>
        <w:numPr>
          <w:ilvl w:val="0"/>
          <w:numId w:val="3"/>
        </w:numPr>
        <w:spacing w:line="360" w:lineRule="atLeast"/>
        <w:jc w:val="center"/>
        <w:rPr>
          <w:rFonts w:ascii="Arial" w:hAnsi="Arial" w:cs="Arial"/>
          <w:sz w:val="22"/>
        </w:rPr>
      </w:pPr>
      <w:r w:rsidRPr="000C0597">
        <w:rPr>
          <w:rFonts w:ascii="Arial" w:hAnsi="Arial" w:cs="Arial"/>
          <w:sz w:val="22"/>
        </w:rPr>
        <w:t>Aggressive Non-D</w:t>
      </w:r>
      <w:r w:rsidR="00DA1BC8" w:rsidRPr="000C0597">
        <w:rPr>
          <w:rFonts w:ascii="Arial" w:hAnsi="Arial" w:cs="Arial"/>
          <w:sz w:val="22"/>
        </w:rPr>
        <w:t xml:space="preserve">ispatchable </w:t>
      </w:r>
      <w:r w:rsidR="00F92FD1" w:rsidRPr="000C0597">
        <w:rPr>
          <w:rFonts w:ascii="Arial" w:hAnsi="Arial" w:cs="Arial"/>
          <w:sz w:val="22"/>
        </w:rPr>
        <w:t xml:space="preserve">DSM </w:t>
      </w:r>
      <w:r w:rsidR="00DA1BC8" w:rsidRPr="000C0597">
        <w:rPr>
          <w:rFonts w:ascii="Arial" w:hAnsi="Arial" w:cs="Arial"/>
          <w:sz w:val="22"/>
        </w:rPr>
        <w:t>Expansion</w:t>
      </w:r>
      <w:r w:rsidR="00F379E4" w:rsidRPr="00F379E4">
        <w:rPr>
          <w:rFonts w:ascii="Arial" w:hAnsi="Arial" w:cs="Arial"/>
          <w:sz w:val="22"/>
        </w:rPr>
        <w:t xml:space="preserve"> </w:t>
      </w:r>
      <w:r w:rsidR="00CA2201" w:rsidRPr="00CA2201">
        <w:rPr>
          <w:noProof/>
        </w:rPr>
        <w:drawing>
          <wp:inline distT="0" distB="0" distL="0" distR="0" wp14:anchorId="1F7F19F8" wp14:editId="148B298B">
            <wp:extent cx="5943600" cy="4434840"/>
            <wp:effectExtent l="0" t="0" r="0" b="381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34840"/>
                    </a:xfrm>
                    <a:prstGeom prst="rect">
                      <a:avLst/>
                    </a:prstGeom>
                    <a:noFill/>
                    <a:ln>
                      <a:noFill/>
                    </a:ln>
                  </pic:spPr>
                </pic:pic>
              </a:graphicData>
            </a:graphic>
          </wp:inline>
        </w:drawing>
      </w:r>
      <w:r w:rsidR="004F6CBC" w:rsidRPr="00F379E4">
        <w:rPr>
          <w:rFonts w:ascii="Arial" w:hAnsi="Arial" w:cs="Arial"/>
          <w:sz w:val="24"/>
        </w:rPr>
        <w:br w:type="page"/>
      </w:r>
    </w:p>
    <w:p w14:paraId="5AB34F72" w14:textId="7ACDFC12" w:rsidR="00824A02" w:rsidRPr="000C0597" w:rsidRDefault="00522ADC" w:rsidP="00DB442E">
      <w:pPr>
        <w:pStyle w:val="Heading2"/>
        <w:spacing w:line="360" w:lineRule="atLeast"/>
        <w:ind w:hanging="1026"/>
        <w:rPr>
          <w:rFonts w:ascii="Arial" w:hAnsi="Arial" w:cs="Arial"/>
          <w:sz w:val="22"/>
        </w:rPr>
      </w:pPr>
      <w:r w:rsidRPr="000C0597">
        <w:rPr>
          <w:rFonts w:ascii="Arial" w:hAnsi="Arial" w:cs="Arial"/>
          <w:sz w:val="22"/>
        </w:rPr>
        <w:t>AVAILABILITY AND COST OF PURCHASE POWER</w:t>
      </w:r>
    </w:p>
    <w:p w14:paraId="2BFB9CC9" w14:textId="77777777" w:rsidR="00824A02" w:rsidRPr="000C0597" w:rsidRDefault="00824A02" w:rsidP="00243513">
      <w:pPr>
        <w:numPr>
          <w:ilvl w:val="12"/>
          <w:numId w:val="0"/>
        </w:numPr>
        <w:spacing w:line="360" w:lineRule="atLeast"/>
        <w:ind w:left="2160" w:firstLine="720"/>
        <w:jc w:val="left"/>
        <w:rPr>
          <w:rFonts w:ascii="Arial" w:hAnsi="Arial" w:cs="Arial"/>
          <w:sz w:val="22"/>
        </w:rPr>
      </w:pPr>
    </w:p>
    <w:p w14:paraId="6EBA92B9" w14:textId="77777777" w:rsidR="00824A02" w:rsidRPr="000C0597" w:rsidRDefault="00A610FB" w:rsidP="000B291A">
      <w:pPr>
        <w:numPr>
          <w:ilvl w:val="0"/>
          <w:numId w:val="7"/>
        </w:numPr>
        <w:tabs>
          <w:tab w:val="left" w:pos="450"/>
        </w:tabs>
        <w:spacing w:line="360" w:lineRule="atLeast"/>
        <w:jc w:val="left"/>
        <w:rPr>
          <w:rFonts w:ascii="Arial" w:hAnsi="Arial" w:cs="Arial"/>
          <w:sz w:val="22"/>
        </w:rPr>
      </w:pPr>
      <w:r w:rsidRPr="000C0597">
        <w:rPr>
          <w:rFonts w:ascii="Arial" w:hAnsi="Arial" w:cs="Arial"/>
          <w:sz w:val="22"/>
        </w:rPr>
        <w:t>Economy Energy Purchase</w:t>
      </w:r>
    </w:p>
    <w:p w14:paraId="069BBCE5" w14:textId="77777777" w:rsidR="00824A02" w:rsidRPr="000C0597" w:rsidRDefault="00824A02" w:rsidP="00243513">
      <w:pPr>
        <w:numPr>
          <w:ilvl w:val="12"/>
          <w:numId w:val="0"/>
        </w:numPr>
        <w:tabs>
          <w:tab w:val="left" w:pos="450"/>
        </w:tabs>
        <w:spacing w:line="360" w:lineRule="atLeast"/>
        <w:rPr>
          <w:rFonts w:ascii="Arial" w:hAnsi="Arial" w:cs="Arial"/>
          <w:sz w:val="22"/>
        </w:rPr>
      </w:pPr>
    </w:p>
    <w:p w14:paraId="1FAA5012" w14:textId="0159499E" w:rsidR="00824A02" w:rsidRPr="000C0597" w:rsidRDefault="00824A02" w:rsidP="00243513">
      <w:pPr>
        <w:numPr>
          <w:ilvl w:val="12"/>
          <w:numId w:val="0"/>
        </w:numPr>
        <w:spacing w:line="360" w:lineRule="atLeast"/>
        <w:rPr>
          <w:rFonts w:ascii="Arial" w:hAnsi="Arial" w:cs="Arial"/>
          <w:sz w:val="22"/>
        </w:rPr>
      </w:pPr>
      <w:r w:rsidRPr="000C0597">
        <w:rPr>
          <w:rFonts w:ascii="Arial" w:hAnsi="Arial" w:cs="Arial"/>
          <w:sz w:val="22"/>
        </w:rPr>
        <w:t xml:space="preserve">This sensitivity includes economy purchases of </w:t>
      </w:r>
      <w:r w:rsidR="00552A72" w:rsidRPr="000C0597">
        <w:rPr>
          <w:rFonts w:ascii="Arial" w:hAnsi="Arial" w:cs="Arial"/>
          <w:sz w:val="22"/>
        </w:rPr>
        <w:t>1,000 MW</w:t>
      </w:r>
      <w:r w:rsidRPr="000C0597">
        <w:rPr>
          <w:rFonts w:ascii="Arial" w:hAnsi="Arial" w:cs="Arial"/>
          <w:sz w:val="22"/>
        </w:rPr>
        <w:t xml:space="preserve"> during the peak hours of summer months and </w:t>
      </w:r>
      <w:r w:rsidR="00552A72" w:rsidRPr="000C0597">
        <w:rPr>
          <w:rFonts w:ascii="Arial" w:hAnsi="Arial" w:cs="Arial"/>
          <w:sz w:val="22"/>
        </w:rPr>
        <w:t>1,500 MW</w:t>
      </w:r>
      <w:r w:rsidRPr="000C0597">
        <w:rPr>
          <w:rFonts w:ascii="Arial" w:hAnsi="Arial" w:cs="Arial"/>
          <w:sz w:val="22"/>
        </w:rPr>
        <w:t xml:space="preserve"> during the peak hours of non-summer months</w:t>
      </w:r>
      <w:r w:rsidR="008244ED" w:rsidRPr="000C0597">
        <w:rPr>
          <w:rFonts w:ascii="Arial" w:hAnsi="Arial" w:cs="Arial"/>
          <w:sz w:val="22"/>
        </w:rPr>
        <w:t xml:space="preserve">. </w:t>
      </w:r>
      <w:r w:rsidRPr="000C0597">
        <w:rPr>
          <w:rFonts w:ascii="Arial" w:hAnsi="Arial" w:cs="Arial"/>
          <w:sz w:val="22"/>
        </w:rPr>
        <w:t xml:space="preserve">As shown in the following table, </w:t>
      </w:r>
      <w:r w:rsidR="009171A7" w:rsidRPr="000C0597">
        <w:rPr>
          <w:rFonts w:ascii="Arial" w:hAnsi="Arial" w:cs="Arial"/>
          <w:sz w:val="22"/>
        </w:rPr>
        <w:t>the economy energy purchase</w:t>
      </w:r>
      <w:r w:rsidRPr="000C0597">
        <w:rPr>
          <w:rFonts w:ascii="Arial" w:hAnsi="Arial" w:cs="Arial"/>
          <w:sz w:val="22"/>
        </w:rPr>
        <w:t xml:space="preserve"> </w:t>
      </w:r>
      <w:r w:rsidR="00325B22" w:rsidRPr="000C0597">
        <w:rPr>
          <w:rFonts w:ascii="Arial" w:hAnsi="Arial" w:cs="Arial"/>
          <w:sz w:val="22"/>
        </w:rPr>
        <w:t xml:space="preserve">sensitivity </w:t>
      </w:r>
      <w:r w:rsidRPr="000C0597">
        <w:rPr>
          <w:rFonts w:ascii="Arial" w:hAnsi="Arial" w:cs="Arial"/>
          <w:sz w:val="22"/>
        </w:rPr>
        <w:t xml:space="preserve">resulted in </w:t>
      </w:r>
      <w:r w:rsidR="001B7925" w:rsidRPr="001B7925">
        <w:rPr>
          <w:rFonts w:ascii="Arial" w:hAnsi="Arial" w:cs="Arial"/>
          <w:b/>
          <w:sz w:val="22"/>
          <w:szCs w:val="22"/>
        </w:rPr>
        <w:t>REDACTED</w:t>
      </w:r>
      <w:r w:rsidR="00B80817">
        <w:rPr>
          <w:rFonts w:ascii="Arial" w:hAnsi="Arial" w:cs="Arial"/>
          <w:b/>
          <w:sz w:val="22"/>
          <w:szCs w:val="22"/>
        </w:rPr>
        <w:t xml:space="preserve"> REDACTED REDACTED REDACTED</w:t>
      </w:r>
      <w:r w:rsidR="001B7925" w:rsidRPr="000C0597">
        <w:rPr>
          <w:rFonts w:ascii="Arial" w:hAnsi="Arial" w:cs="Arial"/>
          <w:sz w:val="22"/>
        </w:rPr>
        <w:t xml:space="preserve"> </w:t>
      </w:r>
      <w:r w:rsidR="001670C3" w:rsidRPr="000C0597">
        <w:rPr>
          <w:rFonts w:ascii="Arial" w:hAnsi="Arial" w:cs="Arial"/>
          <w:sz w:val="22"/>
        </w:rPr>
        <w:t xml:space="preserve">over </w:t>
      </w:r>
      <w:r w:rsidRPr="000C0597">
        <w:rPr>
          <w:rFonts w:ascii="Arial" w:hAnsi="Arial" w:cs="Arial"/>
          <w:sz w:val="22"/>
        </w:rPr>
        <w:t xml:space="preserve">the twenty-year </w:t>
      </w:r>
      <w:r w:rsidR="002F1471" w:rsidRPr="000C0597">
        <w:rPr>
          <w:rFonts w:ascii="Arial" w:hAnsi="Arial" w:cs="Arial"/>
          <w:sz w:val="22"/>
        </w:rPr>
        <w:t xml:space="preserve">planning </w:t>
      </w:r>
      <w:r w:rsidRPr="000C0597">
        <w:rPr>
          <w:rFonts w:ascii="Arial" w:hAnsi="Arial" w:cs="Arial"/>
          <w:sz w:val="22"/>
        </w:rPr>
        <w:t>period.</w:t>
      </w:r>
    </w:p>
    <w:p w14:paraId="63CE82D3" w14:textId="77777777" w:rsidR="00824A02" w:rsidRPr="000C0597" w:rsidRDefault="00824A02" w:rsidP="00243513">
      <w:pPr>
        <w:numPr>
          <w:ilvl w:val="12"/>
          <w:numId w:val="0"/>
        </w:numPr>
        <w:spacing w:line="360" w:lineRule="atLeast"/>
        <w:rPr>
          <w:rFonts w:ascii="Arial" w:hAnsi="Arial" w:cs="Arial"/>
          <w:color w:val="000000"/>
          <w:sz w:val="22"/>
        </w:rPr>
      </w:pPr>
    </w:p>
    <w:p w14:paraId="047DD304" w14:textId="39369C27" w:rsidR="00824A02" w:rsidRPr="000C0597" w:rsidRDefault="00A610FB" w:rsidP="00CA2201">
      <w:pPr>
        <w:numPr>
          <w:ilvl w:val="0"/>
          <w:numId w:val="3"/>
        </w:numPr>
        <w:spacing w:line="360" w:lineRule="atLeast"/>
        <w:jc w:val="center"/>
        <w:rPr>
          <w:rFonts w:ascii="Arial" w:hAnsi="Arial" w:cs="Arial"/>
          <w:sz w:val="22"/>
        </w:rPr>
      </w:pPr>
      <w:r w:rsidRPr="000C0597">
        <w:rPr>
          <w:rFonts w:ascii="Arial" w:hAnsi="Arial" w:cs="Arial"/>
          <w:sz w:val="22"/>
        </w:rPr>
        <w:t>Economy Energy Purchase</w:t>
      </w:r>
      <w:r w:rsidR="00F379E4" w:rsidRPr="00F379E4">
        <w:rPr>
          <w:rFonts w:ascii="Arial" w:hAnsi="Arial" w:cs="Arial"/>
          <w:sz w:val="22"/>
        </w:rPr>
        <w:t xml:space="preserve"> </w:t>
      </w:r>
      <w:r w:rsidR="00CA2201" w:rsidRPr="00CA2201">
        <w:rPr>
          <w:noProof/>
        </w:rPr>
        <w:drawing>
          <wp:inline distT="0" distB="0" distL="0" distR="0" wp14:anchorId="341EA131" wp14:editId="563742A2">
            <wp:extent cx="5577840" cy="4224528"/>
            <wp:effectExtent l="0" t="0" r="3810" b="508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3D4E2010" w14:textId="53AF71D9" w:rsidR="00793BDA" w:rsidRPr="000C0597" w:rsidRDefault="00793BDA" w:rsidP="00B80817">
      <w:pPr>
        <w:pStyle w:val="Heading2"/>
        <w:tabs>
          <w:tab w:val="num" w:pos="0"/>
        </w:tabs>
        <w:spacing w:before="120" w:after="0" w:line="360" w:lineRule="atLeast"/>
        <w:ind w:left="0" w:firstLine="0"/>
        <w:rPr>
          <w:rFonts w:ascii="Arial" w:hAnsi="Arial" w:cs="Arial"/>
          <w:sz w:val="22"/>
        </w:rPr>
      </w:pPr>
      <w:r w:rsidRPr="000675A8">
        <w:rPr>
          <w:rFonts w:ascii="Arial" w:hAnsi="Arial" w:cs="Arial"/>
          <w:sz w:val="24"/>
        </w:rPr>
        <w:br w:type="page"/>
      </w:r>
      <w:r w:rsidR="00522ADC" w:rsidRPr="000C0597">
        <w:rPr>
          <w:rFonts w:ascii="Arial" w:hAnsi="Arial" w:cs="Arial"/>
          <w:sz w:val="22"/>
        </w:rPr>
        <w:t>PENDING FEDERAL AND/OR STATE LEGISLATION OR REGULATION</w:t>
      </w:r>
    </w:p>
    <w:p w14:paraId="120C4835" w14:textId="77777777" w:rsidR="004F6CBC" w:rsidRPr="000C0597" w:rsidRDefault="004F6CBC" w:rsidP="00615BDF">
      <w:pPr>
        <w:spacing w:before="120"/>
        <w:rPr>
          <w:rFonts w:ascii="Arial" w:hAnsi="Arial" w:cs="Arial"/>
          <w:sz w:val="22"/>
        </w:rPr>
      </w:pPr>
    </w:p>
    <w:p w14:paraId="7930D7B5" w14:textId="2E5BC7C9" w:rsidR="00793BDA" w:rsidRPr="000C0597" w:rsidRDefault="009C5729" w:rsidP="00615BDF">
      <w:pPr>
        <w:spacing w:before="120"/>
        <w:rPr>
          <w:rFonts w:ascii="Arial" w:hAnsi="Arial" w:cs="Arial"/>
          <w:sz w:val="22"/>
        </w:rPr>
      </w:pPr>
      <w:r w:rsidRPr="000C0597">
        <w:rPr>
          <w:rFonts w:ascii="Arial" w:hAnsi="Arial" w:cs="Arial"/>
          <w:sz w:val="22"/>
        </w:rPr>
        <w:t>See Section 6.10.</w:t>
      </w:r>
    </w:p>
    <w:p w14:paraId="61D0290C" w14:textId="77777777" w:rsidR="00EC6BC9" w:rsidRPr="000C0597" w:rsidRDefault="00EC6BC9" w:rsidP="00615BDF">
      <w:pPr>
        <w:spacing w:before="120"/>
        <w:rPr>
          <w:rFonts w:ascii="Arial" w:hAnsi="Arial" w:cs="Arial"/>
          <w:sz w:val="18"/>
        </w:rPr>
      </w:pPr>
    </w:p>
    <w:p w14:paraId="09C39997" w14:textId="77777777" w:rsidR="00BD6A65" w:rsidRPr="000C0597" w:rsidRDefault="00522ADC" w:rsidP="008459CF">
      <w:pPr>
        <w:pStyle w:val="Heading2"/>
        <w:tabs>
          <w:tab w:val="num" w:pos="0"/>
        </w:tabs>
        <w:spacing w:before="120" w:after="0" w:line="360" w:lineRule="atLeast"/>
        <w:ind w:left="0" w:firstLine="0"/>
        <w:rPr>
          <w:rFonts w:ascii="Arial" w:hAnsi="Arial" w:cs="Arial"/>
          <w:sz w:val="22"/>
        </w:rPr>
      </w:pPr>
      <w:r w:rsidRPr="000C0597">
        <w:rPr>
          <w:rFonts w:ascii="Arial" w:hAnsi="Arial" w:cs="Arial"/>
          <w:sz w:val="22"/>
        </w:rPr>
        <w:t>FUEL PRICES</w:t>
      </w:r>
    </w:p>
    <w:p w14:paraId="78A73E43" w14:textId="77777777" w:rsidR="004F6CBC" w:rsidRPr="000C0597" w:rsidRDefault="004F6CBC" w:rsidP="00B36BC2">
      <w:pPr>
        <w:tabs>
          <w:tab w:val="left" w:pos="450"/>
        </w:tabs>
        <w:spacing w:line="360" w:lineRule="atLeast"/>
        <w:rPr>
          <w:rFonts w:ascii="Arial" w:hAnsi="Arial" w:cs="Arial"/>
          <w:sz w:val="22"/>
        </w:rPr>
      </w:pPr>
    </w:p>
    <w:p w14:paraId="2FE7DC5F" w14:textId="7C3AD917" w:rsidR="00341AED" w:rsidRPr="000C0597" w:rsidRDefault="00540541" w:rsidP="00B36BC2">
      <w:pPr>
        <w:tabs>
          <w:tab w:val="left" w:pos="450"/>
        </w:tabs>
        <w:spacing w:line="360" w:lineRule="atLeast"/>
        <w:rPr>
          <w:rFonts w:ascii="Arial" w:hAnsi="Arial" w:cs="Arial"/>
          <w:sz w:val="22"/>
        </w:rPr>
      </w:pPr>
      <w:r w:rsidRPr="000C0597">
        <w:rPr>
          <w:rFonts w:ascii="Arial" w:hAnsi="Arial" w:cs="Arial"/>
          <w:sz w:val="22"/>
        </w:rPr>
        <w:t>See Section 6.</w:t>
      </w:r>
      <w:r w:rsidR="00685D71" w:rsidRPr="000C0597">
        <w:rPr>
          <w:rFonts w:ascii="Arial" w:hAnsi="Arial" w:cs="Arial"/>
          <w:sz w:val="22"/>
        </w:rPr>
        <w:t>10</w:t>
      </w:r>
    </w:p>
    <w:p w14:paraId="6CFDE9EC" w14:textId="77777777" w:rsidR="00EC6BC9" w:rsidRPr="000C0597" w:rsidRDefault="00EC6BC9" w:rsidP="00B36BC2">
      <w:pPr>
        <w:tabs>
          <w:tab w:val="left" w:pos="450"/>
        </w:tabs>
        <w:spacing w:line="360" w:lineRule="atLeast"/>
        <w:rPr>
          <w:rFonts w:ascii="Arial" w:hAnsi="Arial" w:cs="Arial"/>
          <w:sz w:val="22"/>
        </w:rPr>
      </w:pPr>
    </w:p>
    <w:p w14:paraId="6403F287" w14:textId="28CAB5E1" w:rsidR="00BD6A65" w:rsidRPr="000C0597" w:rsidRDefault="00522ADC" w:rsidP="00DB442E">
      <w:pPr>
        <w:pStyle w:val="Heading2"/>
        <w:tabs>
          <w:tab w:val="clear" w:pos="1026"/>
          <w:tab w:val="num" w:pos="990"/>
        </w:tabs>
        <w:spacing w:before="120" w:after="0"/>
        <w:ind w:left="990" w:hanging="990"/>
        <w:rPr>
          <w:rFonts w:ascii="Arial" w:hAnsi="Arial" w:cs="Arial"/>
          <w:sz w:val="22"/>
        </w:rPr>
      </w:pPr>
      <w:bookmarkStart w:id="37" w:name="_Hlk534698421"/>
      <w:r w:rsidRPr="000C0597">
        <w:rPr>
          <w:rFonts w:ascii="Arial" w:hAnsi="Arial" w:cs="Arial"/>
          <w:sz w:val="22"/>
        </w:rPr>
        <w:t>INFLATION IN PLANT CONSTRUCTION COSTS AND COST OF CAPITAL</w:t>
      </w:r>
    </w:p>
    <w:p w14:paraId="03B02F71" w14:textId="77777777" w:rsidR="00B107C0" w:rsidRPr="00A701FB" w:rsidRDefault="00B107C0" w:rsidP="00B107C0">
      <w:pPr>
        <w:rPr>
          <w:rFonts w:ascii="Arial" w:hAnsi="Arial" w:cs="Arial"/>
          <w:sz w:val="22"/>
        </w:rPr>
      </w:pPr>
    </w:p>
    <w:p w14:paraId="067BFF2F" w14:textId="1918A618" w:rsidR="0026718A" w:rsidRPr="000C0597" w:rsidRDefault="00A610FB" w:rsidP="000B291A">
      <w:pPr>
        <w:numPr>
          <w:ilvl w:val="0"/>
          <w:numId w:val="8"/>
        </w:numPr>
        <w:tabs>
          <w:tab w:val="left" w:pos="450"/>
        </w:tabs>
        <w:spacing w:before="120" w:line="360" w:lineRule="atLeast"/>
        <w:rPr>
          <w:rFonts w:ascii="Arial" w:hAnsi="Arial" w:cs="Arial"/>
          <w:sz w:val="22"/>
        </w:rPr>
      </w:pPr>
      <w:r w:rsidRPr="000C0597">
        <w:rPr>
          <w:rFonts w:ascii="Arial" w:hAnsi="Arial" w:cs="Arial"/>
          <w:sz w:val="22"/>
        </w:rPr>
        <w:t xml:space="preserve">High Cost of Capital </w:t>
      </w:r>
    </w:p>
    <w:p w14:paraId="61A8A85B" w14:textId="77777777" w:rsidR="00B107C0" w:rsidRPr="000C0597" w:rsidRDefault="00B107C0" w:rsidP="00A701FB">
      <w:pPr>
        <w:tabs>
          <w:tab w:val="left" w:pos="450"/>
        </w:tabs>
        <w:spacing w:line="360" w:lineRule="atLeast"/>
        <w:ind w:left="360"/>
        <w:rPr>
          <w:rFonts w:ascii="Arial" w:hAnsi="Arial" w:cs="Arial"/>
          <w:sz w:val="22"/>
        </w:rPr>
      </w:pPr>
    </w:p>
    <w:p w14:paraId="5DF97541" w14:textId="38F8FFDD" w:rsidR="0026718A" w:rsidRDefault="0026718A" w:rsidP="00A701FB">
      <w:pPr>
        <w:numPr>
          <w:ilvl w:val="12"/>
          <w:numId w:val="0"/>
        </w:numPr>
        <w:spacing w:line="360" w:lineRule="atLeast"/>
        <w:rPr>
          <w:rFonts w:ascii="Arial" w:hAnsi="Arial" w:cs="Arial"/>
          <w:sz w:val="22"/>
        </w:rPr>
      </w:pPr>
      <w:r w:rsidRPr="000C0597">
        <w:rPr>
          <w:rFonts w:ascii="Arial" w:hAnsi="Arial" w:cs="Arial"/>
          <w:sz w:val="22"/>
        </w:rPr>
        <w:t xml:space="preserve">The effects of elevated cost of capital were evaluated by assuming a </w:t>
      </w:r>
      <w:r w:rsidR="001B7925" w:rsidRPr="00B80817">
        <w:rPr>
          <w:rFonts w:ascii="Arial" w:hAnsi="Arial" w:cs="Arial"/>
          <w:b/>
          <w:sz w:val="4"/>
          <w:szCs w:val="16"/>
        </w:rPr>
        <w:t>REDACTED</w:t>
      </w:r>
      <w:r w:rsidR="001B7925" w:rsidRPr="00B80817">
        <w:rPr>
          <w:rFonts w:ascii="Arial" w:hAnsi="Arial" w:cs="Arial"/>
          <w:sz w:val="10"/>
        </w:rPr>
        <w:t xml:space="preserve"> </w:t>
      </w:r>
      <w:r w:rsidRPr="000C0597">
        <w:rPr>
          <w:rFonts w:ascii="Arial" w:hAnsi="Arial" w:cs="Arial"/>
          <w:sz w:val="22"/>
        </w:rPr>
        <w:t>% increase in the cost of the capital funding sources</w:t>
      </w:r>
      <w:r w:rsidR="008244ED" w:rsidRPr="000C0597">
        <w:rPr>
          <w:rFonts w:ascii="Arial" w:hAnsi="Arial" w:cs="Arial"/>
          <w:sz w:val="22"/>
        </w:rPr>
        <w:t xml:space="preserve">. </w:t>
      </w:r>
      <w:r w:rsidRPr="000C0597">
        <w:rPr>
          <w:rFonts w:ascii="Arial" w:hAnsi="Arial" w:cs="Arial"/>
          <w:sz w:val="22"/>
        </w:rPr>
        <w:t xml:space="preserve">This case assumed cost of </w:t>
      </w:r>
      <w:r w:rsidR="00552A72" w:rsidRPr="000C0597">
        <w:rPr>
          <w:rFonts w:ascii="Arial" w:hAnsi="Arial" w:cs="Arial"/>
          <w:sz w:val="22"/>
        </w:rPr>
        <w:t xml:space="preserve">debt @ </w:t>
      </w:r>
      <w:bookmarkStart w:id="38" w:name="_Hlk535584648"/>
      <w:r w:rsidR="001B7925" w:rsidRPr="00B80817">
        <w:rPr>
          <w:rFonts w:ascii="Arial" w:hAnsi="Arial" w:cs="Arial"/>
          <w:b/>
          <w:sz w:val="8"/>
          <w:szCs w:val="16"/>
        </w:rPr>
        <w:t>REDACTED</w:t>
      </w:r>
      <w:bookmarkEnd w:id="38"/>
      <w:r w:rsidR="00552A72" w:rsidRPr="000C0597">
        <w:rPr>
          <w:rFonts w:ascii="Arial" w:hAnsi="Arial" w:cs="Arial"/>
          <w:sz w:val="22"/>
        </w:rPr>
        <w:t xml:space="preserve">% and cost of common equity @ </w:t>
      </w:r>
      <w:r w:rsidR="001B7925" w:rsidRPr="00B80817">
        <w:rPr>
          <w:rFonts w:ascii="Arial" w:hAnsi="Arial" w:cs="Arial"/>
          <w:b/>
          <w:sz w:val="8"/>
          <w:szCs w:val="16"/>
        </w:rPr>
        <w:t>REDACTED</w:t>
      </w:r>
      <w:r w:rsidR="001B7925" w:rsidRPr="00B80817">
        <w:rPr>
          <w:rFonts w:ascii="Arial" w:hAnsi="Arial" w:cs="Arial"/>
          <w:sz w:val="8"/>
          <w:szCs w:val="16"/>
        </w:rPr>
        <w:t xml:space="preserve"> </w:t>
      </w:r>
      <w:r w:rsidR="00552A72" w:rsidRPr="000C0597">
        <w:rPr>
          <w:rFonts w:ascii="Arial" w:hAnsi="Arial" w:cs="Arial"/>
          <w:sz w:val="22"/>
        </w:rPr>
        <w:t>%</w:t>
      </w:r>
      <w:r w:rsidR="008244ED" w:rsidRPr="000C0597">
        <w:rPr>
          <w:rFonts w:ascii="Arial" w:hAnsi="Arial" w:cs="Arial"/>
          <w:sz w:val="22"/>
        </w:rPr>
        <w:t xml:space="preserve">. </w:t>
      </w:r>
      <w:r w:rsidRPr="000C0597">
        <w:rPr>
          <w:rFonts w:ascii="Arial" w:hAnsi="Arial" w:cs="Arial"/>
          <w:sz w:val="22"/>
        </w:rPr>
        <w:t xml:space="preserve">The capital structure of </w:t>
      </w:r>
      <w:r w:rsidR="00BA20F8" w:rsidRPr="000C0597">
        <w:rPr>
          <w:rFonts w:ascii="Arial" w:hAnsi="Arial" w:cs="Arial"/>
          <w:sz w:val="22"/>
        </w:rPr>
        <w:t>45</w:t>
      </w:r>
      <w:r w:rsidRPr="000C0597">
        <w:rPr>
          <w:rFonts w:ascii="Arial" w:hAnsi="Arial" w:cs="Arial"/>
          <w:sz w:val="22"/>
        </w:rPr>
        <w:t xml:space="preserve">% debt and </w:t>
      </w:r>
      <w:r w:rsidR="00BA20F8" w:rsidRPr="000C0597">
        <w:rPr>
          <w:rFonts w:ascii="Arial" w:hAnsi="Arial" w:cs="Arial"/>
          <w:sz w:val="22"/>
        </w:rPr>
        <w:t>55</w:t>
      </w:r>
      <w:r w:rsidRPr="000C0597">
        <w:rPr>
          <w:rFonts w:ascii="Arial" w:hAnsi="Arial" w:cs="Arial"/>
          <w:sz w:val="22"/>
        </w:rPr>
        <w:t>% common equity was not changed from the base case</w:t>
      </w:r>
      <w:r w:rsidR="008244ED" w:rsidRPr="000C0597">
        <w:rPr>
          <w:rFonts w:ascii="Arial" w:hAnsi="Arial" w:cs="Arial"/>
          <w:sz w:val="22"/>
        </w:rPr>
        <w:t xml:space="preserve">. </w:t>
      </w:r>
      <w:r w:rsidRPr="000C0597">
        <w:rPr>
          <w:rFonts w:ascii="Arial" w:hAnsi="Arial" w:cs="Arial"/>
          <w:sz w:val="22"/>
        </w:rPr>
        <w:t xml:space="preserve">The resulting discount rate increased by approximately </w:t>
      </w:r>
      <w:r w:rsidR="001B7925" w:rsidRPr="00B80817">
        <w:rPr>
          <w:rFonts w:ascii="Arial" w:hAnsi="Arial" w:cs="Arial"/>
          <w:b/>
          <w:sz w:val="6"/>
        </w:rPr>
        <w:t>REDACTED</w:t>
      </w:r>
      <w:r w:rsidR="001B7925" w:rsidRPr="00B80817">
        <w:rPr>
          <w:rFonts w:ascii="Arial" w:hAnsi="Arial" w:cs="Arial"/>
          <w:sz w:val="6"/>
        </w:rPr>
        <w:t xml:space="preserve"> </w:t>
      </w:r>
      <w:r w:rsidRPr="000C0597">
        <w:rPr>
          <w:rFonts w:ascii="Arial" w:hAnsi="Arial" w:cs="Arial"/>
          <w:sz w:val="22"/>
        </w:rPr>
        <w:t>basis points from the base case</w:t>
      </w:r>
      <w:r w:rsidR="008244ED" w:rsidRPr="000C0597">
        <w:rPr>
          <w:rFonts w:ascii="Arial" w:hAnsi="Arial" w:cs="Arial"/>
          <w:sz w:val="22"/>
        </w:rPr>
        <w:t>.</w:t>
      </w:r>
      <w:r w:rsidR="00930DCF">
        <w:rPr>
          <w:rFonts w:ascii="Arial" w:hAnsi="Arial" w:cs="Arial"/>
          <w:sz w:val="22"/>
        </w:rPr>
        <w:t xml:space="preserve"> </w:t>
      </w:r>
      <w:r w:rsidR="00087586" w:rsidRPr="000C0597">
        <w:rPr>
          <w:rFonts w:ascii="Arial" w:hAnsi="Arial" w:cs="Arial"/>
          <w:sz w:val="22"/>
        </w:rPr>
        <w:t xml:space="preserve">As shown in the following table, </w:t>
      </w:r>
      <w:r w:rsidR="00B107C0" w:rsidRPr="000C0597">
        <w:rPr>
          <w:rFonts w:ascii="Arial" w:hAnsi="Arial" w:cs="Arial"/>
          <w:sz w:val="22"/>
        </w:rPr>
        <w:t xml:space="preserve">the high cost of capital </w:t>
      </w:r>
      <w:r w:rsidR="00325B22" w:rsidRPr="000C0597">
        <w:rPr>
          <w:rFonts w:ascii="Arial" w:hAnsi="Arial" w:cs="Arial"/>
          <w:sz w:val="22"/>
        </w:rPr>
        <w:t xml:space="preserve">sensitivity </w:t>
      </w:r>
      <w:r w:rsidR="00087586" w:rsidRPr="000C0597">
        <w:rPr>
          <w:rFonts w:ascii="Arial" w:hAnsi="Arial" w:cs="Arial"/>
          <w:sz w:val="22"/>
        </w:rPr>
        <w:t xml:space="preserve">resulted in </w:t>
      </w:r>
      <w:r w:rsidR="001B7925" w:rsidRPr="00B00372">
        <w:rPr>
          <w:rFonts w:ascii="Arial" w:hAnsi="Arial" w:cs="Arial"/>
          <w:b/>
          <w:sz w:val="22"/>
        </w:rPr>
        <w:t>REDACTED</w:t>
      </w:r>
      <w:r w:rsidR="001B7925" w:rsidRPr="000C0597">
        <w:rPr>
          <w:rFonts w:ascii="Arial" w:hAnsi="Arial" w:cs="Arial"/>
          <w:sz w:val="22"/>
        </w:rPr>
        <w:t xml:space="preserve"> </w:t>
      </w:r>
      <w:r w:rsidR="001134A7">
        <w:rPr>
          <w:rFonts w:ascii="Arial" w:hAnsi="Arial" w:cs="Arial"/>
          <w:b/>
          <w:sz w:val="22"/>
        </w:rPr>
        <w:t xml:space="preserve">REDACTED </w:t>
      </w:r>
      <w:r w:rsidR="001670C3" w:rsidRPr="000C0597">
        <w:rPr>
          <w:rFonts w:ascii="Arial" w:hAnsi="Arial" w:cs="Arial"/>
          <w:sz w:val="22"/>
        </w:rPr>
        <w:t xml:space="preserve">over </w:t>
      </w:r>
      <w:r w:rsidR="00087586" w:rsidRPr="000C0597">
        <w:rPr>
          <w:rFonts w:ascii="Arial" w:hAnsi="Arial" w:cs="Arial"/>
          <w:sz w:val="22"/>
        </w:rPr>
        <w:t>the twenty-year planning period.</w:t>
      </w:r>
    </w:p>
    <w:p w14:paraId="788520B0" w14:textId="77777777" w:rsidR="00B80817" w:rsidRPr="000C0597" w:rsidRDefault="00B80817" w:rsidP="00A701FB">
      <w:pPr>
        <w:numPr>
          <w:ilvl w:val="12"/>
          <w:numId w:val="0"/>
        </w:numPr>
        <w:spacing w:line="360" w:lineRule="atLeast"/>
        <w:rPr>
          <w:rFonts w:ascii="Arial" w:hAnsi="Arial" w:cs="Arial"/>
          <w:sz w:val="22"/>
        </w:rPr>
      </w:pPr>
    </w:p>
    <w:bookmarkEnd w:id="37"/>
    <w:p w14:paraId="66DFB0AE" w14:textId="56E214B8" w:rsidR="002002B0" w:rsidRPr="000C0597" w:rsidRDefault="00A610FB" w:rsidP="000B291A">
      <w:pPr>
        <w:keepNext/>
        <w:keepLines/>
        <w:numPr>
          <w:ilvl w:val="0"/>
          <w:numId w:val="3"/>
        </w:numPr>
        <w:spacing w:line="360" w:lineRule="atLeast"/>
        <w:jc w:val="center"/>
        <w:rPr>
          <w:rFonts w:ascii="Arial" w:hAnsi="Arial" w:cs="Arial"/>
          <w:sz w:val="22"/>
        </w:rPr>
      </w:pPr>
      <w:r w:rsidRPr="000C0597">
        <w:rPr>
          <w:rFonts w:ascii="Arial" w:hAnsi="Arial" w:cs="Arial"/>
          <w:sz w:val="22"/>
        </w:rPr>
        <w:t>High Cost of Capital</w:t>
      </w:r>
    </w:p>
    <w:p w14:paraId="05278BB7" w14:textId="589B4132" w:rsidR="00F379E4" w:rsidRDefault="00CA2201" w:rsidP="00F379E4">
      <w:pPr>
        <w:pStyle w:val="ListParagraph"/>
        <w:tabs>
          <w:tab w:val="left" w:pos="450"/>
        </w:tabs>
        <w:spacing w:line="360" w:lineRule="atLeast"/>
        <w:ind w:left="58"/>
        <w:jc w:val="center"/>
        <w:rPr>
          <w:rFonts w:ascii="Arial" w:hAnsi="Arial" w:cs="Arial"/>
          <w:sz w:val="24"/>
        </w:rPr>
      </w:pPr>
      <w:r w:rsidRPr="00CA2201">
        <w:rPr>
          <w:noProof/>
        </w:rPr>
        <w:drawing>
          <wp:inline distT="0" distB="0" distL="0" distR="0" wp14:anchorId="459B0E77" wp14:editId="1E6A42A4">
            <wp:extent cx="5577840" cy="4224528"/>
            <wp:effectExtent l="0" t="0" r="3810" b="508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r w:rsidR="00F379E4">
        <w:rPr>
          <w:rFonts w:ascii="Arial" w:hAnsi="Arial" w:cs="Arial"/>
          <w:sz w:val="24"/>
        </w:rPr>
        <w:br w:type="page"/>
      </w:r>
    </w:p>
    <w:p w14:paraId="750287A2" w14:textId="77777777" w:rsidR="00E0498E" w:rsidRPr="000C0597" w:rsidRDefault="00A610FB" w:rsidP="000B291A">
      <w:pPr>
        <w:pStyle w:val="ListParagraph"/>
        <w:numPr>
          <w:ilvl w:val="0"/>
          <w:numId w:val="8"/>
        </w:numPr>
        <w:tabs>
          <w:tab w:val="left" w:pos="450"/>
        </w:tabs>
        <w:spacing w:line="360" w:lineRule="atLeast"/>
        <w:rPr>
          <w:rFonts w:ascii="Arial" w:hAnsi="Arial" w:cs="Arial"/>
          <w:sz w:val="22"/>
        </w:rPr>
      </w:pPr>
      <w:r w:rsidRPr="000C0597">
        <w:rPr>
          <w:rFonts w:ascii="Arial" w:hAnsi="Arial" w:cs="Arial"/>
          <w:sz w:val="22"/>
        </w:rPr>
        <w:t>Double the Construction Escalation Rate</w:t>
      </w:r>
      <w:r w:rsidR="00E0498E" w:rsidRPr="000C0597">
        <w:rPr>
          <w:rFonts w:ascii="Arial" w:hAnsi="Arial" w:cs="Arial"/>
          <w:sz w:val="22"/>
        </w:rPr>
        <w:t xml:space="preserve"> </w:t>
      </w:r>
    </w:p>
    <w:p w14:paraId="7D1A57BF" w14:textId="77777777" w:rsidR="00E0498E" w:rsidRPr="000C0597" w:rsidRDefault="00E0498E" w:rsidP="00A701FB">
      <w:pPr>
        <w:tabs>
          <w:tab w:val="left" w:pos="450"/>
        </w:tabs>
        <w:spacing w:line="360" w:lineRule="atLeast"/>
        <w:rPr>
          <w:rFonts w:ascii="Arial" w:hAnsi="Arial" w:cs="Arial"/>
          <w:sz w:val="22"/>
        </w:rPr>
      </w:pPr>
    </w:p>
    <w:p w14:paraId="76A52B00" w14:textId="46587661" w:rsidR="00E0498E" w:rsidRPr="000C0597" w:rsidRDefault="00E0498E" w:rsidP="00E0498E">
      <w:pPr>
        <w:numPr>
          <w:ilvl w:val="12"/>
          <w:numId w:val="0"/>
        </w:numPr>
        <w:spacing w:line="360" w:lineRule="atLeast"/>
        <w:rPr>
          <w:rFonts w:ascii="Arial" w:hAnsi="Arial" w:cs="Arial"/>
          <w:sz w:val="22"/>
        </w:rPr>
      </w:pPr>
      <w:r w:rsidRPr="000C0597">
        <w:rPr>
          <w:rFonts w:ascii="Arial" w:hAnsi="Arial" w:cs="Arial"/>
          <w:sz w:val="22"/>
        </w:rPr>
        <w:t xml:space="preserve">The effect of </w:t>
      </w:r>
      <w:r w:rsidR="00DC5749" w:rsidRPr="000C0597">
        <w:rPr>
          <w:rFonts w:ascii="Arial" w:hAnsi="Arial" w:cs="Arial"/>
          <w:sz w:val="22"/>
        </w:rPr>
        <w:t xml:space="preserve">doubling the construction escalation rate was </w:t>
      </w:r>
      <w:r w:rsidRPr="000C0597">
        <w:rPr>
          <w:rFonts w:ascii="Arial" w:hAnsi="Arial" w:cs="Arial"/>
          <w:sz w:val="22"/>
        </w:rPr>
        <w:t>e</w:t>
      </w:r>
      <w:r w:rsidR="00AE3512" w:rsidRPr="000C0597">
        <w:rPr>
          <w:rFonts w:ascii="Arial" w:hAnsi="Arial" w:cs="Arial"/>
          <w:sz w:val="22"/>
        </w:rPr>
        <w:t>valuated</w:t>
      </w:r>
      <w:r w:rsidRPr="000C0597">
        <w:rPr>
          <w:rFonts w:ascii="Arial" w:hAnsi="Arial" w:cs="Arial"/>
          <w:sz w:val="22"/>
        </w:rPr>
        <w:t xml:space="preserve"> </w:t>
      </w:r>
      <w:r w:rsidR="00DC5749" w:rsidRPr="000C0597">
        <w:rPr>
          <w:rFonts w:ascii="Arial" w:hAnsi="Arial" w:cs="Arial"/>
          <w:sz w:val="22"/>
        </w:rPr>
        <w:t xml:space="preserve">by </w:t>
      </w:r>
      <w:r w:rsidR="008434F0" w:rsidRPr="000C0597">
        <w:rPr>
          <w:rFonts w:ascii="Arial" w:hAnsi="Arial" w:cs="Arial"/>
          <w:sz w:val="22"/>
        </w:rPr>
        <w:t>doubling</w:t>
      </w:r>
      <w:r w:rsidR="00DC5749" w:rsidRPr="000C0597">
        <w:rPr>
          <w:rFonts w:ascii="Arial" w:hAnsi="Arial" w:cs="Arial"/>
          <w:sz w:val="22"/>
        </w:rPr>
        <w:t xml:space="preserve"> the current escalation rate</w:t>
      </w:r>
      <w:r w:rsidR="008434F0" w:rsidRPr="000C0597">
        <w:rPr>
          <w:rFonts w:ascii="Arial" w:hAnsi="Arial" w:cs="Arial"/>
          <w:sz w:val="22"/>
        </w:rPr>
        <w:t>s</w:t>
      </w:r>
      <w:r w:rsidR="00DC5749" w:rsidRPr="000C0597">
        <w:rPr>
          <w:rFonts w:ascii="Arial" w:hAnsi="Arial" w:cs="Arial"/>
          <w:sz w:val="22"/>
        </w:rPr>
        <w:t xml:space="preserve"> and calculating new construction </w:t>
      </w:r>
      <w:r w:rsidRPr="000C0597">
        <w:rPr>
          <w:rFonts w:ascii="Arial" w:hAnsi="Arial" w:cs="Arial"/>
          <w:sz w:val="22"/>
        </w:rPr>
        <w:t xml:space="preserve">cost of </w:t>
      </w:r>
      <w:r w:rsidR="00DC5749" w:rsidRPr="000C0597">
        <w:rPr>
          <w:rFonts w:ascii="Arial" w:hAnsi="Arial" w:cs="Arial"/>
          <w:sz w:val="22"/>
        </w:rPr>
        <w:t>generic unit additions</w:t>
      </w:r>
      <w:r w:rsidR="008244ED" w:rsidRPr="000C0597">
        <w:rPr>
          <w:rFonts w:ascii="Arial" w:hAnsi="Arial" w:cs="Arial"/>
          <w:sz w:val="22"/>
        </w:rPr>
        <w:t>.</w:t>
      </w:r>
      <w:r w:rsidR="00930DCF">
        <w:rPr>
          <w:rFonts w:ascii="Arial" w:hAnsi="Arial" w:cs="Arial"/>
          <w:sz w:val="22"/>
        </w:rPr>
        <w:t xml:space="preserve"> </w:t>
      </w:r>
      <w:r w:rsidRPr="000C0597">
        <w:rPr>
          <w:rFonts w:ascii="Arial" w:hAnsi="Arial" w:cs="Arial"/>
          <w:sz w:val="22"/>
        </w:rPr>
        <w:t xml:space="preserve">As shown in the following table, </w:t>
      </w:r>
      <w:r w:rsidR="00B107C0" w:rsidRPr="000C0597">
        <w:rPr>
          <w:rFonts w:ascii="Arial" w:hAnsi="Arial" w:cs="Arial"/>
          <w:sz w:val="22"/>
        </w:rPr>
        <w:t>the double the construction escalation rate</w:t>
      </w:r>
      <w:r w:rsidRPr="000C0597">
        <w:rPr>
          <w:rFonts w:ascii="Arial" w:hAnsi="Arial" w:cs="Arial"/>
          <w:sz w:val="22"/>
        </w:rPr>
        <w:t xml:space="preserve"> </w:t>
      </w:r>
      <w:r w:rsidR="00325B22" w:rsidRPr="000C0597">
        <w:rPr>
          <w:rFonts w:ascii="Arial" w:hAnsi="Arial" w:cs="Arial"/>
          <w:sz w:val="22"/>
        </w:rPr>
        <w:t xml:space="preserve">sensitivity </w:t>
      </w:r>
      <w:r w:rsidRPr="000C0597">
        <w:rPr>
          <w:rFonts w:ascii="Arial" w:hAnsi="Arial" w:cs="Arial"/>
          <w:sz w:val="22"/>
        </w:rPr>
        <w:t xml:space="preserve">resulted in </w:t>
      </w:r>
      <w:r w:rsidR="001B7925" w:rsidRPr="00B00372">
        <w:rPr>
          <w:rFonts w:ascii="Arial" w:hAnsi="Arial" w:cs="Arial"/>
          <w:b/>
          <w:sz w:val="22"/>
        </w:rPr>
        <w:t>REDACTED</w:t>
      </w:r>
      <w:r w:rsidR="001134A7">
        <w:rPr>
          <w:rFonts w:ascii="Arial" w:hAnsi="Arial" w:cs="Arial"/>
          <w:b/>
          <w:sz w:val="22"/>
        </w:rPr>
        <w:t xml:space="preserve"> REDACTED REDACTED</w:t>
      </w:r>
      <w:r w:rsidR="001B7925" w:rsidRPr="000C0597">
        <w:rPr>
          <w:rFonts w:ascii="Arial" w:hAnsi="Arial" w:cs="Arial"/>
          <w:sz w:val="22"/>
        </w:rPr>
        <w:t xml:space="preserve"> </w:t>
      </w:r>
      <w:r w:rsidR="001670C3" w:rsidRPr="000C0597">
        <w:rPr>
          <w:rFonts w:ascii="Arial" w:hAnsi="Arial" w:cs="Arial"/>
          <w:sz w:val="22"/>
        </w:rPr>
        <w:t xml:space="preserve">over </w:t>
      </w:r>
      <w:r w:rsidRPr="000C0597">
        <w:rPr>
          <w:rFonts w:ascii="Arial" w:hAnsi="Arial" w:cs="Arial"/>
          <w:sz w:val="22"/>
        </w:rPr>
        <w:t xml:space="preserve">the twenty-year planning period. </w:t>
      </w:r>
    </w:p>
    <w:p w14:paraId="396F9F81" w14:textId="3AE64AC7" w:rsidR="00E0498E" w:rsidRPr="000C0597" w:rsidRDefault="00E0498E" w:rsidP="00E0498E">
      <w:pPr>
        <w:numPr>
          <w:ilvl w:val="12"/>
          <w:numId w:val="0"/>
        </w:numPr>
        <w:spacing w:line="360" w:lineRule="atLeast"/>
        <w:rPr>
          <w:rFonts w:ascii="Arial" w:hAnsi="Arial" w:cs="Arial"/>
          <w:sz w:val="22"/>
        </w:rPr>
      </w:pPr>
    </w:p>
    <w:p w14:paraId="5BEA7822" w14:textId="655DB444" w:rsidR="00AE3512" w:rsidRPr="000C0597" w:rsidRDefault="00A610FB" w:rsidP="00CA2201">
      <w:pPr>
        <w:keepNext/>
        <w:numPr>
          <w:ilvl w:val="0"/>
          <w:numId w:val="3"/>
        </w:numPr>
        <w:spacing w:line="360" w:lineRule="atLeast"/>
        <w:jc w:val="center"/>
        <w:rPr>
          <w:rFonts w:ascii="Arial" w:hAnsi="Arial" w:cs="Arial"/>
          <w:sz w:val="22"/>
        </w:rPr>
      </w:pPr>
      <w:bookmarkStart w:id="39" w:name="_Hlk534612018"/>
      <w:r w:rsidRPr="000C0597">
        <w:rPr>
          <w:rFonts w:ascii="Arial" w:hAnsi="Arial" w:cs="Arial"/>
          <w:sz w:val="22"/>
        </w:rPr>
        <w:t>Double the Construction Escalation Rate</w:t>
      </w:r>
      <w:r w:rsidR="00F379E4" w:rsidRPr="00F379E4">
        <w:rPr>
          <w:rFonts w:ascii="Arial" w:hAnsi="Arial" w:cs="Arial"/>
          <w:sz w:val="22"/>
        </w:rPr>
        <w:t xml:space="preserve"> </w:t>
      </w:r>
      <w:r w:rsidR="00CA2201" w:rsidRPr="00CA2201">
        <w:rPr>
          <w:noProof/>
        </w:rPr>
        <w:drawing>
          <wp:inline distT="0" distB="0" distL="0" distR="0" wp14:anchorId="6BCD995F" wp14:editId="71BC3D17">
            <wp:extent cx="5577840" cy="3886200"/>
            <wp:effectExtent l="0" t="0" r="381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7840" cy="3886200"/>
                    </a:xfrm>
                    <a:prstGeom prst="rect">
                      <a:avLst/>
                    </a:prstGeom>
                    <a:noFill/>
                    <a:ln>
                      <a:noFill/>
                    </a:ln>
                  </pic:spPr>
                </pic:pic>
              </a:graphicData>
            </a:graphic>
          </wp:inline>
        </w:drawing>
      </w:r>
    </w:p>
    <w:p w14:paraId="4D0FA251" w14:textId="1EF640BA" w:rsidR="00F379E4" w:rsidRDefault="00F379E4">
      <w:pPr>
        <w:jc w:val="left"/>
        <w:rPr>
          <w:rFonts w:ascii="Arial" w:hAnsi="Arial" w:cs="Arial"/>
          <w:sz w:val="24"/>
        </w:rPr>
      </w:pPr>
      <w:r>
        <w:rPr>
          <w:rFonts w:ascii="Arial" w:hAnsi="Arial" w:cs="Arial"/>
          <w:sz w:val="24"/>
        </w:rPr>
        <w:br w:type="page"/>
      </w:r>
    </w:p>
    <w:bookmarkEnd w:id="39"/>
    <w:p w14:paraId="754B3E16" w14:textId="581FA817" w:rsidR="00AD63B9" w:rsidRPr="000C0597" w:rsidRDefault="00D4386D" w:rsidP="000B291A">
      <w:pPr>
        <w:pStyle w:val="ListParagraph"/>
        <w:numPr>
          <w:ilvl w:val="0"/>
          <w:numId w:val="8"/>
        </w:numPr>
        <w:tabs>
          <w:tab w:val="left" w:pos="450"/>
        </w:tabs>
        <w:spacing w:line="360" w:lineRule="atLeast"/>
        <w:rPr>
          <w:rFonts w:ascii="Arial" w:hAnsi="Arial" w:cs="Arial"/>
          <w:sz w:val="22"/>
        </w:rPr>
      </w:pPr>
      <w:r w:rsidRPr="000C0597">
        <w:rPr>
          <w:rFonts w:ascii="Arial" w:hAnsi="Arial" w:cs="Arial"/>
          <w:sz w:val="22"/>
        </w:rPr>
        <w:t xml:space="preserve">One Half </w:t>
      </w:r>
      <w:r w:rsidR="00A610FB" w:rsidRPr="000C0597">
        <w:rPr>
          <w:rFonts w:ascii="Arial" w:hAnsi="Arial" w:cs="Arial"/>
          <w:sz w:val="22"/>
        </w:rPr>
        <w:t>the Construction Escalation Rate</w:t>
      </w:r>
      <w:r w:rsidR="00AD63B9" w:rsidRPr="000C0597">
        <w:rPr>
          <w:rFonts w:ascii="Arial" w:hAnsi="Arial" w:cs="Arial"/>
          <w:sz w:val="22"/>
        </w:rPr>
        <w:t xml:space="preserve"> </w:t>
      </w:r>
    </w:p>
    <w:p w14:paraId="6299C515" w14:textId="77777777" w:rsidR="00AD63B9" w:rsidRPr="000C0597" w:rsidRDefault="00AD63B9" w:rsidP="00AD63B9">
      <w:pPr>
        <w:tabs>
          <w:tab w:val="left" w:pos="450"/>
        </w:tabs>
        <w:spacing w:line="360" w:lineRule="atLeast"/>
        <w:rPr>
          <w:rFonts w:ascii="Arial" w:hAnsi="Arial" w:cs="Arial"/>
          <w:sz w:val="22"/>
        </w:rPr>
      </w:pPr>
    </w:p>
    <w:p w14:paraId="3BF51D44" w14:textId="760BC1A9" w:rsidR="00AD63B9" w:rsidRPr="000C0597" w:rsidRDefault="00AD63B9" w:rsidP="00AD63B9">
      <w:pPr>
        <w:numPr>
          <w:ilvl w:val="12"/>
          <w:numId w:val="0"/>
        </w:numPr>
        <w:spacing w:line="360" w:lineRule="atLeast"/>
        <w:rPr>
          <w:rFonts w:ascii="Arial" w:hAnsi="Arial" w:cs="Arial"/>
          <w:sz w:val="22"/>
        </w:rPr>
      </w:pPr>
      <w:r w:rsidRPr="000C0597">
        <w:rPr>
          <w:rFonts w:ascii="Arial" w:hAnsi="Arial" w:cs="Arial"/>
          <w:sz w:val="22"/>
        </w:rPr>
        <w:t xml:space="preserve">The effects of </w:t>
      </w:r>
      <w:r w:rsidR="00C06077" w:rsidRPr="000C0597">
        <w:rPr>
          <w:rFonts w:ascii="Arial" w:hAnsi="Arial" w:cs="Arial"/>
          <w:sz w:val="22"/>
        </w:rPr>
        <w:t xml:space="preserve">decreasing </w:t>
      </w:r>
      <w:r w:rsidRPr="000C0597">
        <w:rPr>
          <w:rFonts w:ascii="Arial" w:hAnsi="Arial" w:cs="Arial"/>
          <w:sz w:val="22"/>
        </w:rPr>
        <w:t>the construction escalation rate</w:t>
      </w:r>
      <w:r w:rsidR="00C06077" w:rsidRPr="000C0597">
        <w:rPr>
          <w:rFonts w:ascii="Arial" w:hAnsi="Arial" w:cs="Arial"/>
          <w:sz w:val="22"/>
        </w:rPr>
        <w:t>s by half</w:t>
      </w:r>
      <w:r w:rsidRPr="000C0597">
        <w:rPr>
          <w:rFonts w:ascii="Arial" w:hAnsi="Arial" w:cs="Arial"/>
          <w:sz w:val="22"/>
        </w:rPr>
        <w:t xml:space="preserve"> was evaluated by </w:t>
      </w:r>
      <w:r w:rsidR="00C06077" w:rsidRPr="000C0597">
        <w:rPr>
          <w:rFonts w:ascii="Arial" w:hAnsi="Arial" w:cs="Arial"/>
          <w:sz w:val="22"/>
        </w:rPr>
        <w:t xml:space="preserve">decreasing </w:t>
      </w:r>
      <w:r w:rsidRPr="000C0597">
        <w:rPr>
          <w:rFonts w:ascii="Arial" w:hAnsi="Arial" w:cs="Arial"/>
          <w:sz w:val="22"/>
        </w:rPr>
        <w:t>the current escalation rate</w:t>
      </w:r>
      <w:r w:rsidR="00C06077" w:rsidRPr="000C0597">
        <w:rPr>
          <w:rFonts w:ascii="Arial" w:hAnsi="Arial" w:cs="Arial"/>
          <w:sz w:val="22"/>
        </w:rPr>
        <w:t>s</w:t>
      </w:r>
      <w:r w:rsidRPr="000C0597">
        <w:rPr>
          <w:rFonts w:ascii="Arial" w:hAnsi="Arial" w:cs="Arial"/>
          <w:sz w:val="22"/>
        </w:rPr>
        <w:t xml:space="preserve"> and calculating new construction cost of generic unit additions</w:t>
      </w:r>
      <w:r w:rsidR="008244ED" w:rsidRPr="000C0597">
        <w:rPr>
          <w:rFonts w:ascii="Arial" w:hAnsi="Arial" w:cs="Arial"/>
          <w:sz w:val="22"/>
        </w:rPr>
        <w:t xml:space="preserve">. </w:t>
      </w:r>
      <w:r w:rsidR="00837F9B" w:rsidRPr="000C0597">
        <w:rPr>
          <w:rFonts w:ascii="Arial" w:hAnsi="Arial" w:cs="Arial"/>
          <w:sz w:val="22"/>
        </w:rPr>
        <w:t xml:space="preserve">As shown in the following table, </w:t>
      </w:r>
      <w:r w:rsidR="00B107C0" w:rsidRPr="000C0597">
        <w:rPr>
          <w:rFonts w:ascii="Arial" w:hAnsi="Arial" w:cs="Arial"/>
          <w:sz w:val="22"/>
        </w:rPr>
        <w:t>the one half the construction escalation rate</w:t>
      </w:r>
      <w:r w:rsidR="00837F9B" w:rsidRPr="000C0597">
        <w:rPr>
          <w:rFonts w:ascii="Arial" w:hAnsi="Arial" w:cs="Arial"/>
          <w:sz w:val="22"/>
        </w:rPr>
        <w:t xml:space="preserve"> </w:t>
      </w:r>
      <w:r w:rsidR="00325B22" w:rsidRPr="000C0597">
        <w:rPr>
          <w:rFonts w:ascii="Arial" w:hAnsi="Arial" w:cs="Arial"/>
          <w:sz w:val="22"/>
        </w:rPr>
        <w:t xml:space="preserve">sensitivity </w:t>
      </w:r>
      <w:r w:rsidR="00837F9B" w:rsidRPr="000C0597">
        <w:rPr>
          <w:rFonts w:ascii="Arial" w:hAnsi="Arial" w:cs="Arial"/>
          <w:sz w:val="22"/>
        </w:rPr>
        <w:t xml:space="preserve">resulted in </w:t>
      </w:r>
      <w:r w:rsidR="001B7925" w:rsidRPr="00B00372">
        <w:rPr>
          <w:rFonts w:ascii="Arial" w:hAnsi="Arial" w:cs="Arial"/>
          <w:b/>
          <w:sz w:val="22"/>
        </w:rPr>
        <w:t>REDACTED</w:t>
      </w:r>
      <w:r w:rsidR="001134A7">
        <w:rPr>
          <w:rFonts w:ascii="Arial" w:hAnsi="Arial" w:cs="Arial"/>
          <w:b/>
          <w:sz w:val="22"/>
        </w:rPr>
        <w:t xml:space="preserve"> REDACTED REDACTED</w:t>
      </w:r>
      <w:r w:rsidR="001B7925" w:rsidRPr="000C0597">
        <w:rPr>
          <w:rFonts w:ascii="Arial" w:hAnsi="Arial" w:cs="Arial"/>
          <w:sz w:val="22"/>
        </w:rPr>
        <w:t xml:space="preserve"> </w:t>
      </w:r>
      <w:r w:rsidR="001670C3" w:rsidRPr="000C0597">
        <w:rPr>
          <w:rFonts w:ascii="Arial" w:hAnsi="Arial" w:cs="Arial"/>
          <w:sz w:val="22"/>
        </w:rPr>
        <w:t xml:space="preserve">over </w:t>
      </w:r>
      <w:r w:rsidR="00837F9B" w:rsidRPr="000C0597">
        <w:rPr>
          <w:rFonts w:ascii="Arial" w:hAnsi="Arial" w:cs="Arial"/>
          <w:sz w:val="22"/>
        </w:rPr>
        <w:t>the twenty-year planning period.</w:t>
      </w:r>
    </w:p>
    <w:p w14:paraId="02C185CB" w14:textId="77777777" w:rsidR="00B107C0" w:rsidRPr="000C0597" w:rsidRDefault="00B107C0" w:rsidP="00AD63B9">
      <w:pPr>
        <w:numPr>
          <w:ilvl w:val="12"/>
          <w:numId w:val="0"/>
        </w:numPr>
        <w:spacing w:line="360" w:lineRule="atLeast"/>
        <w:rPr>
          <w:rFonts w:ascii="Arial" w:hAnsi="Arial" w:cs="Arial"/>
          <w:sz w:val="22"/>
        </w:rPr>
      </w:pPr>
    </w:p>
    <w:p w14:paraId="0AC7CDF3" w14:textId="525D458C" w:rsidR="00AD63B9" w:rsidRPr="000C0597" w:rsidRDefault="00837F9B" w:rsidP="000B291A">
      <w:pPr>
        <w:keepNext/>
        <w:numPr>
          <w:ilvl w:val="0"/>
          <w:numId w:val="3"/>
        </w:numPr>
        <w:spacing w:line="360" w:lineRule="atLeast"/>
        <w:ind w:left="375"/>
        <w:jc w:val="center"/>
        <w:rPr>
          <w:rFonts w:ascii="Arial" w:hAnsi="Arial" w:cs="Arial"/>
          <w:sz w:val="22"/>
        </w:rPr>
      </w:pPr>
      <w:r w:rsidRPr="000C0597">
        <w:rPr>
          <w:rFonts w:ascii="Arial" w:hAnsi="Arial" w:cs="Arial"/>
          <w:sz w:val="22"/>
        </w:rPr>
        <w:t>One Half</w:t>
      </w:r>
      <w:r w:rsidR="00A610FB" w:rsidRPr="000C0597">
        <w:rPr>
          <w:rFonts w:ascii="Arial" w:hAnsi="Arial" w:cs="Arial"/>
          <w:sz w:val="22"/>
        </w:rPr>
        <w:t xml:space="preserve"> the Construction Escalation Rate</w:t>
      </w:r>
    </w:p>
    <w:p w14:paraId="2E3488AB" w14:textId="0720F4EE" w:rsidR="00AD63B9" w:rsidRPr="000675A8" w:rsidRDefault="00CA2201" w:rsidP="006D78D2">
      <w:pPr>
        <w:spacing w:line="360" w:lineRule="atLeast"/>
        <w:jc w:val="center"/>
        <w:rPr>
          <w:rFonts w:ascii="Arial" w:hAnsi="Arial" w:cs="Arial"/>
          <w:sz w:val="24"/>
        </w:rPr>
      </w:pPr>
      <w:r w:rsidRPr="00CA2201">
        <w:rPr>
          <w:noProof/>
        </w:rPr>
        <w:drawing>
          <wp:inline distT="0" distB="0" distL="0" distR="0" wp14:anchorId="75620154" wp14:editId="34B02A5A">
            <wp:extent cx="5577840" cy="3593592"/>
            <wp:effectExtent l="0" t="0" r="3810" b="6985"/>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7840" cy="3593592"/>
                    </a:xfrm>
                    <a:prstGeom prst="rect">
                      <a:avLst/>
                    </a:prstGeom>
                    <a:noFill/>
                    <a:ln>
                      <a:noFill/>
                    </a:ln>
                  </pic:spPr>
                </pic:pic>
              </a:graphicData>
            </a:graphic>
          </wp:inline>
        </w:drawing>
      </w:r>
    </w:p>
    <w:p w14:paraId="306BD41A" w14:textId="77777777" w:rsidR="0026718A" w:rsidRPr="000C0597" w:rsidRDefault="00DA1B3D" w:rsidP="00DB442E">
      <w:pPr>
        <w:pStyle w:val="Heading2"/>
        <w:ind w:hanging="1026"/>
        <w:rPr>
          <w:rFonts w:ascii="Arial" w:hAnsi="Arial" w:cs="Arial"/>
          <w:sz w:val="22"/>
          <w:szCs w:val="22"/>
        </w:rPr>
      </w:pPr>
      <w:r w:rsidRPr="000675A8">
        <w:rPr>
          <w:rFonts w:ascii="Arial" w:hAnsi="Arial" w:cs="Arial"/>
        </w:rPr>
        <w:br w:type="page"/>
      </w:r>
      <w:r w:rsidR="008459CF" w:rsidRPr="000C0597">
        <w:rPr>
          <w:rFonts w:ascii="Arial" w:hAnsi="Arial" w:cs="Arial"/>
          <w:sz w:val="22"/>
          <w:szCs w:val="22"/>
        </w:rPr>
        <w:t>PLANNING SCENARIO CASES</w:t>
      </w:r>
    </w:p>
    <w:p w14:paraId="33B4A3F7" w14:textId="77777777" w:rsidR="0026718A" w:rsidRPr="000C0597" w:rsidRDefault="0026718A" w:rsidP="00243513">
      <w:pPr>
        <w:numPr>
          <w:ilvl w:val="12"/>
          <w:numId w:val="0"/>
        </w:numPr>
        <w:spacing w:line="360" w:lineRule="atLeast"/>
        <w:rPr>
          <w:rFonts w:ascii="Arial" w:hAnsi="Arial" w:cs="Arial"/>
          <w:color w:val="000000"/>
          <w:sz w:val="22"/>
          <w:szCs w:val="22"/>
          <w:highlight w:val="yellow"/>
        </w:rPr>
      </w:pPr>
    </w:p>
    <w:p w14:paraId="34030F40" w14:textId="60489272" w:rsidR="00106D86" w:rsidRPr="000C0597" w:rsidRDefault="00A159A8" w:rsidP="00930A9E">
      <w:pPr>
        <w:spacing w:line="360" w:lineRule="atLeast"/>
        <w:rPr>
          <w:rFonts w:ascii="Arial" w:hAnsi="Arial" w:cs="Arial"/>
          <w:sz w:val="22"/>
          <w:szCs w:val="22"/>
        </w:rPr>
      </w:pPr>
      <w:r w:rsidRPr="000C0597">
        <w:rPr>
          <w:rFonts w:ascii="Arial" w:hAnsi="Arial" w:cs="Arial"/>
          <w:sz w:val="22"/>
          <w:szCs w:val="22"/>
        </w:rPr>
        <w:t>With its scenario modeling consultant, Charles River Associates, the Company developed three possible future CO</w:t>
      </w:r>
      <w:r w:rsidRPr="00074D0F">
        <w:rPr>
          <w:rFonts w:ascii="Arial" w:hAnsi="Arial" w:cs="Arial"/>
          <w:sz w:val="22"/>
          <w:szCs w:val="22"/>
          <w:vertAlign w:val="subscript"/>
        </w:rPr>
        <w:t>2</w:t>
      </w:r>
      <w:r w:rsidRPr="000C0597">
        <w:rPr>
          <w:rFonts w:ascii="Arial" w:hAnsi="Arial" w:cs="Arial"/>
          <w:sz w:val="22"/>
          <w:szCs w:val="22"/>
        </w:rPr>
        <w:t xml:space="preserve"> views and three possible future </w:t>
      </w:r>
      <w:r w:rsidR="005002F9" w:rsidRPr="000C0597">
        <w:rPr>
          <w:rFonts w:ascii="Arial" w:hAnsi="Arial" w:cs="Arial"/>
          <w:sz w:val="22"/>
          <w:szCs w:val="22"/>
        </w:rPr>
        <w:t>fuel</w:t>
      </w:r>
      <w:r w:rsidRPr="000C0597">
        <w:rPr>
          <w:rFonts w:ascii="Arial" w:hAnsi="Arial" w:cs="Arial"/>
          <w:sz w:val="22"/>
          <w:szCs w:val="22"/>
        </w:rPr>
        <w:t xml:space="preserve"> market views</w:t>
      </w:r>
      <w:r w:rsidR="008244ED" w:rsidRPr="000C0597">
        <w:rPr>
          <w:rFonts w:ascii="Arial" w:hAnsi="Arial" w:cs="Arial"/>
          <w:sz w:val="22"/>
          <w:szCs w:val="22"/>
        </w:rPr>
        <w:t xml:space="preserve">. </w:t>
      </w:r>
      <w:r w:rsidRPr="000C0597">
        <w:rPr>
          <w:rFonts w:ascii="Arial" w:hAnsi="Arial" w:cs="Arial"/>
          <w:sz w:val="22"/>
          <w:szCs w:val="22"/>
        </w:rPr>
        <w:t>The scenarios created by the combination of these CO</w:t>
      </w:r>
      <w:r w:rsidRPr="00074D0F">
        <w:rPr>
          <w:rFonts w:ascii="Arial" w:hAnsi="Arial" w:cs="Arial"/>
          <w:sz w:val="22"/>
          <w:szCs w:val="22"/>
          <w:vertAlign w:val="subscript"/>
        </w:rPr>
        <w:t>2</w:t>
      </w:r>
      <w:r w:rsidRPr="000C0597">
        <w:rPr>
          <w:rFonts w:ascii="Arial" w:hAnsi="Arial" w:cs="Arial"/>
          <w:sz w:val="22"/>
          <w:szCs w:val="22"/>
        </w:rPr>
        <w:t xml:space="preserve"> views and natural gas views were developed to represent a range of plausible outcomes</w:t>
      </w:r>
      <w:r w:rsidR="008244ED" w:rsidRPr="000C0597">
        <w:rPr>
          <w:rFonts w:ascii="Arial" w:hAnsi="Arial" w:cs="Arial"/>
          <w:sz w:val="22"/>
          <w:szCs w:val="22"/>
        </w:rPr>
        <w:t xml:space="preserve">. </w:t>
      </w:r>
      <w:r w:rsidRPr="000C0597">
        <w:rPr>
          <w:rFonts w:ascii="Arial" w:hAnsi="Arial" w:cs="Arial"/>
          <w:sz w:val="22"/>
          <w:szCs w:val="22"/>
        </w:rPr>
        <w:t>Each of the nine scenarios provides an internally-consistent view of fuel, electricity and other markets in the U</w:t>
      </w:r>
      <w:r w:rsidR="00357250" w:rsidRPr="000C0597">
        <w:rPr>
          <w:rFonts w:ascii="Arial" w:hAnsi="Arial" w:cs="Arial"/>
          <w:sz w:val="22"/>
          <w:szCs w:val="22"/>
        </w:rPr>
        <w:t>.</w:t>
      </w:r>
      <w:r w:rsidRPr="000C0597">
        <w:rPr>
          <w:rFonts w:ascii="Arial" w:hAnsi="Arial" w:cs="Arial"/>
          <w:sz w:val="22"/>
          <w:szCs w:val="22"/>
        </w:rPr>
        <w:t>S</w:t>
      </w:r>
      <w:r w:rsidR="00357250" w:rsidRPr="000C0597">
        <w:rPr>
          <w:rFonts w:ascii="Arial" w:hAnsi="Arial" w:cs="Arial"/>
          <w:sz w:val="22"/>
          <w:szCs w:val="22"/>
        </w:rPr>
        <w:t>.</w:t>
      </w:r>
      <w:r w:rsidRPr="000C0597">
        <w:rPr>
          <w:rFonts w:ascii="Arial" w:hAnsi="Arial" w:cs="Arial"/>
          <w:sz w:val="22"/>
          <w:szCs w:val="22"/>
        </w:rPr>
        <w:t xml:space="preserve"> economy</w:t>
      </w:r>
      <w:r w:rsidR="008244ED" w:rsidRPr="000C0597">
        <w:rPr>
          <w:rFonts w:ascii="Arial" w:hAnsi="Arial" w:cs="Arial"/>
          <w:sz w:val="22"/>
          <w:szCs w:val="22"/>
        </w:rPr>
        <w:t xml:space="preserve">. </w:t>
      </w:r>
      <w:r w:rsidR="00106D86" w:rsidRPr="000C0597">
        <w:rPr>
          <w:rFonts w:ascii="Arial" w:hAnsi="Arial" w:cs="Arial"/>
          <w:sz w:val="22"/>
          <w:szCs w:val="22"/>
        </w:rPr>
        <w:t xml:space="preserve">Figure </w:t>
      </w:r>
      <w:r w:rsidR="006C4DAC" w:rsidRPr="000C0597">
        <w:rPr>
          <w:rFonts w:ascii="Arial" w:hAnsi="Arial" w:cs="Arial"/>
          <w:sz w:val="22"/>
          <w:szCs w:val="22"/>
        </w:rPr>
        <w:t>6.10.1</w:t>
      </w:r>
      <w:r w:rsidR="001156ED" w:rsidRPr="000C0597">
        <w:rPr>
          <w:rFonts w:ascii="Arial" w:hAnsi="Arial" w:cs="Arial"/>
          <w:sz w:val="22"/>
          <w:szCs w:val="22"/>
        </w:rPr>
        <w:t xml:space="preserve"> </w:t>
      </w:r>
      <w:r w:rsidR="00106D86" w:rsidRPr="000C0597">
        <w:rPr>
          <w:rFonts w:ascii="Arial" w:hAnsi="Arial" w:cs="Arial"/>
          <w:sz w:val="22"/>
          <w:szCs w:val="22"/>
        </w:rPr>
        <w:t xml:space="preserve">depicts and summarizes the </w:t>
      </w:r>
      <w:r w:rsidR="00210987" w:rsidRPr="000C0597">
        <w:rPr>
          <w:rFonts w:ascii="Arial" w:hAnsi="Arial" w:cs="Arial"/>
          <w:sz w:val="22"/>
          <w:szCs w:val="22"/>
        </w:rPr>
        <w:t>nine</w:t>
      </w:r>
      <w:r w:rsidR="00D2295A" w:rsidRPr="000C0597">
        <w:rPr>
          <w:rFonts w:ascii="Arial" w:hAnsi="Arial" w:cs="Arial"/>
          <w:sz w:val="22"/>
          <w:szCs w:val="22"/>
        </w:rPr>
        <w:t xml:space="preserve"> combinations of </w:t>
      </w:r>
      <w:r w:rsidR="008C0BDC" w:rsidRPr="000C0597">
        <w:rPr>
          <w:rFonts w:ascii="Arial" w:hAnsi="Arial" w:cs="Arial"/>
          <w:sz w:val="22"/>
          <w:szCs w:val="22"/>
        </w:rPr>
        <w:t xml:space="preserve">natural gas </w:t>
      </w:r>
      <w:r w:rsidR="00D2295A" w:rsidRPr="000C0597">
        <w:rPr>
          <w:rFonts w:ascii="Arial" w:hAnsi="Arial" w:cs="Arial"/>
          <w:sz w:val="22"/>
          <w:szCs w:val="22"/>
        </w:rPr>
        <w:t>price and CO</w:t>
      </w:r>
      <w:r w:rsidR="00D2295A" w:rsidRPr="000C0597">
        <w:rPr>
          <w:rFonts w:ascii="Arial" w:hAnsi="Arial" w:cs="Arial"/>
          <w:sz w:val="22"/>
          <w:szCs w:val="22"/>
          <w:vertAlign w:val="subscript"/>
        </w:rPr>
        <w:t>2</w:t>
      </w:r>
      <w:r w:rsidR="00D2295A" w:rsidRPr="000C0597">
        <w:rPr>
          <w:rFonts w:ascii="Arial" w:hAnsi="Arial" w:cs="Arial"/>
          <w:sz w:val="22"/>
          <w:szCs w:val="22"/>
        </w:rPr>
        <w:t xml:space="preserve"> cost used to develop the scenario cases</w:t>
      </w:r>
      <w:r w:rsidR="008244ED" w:rsidRPr="000C0597">
        <w:rPr>
          <w:rFonts w:ascii="Arial" w:hAnsi="Arial" w:cs="Arial"/>
          <w:sz w:val="22"/>
          <w:szCs w:val="22"/>
        </w:rPr>
        <w:t xml:space="preserve">. </w:t>
      </w:r>
      <w:r w:rsidRPr="000C0597">
        <w:rPr>
          <w:rFonts w:ascii="Arial" w:hAnsi="Arial" w:cs="Arial"/>
          <w:sz w:val="22"/>
          <w:szCs w:val="22"/>
        </w:rPr>
        <w:t xml:space="preserve">For details on the scenario planning process, please see Technical Appendix Volume 1, </w:t>
      </w:r>
      <w:r w:rsidR="0093481D" w:rsidRPr="000C0597">
        <w:rPr>
          <w:rFonts w:ascii="Arial" w:hAnsi="Arial" w:cs="Arial"/>
          <w:sz w:val="22"/>
          <w:szCs w:val="22"/>
        </w:rPr>
        <w:t>Scenario Fuel Forecast</w:t>
      </w:r>
      <w:r w:rsidRPr="000C0597">
        <w:rPr>
          <w:rFonts w:ascii="Arial" w:hAnsi="Arial" w:cs="Arial"/>
          <w:sz w:val="22"/>
          <w:szCs w:val="22"/>
        </w:rPr>
        <w:t>.</w:t>
      </w:r>
    </w:p>
    <w:p w14:paraId="746CDFE4" w14:textId="77777777" w:rsidR="00E07B78" w:rsidRPr="000C0597" w:rsidRDefault="00E07B78" w:rsidP="00E07B78">
      <w:pPr>
        <w:spacing w:line="480" w:lineRule="auto"/>
        <w:rPr>
          <w:rFonts w:ascii="Arial" w:hAnsi="Arial" w:cs="Arial"/>
          <w:sz w:val="22"/>
          <w:szCs w:val="22"/>
        </w:rPr>
      </w:pPr>
    </w:p>
    <w:p w14:paraId="0FD61F46" w14:textId="77777777" w:rsidR="00842D08" w:rsidRPr="000C0597" w:rsidRDefault="00842D08" w:rsidP="00E07B78">
      <w:pPr>
        <w:spacing w:line="480" w:lineRule="auto"/>
        <w:rPr>
          <w:rFonts w:ascii="Arial" w:hAnsi="Arial" w:cs="Arial"/>
          <w:sz w:val="22"/>
          <w:szCs w:val="22"/>
        </w:rPr>
      </w:pPr>
    </w:p>
    <w:p w14:paraId="247A7435" w14:textId="3CA50E0D" w:rsidR="00E07B78" w:rsidRPr="000C0597" w:rsidRDefault="00E07B78" w:rsidP="006D78D2">
      <w:pPr>
        <w:keepNext/>
        <w:spacing w:line="360" w:lineRule="atLeast"/>
        <w:ind w:left="375"/>
        <w:jc w:val="center"/>
        <w:rPr>
          <w:rFonts w:ascii="Arial" w:hAnsi="Arial" w:cs="Arial"/>
          <w:sz w:val="22"/>
          <w:szCs w:val="22"/>
        </w:rPr>
      </w:pPr>
      <w:r w:rsidRPr="000C0597">
        <w:rPr>
          <w:rFonts w:ascii="Arial" w:hAnsi="Arial" w:cs="Arial"/>
          <w:b/>
          <w:sz w:val="22"/>
          <w:szCs w:val="22"/>
        </w:rPr>
        <w:t xml:space="preserve">Figure </w:t>
      </w:r>
      <w:r w:rsidR="00120362" w:rsidRPr="000C0597">
        <w:rPr>
          <w:rFonts w:ascii="Arial" w:hAnsi="Arial" w:cs="Arial"/>
          <w:b/>
          <w:sz w:val="22"/>
          <w:szCs w:val="22"/>
        </w:rPr>
        <w:t>6.10.1</w:t>
      </w:r>
      <w:r w:rsidR="00120362" w:rsidRPr="000C0597">
        <w:rPr>
          <w:rFonts w:ascii="Arial" w:hAnsi="Arial" w:cs="Arial"/>
          <w:sz w:val="22"/>
          <w:szCs w:val="22"/>
        </w:rPr>
        <w:t xml:space="preserve"> </w:t>
      </w:r>
      <w:r w:rsidR="008C0BDC" w:rsidRPr="000C0597">
        <w:rPr>
          <w:rFonts w:ascii="Arial" w:hAnsi="Arial" w:cs="Arial"/>
          <w:sz w:val="22"/>
          <w:szCs w:val="22"/>
        </w:rPr>
        <w:t>–</w:t>
      </w:r>
      <w:r w:rsidRPr="000C0597">
        <w:rPr>
          <w:rFonts w:ascii="Arial" w:hAnsi="Arial" w:cs="Arial"/>
          <w:sz w:val="22"/>
          <w:szCs w:val="22"/>
        </w:rPr>
        <w:t xml:space="preserve"> </w:t>
      </w:r>
      <w:r w:rsidR="005002F9" w:rsidRPr="000C0597">
        <w:rPr>
          <w:rFonts w:ascii="Arial" w:hAnsi="Arial" w:cs="Arial"/>
          <w:sz w:val="22"/>
          <w:szCs w:val="22"/>
        </w:rPr>
        <w:t>Fuel</w:t>
      </w:r>
      <w:r w:rsidR="00A60D13" w:rsidRPr="000C0597">
        <w:rPr>
          <w:rFonts w:ascii="Arial" w:hAnsi="Arial" w:cs="Arial"/>
          <w:sz w:val="22"/>
          <w:szCs w:val="22"/>
        </w:rPr>
        <w:t xml:space="preserve"> and CO</w:t>
      </w:r>
      <w:r w:rsidR="00A60D13" w:rsidRPr="00074D0F">
        <w:rPr>
          <w:rFonts w:ascii="Arial" w:hAnsi="Arial" w:cs="Arial"/>
          <w:sz w:val="22"/>
          <w:szCs w:val="22"/>
          <w:vertAlign w:val="subscript"/>
        </w:rPr>
        <w:t>2</w:t>
      </w:r>
      <w:r w:rsidR="00A60D13" w:rsidRPr="000C0597">
        <w:rPr>
          <w:rFonts w:ascii="Arial" w:hAnsi="Arial" w:cs="Arial"/>
          <w:sz w:val="22"/>
          <w:szCs w:val="22"/>
        </w:rPr>
        <w:t xml:space="preserve"> Price Matrix</w:t>
      </w:r>
    </w:p>
    <w:tbl>
      <w:tblPr>
        <w:tblW w:w="7655" w:type="dxa"/>
        <w:jc w:val="center"/>
        <w:tblLook w:val="04A0" w:firstRow="1" w:lastRow="0" w:firstColumn="1" w:lastColumn="0" w:noHBand="0" w:noVBand="1"/>
      </w:tblPr>
      <w:tblGrid>
        <w:gridCol w:w="482"/>
        <w:gridCol w:w="2193"/>
        <w:gridCol w:w="1496"/>
        <w:gridCol w:w="1742"/>
        <w:gridCol w:w="1742"/>
      </w:tblGrid>
      <w:tr w:rsidR="007154B3" w:rsidRPr="000675A8" w14:paraId="4B85CFE3" w14:textId="77777777" w:rsidTr="007154B3">
        <w:trPr>
          <w:trHeight w:val="499"/>
          <w:jc w:val="center"/>
        </w:trPr>
        <w:tc>
          <w:tcPr>
            <w:tcW w:w="2675" w:type="dxa"/>
            <w:gridSpan w:val="2"/>
            <w:vMerge w:val="restart"/>
            <w:tcBorders>
              <w:top w:val="single" w:sz="4" w:space="0" w:color="FFFFFF"/>
              <w:left w:val="single" w:sz="4" w:space="0" w:color="FFFFFF"/>
              <w:bottom w:val="single" w:sz="4" w:space="0" w:color="FFFFFF"/>
              <w:right w:val="single" w:sz="4" w:space="0" w:color="FFFFFF"/>
            </w:tcBorders>
            <w:noWrap/>
            <w:vAlign w:val="bottom"/>
            <w:hideMark/>
          </w:tcPr>
          <w:p w14:paraId="2EB275EA" w14:textId="77777777" w:rsidR="007154B3" w:rsidRPr="000675A8" w:rsidRDefault="007154B3">
            <w:pPr>
              <w:jc w:val="center"/>
              <w:rPr>
                <w:rFonts w:ascii="Arial" w:hAnsi="Arial" w:cs="Arial"/>
                <w:color w:val="000000"/>
              </w:rPr>
            </w:pPr>
            <w:r w:rsidRPr="000675A8">
              <w:rPr>
                <w:rFonts w:ascii="Arial" w:hAnsi="Arial" w:cs="Arial"/>
                <w:color w:val="000000"/>
              </w:rPr>
              <w:t> </w:t>
            </w:r>
          </w:p>
        </w:tc>
        <w:tc>
          <w:tcPr>
            <w:tcW w:w="4980" w:type="dxa"/>
            <w:gridSpan w:val="3"/>
            <w:tcBorders>
              <w:top w:val="single" w:sz="4" w:space="0" w:color="FFFFFF"/>
              <w:left w:val="nil"/>
              <w:bottom w:val="single" w:sz="4" w:space="0" w:color="FFFFFF"/>
              <w:right w:val="single" w:sz="4" w:space="0" w:color="FFFFFF"/>
            </w:tcBorders>
            <w:shd w:val="clear" w:color="auto" w:fill="4F81BD"/>
            <w:noWrap/>
            <w:vAlign w:val="center"/>
            <w:hideMark/>
          </w:tcPr>
          <w:p w14:paraId="0F625C91" w14:textId="4817B88F" w:rsidR="007154B3" w:rsidRPr="000675A8" w:rsidRDefault="007154B3">
            <w:pPr>
              <w:jc w:val="center"/>
              <w:rPr>
                <w:rFonts w:ascii="Arial" w:hAnsi="Arial" w:cs="Arial"/>
                <w:b/>
                <w:bCs/>
                <w:color w:val="FFFFFF"/>
              </w:rPr>
            </w:pPr>
            <w:r w:rsidRPr="000675A8">
              <w:rPr>
                <w:rFonts w:ascii="Arial" w:hAnsi="Arial" w:cs="Arial"/>
                <w:b/>
                <w:bCs/>
                <w:color w:val="FFFFFF"/>
              </w:rPr>
              <w:t>CO</w:t>
            </w:r>
            <w:r w:rsidRPr="000675A8">
              <w:rPr>
                <w:rFonts w:ascii="Arial" w:hAnsi="Arial" w:cs="Arial"/>
                <w:b/>
                <w:bCs/>
                <w:color w:val="FFFFFF"/>
                <w:vertAlign w:val="subscript"/>
              </w:rPr>
              <w:t>2</w:t>
            </w:r>
            <w:r w:rsidRPr="000675A8">
              <w:rPr>
                <w:rFonts w:ascii="Arial" w:hAnsi="Arial" w:cs="Arial"/>
                <w:b/>
                <w:bCs/>
                <w:color w:val="FFFFFF"/>
              </w:rPr>
              <w:t xml:space="preserve"> Views</w:t>
            </w:r>
          </w:p>
        </w:tc>
      </w:tr>
      <w:tr w:rsidR="007154B3" w:rsidRPr="000675A8" w14:paraId="0346A0CD" w14:textId="77777777" w:rsidTr="007154B3">
        <w:trPr>
          <w:trHeight w:val="499"/>
          <w:jc w:val="center"/>
        </w:trPr>
        <w:tc>
          <w:tcPr>
            <w:tcW w:w="0" w:type="auto"/>
            <w:gridSpan w:val="2"/>
            <w:vMerge/>
            <w:tcBorders>
              <w:top w:val="single" w:sz="4" w:space="0" w:color="FFFFFF"/>
              <w:left w:val="single" w:sz="4" w:space="0" w:color="FFFFFF"/>
              <w:bottom w:val="single" w:sz="4" w:space="0" w:color="FFFFFF"/>
              <w:right w:val="single" w:sz="4" w:space="0" w:color="FFFFFF"/>
            </w:tcBorders>
            <w:vAlign w:val="center"/>
            <w:hideMark/>
          </w:tcPr>
          <w:p w14:paraId="67850D8E" w14:textId="77777777" w:rsidR="007154B3" w:rsidRPr="000675A8" w:rsidRDefault="007154B3">
            <w:pPr>
              <w:spacing w:line="256" w:lineRule="auto"/>
              <w:jc w:val="left"/>
              <w:rPr>
                <w:rFonts w:ascii="Arial" w:hAnsi="Arial" w:cs="Arial"/>
                <w:color w:val="000000"/>
                <w:sz w:val="22"/>
                <w:szCs w:val="22"/>
              </w:rPr>
            </w:pPr>
          </w:p>
        </w:tc>
        <w:tc>
          <w:tcPr>
            <w:tcW w:w="1496" w:type="dxa"/>
            <w:tcBorders>
              <w:top w:val="nil"/>
              <w:left w:val="nil"/>
              <w:bottom w:val="single" w:sz="4" w:space="0" w:color="FFFFFF"/>
              <w:right w:val="single" w:sz="4" w:space="0" w:color="FFFFFF"/>
            </w:tcBorders>
            <w:shd w:val="clear" w:color="auto" w:fill="DCE6F1"/>
            <w:noWrap/>
            <w:vAlign w:val="center"/>
            <w:hideMark/>
          </w:tcPr>
          <w:p w14:paraId="7665F579" w14:textId="77777777" w:rsidR="007154B3" w:rsidRPr="000675A8" w:rsidRDefault="007154B3">
            <w:pPr>
              <w:jc w:val="center"/>
              <w:rPr>
                <w:rFonts w:ascii="Arial" w:hAnsi="Arial" w:cs="Arial"/>
                <w:b/>
                <w:bCs/>
                <w:color w:val="000000"/>
              </w:rPr>
            </w:pPr>
            <w:r w:rsidRPr="000675A8">
              <w:rPr>
                <w:rFonts w:ascii="Arial" w:hAnsi="Arial" w:cs="Arial"/>
                <w:b/>
                <w:bCs/>
                <w:color w:val="000000"/>
              </w:rPr>
              <w:t>$0 CO</w:t>
            </w:r>
            <w:r w:rsidRPr="000675A8">
              <w:rPr>
                <w:rFonts w:ascii="Arial" w:hAnsi="Arial" w:cs="Arial"/>
                <w:b/>
                <w:bCs/>
                <w:color w:val="000000"/>
                <w:vertAlign w:val="subscript"/>
              </w:rPr>
              <w:t>2</w:t>
            </w:r>
          </w:p>
        </w:tc>
        <w:tc>
          <w:tcPr>
            <w:tcW w:w="1742" w:type="dxa"/>
            <w:tcBorders>
              <w:top w:val="nil"/>
              <w:left w:val="nil"/>
              <w:bottom w:val="single" w:sz="4" w:space="0" w:color="FFFFFF"/>
              <w:right w:val="single" w:sz="4" w:space="0" w:color="FFFFFF"/>
            </w:tcBorders>
            <w:shd w:val="clear" w:color="auto" w:fill="DCE6F1"/>
            <w:noWrap/>
            <w:vAlign w:val="center"/>
            <w:hideMark/>
          </w:tcPr>
          <w:p w14:paraId="40870A95" w14:textId="77777777" w:rsidR="007154B3" w:rsidRPr="000675A8" w:rsidRDefault="007154B3">
            <w:pPr>
              <w:jc w:val="center"/>
              <w:rPr>
                <w:rFonts w:ascii="Arial" w:hAnsi="Arial" w:cs="Arial"/>
                <w:b/>
                <w:bCs/>
                <w:color w:val="000000"/>
              </w:rPr>
            </w:pPr>
            <w:r w:rsidRPr="000675A8">
              <w:rPr>
                <w:rFonts w:ascii="Arial" w:hAnsi="Arial" w:cs="Arial"/>
                <w:b/>
                <w:bCs/>
                <w:color w:val="000000"/>
              </w:rPr>
              <w:t>$10 CO</w:t>
            </w:r>
            <w:r w:rsidRPr="000675A8">
              <w:rPr>
                <w:rFonts w:ascii="Arial" w:hAnsi="Arial" w:cs="Arial"/>
                <w:b/>
                <w:bCs/>
                <w:color w:val="000000"/>
                <w:vertAlign w:val="subscript"/>
              </w:rPr>
              <w:t>2</w:t>
            </w:r>
          </w:p>
        </w:tc>
        <w:tc>
          <w:tcPr>
            <w:tcW w:w="1742" w:type="dxa"/>
            <w:tcBorders>
              <w:top w:val="nil"/>
              <w:left w:val="nil"/>
              <w:bottom w:val="single" w:sz="4" w:space="0" w:color="FFFFFF"/>
              <w:right w:val="single" w:sz="4" w:space="0" w:color="FFFFFF"/>
            </w:tcBorders>
            <w:shd w:val="clear" w:color="auto" w:fill="DCE6F1"/>
            <w:noWrap/>
            <w:vAlign w:val="center"/>
            <w:hideMark/>
          </w:tcPr>
          <w:p w14:paraId="17ADD810" w14:textId="77777777" w:rsidR="007154B3" w:rsidRPr="000675A8" w:rsidRDefault="007154B3">
            <w:pPr>
              <w:jc w:val="center"/>
              <w:rPr>
                <w:rFonts w:ascii="Arial" w:hAnsi="Arial" w:cs="Arial"/>
                <w:b/>
                <w:bCs/>
                <w:color w:val="000000"/>
              </w:rPr>
            </w:pPr>
            <w:r w:rsidRPr="000675A8">
              <w:rPr>
                <w:rFonts w:ascii="Arial" w:hAnsi="Arial" w:cs="Arial"/>
                <w:b/>
                <w:bCs/>
                <w:color w:val="000000"/>
              </w:rPr>
              <w:t>$20 CO</w:t>
            </w:r>
            <w:r w:rsidRPr="000675A8">
              <w:rPr>
                <w:rFonts w:ascii="Arial" w:hAnsi="Arial" w:cs="Arial"/>
                <w:b/>
                <w:bCs/>
                <w:color w:val="000000"/>
                <w:vertAlign w:val="subscript"/>
              </w:rPr>
              <w:t>2</w:t>
            </w:r>
          </w:p>
        </w:tc>
      </w:tr>
      <w:tr w:rsidR="007154B3" w:rsidRPr="000675A8" w14:paraId="4180E6B2" w14:textId="77777777" w:rsidTr="007154B3">
        <w:trPr>
          <w:trHeight w:val="499"/>
          <w:jc w:val="center"/>
        </w:trPr>
        <w:tc>
          <w:tcPr>
            <w:tcW w:w="482" w:type="dxa"/>
            <w:vMerge w:val="restart"/>
            <w:tcBorders>
              <w:top w:val="nil"/>
              <w:left w:val="single" w:sz="4" w:space="0" w:color="FFFFFF"/>
              <w:bottom w:val="single" w:sz="4" w:space="0" w:color="FFFFFF"/>
              <w:right w:val="single" w:sz="4" w:space="0" w:color="FFFFFF"/>
            </w:tcBorders>
            <w:shd w:val="clear" w:color="auto" w:fill="4F81BD"/>
            <w:noWrap/>
            <w:textDirection w:val="btLr"/>
            <w:vAlign w:val="center"/>
            <w:hideMark/>
          </w:tcPr>
          <w:p w14:paraId="47939AC9" w14:textId="77777777" w:rsidR="007154B3" w:rsidRPr="000675A8" w:rsidRDefault="007154B3">
            <w:pPr>
              <w:jc w:val="center"/>
              <w:rPr>
                <w:rFonts w:ascii="Arial" w:hAnsi="Arial" w:cs="Arial"/>
                <w:b/>
                <w:bCs/>
                <w:color w:val="FFFFFF"/>
              </w:rPr>
            </w:pPr>
            <w:r w:rsidRPr="000675A8">
              <w:rPr>
                <w:rFonts w:ascii="Arial" w:hAnsi="Arial" w:cs="Arial"/>
                <w:b/>
                <w:bCs/>
                <w:color w:val="FFFFFF"/>
              </w:rPr>
              <w:t>Fuel Views</w:t>
            </w:r>
          </w:p>
        </w:tc>
        <w:tc>
          <w:tcPr>
            <w:tcW w:w="2193" w:type="dxa"/>
            <w:tcBorders>
              <w:top w:val="nil"/>
              <w:left w:val="nil"/>
              <w:bottom w:val="single" w:sz="4" w:space="0" w:color="FFFFFF"/>
              <w:right w:val="single" w:sz="4" w:space="0" w:color="FFFFFF"/>
            </w:tcBorders>
            <w:shd w:val="clear" w:color="auto" w:fill="DCE6F1"/>
            <w:noWrap/>
            <w:vAlign w:val="center"/>
            <w:hideMark/>
          </w:tcPr>
          <w:p w14:paraId="04A5E159" w14:textId="77777777" w:rsidR="007154B3" w:rsidRPr="000675A8" w:rsidRDefault="007154B3">
            <w:pPr>
              <w:jc w:val="center"/>
              <w:rPr>
                <w:rFonts w:ascii="Arial" w:hAnsi="Arial" w:cs="Arial"/>
                <w:b/>
                <w:bCs/>
                <w:color w:val="000000"/>
              </w:rPr>
            </w:pPr>
            <w:r w:rsidRPr="000675A8">
              <w:rPr>
                <w:rFonts w:ascii="Arial" w:hAnsi="Arial" w:cs="Arial"/>
                <w:b/>
                <w:bCs/>
                <w:color w:val="000000"/>
              </w:rPr>
              <w:t>High Fuel</w:t>
            </w:r>
          </w:p>
        </w:tc>
        <w:tc>
          <w:tcPr>
            <w:tcW w:w="1496" w:type="dxa"/>
            <w:tcBorders>
              <w:top w:val="nil"/>
              <w:left w:val="nil"/>
              <w:bottom w:val="single" w:sz="4" w:space="0" w:color="FFFFFF"/>
              <w:right w:val="single" w:sz="4" w:space="0" w:color="FFFFFF"/>
            </w:tcBorders>
            <w:shd w:val="clear" w:color="auto" w:fill="B8CCE4"/>
            <w:noWrap/>
            <w:vAlign w:val="center"/>
            <w:hideMark/>
          </w:tcPr>
          <w:p w14:paraId="6AC2D305" w14:textId="77777777" w:rsidR="007154B3" w:rsidRPr="000675A8" w:rsidRDefault="007154B3">
            <w:pPr>
              <w:jc w:val="center"/>
              <w:rPr>
                <w:rFonts w:ascii="Arial" w:hAnsi="Arial" w:cs="Arial"/>
                <w:color w:val="000000"/>
              </w:rPr>
            </w:pPr>
            <w:r w:rsidRPr="000675A8">
              <w:rPr>
                <w:rFonts w:ascii="Arial" w:hAnsi="Arial" w:cs="Arial"/>
                <w:color w:val="000000"/>
              </w:rPr>
              <w:t>HG0</w:t>
            </w:r>
          </w:p>
        </w:tc>
        <w:tc>
          <w:tcPr>
            <w:tcW w:w="1742" w:type="dxa"/>
            <w:tcBorders>
              <w:top w:val="nil"/>
              <w:left w:val="nil"/>
              <w:bottom w:val="single" w:sz="4" w:space="0" w:color="FFFFFF"/>
              <w:right w:val="single" w:sz="4" w:space="0" w:color="FFFFFF"/>
            </w:tcBorders>
            <w:shd w:val="clear" w:color="auto" w:fill="B8CCE4"/>
            <w:noWrap/>
            <w:vAlign w:val="center"/>
            <w:hideMark/>
          </w:tcPr>
          <w:p w14:paraId="4F264FCA" w14:textId="77777777" w:rsidR="007154B3" w:rsidRPr="000675A8" w:rsidRDefault="007154B3">
            <w:pPr>
              <w:jc w:val="center"/>
              <w:rPr>
                <w:rFonts w:ascii="Arial" w:hAnsi="Arial" w:cs="Arial"/>
                <w:color w:val="000000"/>
              </w:rPr>
            </w:pPr>
            <w:r w:rsidRPr="000675A8">
              <w:rPr>
                <w:rFonts w:ascii="Arial" w:hAnsi="Arial" w:cs="Arial"/>
                <w:color w:val="000000"/>
              </w:rPr>
              <w:t>HG10</w:t>
            </w:r>
          </w:p>
        </w:tc>
        <w:tc>
          <w:tcPr>
            <w:tcW w:w="1742" w:type="dxa"/>
            <w:tcBorders>
              <w:top w:val="nil"/>
              <w:left w:val="nil"/>
              <w:bottom w:val="single" w:sz="4" w:space="0" w:color="FFFFFF"/>
              <w:right w:val="single" w:sz="4" w:space="0" w:color="FFFFFF"/>
            </w:tcBorders>
            <w:shd w:val="clear" w:color="auto" w:fill="B8CCE4"/>
            <w:noWrap/>
            <w:vAlign w:val="center"/>
            <w:hideMark/>
          </w:tcPr>
          <w:p w14:paraId="0BCFE495" w14:textId="77777777" w:rsidR="007154B3" w:rsidRPr="000675A8" w:rsidRDefault="007154B3">
            <w:pPr>
              <w:jc w:val="center"/>
              <w:rPr>
                <w:rFonts w:ascii="Arial" w:hAnsi="Arial" w:cs="Arial"/>
                <w:color w:val="000000"/>
              </w:rPr>
            </w:pPr>
            <w:r w:rsidRPr="000675A8">
              <w:rPr>
                <w:rFonts w:ascii="Arial" w:hAnsi="Arial" w:cs="Arial"/>
                <w:color w:val="000000"/>
              </w:rPr>
              <w:t>HG20</w:t>
            </w:r>
          </w:p>
        </w:tc>
      </w:tr>
      <w:tr w:rsidR="007154B3" w:rsidRPr="000675A8" w14:paraId="075F611E" w14:textId="77777777" w:rsidTr="007154B3">
        <w:trPr>
          <w:trHeight w:val="499"/>
          <w:jc w:val="center"/>
        </w:trPr>
        <w:tc>
          <w:tcPr>
            <w:tcW w:w="0" w:type="auto"/>
            <w:vMerge/>
            <w:tcBorders>
              <w:top w:val="nil"/>
              <w:left w:val="single" w:sz="4" w:space="0" w:color="FFFFFF"/>
              <w:bottom w:val="single" w:sz="4" w:space="0" w:color="FFFFFF"/>
              <w:right w:val="single" w:sz="4" w:space="0" w:color="FFFFFF"/>
            </w:tcBorders>
            <w:vAlign w:val="center"/>
            <w:hideMark/>
          </w:tcPr>
          <w:p w14:paraId="091F07D8" w14:textId="77777777" w:rsidR="007154B3" w:rsidRPr="000675A8" w:rsidRDefault="007154B3">
            <w:pPr>
              <w:spacing w:line="256" w:lineRule="auto"/>
              <w:jc w:val="left"/>
              <w:rPr>
                <w:rFonts w:ascii="Arial" w:hAnsi="Arial" w:cs="Arial"/>
                <w:b/>
                <w:bCs/>
                <w:color w:val="FFFFFF"/>
                <w:sz w:val="22"/>
                <w:szCs w:val="22"/>
              </w:rPr>
            </w:pPr>
          </w:p>
        </w:tc>
        <w:tc>
          <w:tcPr>
            <w:tcW w:w="2193" w:type="dxa"/>
            <w:tcBorders>
              <w:top w:val="nil"/>
              <w:left w:val="nil"/>
              <w:bottom w:val="single" w:sz="4" w:space="0" w:color="FFFFFF"/>
              <w:right w:val="single" w:sz="4" w:space="0" w:color="FFFFFF"/>
            </w:tcBorders>
            <w:shd w:val="clear" w:color="auto" w:fill="DCE6F1"/>
            <w:noWrap/>
            <w:vAlign w:val="center"/>
            <w:hideMark/>
          </w:tcPr>
          <w:p w14:paraId="067CA065" w14:textId="77777777" w:rsidR="007154B3" w:rsidRPr="000675A8" w:rsidRDefault="007154B3">
            <w:pPr>
              <w:jc w:val="center"/>
              <w:rPr>
                <w:rFonts w:ascii="Arial" w:hAnsi="Arial" w:cs="Arial"/>
                <w:b/>
                <w:bCs/>
                <w:color w:val="000000"/>
              </w:rPr>
            </w:pPr>
            <w:r w:rsidRPr="000675A8">
              <w:rPr>
                <w:rFonts w:ascii="Arial" w:hAnsi="Arial" w:cs="Arial"/>
                <w:b/>
                <w:bCs/>
                <w:color w:val="000000"/>
              </w:rPr>
              <w:t>Moderate Fuel</w:t>
            </w:r>
          </w:p>
        </w:tc>
        <w:tc>
          <w:tcPr>
            <w:tcW w:w="1496" w:type="dxa"/>
            <w:tcBorders>
              <w:top w:val="nil"/>
              <w:left w:val="nil"/>
              <w:bottom w:val="single" w:sz="4" w:space="0" w:color="FFFFFF"/>
              <w:right w:val="single" w:sz="4" w:space="0" w:color="FFFFFF"/>
            </w:tcBorders>
            <w:shd w:val="clear" w:color="auto" w:fill="B8CCE4"/>
            <w:noWrap/>
            <w:vAlign w:val="center"/>
            <w:hideMark/>
          </w:tcPr>
          <w:p w14:paraId="7621FBA2" w14:textId="77777777" w:rsidR="007154B3" w:rsidRPr="000675A8" w:rsidRDefault="007154B3">
            <w:pPr>
              <w:jc w:val="center"/>
              <w:rPr>
                <w:rFonts w:ascii="Arial" w:hAnsi="Arial" w:cs="Arial"/>
                <w:color w:val="000000"/>
              </w:rPr>
            </w:pPr>
            <w:r w:rsidRPr="000675A8">
              <w:rPr>
                <w:rFonts w:ascii="Arial" w:hAnsi="Arial" w:cs="Arial"/>
                <w:color w:val="000000"/>
              </w:rPr>
              <w:t>MG0</w:t>
            </w:r>
          </w:p>
        </w:tc>
        <w:tc>
          <w:tcPr>
            <w:tcW w:w="1742" w:type="dxa"/>
            <w:tcBorders>
              <w:top w:val="nil"/>
              <w:left w:val="nil"/>
              <w:bottom w:val="single" w:sz="4" w:space="0" w:color="FFFFFF"/>
              <w:right w:val="single" w:sz="4" w:space="0" w:color="FFFFFF"/>
            </w:tcBorders>
            <w:shd w:val="clear" w:color="auto" w:fill="B8CCE4"/>
            <w:noWrap/>
            <w:vAlign w:val="center"/>
            <w:hideMark/>
          </w:tcPr>
          <w:p w14:paraId="10BF77DB" w14:textId="77777777" w:rsidR="007154B3" w:rsidRPr="000675A8" w:rsidRDefault="007154B3">
            <w:pPr>
              <w:jc w:val="center"/>
              <w:rPr>
                <w:rFonts w:ascii="Arial" w:hAnsi="Arial" w:cs="Arial"/>
                <w:color w:val="000000"/>
              </w:rPr>
            </w:pPr>
            <w:r w:rsidRPr="000675A8">
              <w:rPr>
                <w:rFonts w:ascii="Arial" w:hAnsi="Arial" w:cs="Arial"/>
                <w:color w:val="000000"/>
              </w:rPr>
              <w:t>MG10</w:t>
            </w:r>
          </w:p>
        </w:tc>
        <w:tc>
          <w:tcPr>
            <w:tcW w:w="1742" w:type="dxa"/>
            <w:tcBorders>
              <w:top w:val="nil"/>
              <w:left w:val="nil"/>
              <w:bottom w:val="single" w:sz="4" w:space="0" w:color="FFFFFF"/>
              <w:right w:val="single" w:sz="4" w:space="0" w:color="FFFFFF"/>
            </w:tcBorders>
            <w:shd w:val="clear" w:color="auto" w:fill="B8CCE4"/>
            <w:noWrap/>
            <w:vAlign w:val="center"/>
            <w:hideMark/>
          </w:tcPr>
          <w:p w14:paraId="1C65C5BB" w14:textId="77777777" w:rsidR="007154B3" w:rsidRPr="000675A8" w:rsidRDefault="007154B3">
            <w:pPr>
              <w:jc w:val="center"/>
              <w:rPr>
                <w:rFonts w:ascii="Arial" w:hAnsi="Arial" w:cs="Arial"/>
                <w:color w:val="000000"/>
              </w:rPr>
            </w:pPr>
            <w:r w:rsidRPr="000675A8">
              <w:rPr>
                <w:rFonts w:ascii="Arial" w:hAnsi="Arial" w:cs="Arial"/>
                <w:color w:val="000000"/>
              </w:rPr>
              <w:t>MG20</w:t>
            </w:r>
          </w:p>
        </w:tc>
      </w:tr>
      <w:tr w:rsidR="007154B3" w:rsidRPr="000675A8" w14:paraId="52B30B4D" w14:textId="77777777" w:rsidTr="007154B3">
        <w:trPr>
          <w:trHeight w:val="499"/>
          <w:jc w:val="center"/>
        </w:trPr>
        <w:tc>
          <w:tcPr>
            <w:tcW w:w="0" w:type="auto"/>
            <w:vMerge/>
            <w:tcBorders>
              <w:top w:val="nil"/>
              <w:left w:val="single" w:sz="4" w:space="0" w:color="FFFFFF"/>
              <w:bottom w:val="single" w:sz="4" w:space="0" w:color="FFFFFF"/>
              <w:right w:val="single" w:sz="4" w:space="0" w:color="FFFFFF"/>
            </w:tcBorders>
            <w:vAlign w:val="center"/>
            <w:hideMark/>
          </w:tcPr>
          <w:p w14:paraId="711D68A1" w14:textId="77777777" w:rsidR="007154B3" w:rsidRPr="000675A8" w:rsidRDefault="007154B3">
            <w:pPr>
              <w:spacing w:line="256" w:lineRule="auto"/>
              <w:jc w:val="left"/>
              <w:rPr>
                <w:rFonts w:ascii="Arial" w:hAnsi="Arial" w:cs="Arial"/>
                <w:b/>
                <w:bCs/>
                <w:color w:val="FFFFFF"/>
                <w:sz w:val="22"/>
                <w:szCs w:val="22"/>
              </w:rPr>
            </w:pPr>
          </w:p>
        </w:tc>
        <w:tc>
          <w:tcPr>
            <w:tcW w:w="2193" w:type="dxa"/>
            <w:tcBorders>
              <w:top w:val="nil"/>
              <w:left w:val="nil"/>
              <w:bottom w:val="single" w:sz="4" w:space="0" w:color="FFFFFF"/>
              <w:right w:val="single" w:sz="4" w:space="0" w:color="FFFFFF"/>
            </w:tcBorders>
            <w:shd w:val="clear" w:color="auto" w:fill="DCE6F1"/>
            <w:noWrap/>
            <w:vAlign w:val="center"/>
            <w:hideMark/>
          </w:tcPr>
          <w:p w14:paraId="1043D330" w14:textId="77777777" w:rsidR="007154B3" w:rsidRPr="000675A8" w:rsidRDefault="007154B3">
            <w:pPr>
              <w:jc w:val="center"/>
              <w:rPr>
                <w:rFonts w:ascii="Arial" w:hAnsi="Arial" w:cs="Arial"/>
                <w:b/>
                <w:bCs/>
                <w:color w:val="000000"/>
              </w:rPr>
            </w:pPr>
            <w:r w:rsidRPr="000675A8">
              <w:rPr>
                <w:rFonts w:ascii="Arial" w:hAnsi="Arial" w:cs="Arial"/>
                <w:b/>
                <w:bCs/>
                <w:color w:val="000000"/>
              </w:rPr>
              <w:t>Low Fuel</w:t>
            </w:r>
          </w:p>
        </w:tc>
        <w:tc>
          <w:tcPr>
            <w:tcW w:w="1496" w:type="dxa"/>
            <w:tcBorders>
              <w:top w:val="nil"/>
              <w:left w:val="nil"/>
              <w:bottom w:val="single" w:sz="4" w:space="0" w:color="FFFFFF"/>
              <w:right w:val="single" w:sz="4" w:space="0" w:color="FFFFFF"/>
            </w:tcBorders>
            <w:shd w:val="clear" w:color="auto" w:fill="B8CCE4"/>
            <w:noWrap/>
            <w:vAlign w:val="center"/>
            <w:hideMark/>
          </w:tcPr>
          <w:p w14:paraId="1509A518" w14:textId="77777777" w:rsidR="007154B3" w:rsidRPr="000675A8" w:rsidRDefault="007154B3">
            <w:pPr>
              <w:jc w:val="center"/>
              <w:rPr>
                <w:rFonts w:ascii="Arial" w:hAnsi="Arial" w:cs="Arial"/>
                <w:color w:val="000000"/>
              </w:rPr>
            </w:pPr>
            <w:r w:rsidRPr="000675A8">
              <w:rPr>
                <w:rFonts w:ascii="Arial" w:hAnsi="Arial" w:cs="Arial"/>
                <w:color w:val="000000"/>
              </w:rPr>
              <w:t>LG0</w:t>
            </w:r>
          </w:p>
        </w:tc>
        <w:tc>
          <w:tcPr>
            <w:tcW w:w="1742" w:type="dxa"/>
            <w:tcBorders>
              <w:top w:val="nil"/>
              <w:left w:val="nil"/>
              <w:bottom w:val="single" w:sz="4" w:space="0" w:color="FFFFFF"/>
              <w:right w:val="single" w:sz="4" w:space="0" w:color="FFFFFF"/>
            </w:tcBorders>
            <w:shd w:val="clear" w:color="auto" w:fill="B8CCE4"/>
            <w:noWrap/>
            <w:vAlign w:val="center"/>
            <w:hideMark/>
          </w:tcPr>
          <w:p w14:paraId="2E0F363A" w14:textId="77777777" w:rsidR="007154B3" w:rsidRPr="000675A8" w:rsidRDefault="007154B3">
            <w:pPr>
              <w:jc w:val="center"/>
              <w:rPr>
                <w:rFonts w:ascii="Arial" w:hAnsi="Arial" w:cs="Arial"/>
                <w:color w:val="000000"/>
              </w:rPr>
            </w:pPr>
            <w:r w:rsidRPr="000675A8">
              <w:rPr>
                <w:rFonts w:ascii="Arial" w:hAnsi="Arial" w:cs="Arial"/>
                <w:color w:val="000000"/>
              </w:rPr>
              <w:t>LG10</w:t>
            </w:r>
          </w:p>
        </w:tc>
        <w:tc>
          <w:tcPr>
            <w:tcW w:w="1742" w:type="dxa"/>
            <w:tcBorders>
              <w:top w:val="nil"/>
              <w:left w:val="nil"/>
              <w:bottom w:val="single" w:sz="4" w:space="0" w:color="FFFFFF"/>
              <w:right w:val="single" w:sz="4" w:space="0" w:color="FFFFFF"/>
            </w:tcBorders>
            <w:shd w:val="clear" w:color="auto" w:fill="B8CCE4"/>
            <w:noWrap/>
            <w:vAlign w:val="center"/>
            <w:hideMark/>
          </w:tcPr>
          <w:p w14:paraId="18A024DE" w14:textId="77777777" w:rsidR="007154B3" w:rsidRPr="000675A8" w:rsidRDefault="007154B3">
            <w:pPr>
              <w:keepNext/>
              <w:jc w:val="center"/>
              <w:rPr>
                <w:rFonts w:ascii="Arial" w:hAnsi="Arial" w:cs="Arial"/>
                <w:color w:val="000000"/>
              </w:rPr>
            </w:pPr>
            <w:r w:rsidRPr="000675A8">
              <w:rPr>
                <w:rFonts w:ascii="Arial" w:hAnsi="Arial" w:cs="Arial"/>
                <w:color w:val="000000"/>
              </w:rPr>
              <w:t>LG20</w:t>
            </w:r>
          </w:p>
        </w:tc>
      </w:tr>
    </w:tbl>
    <w:p w14:paraId="1C3CC819" w14:textId="77777777" w:rsidR="004F6CBC" w:rsidRPr="000675A8" w:rsidRDefault="004F6CBC" w:rsidP="004F6CBC">
      <w:pPr>
        <w:spacing w:line="360" w:lineRule="atLeast"/>
        <w:rPr>
          <w:rFonts w:ascii="Arial" w:hAnsi="Arial" w:cs="Arial"/>
          <w:sz w:val="24"/>
        </w:rPr>
      </w:pPr>
    </w:p>
    <w:p w14:paraId="28B5A017" w14:textId="77777777" w:rsidR="004F6CBC" w:rsidRPr="000675A8" w:rsidRDefault="004F6CBC" w:rsidP="004F6CBC">
      <w:pPr>
        <w:spacing w:line="360" w:lineRule="atLeast"/>
        <w:rPr>
          <w:rFonts w:ascii="Arial" w:hAnsi="Arial" w:cs="Arial"/>
          <w:sz w:val="24"/>
        </w:rPr>
      </w:pPr>
    </w:p>
    <w:p w14:paraId="251ABB08" w14:textId="77777777" w:rsidR="00D85C7D" w:rsidRPr="000C0597" w:rsidRDefault="004E44B2" w:rsidP="00D5512D">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 xml:space="preserve">Low </w:t>
      </w:r>
      <w:r w:rsidR="005002F9" w:rsidRPr="000C0597">
        <w:rPr>
          <w:rFonts w:ascii="Arial" w:hAnsi="Arial" w:cs="Arial"/>
          <w:sz w:val="22"/>
        </w:rPr>
        <w:t>Fuel</w:t>
      </w:r>
      <w:r w:rsidR="0070110D" w:rsidRPr="000C0597">
        <w:rPr>
          <w:rFonts w:ascii="Arial" w:hAnsi="Arial" w:cs="Arial"/>
          <w:sz w:val="22"/>
        </w:rPr>
        <w:t xml:space="preserve"> </w:t>
      </w:r>
      <w:r w:rsidR="008F564C" w:rsidRPr="000C0597">
        <w:rPr>
          <w:rFonts w:ascii="Arial" w:hAnsi="Arial" w:cs="Arial"/>
          <w:sz w:val="22"/>
        </w:rPr>
        <w:t>$0</w:t>
      </w:r>
      <w:r w:rsidR="0070110D" w:rsidRPr="000C0597">
        <w:rPr>
          <w:rFonts w:ascii="Arial" w:hAnsi="Arial" w:cs="Arial"/>
          <w:sz w:val="22"/>
        </w:rPr>
        <w:t xml:space="preserve"> Carbon</w:t>
      </w:r>
    </w:p>
    <w:p w14:paraId="0D85E1C0" w14:textId="77777777" w:rsidR="00D85C7D" w:rsidRPr="000C0597" w:rsidRDefault="00D85C7D" w:rsidP="00D85C7D">
      <w:pPr>
        <w:spacing w:line="360" w:lineRule="atLeast"/>
        <w:rPr>
          <w:rFonts w:ascii="Arial" w:hAnsi="Arial" w:cs="Arial"/>
          <w:sz w:val="22"/>
        </w:rPr>
      </w:pPr>
    </w:p>
    <w:p w14:paraId="64322CEF" w14:textId="0559777E" w:rsidR="00C5243C" w:rsidRPr="000C0597" w:rsidRDefault="00D85C7D" w:rsidP="00D85C7D">
      <w:pPr>
        <w:spacing w:line="360" w:lineRule="atLeast"/>
        <w:rPr>
          <w:rFonts w:ascii="Arial" w:hAnsi="Arial" w:cs="Arial"/>
          <w:sz w:val="22"/>
        </w:rPr>
      </w:pPr>
      <w:r w:rsidRPr="000C0597">
        <w:rPr>
          <w:rFonts w:ascii="Arial" w:hAnsi="Arial" w:cs="Arial"/>
          <w:sz w:val="22"/>
        </w:rPr>
        <w:t xml:space="preserve">As shown in the following table, the </w:t>
      </w:r>
      <w:r w:rsidR="008F564C" w:rsidRPr="000C0597">
        <w:rPr>
          <w:rFonts w:ascii="Arial" w:hAnsi="Arial" w:cs="Arial"/>
          <w:sz w:val="22"/>
        </w:rPr>
        <w:t>$0</w:t>
      </w:r>
      <w:r w:rsidR="00884D6F" w:rsidRPr="000C0597">
        <w:rPr>
          <w:rFonts w:ascii="Arial" w:hAnsi="Arial" w:cs="Arial"/>
          <w:sz w:val="22"/>
        </w:rPr>
        <w:t xml:space="preserve"> carbon </w:t>
      </w:r>
      <w:r w:rsidRPr="000C0597">
        <w:rPr>
          <w:rFonts w:ascii="Arial" w:hAnsi="Arial" w:cs="Arial"/>
          <w:sz w:val="22"/>
        </w:rPr>
        <w:t xml:space="preserve">with low </w:t>
      </w:r>
      <w:r w:rsidR="005002F9" w:rsidRPr="000C0597">
        <w:rPr>
          <w:rFonts w:ascii="Arial" w:hAnsi="Arial" w:cs="Arial"/>
          <w:sz w:val="22"/>
        </w:rPr>
        <w:t>fuel</w:t>
      </w:r>
      <w:r w:rsidRPr="000C0597">
        <w:rPr>
          <w:rFonts w:ascii="Arial" w:hAnsi="Arial" w:cs="Arial"/>
          <w:sz w:val="22"/>
        </w:rPr>
        <w:t xml:space="preserve"> prices and the associated loads, resulted </w:t>
      </w:r>
      <w:r w:rsidR="005002F9" w:rsidRPr="000C0597">
        <w:rPr>
          <w:rFonts w:ascii="Arial" w:hAnsi="Arial" w:cs="Arial"/>
          <w:sz w:val="22"/>
        </w:rPr>
        <w:t>in</w:t>
      </w:r>
      <w:r w:rsidRPr="000C0597">
        <w:rPr>
          <w:rFonts w:ascii="Arial" w:hAnsi="Arial" w:cs="Arial"/>
          <w:sz w:val="22"/>
        </w:rPr>
        <w:t xml:space="preserve"> </w:t>
      </w:r>
      <w:r w:rsidR="001B7925" w:rsidRPr="00FA2083">
        <w:rPr>
          <w:rFonts w:ascii="Arial" w:hAnsi="Arial" w:cs="Arial"/>
          <w:b/>
        </w:rPr>
        <w:t>REDACTED</w:t>
      </w:r>
      <w:r w:rsidR="00B80817" w:rsidRPr="00FA2083">
        <w:rPr>
          <w:rFonts w:ascii="Arial" w:hAnsi="Arial" w:cs="Arial"/>
          <w:b/>
        </w:rPr>
        <w:t xml:space="preserve"> REDACTED</w:t>
      </w:r>
      <w:r w:rsidR="001B7925" w:rsidRPr="00FA2083">
        <w:rPr>
          <w:rFonts w:ascii="Arial" w:hAnsi="Arial" w:cs="Arial"/>
          <w:sz w:val="18"/>
        </w:rPr>
        <w:t xml:space="preserve"> </w:t>
      </w:r>
      <w:r w:rsidRPr="000C0597">
        <w:rPr>
          <w:rFonts w:ascii="Arial" w:hAnsi="Arial" w:cs="Arial"/>
          <w:sz w:val="22"/>
        </w:rPr>
        <w:t xml:space="preserve">and </w:t>
      </w:r>
      <w:r w:rsidR="001826C7" w:rsidRPr="000C0597">
        <w:rPr>
          <w:rFonts w:ascii="Arial" w:hAnsi="Arial" w:cs="Arial"/>
          <w:sz w:val="22"/>
        </w:rPr>
        <w:t xml:space="preserve">an </w:t>
      </w:r>
      <w:r w:rsidR="001B7925" w:rsidRPr="00FA2083">
        <w:rPr>
          <w:rFonts w:ascii="Arial" w:hAnsi="Arial" w:cs="Arial"/>
          <w:b/>
        </w:rPr>
        <w:t>REDACTED</w:t>
      </w:r>
      <w:r w:rsidR="00B80817" w:rsidRPr="00FA2083">
        <w:rPr>
          <w:rFonts w:ascii="Arial" w:hAnsi="Arial" w:cs="Arial"/>
          <w:b/>
        </w:rPr>
        <w:t xml:space="preserve"> REDACTED</w:t>
      </w:r>
      <w:r w:rsidR="00FA2083" w:rsidRPr="00FA2083">
        <w:rPr>
          <w:rFonts w:ascii="Arial" w:hAnsi="Arial" w:cs="Arial"/>
          <w:b/>
        </w:rPr>
        <w:t xml:space="preserve"> REDACTED</w:t>
      </w:r>
      <w:r w:rsidR="001B7925" w:rsidRPr="00FA2083">
        <w:rPr>
          <w:rFonts w:ascii="Arial" w:hAnsi="Arial" w:cs="Arial"/>
          <w:sz w:val="22"/>
        </w:rPr>
        <w:t xml:space="preserve"> </w:t>
      </w:r>
      <w:r w:rsidR="009A7846" w:rsidRPr="000C0597">
        <w:rPr>
          <w:rFonts w:ascii="Arial" w:hAnsi="Arial" w:cs="Arial"/>
          <w:sz w:val="22"/>
        </w:rPr>
        <w:t>over the twenty-year planning period.</w:t>
      </w:r>
    </w:p>
    <w:p w14:paraId="73F2B0C7" w14:textId="77777777" w:rsidR="00C5243C" w:rsidRPr="000C0597" w:rsidRDefault="00C5243C" w:rsidP="00C5243C">
      <w:pPr>
        <w:numPr>
          <w:ilvl w:val="12"/>
          <w:numId w:val="0"/>
        </w:numPr>
        <w:spacing w:line="360" w:lineRule="atLeast"/>
        <w:rPr>
          <w:rFonts w:ascii="Arial" w:hAnsi="Arial" w:cs="Arial"/>
          <w:color w:val="000000"/>
          <w:sz w:val="22"/>
        </w:rPr>
      </w:pPr>
    </w:p>
    <w:p w14:paraId="4074A7F9" w14:textId="77777777" w:rsidR="00C5243C"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Low </w:t>
      </w:r>
      <w:r w:rsidR="005002F9" w:rsidRPr="000C0597">
        <w:rPr>
          <w:rFonts w:ascii="Arial" w:hAnsi="Arial" w:cs="Arial"/>
          <w:sz w:val="22"/>
        </w:rPr>
        <w:t>Fuel</w:t>
      </w:r>
      <w:r w:rsidR="00884D6F" w:rsidRPr="000C0597">
        <w:rPr>
          <w:rFonts w:ascii="Arial" w:hAnsi="Arial" w:cs="Arial"/>
          <w:sz w:val="22"/>
        </w:rPr>
        <w:t xml:space="preserve"> </w:t>
      </w:r>
      <w:r w:rsidR="0089405C" w:rsidRPr="000C0597">
        <w:rPr>
          <w:rFonts w:ascii="Arial" w:hAnsi="Arial" w:cs="Arial"/>
          <w:sz w:val="22"/>
        </w:rPr>
        <w:t>$0</w:t>
      </w:r>
      <w:r w:rsidR="00884D6F" w:rsidRPr="000C0597">
        <w:rPr>
          <w:rFonts w:ascii="Arial" w:hAnsi="Arial" w:cs="Arial"/>
          <w:sz w:val="22"/>
        </w:rPr>
        <w:t xml:space="preserve"> Carbon</w:t>
      </w:r>
    </w:p>
    <w:p w14:paraId="565CC1AA" w14:textId="77777777" w:rsidR="00FB143A" w:rsidRPr="000C0597" w:rsidRDefault="00FB143A" w:rsidP="00FB143A">
      <w:pPr>
        <w:spacing w:line="360" w:lineRule="atLeast"/>
        <w:rPr>
          <w:rFonts w:ascii="Arial" w:hAnsi="Arial" w:cs="Arial"/>
          <w:sz w:val="22"/>
          <w:highlight w:val="yellow"/>
        </w:rPr>
      </w:pPr>
    </w:p>
    <w:p w14:paraId="3F7E782A" w14:textId="053D6C0A" w:rsidR="00C5243C" w:rsidRPr="000675A8" w:rsidRDefault="0062193F" w:rsidP="00B7188B">
      <w:pPr>
        <w:pStyle w:val="Caption"/>
        <w:spacing w:line="360" w:lineRule="atLeast"/>
        <w:jc w:val="center"/>
        <w:rPr>
          <w:rFonts w:ascii="Arial" w:hAnsi="Arial" w:cs="Arial"/>
          <w:sz w:val="24"/>
        </w:rPr>
      </w:pPr>
      <w:r w:rsidRPr="0062193F">
        <w:rPr>
          <w:noProof/>
        </w:rPr>
        <w:drawing>
          <wp:inline distT="0" distB="0" distL="0" distR="0" wp14:anchorId="6E14A12D" wp14:editId="3C79ADD8">
            <wp:extent cx="5577840" cy="4224528"/>
            <wp:effectExtent l="0" t="0" r="3810" b="508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71D4C230" w14:textId="77777777" w:rsidR="00C5243C" w:rsidRPr="000675A8" w:rsidRDefault="00C5243C" w:rsidP="00DA1B3D">
      <w:pPr>
        <w:rPr>
          <w:rFonts w:ascii="Arial" w:hAnsi="Arial" w:cs="Arial"/>
          <w:highlight w:val="yellow"/>
        </w:rPr>
      </w:pPr>
    </w:p>
    <w:p w14:paraId="0A2AB0F7" w14:textId="77777777" w:rsidR="00D85C7D" w:rsidRPr="000C0597" w:rsidRDefault="00DA1B3D" w:rsidP="008459CF">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Moderate Gas</w:t>
      </w:r>
      <w:r w:rsidR="00884D6F" w:rsidRPr="000C0597">
        <w:rPr>
          <w:rFonts w:ascii="Arial" w:hAnsi="Arial" w:cs="Arial"/>
          <w:sz w:val="22"/>
        </w:rPr>
        <w:t xml:space="preserve"> </w:t>
      </w:r>
      <w:r w:rsidR="00FA7003" w:rsidRPr="000C0597">
        <w:rPr>
          <w:rFonts w:ascii="Arial" w:hAnsi="Arial" w:cs="Arial"/>
          <w:sz w:val="22"/>
        </w:rPr>
        <w:t>$0</w:t>
      </w:r>
      <w:r w:rsidR="00884D6F" w:rsidRPr="000C0597">
        <w:rPr>
          <w:rFonts w:ascii="Arial" w:hAnsi="Arial" w:cs="Arial"/>
          <w:sz w:val="22"/>
        </w:rPr>
        <w:t xml:space="preserve"> Carbon</w:t>
      </w:r>
    </w:p>
    <w:p w14:paraId="22D39B38" w14:textId="77777777" w:rsidR="00D85C7D" w:rsidRPr="000C0597" w:rsidRDefault="00D85C7D" w:rsidP="00D85C7D">
      <w:pPr>
        <w:spacing w:line="360" w:lineRule="atLeast"/>
        <w:rPr>
          <w:rFonts w:ascii="Arial" w:hAnsi="Arial" w:cs="Arial"/>
          <w:sz w:val="22"/>
        </w:rPr>
      </w:pPr>
    </w:p>
    <w:p w14:paraId="2AF6829F" w14:textId="7B7A0FF8" w:rsidR="00D85C7D" w:rsidRPr="000C0597" w:rsidRDefault="00D85C7D" w:rsidP="00D85C7D">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 xml:space="preserve">$0 </w:t>
      </w:r>
      <w:r w:rsidR="00884D6F" w:rsidRPr="000C0597">
        <w:rPr>
          <w:rFonts w:ascii="Arial" w:hAnsi="Arial" w:cs="Arial"/>
          <w:sz w:val="22"/>
        </w:rPr>
        <w:t xml:space="preserve">carbon </w:t>
      </w:r>
      <w:r w:rsidRPr="000C0597">
        <w:rPr>
          <w:rFonts w:ascii="Arial" w:hAnsi="Arial" w:cs="Arial"/>
          <w:sz w:val="22"/>
        </w:rPr>
        <w:t xml:space="preserve">with moderate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B00372">
        <w:rPr>
          <w:rFonts w:ascii="Arial" w:hAnsi="Arial" w:cs="Arial"/>
          <w:b/>
          <w:sz w:val="22"/>
        </w:rPr>
        <w:t>REDACTED</w:t>
      </w:r>
      <w:r w:rsidR="001B7925" w:rsidRPr="000C0597">
        <w:rPr>
          <w:rFonts w:ascii="Arial" w:hAnsi="Arial" w:cs="Arial"/>
          <w:sz w:val="22"/>
        </w:rPr>
        <w:t xml:space="preserve"> </w:t>
      </w:r>
      <w:r w:rsidRPr="000C0597">
        <w:rPr>
          <w:rFonts w:ascii="Arial" w:hAnsi="Arial" w:cs="Arial"/>
          <w:sz w:val="22"/>
        </w:rPr>
        <w:t xml:space="preserve">over the </w:t>
      </w:r>
      <w:r w:rsidR="009A7846" w:rsidRPr="000C0597">
        <w:rPr>
          <w:rFonts w:ascii="Arial" w:hAnsi="Arial" w:cs="Arial"/>
          <w:sz w:val="22"/>
        </w:rPr>
        <w:t xml:space="preserve">twenty-year </w:t>
      </w:r>
      <w:r w:rsidRPr="000C0597">
        <w:rPr>
          <w:rFonts w:ascii="Arial" w:hAnsi="Arial" w:cs="Arial"/>
          <w:sz w:val="22"/>
        </w:rPr>
        <w:t>planning period</w:t>
      </w:r>
      <w:r w:rsidR="006129CD" w:rsidRPr="000C0597">
        <w:rPr>
          <w:rFonts w:ascii="Arial" w:hAnsi="Arial" w:cs="Arial"/>
          <w:sz w:val="22"/>
        </w:rPr>
        <w:t xml:space="preserve"> as this is the fuel market and carbon environment basis for the Base Case</w:t>
      </w:r>
      <w:r w:rsidR="008244ED" w:rsidRPr="000C0597">
        <w:rPr>
          <w:rFonts w:ascii="Arial" w:hAnsi="Arial" w:cs="Arial"/>
          <w:sz w:val="22"/>
        </w:rPr>
        <w:t xml:space="preserve">. </w:t>
      </w:r>
    </w:p>
    <w:p w14:paraId="4DFDC7FB" w14:textId="77777777" w:rsidR="00C5243C" w:rsidRPr="000C0597" w:rsidRDefault="00C5243C" w:rsidP="00C5243C">
      <w:pPr>
        <w:rPr>
          <w:rFonts w:ascii="Arial" w:hAnsi="Arial" w:cs="Arial"/>
          <w:sz w:val="22"/>
        </w:rPr>
      </w:pPr>
    </w:p>
    <w:p w14:paraId="1BEDC732" w14:textId="77777777" w:rsidR="00C5243C" w:rsidRPr="000C0597" w:rsidRDefault="00C5243C" w:rsidP="00C5243C">
      <w:pPr>
        <w:numPr>
          <w:ilvl w:val="12"/>
          <w:numId w:val="0"/>
        </w:numPr>
        <w:spacing w:line="360" w:lineRule="atLeast"/>
        <w:rPr>
          <w:rFonts w:ascii="Arial" w:hAnsi="Arial" w:cs="Arial"/>
          <w:color w:val="000000"/>
          <w:sz w:val="22"/>
        </w:rPr>
      </w:pPr>
    </w:p>
    <w:p w14:paraId="0BFF88EE" w14:textId="77777777" w:rsidR="00C5243C"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Moderate </w:t>
      </w:r>
      <w:r w:rsidR="005002F9" w:rsidRPr="000C0597">
        <w:rPr>
          <w:rFonts w:ascii="Arial" w:hAnsi="Arial" w:cs="Arial"/>
          <w:sz w:val="22"/>
        </w:rPr>
        <w:t>Fuel</w:t>
      </w:r>
      <w:r w:rsidR="00884D6F" w:rsidRPr="000C0597">
        <w:rPr>
          <w:rFonts w:ascii="Arial" w:hAnsi="Arial" w:cs="Arial"/>
          <w:sz w:val="22"/>
        </w:rPr>
        <w:t xml:space="preserve"> </w:t>
      </w:r>
      <w:r w:rsidR="00FA7003" w:rsidRPr="000C0597">
        <w:rPr>
          <w:rFonts w:ascii="Arial" w:hAnsi="Arial" w:cs="Arial"/>
          <w:sz w:val="22"/>
        </w:rPr>
        <w:t>$0</w:t>
      </w:r>
      <w:r w:rsidR="00884D6F" w:rsidRPr="000C0597">
        <w:rPr>
          <w:rFonts w:ascii="Arial" w:hAnsi="Arial" w:cs="Arial"/>
          <w:sz w:val="22"/>
        </w:rPr>
        <w:t xml:space="preserve"> Carbon</w:t>
      </w:r>
    </w:p>
    <w:p w14:paraId="6534DC0A" w14:textId="77777777" w:rsidR="00C5243C" w:rsidRPr="000C0597" w:rsidRDefault="00C5243C" w:rsidP="00C5243C">
      <w:pPr>
        <w:pStyle w:val="Caption"/>
        <w:spacing w:line="360" w:lineRule="atLeast"/>
        <w:rPr>
          <w:rFonts w:ascii="Arial" w:hAnsi="Arial" w:cs="Arial"/>
          <w:sz w:val="22"/>
        </w:rPr>
      </w:pPr>
    </w:p>
    <w:p w14:paraId="37EA53B6" w14:textId="1836C547" w:rsidR="00C5243C" w:rsidRPr="000675A8" w:rsidRDefault="0062193F" w:rsidP="006D78D2">
      <w:pPr>
        <w:jc w:val="center"/>
        <w:rPr>
          <w:rFonts w:ascii="Arial" w:hAnsi="Arial" w:cs="Arial"/>
          <w:sz w:val="24"/>
          <w:highlight w:val="yellow"/>
        </w:rPr>
      </w:pPr>
      <w:r w:rsidRPr="0062193F">
        <w:rPr>
          <w:noProof/>
        </w:rPr>
        <w:drawing>
          <wp:inline distT="0" distB="0" distL="0" distR="0" wp14:anchorId="1ED4E227" wp14:editId="63BF3F15">
            <wp:extent cx="5577840" cy="4224528"/>
            <wp:effectExtent l="0" t="0" r="3810" b="508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r w:rsidR="00583997" w:rsidRPr="00583997">
        <w:t xml:space="preserve"> </w:t>
      </w:r>
      <w:r w:rsidR="00C5243C" w:rsidRPr="000675A8">
        <w:rPr>
          <w:rFonts w:ascii="Arial" w:hAnsi="Arial" w:cs="Arial"/>
          <w:sz w:val="24"/>
        </w:rPr>
        <w:br w:type="page"/>
      </w:r>
    </w:p>
    <w:p w14:paraId="339A2C0F" w14:textId="77777777" w:rsidR="00137BED" w:rsidRPr="000C0597" w:rsidRDefault="00A610FB" w:rsidP="008459CF">
      <w:pPr>
        <w:numPr>
          <w:ilvl w:val="0"/>
          <w:numId w:val="1"/>
        </w:numPr>
        <w:tabs>
          <w:tab w:val="left" w:pos="450"/>
        </w:tabs>
        <w:spacing w:line="360" w:lineRule="atLeast"/>
        <w:ind w:left="0" w:firstLine="0"/>
        <w:rPr>
          <w:rFonts w:ascii="Arial" w:hAnsi="Arial" w:cs="Arial"/>
          <w:sz w:val="22"/>
        </w:rPr>
      </w:pPr>
      <w:r w:rsidRPr="000C0597">
        <w:rPr>
          <w:rFonts w:ascii="Arial" w:hAnsi="Arial" w:cs="Arial"/>
          <w:sz w:val="22"/>
        </w:rPr>
        <w:t>High Gas</w:t>
      </w:r>
      <w:r w:rsidR="00884D6F" w:rsidRPr="000C0597">
        <w:rPr>
          <w:rFonts w:ascii="Arial" w:hAnsi="Arial" w:cs="Arial"/>
          <w:sz w:val="22"/>
        </w:rPr>
        <w:t xml:space="preserve"> </w:t>
      </w:r>
      <w:r w:rsidR="00FA7003" w:rsidRPr="000C0597">
        <w:rPr>
          <w:rFonts w:ascii="Arial" w:hAnsi="Arial" w:cs="Arial"/>
          <w:sz w:val="22"/>
        </w:rPr>
        <w:t>$0</w:t>
      </w:r>
      <w:r w:rsidR="00884D6F" w:rsidRPr="000C0597">
        <w:rPr>
          <w:rFonts w:ascii="Arial" w:hAnsi="Arial" w:cs="Arial"/>
          <w:sz w:val="22"/>
        </w:rPr>
        <w:t xml:space="preserve"> Carbon</w:t>
      </w:r>
    </w:p>
    <w:p w14:paraId="3C99051B" w14:textId="77777777" w:rsidR="00137BED" w:rsidRPr="000C0597" w:rsidRDefault="00137BED" w:rsidP="00137BED">
      <w:pPr>
        <w:spacing w:line="360" w:lineRule="atLeast"/>
        <w:rPr>
          <w:rFonts w:ascii="Arial" w:hAnsi="Arial" w:cs="Arial"/>
          <w:sz w:val="22"/>
        </w:rPr>
      </w:pPr>
    </w:p>
    <w:p w14:paraId="5565A57D" w14:textId="79C38289" w:rsidR="00137BED" w:rsidRPr="000C0597" w:rsidRDefault="00137BED" w:rsidP="00137BED">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$0</w:t>
      </w:r>
      <w:r w:rsidR="00884D6F" w:rsidRPr="000C0597">
        <w:rPr>
          <w:rFonts w:ascii="Arial" w:hAnsi="Arial" w:cs="Arial"/>
          <w:sz w:val="22"/>
        </w:rPr>
        <w:t xml:space="preserve"> carbon </w:t>
      </w:r>
      <w:r w:rsidRPr="000C0597">
        <w:rPr>
          <w:rFonts w:ascii="Arial" w:hAnsi="Arial" w:cs="Arial"/>
          <w:sz w:val="22"/>
        </w:rPr>
        <w:t xml:space="preserve">with high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FA2083">
        <w:rPr>
          <w:rFonts w:ascii="Arial" w:hAnsi="Arial" w:cs="Arial"/>
          <w:b/>
        </w:rPr>
        <w:t>REDACTED</w:t>
      </w:r>
      <w:r w:rsidR="00FA2083" w:rsidRPr="00FA2083">
        <w:rPr>
          <w:rFonts w:ascii="Arial" w:hAnsi="Arial" w:cs="Arial"/>
          <w:b/>
        </w:rPr>
        <w:t xml:space="preserve"> REDACTED</w:t>
      </w:r>
      <w:r w:rsidR="001B7925" w:rsidRPr="00FA2083">
        <w:rPr>
          <w:rFonts w:ascii="Arial" w:hAnsi="Arial" w:cs="Arial"/>
        </w:rPr>
        <w:t xml:space="preserve"> </w:t>
      </w:r>
      <w:r w:rsidR="009327F7" w:rsidRPr="000C0597">
        <w:rPr>
          <w:rFonts w:ascii="Arial" w:hAnsi="Arial" w:cs="Arial"/>
          <w:sz w:val="22"/>
        </w:rPr>
        <w:t xml:space="preserve">and </w:t>
      </w:r>
      <w:r w:rsidR="001B7925" w:rsidRPr="00FA2083">
        <w:rPr>
          <w:rFonts w:ascii="Arial" w:hAnsi="Arial" w:cs="Arial"/>
          <w:b/>
        </w:rPr>
        <w:t>REDACTED</w:t>
      </w:r>
      <w:r w:rsidR="00FA2083" w:rsidRPr="00FA2083">
        <w:rPr>
          <w:rFonts w:ascii="Arial" w:hAnsi="Arial" w:cs="Arial"/>
          <w:b/>
        </w:rPr>
        <w:t xml:space="preserve"> REDACTED</w:t>
      </w:r>
      <w:r w:rsidR="001B7925" w:rsidRPr="00FA2083">
        <w:rPr>
          <w:rFonts w:ascii="Arial" w:hAnsi="Arial" w:cs="Arial"/>
        </w:rPr>
        <w:t xml:space="preserve"> </w:t>
      </w:r>
      <w:r w:rsidRPr="000C0597">
        <w:rPr>
          <w:rFonts w:ascii="Arial" w:hAnsi="Arial" w:cs="Arial"/>
          <w:sz w:val="22"/>
        </w:rPr>
        <w:t xml:space="preserve">over the </w:t>
      </w:r>
      <w:r w:rsidR="009A7846" w:rsidRPr="000C0597">
        <w:rPr>
          <w:rFonts w:ascii="Arial" w:hAnsi="Arial" w:cs="Arial"/>
          <w:sz w:val="22"/>
        </w:rPr>
        <w:t xml:space="preserve">twenty-year </w:t>
      </w:r>
      <w:r w:rsidRPr="000C0597">
        <w:rPr>
          <w:rFonts w:ascii="Arial" w:hAnsi="Arial" w:cs="Arial"/>
          <w:sz w:val="22"/>
        </w:rPr>
        <w:t>planning period.</w:t>
      </w:r>
    </w:p>
    <w:p w14:paraId="378A8D98" w14:textId="77777777" w:rsidR="00C5243C" w:rsidRPr="000C0597" w:rsidRDefault="00C5243C" w:rsidP="00C5243C">
      <w:pPr>
        <w:rPr>
          <w:rFonts w:ascii="Arial" w:hAnsi="Arial" w:cs="Arial"/>
          <w:sz w:val="22"/>
        </w:rPr>
      </w:pPr>
    </w:p>
    <w:p w14:paraId="5966CA3F" w14:textId="77777777" w:rsidR="00C5243C" w:rsidRPr="000C0597" w:rsidRDefault="00C5243C" w:rsidP="00C5243C">
      <w:pPr>
        <w:numPr>
          <w:ilvl w:val="12"/>
          <w:numId w:val="0"/>
        </w:numPr>
        <w:spacing w:line="360" w:lineRule="atLeast"/>
        <w:rPr>
          <w:rFonts w:ascii="Arial" w:hAnsi="Arial" w:cs="Arial"/>
          <w:color w:val="000000"/>
          <w:sz w:val="22"/>
        </w:rPr>
      </w:pPr>
    </w:p>
    <w:p w14:paraId="5769BE68" w14:textId="17EA75C4" w:rsidR="00C5243C"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High </w:t>
      </w:r>
      <w:r w:rsidR="005002F9" w:rsidRPr="000C0597">
        <w:rPr>
          <w:rFonts w:ascii="Arial" w:hAnsi="Arial" w:cs="Arial"/>
          <w:sz w:val="22"/>
        </w:rPr>
        <w:t>Fuel</w:t>
      </w:r>
      <w:r w:rsidR="00884D6F" w:rsidRPr="000C0597">
        <w:rPr>
          <w:rFonts w:ascii="Arial" w:hAnsi="Arial" w:cs="Arial"/>
          <w:sz w:val="22"/>
        </w:rPr>
        <w:t xml:space="preserve"> </w:t>
      </w:r>
      <w:r w:rsidR="00FA7003" w:rsidRPr="000C0597">
        <w:rPr>
          <w:rFonts w:ascii="Arial" w:hAnsi="Arial" w:cs="Arial"/>
          <w:sz w:val="22"/>
        </w:rPr>
        <w:t>$0</w:t>
      </w:r>
      <w:r w:rsidR="00884D6F" w:rsidRPr="000C0597">
        <w:rPr>
          <w:rFonts w:ascii="Arial" w:hAnsi="Arial" w:cs="Arial"/>
          <w:sz w:val="22"/>
        </w:rPr>
        <w:t xml:space="preserve"> Carbon</w:t>
      </w:r>
    </w:p>
    <w:p w14:paraId="18B49AA6" w14:textId="77777777" w:rsidR="0062193F" w:rsidRPr="000C0597" w:rsidRDefault="0062193F" w:rsidP="0062193F">
      <w:pPr>
        <w:spacing w:line="360" w:lineRule="atLeast"/>
        <w:ind w:left="58"/>
        <w:rPr>
          <w:rFonts w:ascii="Arial" w:hAnsi="Arial" w:cs="Arial"/>
          <w:sz w:val="22"/>
        </w:rPr>
      </w:pPr>
    </w:p>
    <w:p w14:paraId="0EBA8EB9" w14:textId="03A81E5C" w:rsidR="00C5243C" w:rsidRPr="000C0597" w:rsidRDefault="0062193F" w:rsidP="004C3199">
      <w:pPr>
        <w:pStyle w:val="Caption"/>
        <w:spacing w:line="360" w:lineRule="atLeast"/>
        <w:jc w:val="center"/>
        <w:rPr>
          <w:rFonts w:ascii="Arial" w:hAnsi="Arial" w:cs="Arial"/>
          <w:sz w:val="22"/>
        </w:rPr>
      </w:pPr>
      <w:r w:rsidRPr="0062193F">
        <w:rPr>
          <w:noProof/>
        </w:rPr>
        <w:drawing>
          <wp:inline distT="0" distB="0" distL="0" distR="0" wp14:anchorId="3B20EEC8" wp14:editId="785A1F11">
            <wp:extent cx="5577840" cy="4224528"/>
            <wp:effectExtent l="0" t="0" r="3810" b="508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26021B1C" w14:textId="125A99C9" w:rsidR="00C5243C" w:rsidRPr="000675A8" w:rsidRDefault="00C5243C" w:rsidP="006D78D2">
      <w:pPr>
        <w:jc w:val="center"/>
        <w:rPr>
          <w:rFonts w:ascii="Arial" w:hAnsi="Arial" w:cs="Arial"/>
          <w:highlight w:val="yellow"/>
        </w:rPr>
      </w:pPr>
    </w:p>
    <w:p w14:paraId="39D6DB16" w14:textId="77777777" w:rsidR="00846D71" w:rsidRPr="000C0597" w:rsidRDefault="00DA1B3D" w:rsidP="000B291A">
      <w:pPr>
        <w:numPr>
          <w:ilvl w:val="0"/>
          <w:numId w:val="9"/>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Low Gas</w:t>
      </w:r>
      <w:r w:rsidR="004E2036" w:rsidRPr="000C0597">
        <w:rPr>
          <w:rFonts w:ascii="Arial" w:hAnsi="Arial" w:cs="Arial"/>
          <w:sz w:val="22"/>
        </w:rPr>
        <w:t xml:space="preserve"> </w:t>
      </w:r>
      <w:r w:rsidR="00FA7003" w:rsidRPr="000C0597">
        <w:rPr>
          <w:rFonts w:ascii="Arial" w:hAnsi="Arial" w:cs="Arial"/>
          <w:sz w:val="22"/>
        </w:rPr>
        <w:t>$10</w:t>
      </w:r>
      <w:r w:rsidR="004E2036" w:rsidRPr="000C0597">
        <w:rPr>
          <w:rFonts w:ascii="Arial" w:hAnsi="Arial" w:cs="Arial"/>
          <w:sz w:val="22"/>
        </w:rPr>
        <w:t xml:space="preserve"> Carbon</w:t>
      </w:r>
    </w:p>
    <w:p w14:paraId="029FB3A3" w14:textId="77777777" w:rsidR="00846D71" w:rsidRPr="000C0597" w:rsidRDefault="00846D71" w:rsidP="00846D71">
      <w:pPr>
        <w:tabs>
          <w:tab w:val="left" w:pos="450"/>
        </w:tabs>
        <w:spacing w:line="360" w:lineRule="atLeast"/>
        <w:ind w:left="3510"/>
        <w:rPr>
          <w:rFonts w:ascii="Arial" w:hAnsi="Arial" w:cs="Arial"/>
          <w:sz w:val="22"/>
        </w:rPr>
      </w:pPr>
    </w:p>
    <w:p w14:paraId="43BB231F" w14:textId="46A28E7A" w:rsidR="00846D71" w:rsidRPr="000C0597" w:rsidRDefault="00846D71" w:rsidP="00846D71">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$10</w:t>
      </w:r>
      <w:r w:rsidR="004E2036" w:rsidRPr="000C0597">
        <w:rPr>
          <w:rFonts w:ascii="Arial" w:hAnsi="Arial" w:cs="Arial"/>
          <w:sz w:val="22"/>
        </w:rPr>
        <w:t xml:space="preserve"> carbon</w:t>
      </w:r>
      <w:r w:rsidRPr="000C0597">
        <w:rPr>
          <w:rFonts w:ascii="Arial" w:hAnsi="Arial" w:cs="Arial"/>
          <w:sz w:val="22"/>
        </w:rPr>
        <w:t xml:space="preserve"> with low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009327F7" w:rsidRPr="000C0597">
        <w:rPr>
          <w:rFonts w:ascii="Arial" w:hAnsi="Arial" w:cs="Arial"/>
          <w:sz w:val="22"/>
        </w:rPr>
        <w:t xml:space="preserve">and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Pr="000C0597">
        <w:rPr>
          <w:rFonts w:ascii="Arial" w:hAnsi="Arial" w:cs="Arial"/>
          <w:sz w:val="22"/>
        </w:rPr>
        <w:t xml:space="preserve">over the </w:t>
      </w:r>
      <w:r w:rsidR="009A7846" w:rsidRPr="000C0597">
        <w:rPr>
          <w:rFonts w:ascii="Arial" w:hAnsi="Arial" w:cs="Arial"/>
          <w:sz w:val="22"/>
        </w:rPr>
        <w:t xml:space="preserve">twenty-year </w:t>
      </w:r>
      <w:r w:rsidRPr="000C0597">
        <w:rPr>
          <w:rFonts w:ascii="Arial" w:hAnsi="Arial" w:cs="Arial"/>
          <w:sz w:val="22"/>
        </w:rPr>
        <w:t>planning period.</w:t>
      </w:r>
    </w:p>
    <w:p w14:paraId="7D3F2ADC" w14:textId="77777777" w:rsidR="00846D71" w:rsidRPr="000C0597" w:rsidRDefault="00846D71" w:rsidP="00846D71">
      <w:pPr>
        <w:numPr>
          <w:ilvl w:val="12"/>
          <w:numId w:val="0"/>
        </w:numPr>
        <w:spacing w:line="360" w:lineRule="atLeast"/>
        <w:rPr>
          <w:rFonts w:ascii="Arial" w:hAnsi="Arial" w:cs="Arial"/>
          <w:color w:val="000000"/>
          <w:sz w:val="22"/>
        </w:rPr>
      </w:pPr>
    </w:p>
    <w:p w14:paraId="7B5C3F84" w14:textId="77777777" w:rsidR="00846D71"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Low </w:t>
      </w:r>
      <w:r w:rsidR="005002F9" w:rsidRPr="000C0597">
        <w:rPr>
          <w:rFonts w:ascii="Arial" w:hAnsi="Arial" w:cs="Arial"/>
          <w:sz w:val="22"/>
        </w:rPr>
        <w:t>Fuel</w:t>
      </w:r>
      <w:r w:rsidR="004E2036" w:rsidRPr="000C0597">
        <w:rPr>
          <w:rFonts w:ascii="Arial" w:hAnsi="Arial" w:cs="Arial"/>
          <w:sz w:val="22"/>
        </w:rPr>
        <w:t xml:space="preserve"> </w:t>
      </w:r>
      <w:r w:rsidR="00FA7003" w:rsidRPr="000C0597">
        <w:rPr>
          <w:rFonts w:ascii="Arial" w:hAnsi="Arial" w:cs="Arial"/>
          <w:sz w:val="22"/>
        </w:rPr>
        <w:t>$10</w:t>
      </w:r>
      <w:r w:rsidR="004E2036" w:rsidRPr="000C0597">
        <w:rPr>
          <w:rFonts w:ascii="Arial" w:hAnsi="Arial" w:cs="Arial"/>
          <w:sz w:val="22"/>
        </w:rPr>
        <w:t xml:space="preserve"> Carbon</w:t>
      </w:r>
    </w:p>
    <w:p w14:paraId="1CFDA610" w14:textId="77777777" w:rsidR="00846D71" w:rsidRPr="000C0597" w:rsidRDefault="00846D71" w:rsidP="00846D71">
      <w:pPr>
        <w:spacing w:line="360" w:lineRule="atLeast"/>
        <w:ind w:left="374"/>
        <w:jc w:val="center"/>
        <w:rPr>
          <w:rFonts w:ascii="Arial" w:hAnsi="Arial" w:cs="Arial"/>
          <w:sz w:val="22"/>
        </w:rPr>
      </w:pPr>
    </w:p>
    <w:p w14:paraId="49D87812" w14:textId="6FD4F86B" w:rsidR="005C3976" w:rsidRPr="000675A8" w:rsidRDefault="0062193F" w:rsidP="006D78D2">
      <w:pPr>
        <w:tabs>
          <w:tab w:val="left" w:pos="450"/>
        </w:tabs>
        <w:spacing w:line="360" w:lineRule="atLeast"/>
        <w:jc w:val="center"/>
        <w:rPr>
          <w:rFonts w:ascii="Arial" w:hAnsi="Arial" w:cs="Arial"/>
          <w:sz w:val="24"/>
        </w:rPr>
      </w:pPr>
      <w:r w:rsidRPr="0062193F">
        <w:rPr>
          <w:noProof/>
        </w:rPr>
        <w:drawing>
          <wp:inline distT="0" distB="0" distL="0" distR="0" wp14:anchorId="095B48C6" wp14:editId="0BE53323">
            <wp:extent cx="5577840" cy="4224528"/>
            <wp:effectExtent l="0" t="0" r="3810" b="508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10833697" w14:textId="77777777" w:rsidR="00846D71" w:rsidRPr="000C0597" w:rsidRDefault="00293B32" w:rsidP="000B291A">
      <w:pPr>
        <w:numPr>
          <w:ilvl w:val="0"/>
          <w:numId w:val="9"/>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Moderate Gas</w:t>
      </w:r>
      <w:r w:rsidR="00FF2C36" w:rsidRPr="000C0597">
        <w:rPr>
          <w:rFonts w:ascii="Arial" w:hAnsi="Arial" w:cs="Arial"/>
          <w:sz w:val="22"/>
        </w:rPr>
        <w:t xml:space="preserve"> </w:t>
      </w:r>
      <w:r w:rsidR="00EB7A76" w:rsidRPr="000C0597">
        <w:rPr>
          <w:rFonts w:ascii="Arial" w:hAnsi="Arial" w:cs="Arial"/>
          <w:sz w:val="22"/>
        </w:rPr>
        <w:t>$10</w:t>
      </w:r>
      <w:r w:rsidR="00FF2C36" w:rsidRPr="000C0597">
        <w:rPr>
          <w:rFonts w:ascii="Arial" w:hAnsi="Arial" w:cs="Arial"/>
          <w:sz w:val="22"/>
        </w:rPr>
        <w:t xml:space="preserve"> Carbon</w:t>
      </w:r>
    </w:p>
    <w:p w14:paraId="14D1EF7D" w14:textId="77777777" w:rsidR="00AA3A9D" w:rsidRPr="000C0597" w:rsidRDefault="00AA3A9D" w:rsidP="00AA3A9D">
      <w:pPr>
        <w:tabs>
          <w:tab w:val="left" w:pos="450"/>
        </w:tabs>
        <w:spacing w:line="360" w:lineRule="atLeast"/>
        <w:rPr>
          <w:rFonts w:ascii="Arial" w:hAnsi="Arial" w:cs="Arial"/>
          <w:sz w:val="22"/>
        </w:rPr>
      </w:pPr>
    </w:p>
    <w:p w14:paraId="54DD3D77" w14:textId="67B53C67" w:rsidR="00846D71" w:rsidRPr="000C0597" w:rsidRDefault="00846D71" w:rsidP="00846D71">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$10</w:t>
      </w:r>
      <w:r w:rsidR="00FF2C36" w:rsidRPr="000C0597">
        <w:rPr>
          <w:rFonts w:ascii="Arial" w:hAnsi="Arial" w:cs="Arial"/>
          <w:sz w:val="22"/>
        </w:rPr>
        <w:t xml:space="preserve"> carbon</w:t>
      </w:r>
      <w:r w:rsidRPr="000C0597">
        <w:rPr>
          <w:rFonts w:ascii="Arial" w:hAnsi="Arial" w:cs="Arial"/>
          <w:sz w:val="22"/>
        </w:rPr>
        <w:t xml:space="preserve"> with moderate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Pr="000C0597">
        <w:rPr>
          <w:rFonts w:ascii="Arial" w:hAnsi="Arial" w:cs="Arial"/>
          <w:sz w:val="22"/>
        </w:rPr>
        <w:t xml:space="preserve">and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Pr="000C0597">
        <w:rPr>
          <w:rFonts w:ascii="Arial" w:hAnsi="Arial" w:cs="Arial"/>
          <w:sz w:val="22"/>
        </w:rPr>
        <w:t xml:space="preserve">over the </w:t>
      </w:r>
      <w:r w:rsidR="00975FD2" w:rsidRPr="000C0597">
        <w:rPr>
          <w:rFonts w:ascii="Arial" w:hAnsi="Arial" w:cs="Arial"/>
          <w:sz w:val="22"/>
        </w:rPr>
        <w:t xml:space="preserve">twenty-year </w:t>
      </w:r>
      <w:r w:rsidRPr="000C0597">
        <w:rPr>
          <w:rFonts w:ascii="Arial" w:hAnsi="Arial" w:cs="Arial"/>
          <w:sz w:val="22"/>
        </w:rPr>
        <w:t>planning period.</w:t>
      </w:r>
    </w:p>
    <w:p w14:paraId="468BDAC4" w14:textId="77777777" w:rsidR="00846D71" w:rsidRPr="000C0597" w:rsidRDefault="00846D71" w:rsidP="00846D71">
      <w:pPr>
        <w:numPr>
          <w:ilvl w:val="12"/>
          <w:numId w:val="0"/>
        </w:numPr>
        <w:spacing w:line="360" w:lineRule="atLeast"/>
        <w:rPr>
          <w:rFonts w:ascii="Arial" w:hAnsi="Arial" w:cs="Arial"/>
          <w:color w:val="000000"/>
          <w:sz w:val="22"/>
        </w:rPr>
      </w:pPr>
    </w:p>
    <w:p w14:paraId="7E54778D" w14:textId="77777777" w:rsidR="00846D71"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Moderate </w:t>
      </w:r>
      <w:r w:rsidR="005002F9" w:rsidRPr="000C0597">
        <w:rPr>
          <w:rFonts w:ascii="Arial" w:hAnsi="Arial" w:cs="Arial"/>
          <w:sz w:val="22"/>
        </w:rPr>
        <w:t>Fuel</w:t>
      </w:r>
      <w:r w:rsidR="00FF2C36" w:rsidRPr="000C0597">
        <w:rPr>
          <w:rFonts w:ascii="Arial" w:hAnsi="Arial" w:cs="Arial"/>
          <w:sz w:val="22"/>
        </w:rPr>
        <w:t xml:space="preserve"> </w:t>
      </w:r>
      <w:r w:rsidR="00EB7A76" w:rsidRPr="000C0597">
        <w:rPr>
          <w:rFonts w:ascii="Arial" w:hAnsi="Arial" w:cs="Arial"/>
          <w:sz w:val="22"/>
        </w:rPr>
        <w:t>$10</w:t>
      </w:r>
      <w:r w:rsidR="00FF2C36" w:rsidRPr="000C0597">
        <w:rPr>
          <w:rFonts w:ascii="Arial" w:hAnsi="Arial" w:cs="Arial"/>
          <w:sz w:val="22"/>
        </w:rPr>
        <w:t xml:space="preserve"> Carbon</w:t>
      </w:r>
    </w:p>
    <w:p w14:paraId="097B6113" w14:textId="77777777" w:rsidR="00846D71" w:rsidRPr="000C0597" w:rsidRDefault="00846D71" w:rsidP="00846D71">
      <w:pPr>
        <w:rPr>
          <w:rFonts w:ascii="Arial" w:hAnsi="Arial" w:cs="Arial"/>
          <w:sz w:val="18"/>
        </w:rPr>
      </w:pPr>
    </w:p>
    <w:p w14:paraId="5D47CB53" w14:textId="77777777" w:rsidR="00846D71" w:rsidRPr="000C0597" w:rsidRDefault="00846D71" w:rsidP="00846D71">
      <w:pPr>
        <w:rPr>
          <w:rFonts w:ascii="Arial" w:hAnsi="Arial" w:cs="Arial"/>
          <w:sz w:val="18"/>
        </w:rPr>
      </w:pPr>
    </w:p>
    <w:p w14:paraId="26501C8D" w14:textId="7B8F7CD4" w:rsidR="00846D71" w:rsidRPr="000675A8" w:rsidRDefault="0062193F" w:rsidP="006D78D2">
      <w:pPr>
        <w:jc w:val="center"/>
        <w:rPr>
          <w:rFonts w:ascii="Arial" w:hAnsi="Arial" w:cs="Arial"/>
        </w:rPr>
      </w:pPr>
      <w:r w:rsidRPr="0062193F">
        <w:rPr>
          <w:noProof/>
        </w:rPr>
        <w:drawing>
          <wp:inline distT="0" distB="0" distL="0" distR="0" wp14:anchorId="53B94839" wp14:editId="373780BD">
            <wp:extent cx="5577840" cy="4224528"/>
            <wp:effectExtent l="0" t="0" r="3810" b="5080"/>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6A640830" w14:textId="77777777" w:rsidR="00846D71" w:rsidRPr="000C0597" w:rsidRDefault="00DA1B3D" w:rsidP="008459CF">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High Gas</w:t>
      </w:r>
      <w:r w:rsidR="00FF2C36" w:rsidRPr="000C0597">
        <w:rPr>
          <w:rFonts w:ascii="Arial" w:hAnsi="Arial" w:cs="Arial"/>
          <w:sz w:val="22"/>
        </w:rPr>
        <w:t xml:space="preserve"> </w:t>
      </w:r>
      <w:r w:rsidR="00E90565" w:rsidRPr="000C0597">
        <w:rPr>
          <w:rFonts w:ascii="Arial" w:hAnsi="Arial" w:cs="Arial"/>
          <w:sz w:val="22"/>
        </w:rPr>
        <w:t>$10</w:t>
      </w:r>
      <w:r w:rsidR="00FF2C36" w:rsidRPr="000C0597">
        <w:rPr>
          <w:rFonts w:ascii="Arial" w:hAnsi="Arial" w:cs="Arial"/>
          <w:sz w:val="22"/>
        </w:rPr>
        <w:t xml:space="preserve"> Carbon</w:t>
      </w:r>
    </w:p>
    <w:p w14:paraId="1A9B17C5" w14:textId="77777777" w:rsidR="00846D71" w:rsidRPr="000C0597" w:rsidRDefault="00846D71" w:rsidP="00846D71">
      <w:pPr>
        <w:spacing w:line="360" w:lineRule="atLeast"/>
        <w:rPr>
          <w:rFonts w:ascii="Arial" w:hAnsi="Arial" w:cs="Arial"/>
          <w:sz w:val="22"/>
        </w:rPr>
      </w:pPr>
    </w:p>
    <w:p w14:paraId="4AEB9D7C" w14:textId="2A37D8ED" w:rsidR="00846D71" w:rsidRPr="000C0597" w:rsidRDefault="00846D71" w:rsidP="00846D71">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$10</w:t>
      </w:r>
      <w:r w:rsidR="0060621A" w:rsidRPr="000C0597">
        <w:rPr>
          <w:rFonts w:ascii="Arial" w:hAnsi="Arial" w:cs="Arial"/>
          <w:sz w:val="22"/>
        </w:rPr>
        <w:t xml:space="preserve"> carbon </w:t>
      </w:r>
      <w:r w:rsidRPr="000C0597">
        <w:rPr>
          <w:rFonts w:ascii="Arial" w:hAnsi="Arial" w:cs="Arial"/>
          <w:sz w:val="22"/>
        </w:rPr>
        <w:t xml:space="preserve">high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009327F7" w:rsidRPr="000C0597">
        <w:rPr>
          <w:rFonts w:ascii="Arial" w:hAnsi="Arial" w:cs="Arial"/>
          <w:sz w:val="22"/>
        </w:rPr>
        <w:t xml:space="preserve">and </w:t>
      </w:r>
      <w:r w:rsidR="001B7925" w:rsidRPr="00B00372">
        <w:rPr>
          <w:rFonts w:ascii="Arial" w:hAnsi="Arial" w:cs="Arial"/>
          <w:b/>
          <w:sz w:val="22"/>
        </w:rPr>
        <w:t>REDACTED</w:t>
      </w:r>
      <w:r w:rsidR="00FA2083">
        <w:rPr>
          <w:rFonts w:ascii="Arial" w:hAnsi="Arial" w:cs="Arial"/>
          <w:b/>
          <w:sz w:val="22"/>
        </w:rPr>
        <w:t xml:space="preserve"> REDACTED</w:t>
      </w:r>
      <w:r w:rsidR="001B7925" w:rsidRPr="000C0597">
        <w:rPr>
          <w:rFonts w:ascii="Arial" w:hAnsi="Arial" w:cs="Arial"/>
          <w:sz w:val="22"/>
        </w:rPr>
        <w:t xml:space="preserve"> </w:t>
      </w:r>
      <w:r w:rsidRPr="000C0597">
        <w:rPr>
          <w:rFonts w:ascii="Arial" w:hAnsi="Arial" w:cs="Arial"/>
          <w:sz w:val="22"/>
        </w:rPr>
        <w:t xml:space="preserve">over the </w:t>
      </w:r>
      <w:r w:rsidR="00556C41" w:rsidRPr="000C0597">
        <w:rPr>
          <w:rFonts w:ascii="Arial" w:hAnsi="Arial" w:cs="Arial"/>
          <w:sz w:val="22"/>
        </w:rPr>
        <w:t xml:space="preserve">twenty-year </w:t>
      </w:r>
      <w:r w:rsidRPr="000C0597">
        <w:rPr>
          <w:rFonts w:ascii="Arial" w:hAnsi="Arial" w:cs="Arial"/>
          <w:sz w:val="22"/>
        </w:rPr>
        <w:t>planning period.</w:t>
      </w:r>
    </w:p>
    <w:p w14:paraId="4C056B5F" w14:textId="77777777" w:rsidR="00846D71" w:rsidRPr="000C0597" w:rsidRDefault="00846D71" w:rsidP="00846D71">
      <w:pPr>
        <w:numPr>
          <w:ilvl w:val="12"/>
          <w:numId w:val="0"/>
        </w:numPr>
        <w:spacing w:line="360" w:lineRule="atLeast"/>
        <w:rPr>
          <w:rFonts w:ascii="Arial" w:hAnsi="Arial" w:cs="Arial"/>
          <w:color w:val="000000"/>
          <w:sz w:val="22"/>
        </w:rPr>
      </w:pPr>
    </w:p>
    <w:p w14:paraId="06F506BD" w14:textId="77777777" w:rsidR="00846D71"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High </w:t>
      </w:r>
      <w:r w:rsidR="005002F9" w:rsidRPr="000C0597">
        <w:rPr>
          <w:rFonts w:ascii="Arial" w:hAnsi="Arial" w:cs="Arial"/>
          <w:sz w:val="22"/>
        </w:rPr>
        <w:t>Fuel</w:t>
      </w:r>
      <w:r w:rsidR="00FF2C36" w:rsidRPr="000C0597">
        <w:rPr>
          <w:rFonts w:ascii="Arial" w:hAnsi="Arial" w:cs="Arial"/>
          <w:sz w:val="22"/>
        </w:rPr>
        <w:t xml:space="preserve"> </w:t>
      </w:r>
      <w:r w:rsidR="00E90565" w:rsidRPr="000C0597">
        <w:rPr>
          <w:rFonts w:ascii="Arial" w:hAnsi="Arial" w:cs="Arial"/>
          <w:sz w:val="22"/>
        </w:rPr>
        <w:t>$10</w:t>
      </w:r>
      <w:r w:rsidR="00FF2C36" w:rsidRPr="000C0597">
        <w:rPr>
          <w:rFonts w:ascii="Arial" w:hAnsi="Arial" w:cs="Arial"/>
          <w:sz w:val="22"/>
        </w:rPr>
        <w:t xml:space="preserve"> Carbon</w:t>
      </w:r>
    </w:p>
    <w:p w14:paraId="0110315E" w14:textId="77777777" w:rsidR="00846D71" w:rsidRPr="000C0597" w:rsidRDefault="00846D71" w:rsidP="00846D71">
      <w:pPr>
        <w:rPr>
          <w:rFonts w:ascii="Arial" w:hAnsi="Arial" w:cs="Arial"/>
          <w:sz w:val="18"/>
          <w:highlight w:val="yellow"/>
        </w:rPr>
      </w:pPr>
    </w:p>
    <w:p w14:paraId="6542992B" w14:textId="22EDEB1C" w:rsidR="00846D71" w:rsidRPr="000675A8" w:rsidRDefault="0062193F" w:rsidP="006D78D2">
      <w:pPr>
        <w:spacing w:line="360" w:lineRule="auto"/>
        <w:jc w:val="center"/>
        <w:rPr>
          <w:rFonts w:ascii="Arial" w:hAnsi="Arial" w:cs="Arial"/>
          <w:sz w:val="24"/>
          <w:szCs w:val="24"/>
        </w:rPr>
      </w:pPr>
      <w:r w:rsidRPr="0062193F">
        <w:rPr>
          <w:noProof/>
        </w:rPr>
        <w:drawing>
          <wp:inline distT="0" distB="0" distL="0" distR="0" wp14:anchorId="32CEDBEE" wp14:editId="0CEF9019">
            <wp:extent cx="5577840" cy="4224528"/>
            <wp:effectExtent l="0" t="0" r="3810" b="5080"/>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46FB0567" w14:textId="77777777" w:rsidR="00846D71" w:rsidRPr="000675A8" w:rsidRDefault="00846D71" w:rsidP="00DA1B3D">
      <w:pPr>
        <w:spacing w:line="360" w:lineRule="atLeast"/>
        <w:rPr>
          <w:rFonts w:ascii="Arial" w:hAnsi="Arial" w:cs="Arial"/>
        </w:rPr>
      </w:pPr>
    </w:p>
    <w:p w14:paraId="270B0C3F" w14:textId="77777777" w:rsidR="00846D71" w:rsidRPr="000C0597" w:rsidRDefault="00DA1B3D" w:rsidP="008459CF">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Low Gas</w:t>
      </w:r>
      <w:r w:rsidR="0060621A" w:rsidRPr="000C0597">
        <w:rPr>
          <w:rFonts w:ascii="Arial" w:hAnsi="Arial" w:cs="Arial"/>
          <w:sz w:val="22"/>
        </w:rPr>
        <w:t xml:space="preserve"> </w:t>
      </w:r>
      <w:r w:rsidR="004C5DED" w:rsidRPr="000C0597">
        <w:rPr>
          <w:rFonts w:ascii="Arial" w:hAnsi="Arial" w:cs="Arial"/>
          <w:sz w:val="22"/>
        </w:rPr>
        <w:t>$20</w:t>
      </w:r>
      <w:r w:rsidR="0060621A" w:rsidRPr="000C0597">
        <w:rPr>
          <w:rFonts w:ascii="Arial" w:hAnsi="Arial" w:cs="Arial"/>
          <w:sz w:val="22"/>
        </w:rPr>
        <w:t xml:space="preserve"> Carbon</w:t>
      </w:r>
    </w:p>
    <w:p w14:paraId="6DE19FD4" w14:textId="77777777" w:rsidR="00846D71" w:rsidRPr="000C0597" w:rsidRDefault="00846D71" w:rsidP="00846D71">
      <w:pPr>
        <w:spacing w:line="360" w:lineRule="atLeast"/>
        <w:rPr>
          <w:rFonts w:ascii="Arial" w:hAnsi="Arial" w:cs="Arial"/>
          <w:sz w:val="22"/>
        </w:rPr>
      </w:pPr>
    </w:p>
    <w:p w14:paraId="03BD8B25" w14:textId="57BBE054" w:rsidR="00846D71" w:rsidRPr="000C0597" w:rsidRDefault="00846D71" w:rsidP="00846D71">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$20</w:t>
      </w:r>
      <w:r w:rsidR="0060621A" w:rsidRPr="000C0597">
        <w:rPr>
          <w:rFonts w:ascii="Arial" w:hAnsi="Arial" w:cs="Arial"/>
          <w:sz w:val="22"/>
        </w:rPr>
        <w:t xml:space="preserve"> carbon</w:t>
      </w:r>
      <w:r w:rsidRPr="000C0597">
        <w:rPr>
          <w:rFonts w:ascii="Arial" w:hAnsi="Arial" w:cs="Arial"/>
          <w:sz w:val="22"/>
        </w:rPr>
        <w:t xml:space="preserve"> with low </w:t>
      </w:r>
      <w:r w:rsidR="005002F9" w:rsidRPr="000C0597">
        <w:rPr>
          <w:rFonts w:ascii="Arial" w:hAnsi="Arial" w:cs="Arial"/>
          <w:sz w:val="22"/>
        </w:rPr>
        <w:t>fuel</w:t>
      </w:r>
      <w:r w:rsidRPr="000C0597">
        <w:rPr>
          <w:rFonts w:ascii="Arial" w:hAnsi="Arial" w:cs="Arial"/>
          <w:sz w:val="22"/>
        </w:rPr>
        <w:t xml:space="preserve"> prices and the associated loads</w:t>
      </w:r>
      <w:r w:rsidR="00552A72" w:rsidRPr="000C0597">
        <w:rPr>
          <w:rFonts w:ascii="Arial" w:hAnsi="Arial" w:cs="Arial"/>
          <w:sz w:val="22"/>
        </w:rPr>
        <w:t>,</w:t>
      </w:r>
      <w:r w:rsidRPr="000C0597">
        <w:rPr>
          <w:rFonts w:ascii="Arial" w:hAnsi="Arial" w:cs="Arial"/>
          <w:sz w:val="22"/>
        </w:rPr>
        <w:t xml:space="preserve"> resulted in </w:t>
      </w:r>
      <w:r w:rsidR="001B7925" w:rsidRPr="00FA2083">
        <w:rPr>
          <w:rFonts w:ascii="Arial" w:hAnsi="Arial" w:cs="Arial"/>
          <w:b/>
        </w:rPr>
        <w:t>REDACTED</w:t>
      </w:r>
      <w:r w:rsidR="00FA2083" w:rsidRPr="00FA2083">
        <w:rPr>
          <w:rFonts w:ascii="Arial" w:hAnsi="Arial" w:cs="Arial"/>
          <w:b/>
        </w:rPr>
        <w:t xml:space="preserve"> REDACTED</w:t>
      </w:r>
      <w:r w:rsidR="005904B8" w:rsidRPr="000C0597">
        <w:rPr>
          <w:rFonts w:ascii="Arial" w:hAnsi="Arial" w:cs="Arial"/>
          <w:sz w:val="22"/>
        </w:rPr>
        <w:t xml:space="preserve">, </w:t>
      </w:r>
      <w:r w:rsidR="001B7925" w:rsidRPr="00FA2083">
        <w:rPr>
          <w:rFonts w:ascii="Arial" w:hAnsi="Arial" w:cs="Arial"/>
          <w:b/>
        </w:rPr>
        <w:t>REDACTED</w:t>
      </w:r>
      <w:r w:rsidR="00FA2083" w:rsidRPr="00FA2083">
        <w:rPr>
          <w:rFonts w:ascii="Arial" w:hAnsi="Arial" w:cs="Arial"/>
          <w:b/>
        </w:rPr>
        <w:t xml:space="preserve"> REDACTED</w:t>
      </w:r>
      <w:r w:rsidR="005904B8" w:rsidRPr="000C0597">
        <w:rPr>
          <w:rFonts w:ascii="Arial" w:hAnsi="Arial" w:cs="Arial"/>
          <w:sz w:val="22"/>
        </w:rPr>
        <w:t xml:space="preserve">, </w:t>
      </w:r>
      <w:r w:rsidR="001B7925" w:rsidRPr="00FA2083">
        <w:rPr>
          <w:rFonts w:ascii="Arial" w:hAnsi="Arial" w:cs="Arial"/>
          <w:b/>
        </w:rPr>
        <w:t>REDACTED</w:t>
      </w:r>
      <w:r w:rsidR="00FA2083" w:rsidRPr="00FA2083">
        <w:rPr>
          <w:rFonts w:ascii="Arial" w:hAnsi="Arial" w:cs="Arial"/>
          <w:b/>
        </w:rPr>
        <w:t xml:space="preserve"> REDACTED REDACTED</w:t>
      </w:r>
      <w:r w:rsidR="009327F7" w:rsidRPr="000C0597">
        <w:rPr>
          <w:rFonts w:ascii="Arial" w:hAnsi="Arial" w:cs="Arial"/>
          <w:sz w:val="22"/>
        </w:rPr>
        <w:t xml:space="preserve">, </w:t>
      </w:r>
      <w:r w:rsidRPr="000C0597">
        <w:rPr>
          <w:rFonts w:ascii="Arial" w:hAnsi="Arial" w:cs="Arial"/>
          <w:sz w:val="22"/>
        </w:rPr>
        <w:t xml:space="preserve">and </w:t>
      </w:r>
      <w:r w:rsidR="001B7925" w:rsidRPr="00FA2083">
        <w:rPr>
          <w:rFonts w:ascii="Arial" w:hAnsi="Arial" w:cs="Arial"/>
          <w:b/>
        </w:rPr>
        <w:t>REDACTED</w:t>
      </w:r>
      <w:r w:rsidR="00FA2083" w:rsidRPr="00FA2083">
        <w:rPr>
          <w:rFonts w:ascii="Arial" w:hAnsi="Arial" w:cs="Arial"/>
          <w:b/>
        </w:rPr>
        <w:t xml:space="preserve"> REDACTED REDACTED REDACTED</w:t>
      </w:r>
      <w:r w:rsidR="001B7925" w:rsidRPr="000C0597">
        <w:rPr>
          <w:rFonts w:ascii="Arial" w:hAnsi="Arial" w:cs="Arial"/>
          <w:sz w:val="22"/>
        </w:rPr>
        <w:t xml:space="preserve"> </w:t>
      </w:r>
      <w:r w:rsidRPr="000C0597">
        <w:rPr>
          <w:rFonts w:ascii="Arial" w:hAnsi="Arial" w:cs="Arial"/>
          <w:sz w:val="22"/>
        </w:rPr>
        <w:t xml:space="preserve">over the </w:t>
      </w:r>
      <w:r w:rsidR="00F835C1" w:rsidRPr="000C0597">
        <w:rPr>
          <w:rFonts w:ascii="Arial" w:hAnsi="Arial" w:cs="Arial"/>
          <w:sz w:val="22"/>
        </w:rPr>
        <w:t xml:space="preserve">twenty-year </w:t>
      </w:r>
      <w:r w:rsidRPr="000C0597">
        <w:rPr>
          <w:rFonts w:ascii="Arial" w:hAnsi="Arial" w:cs="Arial"/>
          <w:sz w:val="22"/>
        </w:rPr>
        <w:t>planning period.</w:t>
      </w:r>
    </w:p>
    <w:p w14:paraId="198FB920" w14:textId="77777777" w:rsidR="00846D71" w:rsidRPr="000C0597" w:rsidRDefault="00846D71" w:rsidP="00846D71">
      <w:pPr>
        <w:numPr>
          <w:ilvl w:val="12"/>
          <w:numId w:val="0"/>
        </w:numPr>
        <w:spacing w:line="360" w:lineRule="atLeast"/>
        <w:rPr>
          <w:rFonts w:ascii="Arial" w:hAnsi="Arial" w:cs="Arial"/>
          <w:color w:val="000000"/>
          <w:sz w:val="22"/>
        </w:rPr>
      </w:pPr>
    </w:p>
    <w:p w14:paraId="39BDBA52" w14:textId="77777777" w:rsidR="00846D71"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Low </w:t>
      </w:r>
      <w:r w:rsidR="005002F9" w:rsidRPr="000C0597">
        <w:rPr>
          <w:rFonts w:ascii="Arial" w:hAnsi="Arial" w:cs="Arial"/>
          <w:sz w:val="22"/>
        </w:rPr>
        <w:t>Fuel</w:t>
      </w:r>
      <w:r w:rsidR="0060621A" w:rsidRPr="000C0597">
        <w:rPr>
          <w:rFonts w:ascii="Arial" w:hAnsi="Arial" w:cs="Arial"/>
          <w:sz w:val="22"/>
        </w:rPr>
        <w:t xml:space="preserve"> </w:t>
      </w:r>
      <w:r w:rsidR="004C5DED" w:rsidRPr="000C0597">
        <w:rPr>
          <w:rFonts w:ascii="Arial" w:hAnsi="Arial" w:cs="Arial"/>
          <w:sz w:val="22"/>
        </w:rPr>
        <w:t>$20</w:t>
      </w:r>
      <w:r w:rsidR="0060621A" w:rsidRPr="000C0597">
        <w:rPr>
          <w:rFonts w:ascii="Arial" w:hAnsi="Arial" w:cs="Arial"/>
          <w:sz w:val="22"/>
        </w:rPr>
        <w:t xml:space="preserve"> Carbon</w:t>
      </w:r>
    </w:p>
    <w:p w14:paraId="3EA1B062" w14:textId="77777777" w:rsidR="00846D71" w:rsidRPr="000C0597" w:rsidRDefault="00846D71" w:rsidP="00846D71">
      <w:pPr>
        <w:spacing w:line="360" w:lineRule="auto"/>
        <w:rPr>
          <w:rFonts w:ascii="Arial" w:hAnsi="Arial" w:cs="Arial"/>
          <w:sz w:val="22"/>
          <w:szCs w:val="24"/>
        </w:rPr>
      </w:pPr>
    </w:p>
    <w:p w14:paraId="5BF87C36" w14:textId="081AD43A" w:rsidR="00846D71" w:rsidRPr="000675A8" w:rsidRDefault="0062193F" w:rsidP="006D78D2">
      <w:pPr>
        <w:spacing w:line="480" w:lineRule="auto"/>
        <w:ind w:left="360" w:hanging="360"/>
        <w:jc w:val="center"/>
        <w:rPr>
          <w:rFonts w:ascii="Arial" w:hAnsi="Arial" w:cs="Arial"/>
          <w:sz w:val="24"/>
        </w:rPr>
      </w:pPr>
      <w:r w:rsidRPr="0062193F">
        <w:rPr>
          <w:noProof/>
        </w:rPr>
        <w:drawing>
          <wp:inline distT="0" distB="0" distL="0" distR="0" wp14:anchorId="0ACBFECE" wp14:editId="64B389F1">
            <wp:extent cx="5577840" cy="4224528"/>
            <wp:effectExtent l="0" t="0" r="3810" b="508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66C210EF" w14:textId="77777777" w:rsidR="00846D71" w:rsidRPr="000C0597" w:rsidRDefault="00DA1B3D" w:rsidP="008459CF">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Moderate Gas</w:t>
      </w:r>
      <w:r w:rsidR="0060621A" w:rsidRPr="000C0597">
        <w:rPr>
          <w:rFonts w:ascii="Arial" w:hAnsi="Arial" w:cs="Arial"/>
          <w:sz w:val="22"/>
        </w:rPr>
        <w:t xml:space="preserve"> </w:t>
      </w:r>
      <w:r w:rsidR="007A7DCA" w:rsidRPr="000C0597">
        <w:rPr>
          <w:rFonts w:ascii="Arial" w:hAnsi="Arial" w:cs="Arial"/>
          <w:sz w:val="22"/>
        </w:rPr>
        <w:t>$20</w:t>
      </w:r>
      <w:r w:rsidR="0060621A" w:rsidRPr="000C0597">
        <w:rPr>
          <w:rFonts w:ascii="Arial" w:hAnsi="Arial" w:cs="Arial"/>
          <w:sz w:val="22"/>
        </w:rPr>
        <w:t xml:space="preserve"> Carbon</w:t>
      </w:r>
    </w:p>
    <w:p w14:paraId="3E10A18D" w14:textId="77777777" w:rsidR="00846D71" w:rsidRPr="000C0597" w:rsidRDefault="00846D71" w:rsidP="00846D71">
      <w:pPr>
        <w:spacing w:line="360" w:lineRule="atLeast"/>
        <w:rPr>
          <w:rFonts w:ascii="Arial" w:hAnsi="Arial" w:cs="Arial"/>
          <w:sz w:val="22"/>
        </w:rPr>
      </w:pPr>
    </w:p>
    <w:p w14:paraId="1F127A50" w14:textId="3C1FA6B4" w:rsidR="00846D71" w:rsidRPr="000C0597" w:rsidRDefault="00846D71" w:rsidP="00846D71">
      <w:pPr>
        <w:spacing w:line="360" w:lineRule="atLeast"/>
        <w:rPr>
          <w:rFonts w:ascii="Arial" w:hAnsi="Arial" w:cs="Arial"/>
          <w:sz w:val="22"/>
        </w:rPr>
      </w:pPr>
      <w:r w:rsidRPr="000C0597">
        <w:rPr>
          <w:rFonts w:ascii="Arial" w:hAnsi="Arial" w:cs="Arial"/>
          <w:sz w:val="22"/>
        </w:rPr>
        <w:t xml:space="preserve">As shown in the following table, the </w:t>
      </w:r>
      <w:r w:rsidR="006129CD" w:rsidRPr="000C0597">
        <w:rPr>
          <w:rFonts w:ascii="Arial" w:hAnsi="Arial" w:cs="Arial"/>
          <w:sz w:val="22"/>
        </w:rPr>
        <w:t>$20</w:t>
      </w:r>
      <w:r w:rsidR="0060621A" w:rsidRPr="000C0597">
        <w:rPr>
          <w:rFonts w:ascii="Arial" w:hAnsi="Arial" w:cs="Arial"/>
          <w:sz w:val="22"/>
        </w:rPr>
        <w:t xml:space="preserve"> carbon </w:t>
      </w:r>
      <w:r w:rsidRPr="000C0597">
        <w:rPr>
          <w:rFonts w:ascii="Arial" w:hAnsi="Arial" w:cs="Arial"/>
          <w:sz w:val="22"/>
        </w:rPr>
        <w:t xml:space="preserve">with moderate </w:t>
      </w:r>
      <w:r w:rsidR="005002F9" w:rsidRPr="000C0597">
        <w:rPr>
          <w:rFonts w:ascii="Arial" w:hAnsi="Arial" w:cs="Arial"/>
          <w:sz w:val="22"/>
        </w:rPr>
        <w:t>fuel</w:t>
      </w:r>
      <w:r w:rsidRPr="000C0597">
        <w:rPr>
          <w:rFonts w:ascii="Arial" w:hAnsi="Arial" w:cs="Arial"/>
          <w:sz w:val="22"/>
        </w:rPr>
        <w:t xml:space="preserve"> prices and the associated loads, resulted in </w:t>
      </w:r>
      <w:r w:rsidR="001B7925" w:rsidRPr="00B00372">
        <w:rPr>
          <w:rFonts w:ascii="Arial" w:hAnsi="Arial" w:cs="Arial"/>
          <w:b/>
          <w:sz w:val="22"/>
        </w:rPr>
        <w:t>REDACTED</w:t>
      </w:r>
      <w:r w:rsidR="00FA2083">
        <w:rPr>
          <w:rFonts w:ascii="Arial" w:hAnsi="Arial" w:cs="Arial"/>
          <w:b/>
          <w:sz w:val="22"/>
        </w:rPr>
        <w:t xml:space="preserve"> REDACTED</w:t>
      </w:r>
      <w:r w:rsidR="00952CF3" w:rsidRPr="000C0597">
        <w:rPr>
          <w:rFonts w:ascii="Arial" w:hAnsi="Arial" w:cs="Arial"/>
          <w:sz w:val="22"/>
        </w:rPr>
        <w:t xml:space="preserve">, </w:t>
      </w:r>
      <w:r w:rsidR="001B7925" w:rsidRPr="00B00372">
        <w:rPr>
          <w:rFonts w:ascii="Arial" w:hAnsi="Arial" w:cs="Arial"/>
          <w:b/>
          <w:sz w:val="22"/>
        </w:rPr>
        <w:t>REDACTED</w:t>
      </w:r>
      <w:r w:rsidR="00FA2083">
        <w:rPr>
          <w:rFonts w:ascii="Arial" w:hAnsi="Arial" w:cs="Arial"/>
          <w:b/>
          <w:sz w:val="22"/>
        </w:rPr>
        <w:t xml:space="preserve"> REDACTED</w:t>
      </w:r>
      <w:r w:rsidR="00326758" w:rsidRPr="000C0597">
        <w:rPr>
          <w:rFonts w:ascii="Arial" w:hAnsi="Arial" w:cs="Arial"/>
          <w:sz w:val="22"/>
        </w:rPr>
        <w:t xml:space="preserve">, </w:t>
      </w:r>
      <w:r w:rsidR="001B7925" w:rsidRPr="00B00372">
        <w:rPr>
          <w:rFonts w:ascii="Arial" w:hAnsi="Arial" w:cs="Arial"/>
          <w:b/>
          <w:sz w:val="22"/>
        </w:rPr>
        <w:t>REDACTED</w:t>
      </w:r>
      <w:r w:rsidR="00FA2083">
        <w:rPr>
          <w:rFonts w:ascii="Arial" w:hAnsi="Arial" w:cs="Arial"/>
          <w:b/>
          <w:sz w:val="22"/>
        </w:rPr>
        <w:t xml:space="preserve"> REDACTED</w:t>
      </w:r>
      <w:r w:rsidR="00211F3D" w:rsidRPr="000C0597">
        <w:rPr>
          <w:rFonts w:ascii="Arial" w:hAnsi="Arial" w:cs="Arial"/>
          <w:sz w:val="22"/>
        </w:rPr>
        <w:t xml:space="preserve">, and </w:t>
      </w:r>
      <w:r w:rsidR="001B7925" w:rsidRPr="00B00372">
        <w:rPr>
          <w:rFonts w:ascii="Arial" w:hAnsi="Arial" w:cs="Arial"/>
          <w:b/>
          <w:sz w:val="22"/>
        </w:rPr>
        <w:t>REDACTED</w:t>
      </w:r>
      <w:r w:rsidR="00FA2083">
        <w:rPr>
          <w:rFonts w:ascii="Arial" w:hAnsi="Arial" w:cs="Arial"/>
          <w:b/>
          <w:sz w:val="22"/>
        </w:rPr>
        <w:t xml:space="preserve"> REDACTED REDACTED</w:t>
      </w:r>
      <w:r w:rsidR="001B7925" w:rsidRPr="000C0597">
        <w:rPr>
          <w:rFonts w:ascii="Arial" w:hAnsi="Arial" w:cs="Arial"/>
          <w:sz w:val="22"/>
        </w:rPr>
        <w:t xml:space="preserve"> </w:t>
      </w:r>
      <w:r w:rsidRPr="000C0597">
        <w:rPr>
          <w:rFonts w:ascii="Arial" w:hAnsi="Arial" w:cs="Arial"/>
          <w:sz w:val="22"/>
        </w:rPr>
        <w:t xml:space="preserve">over the </w:t>
      </w:r>
      <w:r w:rsidR="00F835C1" w:rsidRPr="000C0597">
        <w:rPr>
          <w:rFonts w:ascii="Arial" w:hAnsi="Arial" w:cs="Arial"/>
          <w:sz w:val="22"/>
        </w:rPr>
        <w:t xml:space="preserve">twenty-year </w:t>
      </w:r>
      <w:r w:rsidRPr="000C0597">
        <w:rPr>
          <w:rFonts w:ascii="Arial" w:hAnsi="Arial" w:cs="Arial"/>
          <w:sz w:val="22"/>
        </w:rPr>
        <w:t>planning period.</w:t>
      </w:r>
    </w:p>
    <w:p w14:paraId="22EB0B9B" w14:textId="77777777" w:rsidR="00846D71" w:rsidRPr="000C0597" w:rsidRDefault="00846D71" w:rsidP="00846D71">
      <w:pPr>
        <w:numPr>
          <w:ilvl w:val="12"/>
          <w:numId w:val="0"/>
        </w:numPr>
        <w:spacing w:line="360" w:lineRule="atLeast"/>
        <w:rPr>
          <w:rFonts w:ascii="Arial" w:hAnsi="Arial" w:cs="Arial"/>
          <w:color w:val="000000"/>
          <w:sz w:val="22"/>
        </w:rPr>
      </w:pPr>
    </w:p>
    <w:p w14:paraId="2E290A28" w14:textId="77777777" w:rsidR="00846D71"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Moderate </w:t>
      </w:r>
      <w:r w:rsidR="005002F9" w:rsidRPr="000C0597">
        <w:rPr>
          <w:rFonts w:ascii="Arial" w:hAnsi="Arial" w:cs="Arial"/>
          <w:sz w:val="22"/>
        </w:rPr>
        <w:t>Fuel</w:t>
      </w:r>
      <w:r w:rsidR="0060621A" w:rsidRPr="000C0597">
        <w:rPr>
          <w:rFonts w:ascii="Arial" w:hAnsi="Arial" w:cs="Arial"/>
          <w:sz w:val="22"/>
        </w:rPr>
        <w:t xml:space="preserve"> </w:t>
      </w:r>
      <w:r w:rsidR="007A7DCA" w:rsidRPr="000C0597">
        <w:rPr>
          <w:rFonts w:ascii="Arial" w:hAnsi="Arial" w:cs="Arial"/>
          <w:sz w:val="22"/>
        </w:rPr>
        <w:t>$20</w:t>
      </w:r>
      <w:r w:rsidR="0060621A" w:rsidRPr="000C0597">
        <w:rPr>
          <w:rFonts w:ascii="Arial" w:hAnsi="Arial" w:cs="Arial"/>
          <w:sz w:val="22"/>
        </w:rPr>
        <w:t xml:space="preserve"> Carbon</w:t>
      </w:r>
    </w:p>
    <w:p w14:paraId="777779FE" w14:textId="77777777" w:rsidR="00846D71" w:rsidRPr="000C0597" w:rsidRDefault="00846D71" w:rsidP="00846D71">
      <w:pPr>
        <w:spacing w:line="480" w:lineRule="auto"/>
        <w:ind w:left="720" w:hanging="360"/>
        <w:rPr>
          <w:rFonts w:ascii="Arial" w:hAnsi="Arial" w:cs="Arial"/>
          <w:sz w:val="22"/>
          <w:szCs w:val="24"/>
        </w:rPr>
      </w:pPr>
    </w:p>
    <w:p w14:paraId="3D9000D5" w14:textId="4C711FCE" w:rsidR="00846D71" w:rsidRPr="000675A8" w:rsidRDefault="0062193F" w:rsidP="006D78D2">
      <w:pPr>
        <w:spacing w:line="480" w:lineRule="auto"/>
        <w:ind w:left="360" w:hanging="360"/>
        <w:jc w:val="center"/>
        <w:rPr>
          <w:rFonts w:ascii="Arial" w:hAnsi="Arial" w:cs="Arial"/>
          <w:sz w:val="24"/>
        </w:rPr>
      </w:pPr>
      <w:r w:rsidRPr="0062193F">
        <w:rPr>
          <w:noProof/>
        </w:rPr>
        <w:drawing>
          <wp:inline distT="0" distB="0" distL="0" distR="0" wp14:anchorId="5EAC9FFD" wp14:editId="358857B5">
            <wp:extent cx="5577840" cy="4224528"/>
            <wp:effectExtent l="0" t="0" r="3810" b="508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587CB316" w14:textId="77777777" w:rsidR="00846D71" w:rsidRPr="000C0597" w:rsidRDefault="00DA1B3D" w:rsidP="008459CF">
      <w:pPr>
        <w:numPr>
          <w:ilvl w:val="0"/>
          <w:numId w:val="1"/>
        </w:numPr>
        <w:tabs>
          <w:tab w:val="left" w:pos="450"/>
        </w:tabs>
        <w:spacing w:line="360" w:lineRule="atLeast"/>
        <w:ind w:left="0" w:firstLine="0"/>
        <w:rPr>
          <w:rFonts w:ascii="Arial" w:hAnsi="Arial" w:cs="Arial"/>
          <w:sz w:val="22"/>
        </w:rPr>
      </w:pPr>
      <w:r w:rsidRPr="000675A8">
        <w:rPr>
          <w:rFonts w:ascii="Arial" w:hAnsi="Arial" w:cs="Arial"/>
          <w:sz w:val="24"/>
        </w:rPr>
        <w:br w:type="page"/>
      </w:r>
      <w:r w:rsidR="00A610FB" w:rsidRPr="000C0597">
        <w:rPr>
          <w:rFonts w:ascii="Arial" w:hAnsi="Arial" w:cs="Arial"/>
          <w:sz w:val="22"/>
        </w:rPr>
        <w:t>High Gas</w:t>
      </w:r>
      <w:r w:rsidR="0060621A" w:rsidRPr="000C0597">
        <w:rPr>
          <w:rFonts w:ascii="Arial" w:hAnsi="Arial" w:cs="Arial"/>
          <w:sz w:val="22"/>
        </w:rPr>
        <w:t xml:space="preserve"> </w:t>
      </w:r>
      <w:r w:rsidR="008205E7" w:rsidRPr="000C0597">
        <w:rPr>
          <w:rFonts w:ascii="Arial" w:hAnsi="Arial" w:cs="Arial"/>
          <w:sz w:val="22"/>
        </w:rPr>
        <w:t>$20</w:t>
      </w:r>
      <w:r w:rsidR="0060621A" w:rsidRPr="000C0597">
        <w:rPr>
          <w:rFonts w:ascii="Arial" w:hAnsi="Arial" w:cs="Arial"/>
          <w:sz w:val="22"/>
        </w:rPr>
        <w:t xml:space="preserve"> Carbon</w:t>
      </w:r>
    </w:p>
    <w:p w14:paraId="42EF2650" w14:textId="77777777" w:rsidR="00846D71" w:rsidRPr="000C0597" w:rsidRDefault="00846D71" w:rsidP="00846D71">
      <w:pPr>
        <w:spacing w:line="360" w:lineRule="atLeast"/>
        <w:rPr>
          <w:rFonts w:ascii="Arial" w:hAnsi="Arial" w:cs="Arial"/>
          <w:sz w:val="22"/>
        </w:rPr>
      </w:pPr>
    </w:p>
    <w:p w14:paraId="6B9DA44D" w14:textId="65F10F7F" w:rsidR="00846D71" w:rsidRPr="007B3FC7" w:rsidRDefault="00846D71" w:rsidP="007B3FC7">
      <w:pPr>
        <w:spacing w:line="360" w:lineRule="atLeast"/>
        <w:rPr>
          <w:rFonts w:ascii="Arial" w:hAnsi="Arial" w:cs="Arial"/>
          <w:sz w:val="22"/>
        </w:rPr>
      </w:pPr>
      <w:r w:rsidRPr="007B3FC7">
        <w:rPr>
          <w:rFonts w:ascii="Arial" w:hAnsi="Arial" w:cs="Arial"/>
          <w:sz w:val="22"/>
        </w:rPr>
        <w:t xml:space="preserve">As shown in the following table, the </w:t>
      </w:r>
      <w:r w:rsidR="006129CD" w:rsidRPr="007B3FC7">
        <w:rPr>
          <w:rFonts w:ascii="Arial" w:hAnsi="Arial" w:cs="Arial"/>
          <w:sz w:val="22"/>
        </w:rPr>
        <w:t>$20</w:t>
      </w:r>
      <w:r w:rsidR="0060621A" w:rsidRPr="007B3FC7">
        <w:rPr>
          <w:rFonts w:ascii="Arial" w:hAnsi="Arial" w:cs="Arial"/>
          <w:sz w:val="22"/>
        </w:rPr>
        <w:t xml:space="preserve"> carbon</w:t>
      </w:r>
      <w:r w:rsidRPr="007B3FC7">
        <w:rPr>
          <w:rFonts w:ascii="Arial" w:hAnsi="Arial" w:cs="Arial"/>
          <w:sz w:val="22"/>
        </w:rPr>
        <w:t xml:space="preserve"> with high </w:t>
      </w:r>
      <w:r w:rsidR="005002F9" w:rsidRPr="007B3FC7">
        <w:rPr>
          <w:rFonts w:ascii="Arial" w:hAnsi="Arial" w:cs="Arial"/>
          <w:sz w:val="22"/>
        </w:rPr>
        <w:t>fuel</w:t>
      </w:r>
      <w:r w:rsidRPr="007B3FC7">
        <w:rPr>
          <w:rFonts w:ascii="Arial" w:hAnsi="Arial" w:cs="Arial"/>
          <w:sz w:val="22"/>
        </w:rPr>
        <w:t xml:space="preserve"> prices and the associated </w:t>
      </w:r>
      <w:r w:rsidR="00234D5A" w:rsidRPr="007B3FC7">
        <w:rPr>
          <w:rFonts w:ascii="Arial" w:hAnsi="Arial" w:cs="Arial"/>
          <w:sz w:val="22"/>
        </w:rPr>
        <w:t>loads</w:t>
      </w:r>
      <w:r w:rsidRPr="007B3FC7">
        <w:rPr>
          <w:rFonts w:ascii="Arial" w:hAnsi="Arial" w:cs="Arial"/>
          <w:sz w:val="22"/>
        </w:rPr>
        <w:t xml:space="preserve"> resulted in </w:t>
      </w:r>
      <w:r w:rsidR="00B00372" w:rsidRPr="007B3FC7">
        <w:rPr>
          <w:rFonts w:ascii="Arial" w:hAnsi="Arial" w:cs="Arial"/>
          <w:b/>
          <w:sz w:val="22"/>
        </w:rPr>
        <w:t>REDACTED</w:t>
      </w:r>
      <w:r w:rsidR="00FA2083" w:rsidRPr="007B3FC7">
        <w:rPr>
          <w:rFonts w:ascii="Arial" w:hAnsi="Arial" w:cs="Arial"/>
          <w:sz w:val="22"/>
        </w:rPr>
        <w:t xml:space="preserve"> </w:t>
      </w:r>
      <w:r w:rsidR="00FA2083" w:rsidRPr="007B3FC7">
        <w:rPr>
          <w:rFonts w:ascii="Arial" w:hAnsi="Arial" w:cs="Arial"/>
          <w:b/>
          <w:sz w:val="22"/>
        </w:rPr>
        <w:t>REDACTED</w:t>
      </w:r>
      <w:r w:rsidRPr="007B3FC7">
        <w:rPr>
          <w:rFonts w:ascii="Arial" w:hAnsi="Arial" w:cs="Arial"/>
          <w:sz w:val="22"/>
        </w:rPr>
        <w:t xml:space="preserve">, </w:t>
      </w:r>
      <w:r w:rsidR="00B00372" w:rsidRPr="007B3FC7">
        <w:rPr>
          <w:rFonts w:ascii="Arial" w:hAnsi="Arial" w:cs="Arial"/>
          <w:b/>
          <w:sz w:val="22"/>
        </w:rPr>
        <w:t>REDACTED</w:t>
      </w:r>
      <w:r w:rsidR="00FA2083" w:rsidRPr="007B3FC7">
        <w:rPr>
          <w:rFonts w:ascii="Arial" w:hAnsi="Arial" w:cs="Arial"/>
          <w:sz w:val="22"/>
        </w:rPr>
        <w:t xml:space="preserve"> </w:t>
      </w:r>
      <w:r w:rsidR="00FA2083" w:rsidRPr="007B3FC7">
        <w:rPr>
          <w:rFonts w:ascii="Arial" w:hAnsi="Arial" w:cs="Arial"/>
          <w:b/>
          <w:sz w:val="22"/>
        </w:rPr>
        <w:t>REDACTED</w:t>
      </w:r>
      <w:r w:rsidR="00DF1835" w:rsidRPr="007B3FC7">
        <w:rPr>
          <w:rFonts w:ascii="Arial" w:hAnsi="Arial" w:cs="Arial"/>
          <w:sz w:val="22"/>
        </w:rPr>
        <w:t xml:space="preserve">, </w:t>
      </w:r>
      <w:r w:rsidR="004B0AC5" w:rsidRPr="007B3FC7">
        <w:rPr>
          <w:rFonts w:ascii="Arial" w:hAnsi="Arial" w:cs="Arial"/>
          <w:sz w:val="22"/>
        </w:rPr>
        <w:t xml:space="preserve">and </w:t>
      </w:r>
      <w:r w:rsidR="00B00372" w:rsidRPr="007B3FC7">
        <w:rPr>
          <w:rFonts w:ascii="Arial" w:hAnsi="Arial" w:cs="Arial"/>
          <w:b/>
          <w:sz w:val="22"/>
        </w:rPr>
        <w:t>REDACTED</w:t>
      </w:r>
      <w:r w:rsidR="00FA2083" w:rsidRPr="007B3FC7">
        <w:rPr>
          <w:rFonts w:ascii="Arial" w:hAnsi="Arial" w:cs="Arial"/>
          <w:sz w:val="22"/>
        </w:rPr>
        <w:t xml:space="preserve"> </w:t>
      </w:r>
      <w:r w:rsidR="00FA2083" w:rsidRPr="007B3FC7">
        <w:rPr>
          <w:rFonts w:ascii="Arial" w:hAnsi="Arial" w:cs="Arial"/>
          <w:b/>
          <w:sz w:val="22"/>
        </w:rPr>
        <w:t>REDACTED</w:t>
      </w:r>
      <w:r w:rsidR="00FA2083" w:rsidRPr="007B3FC7">
        <w:rPr>
          <w:rFonts w:ascii="Arial" w:hAnsi="Arial" w:cs="Arial"/>
          <w:sz w:val="22"/>
        </w:rPr>
        <w:t xml:space="preserve"> </w:t>
      </w:r>
      <w:r w:rsidR="00FA2083" w:rsidRPr="007B3FC7">
        <w:rPr>
          <w:rFonts w:ascii="Arial" w:hAnsi="Arial" w:cs="Arial"/>
          <w:b/>
          <w:sz w:val="22"/>
        </w:rPr>
        <w:t>REDACTED</w:t>
      </w:r>
      <w:r w:rsidR="00B00372" w:rsidRPr="007B3FC7">
        <w:rPr>
          <w:rFonts w:ascii="Arial" w:hAnsi="Arial" w:cs="Arial"/>
          <w:sz w:val="22"/>
        </w:rPr>
        <w:t xml:space="preserve"> </w:t>
      </w:r>
      <w:r w:rsidRPr="007B3FC7">
        <w:rPr>
          <w:rFonts w:ascii="Arial" w:hAnsi="Arial" w:cs="Arial"/>
          <w:sz w:val="22"/>
        </w:rPr>
        <w:t xml:space="preserve">over the </w:t>
      </w:r>
      <w:r w:rsidR="00F835C1" w:rsidRPr="007B3FC7">
        <w:rPr>
          <w:rFonts w:ascii="Arial" w:hAnsi="Arial" w:cs="Arial"/>
          <w:sz w:val="22"/>
        </w:rPr>
        <w:t xml:space="preserve">twenty-year </w:t>
      </w:r>
      <w:r w:rsidRPr="007B3FC7">
        <w:rPr>
          <w:rFonts w:ascii="Arial" w:hAnsi="Arial" w:cs="Arial"/>
          <w:sz w:val="22"/>
        </w:rPr>
        <w:t>planning period.</w:t>
      </w:r>
    </w:p>
    <w:p w14:paraId="19B504A1" w14:textId="77777777" w:rsidR="00846D71" w:rsidRPr="000C0597" w:rsidRDefault="00846D71" w:rsidP="00846D71">
      <w:pPr>
        <w:numPr>
          <w:ilvl w:val="12"/>
          <w:numId w:val="0"/>
        </w:numPr>
        <w:spacing w:line="360" w:lineRule="atLeast"/>
        <w:rPr>
          <w:rFonts w:ascii="Arial" w:hAnsi="Arial" w:cs="Arial"/>
          <w:color w:val="000000"/>
          <w:sz w:val="22"/>
        </w:rPr>
      </w:pPr>
    </w:p>
    <w:p w14:paraId="507F4245" w14:textId="77777777" w:rsidR="008205E7" w:rsidRPr="000C0597" w:rsidRDefault="00A610FB" w:rsidP="000B291A">
      <w:pPr>
        <w:numPr>
          <w:ilvl w:val="0"/>
          <w:numId w:val="3"/>
        </w:numPr>
        <w:spacing w:line="360" w:lineRule="atLeast"/>
        <w:jc w:val="center"/>
        <w:rPr>
          <w:rFonts w:ascii="Arial" w:hAnsi="Arial" w:cs="Arial"/>
          <w:sz w:val="22"/>
        </w:rPr>
      </w:pPr>
      <w:r w:rsidRPr="000C0597">
        <w:rPr>
          <w:rFonts w:ascii="Arial" w:hAnsi="Arial" w:cs="Arial"/>
          <w:sz w:val="22"/>
        </w:rPr>
        <w:t xml:space="preserve">Effects of High </w:t>
      </w:r>
      <w:r w:rsidR="005002F9" w:rsidRPr="000C0597">
        <w:rPr>
          <w:rFonts w:ascii="Arial" w:hAnsi="Arial" w:cs="Arial"/>
          <w:sz w:val="22"/>
        </w:rPr>
        <w:t>Fuel</w:t>
      </w:r>
      <w:r w:rsidR="0060621A" w:rsidRPr="000C0597">
        <w:rPr>
          <w:rFonts w:ascii="Arial" w:hAnsi="Arial" w:cs="Arial"/>
          <w:sz w:val="22"/>
        </w:rPr>
        <w:t xml:space="preserve"> </w:t>
      </w:r>
      <w:r w:rsidR="008205E7" w:rsidRPr="000C0597">
        <w:rPr>
          <w:rFonts w:ascii="Arial" w:hAnsi="Arial" w:cs="Arial"/>
          <w:sz w:val="22"/>
        </w:rPr>
        <w:t>$20</w:t>
      </w:r>
      <w:r w:rsidR="0060621A" w:rsidRPr="000C0597">
        <w:rPr>
          <w:rFonts w:ascii="Arial" w:hAnsi="Arial" w:cs="Arial"/>
          <w:sz w:val="22"/>
        </w:rPr>
        <w:t xml:space="preserve"> Carbon</w:t>
      </w:r>
    </w:p>
    <w:p w14:paraId="3D1E2A3B" w14:textId="77777777" w:rsidR="008205E7" w:rsidRPr="000C0597" w:rsidRDefault="008205E7" w:rsidP="008205E7">
      <w:pPr>
        <w:spacing w:line="360" w:lineRule="atLeast"/>
        <w:rPr>
          <w:rFonts w:ascii="Arial" w:hAnsi="Arial" w:cs="Arial"/>
          <w:sz w:val="22"/>
          <w:highlight w:val="yellow"/>
        </w:rPr>
      </w:pPr>
    </w:p>
    <w:p w14:paraId="4946F91E" w14:textId="6127856A" w:rsidR="00846D71" w:rsidRPr="000675A8" w:rsidRDefault="0062193F" w:rsidP="006D78D2">
      <w:pPr>
        <w:spacing w:line="480" w:lineRule="auto"/>
        <w:ind w:left="360" w:hanging="360"/>
        <w:jc w:val="center"/>
        <w:rPr>
          <w:rFonts w:ascii="Arial" w:hAnsi="Arial" w:cs="Arial"/>
          <w:sz w:val="24"/>
          <w:szCs w:val="24"/>
        </w:rPr>
      </w:pPr>
      <w:r w:rsidRPr="0062193F">
        <w:rPr>
          <w:noProof/>
        </w:rPr>
        <w:drawing>
          <wp:inline distT="0" distB="0" distL="0" distR="0" wp14:anchorId="2431B399" wp14:editId="291ACF2E">
            <wp:extent cx="5577840" cy="4224528"/>
            <wp:effectExtent l="0" t="0" r="3810" b="508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77840" cy="4224528"/>
                    </a:xfrm>
                    <a:prstGeom prst="rect">
                      <a:avLst/>
                    </a:prstGeom>
                    <a:noFill/>
                    <a:ln>
                      <a:noFill/>
                    </a:ln>
                  </pic:spPr>
                </pic:pic>
              </a:graphicData>
            </a:graphic>
          </wp:inline>
        </w:drawing>
      </w:r>
    </w:p>
    <w:p w14:paraId="42CFCC04" w14:textId="77777777" w:rsidR="00846D71" w:rsidRPr="000675A8" w:rsidRDefault="00846D71" w:rsidP="00846D71">
      <w:pPr>
        <w:spacing w:line="480" w:lineRule="auto"/>
        <w:ind w:left="360" w:hanging="360"/>
        <w:rPr>
          <w:rFonts w:ascii="Arial" w:hAnsi="Arial" w:cs="Arial"/>
          <w:sz w:val="24"/>
          <w:szCs w:val="24"/>
        </w:rPr>
      </w:pPr>
    </w:p>
    <w:p w14:paraId="38D2804F" w14:textId="77777777" w:rsidR="009C5729" w:rsidRPr="000675A8" w:rsidRDefault="009C5729" w:rsidP="009C5729">
      <w:pPr>
        <w:tabs>
          <w:tab w:val="left" w:pos="450"/>
        </w:tabs>
        <w:spacing w:line="360" w:lineRule="atLeast"/>
        <w:rPr>
          <w:rFonts w:ascii="Arial" w:hAnsi="Arial" w:cs="Arial"/>
          <w:sz w:val="24"/>
        </w:rPr>
      </w:pPr>
    </w:p>
    <w:p w14:paraId="7E911BC8" w14:textId="77777777" w:rsidR="009C5729" w:rsidRPr="000675A8" w:rsidRDefault="009C5729" w:rsidP="00953947">
      <w:pPr>
        <w:pStyle w:val="Heading2"/>
        <w:numPr>
          <w:ilvl w:val="0"/>
          <w:numId w:val="0"/>
        </w:numPr>
        <w:spacing w:line="360" w:lineRule="atLeast"/>
        <w:jc w:val="center"/>
        <w:rPr>
          <w:rFonts w:ascii="Arial" w:hAnsi="Arial" w:cs="Arial"/>
          <w:sz w:val="24"/>
        </w:rPr>
      </w:pPr>
      <w:r w:rsidRPr="000675A8">
        <w:rPr>
          <w:rFonts w:ascii="Arial" w:hAnsi="Arial" w:cs="Arial"/>
          <w:sz w:val="24"/>
        </w:rPr>
        <w:br w:type="page"/>
      </w:r>
    </w:p>
    <w:p w14:paraId="1FE3B3A1" w14:textId="77777777" w:rsidR="00BD6A65" w:rsidRPr="000C0597" w:rsidRDefault="00522ADC" w:rsidP="008459CF">
      <w:pPr>
        <w:pStyle w:val="Heading2"/>
        <w:spacing w:line="360" w:lineRule="atLeast"/>
        <w:ind w:left="846"/>
        <w:rPr>
          <w:rFonts w:ascii="Arial" w:hAnsi="Arial" w:cs="Arial"/>
          <w:sz w:val="22"/>
        </w:rPr>
      </w:pPr>
      <w:bookmarkStart w:id="40" w:name="_Toc305487223"/>
      <w:r w:rsidRPr="000C0597">
        <w:rPr>
          <w:rFonts w:ascii="Arial" w:hAnsi="Arial" w:cs="Arial"/>
          <w:sz w:val="22"/>
        </w:rPr>
        <w:t>SENSITIVITY RESULTS SUMMARY</w:t>
      </w:r>
      <w:bookmarkEnd w:id="40"/>
    </w:p>
    <w:p w14:paraId="7D6EF795" w14:textId="77777777" w:rsidR="00BD6A65" w:rsidRPr="000C0597" w:rsidRDefault="00BD6A65" w:rsidP="00243513">
      <w:pPr>
        <w:spacing w:line="360" w:lineRule="atLeast"/>
        <w:ind w:right="180"/>
        <w:rPr>
          <w:rFonts w:ascii="Arial" w:hAnsi="Arial" w:cs="Arial"/>
          <w:b/>
          <w:sz w:val="22"/>
        </w:rPr>
      </w:pPr>
    </w:p>
    <w:p w14:paraId="251D1600" w14:textId="57D72F78" w:rsidR="00BD6A65" w:rsidRPr="000C0597" w:rsidRDefault="00BD6A65" w:rsidP="00243513">
      <w:pPr>
        <w:spacing w:line="360" w:lineRule="atLeast"/>
        <w:ind w:right="180"/>
        <w:rPr>
          <w:rFonts w:ascii="Arial" w:hAnsi="Arial" w:cs="Arial"/>
          <w:sz w:val="22"/>
        </w:rPr>
      </w:pPr>
      <w:r w:rsidRPr="000C0597">
        <w:rPr>
          <w:rFonts w:ascii="Arial" w:hAnsi="Arial" w:cs="Arial"/>
          <w:sz w:val="22"/>
        </w:rPr>
        <w:t xml:space="preserve">The results of the sensitivity analyses are summarized in Appendix </w:t>
      </w:r>
      <w:r w:rsidR="007B4567" w:rsidRPr="000C0597">
        <w:rPr>
          <w:rFonts w:ascii="Arial" w:hAnsi="Arial" w:cs="Arial"/>
          <w:sz w:val="22"/>
        </w:rPr>
        <w:t>F</w:t>
      </w:r>
      <w:r w:rsidRPr="000C0597">
        <w:rPr>
          <w:rFonts w:ascii="Arial" w:hAnsi="Arial" w:cs="Arial"/>
          <w:sz w:val="22"/>
        </w:rPr>
        <w:t>.</w:t>
      </w:r>
    </w:p>
    <w:sectPr w:rsidR="00BD6A65" w:rsidRPr="000C0597" w:rsidSect="000C0597">
      <w:headerReference w:type="default" r:id="rId31"/>
      <w:footerReference w:type="even" r:id="rId32"/>
      <w:footerReference w:type="default" r:id="rId33"/>
      <w:headerReference w:type="first" r:id="rId34"/>
      <w:footerReference w:type="first" r:id="rId35"/>
      <w:type w:val="continuous"/>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F2AFA" w14:textId="77777777" w:rsidR="007B3FC7" w:rsidRDefault="007B3FC7">
      <w:r>
        <w:separator/>
      </w:r>
    </w:p>
  </w:endnote>
  <w:endnote w:type="continuationSeparator" w:id="0">
    <w:p w14:paraId="38B12F03" w14:textId="77777777" w:rsidR="007B3FC7" w:rsidRDefault="007B3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10794" w14:textId="77777777" w:rsidR="007B3FC7" w:rsidRDefault="007B3FC7" w:rsidP="00865A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7C869D" w14:textId="77777777" w:rsidR="007B3FC7" w:rsidRDefault="007B3F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41030" w14:textId="05CE74B9" w:rsidR="007B3FC7" w:rsidRPr="000C0597" w:rsidRDefault="007B3FC7" w:rsidP="000C0597">
    <w:pPr>
      <w:pStyle w:val="Footer"/>
      <w:tabs>
        <w:tab w:val="clear" w:pos="4320"/>
        <w:tab w:val="right" w:pos="8460"/>
      </w:tabs>
      <w:ind w:right="360"/>
      <w:jc w:val="center"/>
      <w:rPr>
        <w:rFonts w:ascii="Arial" w:hAnsi="Arial" w:cs="Arial"/>
      </w:rPr>
    </w:pPr>
    <w:r w:rsidRPr="000C0597">
      <w:rPr>
        <w:rFonts w:ascii="Arial" w:hAnsi="Arial" w:cs="Arial"/>
      </w:rPr>
      <w:fldChar w:fldCharType="begin"/>
    </w:r>
    <w:r w:rsidRPr="000C0597">
      <w:rPr>
        <w:rFonts w:ascii="Arial" w:hAnsi="Arial" w:cs="Arial"/>
      </w:rPr>
      <w:instrText xml:space="preserve"> PAGE   \* MERGEFORMAT </w:instrText>
    </w:r>
    <w:r w:rsidRPr="000C0597">
      <w:rPr>
        <w:rFonts w:ascii="Arial" w:hAnsi="Arial" w:cs="Arial"/>
      </w:rPr>
      <w:fldChar w:fldCharType="separate"/>
    </w:r>
    <w:r>
      <w:rPr>
        <w:rFonts w:ascii="Arial" w:hAnsi="Arial" w:cs="Arial"/>
        <w:noProof/>
      </w:rPr>
      <w:t>21</w:t>
    </w:r>
    <w:r w:rsidRPr="000C0597">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9F56D" w14:textId="77777777" w:rsidR="007B3FC7" w:rsidRPr="00B7318C" w:rsidRDefault="007B3FC7" w:rsidP="007553A0">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857E3" w14:textId="77777777" w:rsidR="007B3FC7" w:rsidRDefault="007B3FC7">
      <w:r>
        <w:separator/>
      </w:r>
    </w:p>
  </w:footnote>
  <w:footnote w:type="continuationSeparator" w:id="0">
    <w:p w14:paraId="0F91DBCD" w14:textId="77777777" w:rsidR="007B3FC7" w:rsidRDefault="007B3FC7">
      <w:r>
        <w:continuationSeparator/>
      </w:r>
    </w:p>
  </w:footnote>
  <w:footnote w:id="1">
    <w:p w14:paraId="59D4EC94" w14:textId="49DE2066" w:rsidR="007B3FC7" w:rsidRPr="00400928" w:rsidRDefault="007B3FC7" w:rsidP="00A81750">
      <w:pPr>
        <w:pStyle w:val="FootnoteText"/>
        <w:rPr>
          <w:sz w:val="16"/>
          <w:szCs w:val="16"/>
        </w:rPr>
      </w:pPr>
      <w:r w:rsidRPr="00835243">
        <w:rPr>
          <w:rStyle w:val="FootnoteReference"/>
          <w:rFonts w:ascii="Arial" w:hAnsi="Arial" w:cs="Arial"/>
        </w:rPr>
        <w:footnoteRef/>
      </w:r>
      <w:r>
        <w:t xml:space="preserve"> </w:t>
      </w:r>
      <w:r w:rsidRPr="00400928">
        <w:rPr>
          <w:rFonts w:ascii="Arial" w:hAnsi="Arial" w:cs="Arial"/>
          <w:sz w:val="16"/>
          <w:szCs w:val="16"/>
        </w:rPr>
        <w:t>Installed cost is the overnight cost plus escalation, AFUDC</w:t>
      </w:r>
      <w:r>
        <w:rPr>
          <w:rFonts w:ascii="Arial" w:hAnsi="Arial" w:cs="Arial"/>
          <w:sz w:val="16"/>
          <w:szCs w:val="16"/>
        </w:rPr>
        <w:t>,</w:t>
      </w:r>
      <w:r w:rsidRPr="00400928">
        <w:rPr>
          <w:rFonts w:ascii="Arial" w:hAnsi="Arial" w:cs="Arial"/>
          <w:sz w:val="16"/>
          <w:szCs w:val="16"/>
        </w:rPr>
        <w:t xml:space="preserve"> and ad valorem taxes during construction</w:t>
      </w:r>
      <w:r>
        <w:rPr>
          <w:rFonts w:ascii="Arial" w:hAnsi="Arial" w:cs="Arial"/>
          <w:sz w:val="16"/>
          <w:szCs w:val="16"/>
        </w:rPr>
        <w:t>. Dollar basis is nominal for in-service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A2BC5" w14:textId="67987CC4" w:rsidR="007B3FC7" w:rsidRPr="00170DCF" w:rsidRDefault="007B3FC7" w:rsidP="00EC0F8F">
    <w:pPr>
      <w:pStyle w:val="Header"/>
      <w:tabs>
        <w:tab w:val="clear" w:pos="4320"/>
        <w:tab w:val="clear" w:pos="8640"/>
      </w:tabs>
      <w:jc w:val="right"/>
      <w:rPr>
        <w:rFonts w:ascii="Arial" w:hAnsi="Arial" w:cs="Arial"/>
        <w:b/>
        <w:color w:val="000000" w:themeColor="text1"/>
        <w:sz w:val="22"/>
      </w:rPr>
    </w:pPr>
    <w:r>
      <w:rPr>
        <w:rFonts w:ascii="Arial" w:hAnsi="Arial" w:cs="Arial"/>
        <w:b/>
        <w:color w:val="000000" w:themeColor="text1"/>
        <w:sz w:val="22"/>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094BF" w14:textId="77777777" w:rsidR="007B3FC7" w:rsidRPr="00170DCF" w:rsidRDefault="007B3FC7" w:rsidP="00170DCF">
    <w:pPr>
      <w:pStyle w:val="Header"/>
      <w:tabs>
        <w:tab w:val="clear" w:pos="4320"/>
        <w:tab w:val="clear" w:pos="8640"/>
      </w:tabs>
      <w:jc w:val="right"/>
      <w:rPr>
        <w:rFonts w:ascii="Arial" w:hAnsi="Arial" w:cs="Arial"/>
        <w:b/>
        <w:color w:val="000000" w:themeColor="text1"/>
        <w:sz w:val="22"/>
      </w:rPr>
    </w:pPr>
    <w:r>
      <w:rPr>
        <w:rFonts w:ascii="Arial" w:hAnsi="Arial" w:cs="Arial"/>
        <w:b/>
        <w:color w:val="000000" w:themeColor="text1"/>
        <w:sz w:val="22"/>
      </w:rPr>
      <w:t>PUBLIC DISCLOSURE</w:t>
    </w:r>
  </w:p>
  <w:p w14:paraId="72745861" w14:textId="3B2670C2" w:rsidR="007B3FC7" w:rsidRPr="00170DCF" w:rsidRDefault="007B3FC7" w:rsidP="00170D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35393D"/>
    <w:multiLevelType w:val="hybridMultilevel"/>
    <w:tmpl w:val="0F6E6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87083"/>
    <w:multiLevelType w:val="hybridMultilevel"/>
    <w:tmpl w:val="25BCDF42"/>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 w15:restartNumberingAfterBreak="0">
    <w:nsid w:val="1D6A27DD"/>
    <w:multiLevelType w:val="hybridMultilevel"/>
    <w:tmpl w:val="F53ED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DE51A8"/>
    <w:multiLevelType w:val="hybridMultilevel"/>
    <w:tmpl w:val="DC70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E34CB7"/>
    <w:multiLevelType w:val="multilevel"/>
    <w:tmpl w:val="7A1CEDA8"/>
    <w:lvl w:ilvl="0">
      <w:start w:val="1"/>
      <w:numFmt w:val="decimal"/>
      <w:lvlText w:val="%1."/>
      <w:lvlJc w:val="left"/>
      <w:pPr>
        <w:tabs>
          <w:tab w:val="num" w:pos="734"/>
        </w:tabs>
        <w:ind w:left="734" w:hanging="360"/>
      </w:pPr>
      <w:rPr>
        <w:rFonts w:hint="default"/>
        <w:b/>
        <w:i w:val="0"/>
        <w:sz w:val="20"/>
        <w:vertAlign w:val="baseline"/>
      </w:rPr>
    </w:lvl>
    <w:lvl w:ilvl="1">
      <w:start w:val="1"/>
      <w:numFmt w:val="decimal"/>
      <w:lvlText w:val="Table %1.%2:"/>
      <w:lvlJc w:val="left"/>
      <w:pPr>
        <w:tabs>
          <w:tab w:val="num" w:pos="1836"/>
        </w:tabs>
        <w:ind w:left="1836" w:hanging="576"/>
      </w:pPr>
      <w:rPr>
        <w:rFonts w:hint="default"/>
        <w:sz w:val="18"/>
        <w:vertAlign w:val="baseline"/>
      </w:rPr>
    </w:lvl>
    <w:lvl w:ilvl="2">
      <w:start w:val="1"/>
      <w:numFmt w:val="decimal"/>
      <w:lvlRestart w:val="1"/>
      <w:lvlText w:val="Table %1.%2.%3"/>
      <w:lvlJc w:val="left"/>
      <w:pPr>
        <w:tabs>
          <w:tab w:val="num" w:pos="375"/>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7BE4447"/>
    <w:multiLevelType w:val="hybridMultilevel"/>
    <w:tmpl w:val="7C30CD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4950"/>
        </w:tabs>
        <w:ind w:left="4950" w:hanging="360"/>
      </w:pPr>
      <w:rPr>
        <w:rFonts w:ascii="Courier New" w:hAnsi="Courier New" w:cs="Courier New" w:hint="default"/>
      </w:rPr>
    </w:lvl>
    <w:lvl w:ilvl="2" w:tplc="04090005" w:tentative="1">
      <w:start w:val="1"/>
      <w:numFmt w:val="bullet"/>
      <w:lvlText w:val=""/>
      <w:lvlJc w:val="left"/>
      <w:pPr>
        <w:tabs>
          <w:tab w:val="num" w:pos="5670"/>
        </w:tabs>
        <w:ind w:left="5670" w:hanging="360"/>
      </w:pPr>
      <w:rPr>
        <w:rFonts w:ascii="Wingdings" w:hAnsi="Wingdings" w:hint="default"/>
      </w:rPr>
    </w:lvl>
    <w:lvl w:ilvl="3" w:tplc="04090001" w:tentative="1">
      <w:start w:val="1"/>
      <w:numFmt w:val="bullet"/>
      <w:lvlText w:val=""/>
      <w:lvlJc w:val="left"/>
      <w:pPr>
        <w:tabs>
          <w:tab w:val="num" w:pos="6390"/>
        </w:tabs>
        <w:ind w:left="6390" w:hanging="360"/>
      </w:pPr>
      <w:rPr>
        <w:rFonts w:ascii="Symbol" w:hAnsi="Symbol" w:hint="default"/>
      </w:rPr>
    </w:lvl>
    <w:lvl w:ilvl="4" w:tplc="04090003" w:tentative="1">
      <w:start w:val="1"/>
      <w:numFmt w:val="bullet"/>
      <w:lvlText w:val="o"/>
      <w:lvlJc w:val="left"/>
      <w:pPr>
        <w:tabs>
          <w:tab w:val="num" w:pos="7110"/>
        </w:tabs>
        <w:ind w:left="7110" w:hanging="360"/>
      </w:pPr>
      <w:rPr>
        <w:rFonts w:ascii="Courier New" w:hAnsi="Courier New" w:cs="Courier New" w:hint="default"/>
      </w:rPr>
    </w:lvl>
    <w:lvl w:ilvl="5" w:tplc="04090005" w:tentative="1">
      <w:start w:val="1"/>
      <w:numFmt w:val="bullet"/>
      <w:lvlText w:val=""/>
      <w:lvlJc w:val="left"/>
      <w:pPr>
        <w:tabs>
          <w:tab w:val="num" w:pos="7830"/>
        </w:tabs>
        <w:ind w:left="7830" w:hanging="360"/>
      </w:pPr>
      <w:rPr>
        <w:rFonts w:ascii="Wingdings" w:hAnsi="Wingdings" w:hint="default"/>
      </w:rPr>
    </w:lvl>
    <w:lvl w:ilvl="6" w:tplc="04090001" w:tentative="1">
      <w:start w:val="1"/>
      <w:numFmt w:val="bullet"/>
      <w:lvlText w:val=""/>
      <w:lvlJc w:val="left"/>
      <w:pPr>
        <w:tabs>
          <w:tab w:val="num" w:pos="8550"/>
        </w:tabs>
        <w:ind w:left="8550" w:hanging="360"/>
      </w:pPr>
      <w:rPr>
        <w:rFonts w:ascii="Symbol" w:hAnsi="Symbol" w:hint="default"/>
      </w:rPr>
    </w:lvl>
    <w:lvl w:ilvl="7" w:tplc="04090003" w:tentative="1">
      <w:start w:val="1"/>
      <w:numFmt w:val="bullet"/>
      <w:lvlText w:val="o"/>
      <w:lvlJc w:val="left"/>
      <w:pPr>
        <w:tabs>
          <w:tab w:val="num" w:pos="9270"/>
        </w:tabs>
        <w:ind w:left="9270" w:hanging="360"/>
      </w:pPr>
      <w:rPr>
        <w:rFonts w:ascii="Courier New" w:hAnsi="Courier New" w:cs="Courier New" w:hint="default"/>
      </w:rPr>
    </w:lvl>
    <w:lvl w:ilvl="8" w:tplc="04090005" w:tentative="1">
      <w:start w:val="1"/>
      <w:numFmt w:val="bullet"/>
      <w:lvlText w:val=""/>
      <w:lvlJc w:val="left"/>
      <w:pPr>
        <w:tabs>
          <w:tab w:val="num" w:pos="9990"/>
        </w:tabs>
        <w:ind w:left="9990" w:hanging="360"/>
      </w:pPr>
      <w:rPr>
        <w:rFonts w:ascii="Wingdings" w:hAnsi="Wingdings" w:hint="default"/>
      </w:rPr>
    </w:lvl>
  </w:abstractNum>
  <w:abstractNum w:abstractNumId="7" w15:restartNumberingAfterBreak="0">
    <w:nsid w:val="3D48433A"/>
    <w:multiLevelType w:val="multilevel"/>
    <w:tmpl w:val="168C5670"/>
    <w:lvl w:ilvl="0">
      <w:start w:val="1"/>
      <w:numFmt w:val="decimal"/>
      <w:suff w:val="space"/>
      <w:lvlText w:val="Table %1:"/>
      <w:lvlJc w:val="center"/>
      <w:pPr>
        <w:ind w:left="58" w:hanging="58"/>
      </w:pPr>
      <w:rPr>
        <w:rFonts w:ascii="Arial" w:hAnsi="Arial" w:cs="Arial" w:hint="default"/>
        <w:b/>
        <w:i w:val="0"/>
        <w:sz w:val="22"/>
        <w:szCs w:val="22"/>
        <w:vertAlign w:val="baseline"/>
      </w:rPr>
    </w:lvl>
    <w:lvl w:ilvl="1">
      <w:start w:val="1"/>
      <w:numFmt w:val="decimal"/>
      <w:lvlText w:val="Table %1.%2:"/>
      <w:lvlJc w:val="left"/>
      <w:pPr>
        <w:tabs>
          <w:tab w:val="num" w:pos="1836"/>
        </w:tabs>
        <w:ind w:left="1836" w:hanging="576"/>
      </w:pPr>
      <w:rPr>
        <w:rFonts w:hint="default"/>
        <w:sz w:val="18"/>
        <w:vertAlign w:val="baseline"/>
      </w:rPr>
    </w:lvl>
    <w:lvl w:ilvl="2">
      <w:start w:val="1"/>
      <w:numFmt w:val="decimal"/>
      <w:lvlRestart w:val="1"/>
      <w:pStyle w:val="TableHead"/>
      <w:lvlText w:val="Table %1.%2.%3"/>
      <w:lvlJc w:val="left"/>
      <w:pPr>
        <w:tabs>
          <w:tab w:val="num" w:pos="375"/>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50F34429"/>
    <w:multiLevelType w:val="hybridMultilevel"/>
    <w:tmpl w:val="31807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E18E4"/>
    <w:multiLevelType w:val="hybridMultilevel"/>
    <w:tmpl w:val="1C625B8C"/>
    <w:lvl w:ilvl="0" w:tplc="FFFFFFFF">
      <w:start w:val="1"/>
      <w:numFmt w:val="bullet"/>
      <w:lvlText w:val=""/>
      <w:legacy w:legacy="1" w:legacySpace="0" w:legacyIndent="360"/>
      <w:lvlJc w:val="left"/>
      <w:pPr>
        <w:ind w:left="42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1A464F"/>
    <w:multiLevelType w:val="hybridMultilevel"/>
    <w:tmpl w:val="2354C2F8"/>
    <w:lvl w:ilvl="0" w:tplc="8F067306">
      <w:start w:val="1"/>
      <w:numFmt w:val="bullet"/>
      <w:lvlText w:val=""/>
      <w:lvlJc w:val="left"/>
      <w:pPr>
        <w:tabs>
          <w:tab w:val="num" w:pos="0"/>
        </w:tabs>
        <w:ind w:left="4230" w:hanging="4230"/>
      </w:pPr>
      <w:rPr>
        <w:rFonts w:ascii="Symbol" w:hAnsi="Symbol" w:hint="default"/>
        <w:sz w:val="20"/>
        <w:szCs w:val="20"/>
      </w:rPr>
    </w:lvl>
    <w:lvl w:ilvl="1" w:tplc="04090003" w:tentative="1">
      <w:start w:val="1"/>
      <w:numFmt w:val="bullet"/>
      <w:lvlText w:val="o"/>
      <w:lvlJc w:val="left"/>
      <w:pPr>
        <w:tabs>
          <w:tab w:val="num" w:pos="5310"/>
        </w:tabs>
        <w:ind w:left="5310" w:hanging="360"/>
      </w:pPr>
      <w:rPr>
        <w:rFonts w:ascii="Courier New" w:hAnsi="Courier New" w:cs="Courier New" w:hint="default"/>
      </w:rPr>
    </w:lvl>
    <w:lvl w:ilvl="2" w:tplc="04090005" w:tentative="1">
      <w:start w:val="1"/>
      <w:numFmt w:val="bullet"/>
      <w:lvlText w:val=""/>
      <w:lvlJc w:val="left"/>
      <w:pPr>
        <w:tabs>
          <w:tab w:val="num" w:pos="6030"/>
        </w:tabs>
        <w:ind w:left="6030" w:hanging="360"/>
      </w:pPr>
      <w:rPr>
        <w:rFonts w:ascii="Wingdings" w:hAnsi="Wingdings" w:hint="default"/>
      </w:rPr>
    </w:lvl>
    <w:lvl w:ilvl="3" w:tplc="04090001" w:tentative="1">
      <w:start w:val="1"/>
      <w:numFmt w:val="bullet"/>
      <w:lvlText w:val=""/>
      <w:lvlJc w:val="left"/>
      <w:pPr>
        <w:tabs>
          <w:tab w:val="num" w:pos="6750"/>
        </w:tabs>
        <w:ind w:left="6750" w:hanging="360"/>
      </w:pPr>
      <w:rPr>
        <w:rFonts w:ascii="Symbol" w:hAnsi="Symbol" w:hint="default"/>
      </w:rPr>
    </w:lvl>
    <w:lvl w:ilvl="4" w:tplc="04090003" w:tentative="1">
      <w:start w:val="1"/>
      <w:numFmt w:val="bullet"/>
      <w:lvlText w:val="o"/>
      <w:lvlJc w:val="left"/>
      <w:pPr>
        <w:tabs>
          <w:tab w:val="num" w:pos="7470"/>
        </w:tabs>
        <w:ind w:left="7470" w:hanging="360"/>
      </w:pPr>
      <w:rPr>
        <w:rFonts w:ascii="Courier New" w:hAnsi="Courier New" w:cs="Courier New" w:hint="default"/>
      </w:rPr>
    </w:lvl>
    <w:lvl w:ilvl="5" w:tplc="04090005" w:tentative="1">
      <w:start w:val="1"/>
      <w:numFmt w:val="bullet"/>
      <w:lvlText w:val=""/>
      <w:lvlJc w:val="left"/>
      <w:pPr>
        <w:tabs>
          <w:tab w:val="num" w:pos="8190"/>
        </w:tabs>
        <w:ind w:left="8190" w:hanging="360"/>
      </w:pPr>
      <w:rPr>
        <w:rFonts w:ascii="Wingdings" w:hAnsi="Wingdings" w:hint="default"/>
      </w:rPr>
    </w:lvl>
    <w:lvl w:ilvl="6" w:tplc="04090001" w:tentative="1">
      <w:start w:val="1"/>
      <w:numFmt w:val="bullet"/>
      <w:lvlText w:val=""/>
      <w:lvlJc w:val="left"/>
      <w:pPr>
        <w:tabs>
          <w:tab w:val="num" w:pos="8910"/>
        </w:tabs>
        <w:ind w:left="8910" w:hanging="360"/>
      </w:pPr>
      <w:rPr>
        <w:rFonts w:ascii="Symbol" w:hAnsi="Symbol" w:hint="default"/>
      </w:rPr>
    </w:lvl>
    <w:lvl w:ilvl="7" w:tplc="04090003" w:tentative="1">
      <w:start w:val="1"/>
      <w:numFmt w:val="bullet"/>
      <w:lvlText w:val="o"/>
      <w:lvlJc w:val="left"/>
      <w:pPr>
        <w:tabs>
          <w:tab w:val="num" w:pos="9630"/>
        </w:tabs>
        <w:ind w:left="9630" w:hanging="360"/>
      </w:pPr>
      <w:rPr>
        <w:rFonts w:ascii="Courier New" w:hAnsi="Courier New" w:cs="Courier New" w:hint="default"/>
      </w:rPr>
    </w:lvl>
    <w:lvl w:ilvl="8" w:tplc="04090005" w:tentative="1">
      <w:start w:val="1"/>
      <w:numFmt w:val="bullet"/>
      <w:lvlText w:val=""/>
      <w:lvlJc w:val="left"/>
      <w:pPr>
        <w:tabs>
          <w:tab w:val="num" w:pos="10350"/>
        </w:tabs>
        <w:ind w:left="10350" w:hanging="360"/>
      </w:pPr>
      <w:rPr>
        <w:rFonts w:ascii="Wingdings" w:hAnsi="Wingdings" w:hint="default"/>
      </w:rPr>
    </w:lvl>
  </w:abstractNum>
  <w:abstractNum w:abstractNumId="11" w15:restartNumberingAfterBreak="0">
    <w:nsid w:val="5F7254F0"/>
    <w:multiLevelType w:val="hybridMultilevel"/>
    <w:tmpl w:val="804410E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2" w15:restartNumberingAfterBreak="0">
    <w:nsid w:val="61596ED3"/>
    <w:multiLevelType w:val="hybridMultilevel"/>
    <w:tmpl w:val="D0922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E866BB"/>
    <w:multiLevelType w:val="multilevel"/>
    <w:tmpl w:val="FBC68ED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026"/>
        </w:tabs>
        <w:ind w:left="1026" w:hanging="84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66E18D6"/>
    <w:multiLevelType w:val="hybridMultilevel"/>
    <w:tmpl w:val="00A40E7C"/>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450" w:hanging="360"/>
        </w:pPr>
        <w:rPr>
          <w:rFonts w:ascii="Symbol" w:hAnsi="Symbol" w:hint="default"/>
        </w:rPr>
      </w:lvl>
    </w:lvlOverride>
  </w:num>
  <w:num w:numId="2">
    <w:abstractNumId w:val="13"/>
  </w:num>
  <w:num w:numId="3">
    <w:abstractNumId w:val="7"/>
  </w:num>
  <w:num w:numId="4">
    <w:abstractNumId w:val="1"/>
  </w:num>
  <w:num w:numId="5">
    <w:abstractNumId w:val="5"/>
  </w:num>
  <w:num w:numId="6">
    <w:abstractNumId w:val="9"/>
  </w:num>
  <w:num w:numId="7">
    <w:abstractNumId w:val="10"/>
  </w:num>
  <w:num w:numId="8">
    <w:abstractNumId w:val="6"/>
  </w:num>
  <w:num w:numId="9">
    <w:abstractNumId w:val="0"/>
    <w:lvlOverride w:ilvl="0">
      <w:lvl w:ilvl="0">
        <w:start w:val="1"/>
        <w:numFmt w:val="bullet"/>
        <w:lvlText w:val=""/>
        <w:legacy w:legacy="1" w:legacySpace="0" w:legacyIndent="360"/>
        <w:lvlJc w:val="left"/>
        <w:pPr>
          <w:ind w:left="4230" w:hanging="360"/>
        </w:pPr>
        <w:rPr>
          <w:rFonts w:ascii="Symbol" w:hAnsi="Symbol" w:hint="default"/>
        </w:rPr>
      </w:lvl>
    </w:lvlOverride>
  </w:num>
  <w:num w:numId="10">
    <w:abstractNumId w:val="3"/>
  </w:num>
  <w:num w:numId="11">
    <w:abstractNumId w:val="2"/>
  </w:num>
  <w:num w:numId="12">
    <w:abstractNumId w:val="11"/>
  </w:num>
  <w:num w:numId="13">
    <w:abstractNumId w:val="14"/>
  </w:num>
  <w:num w:numId="14">
    <w:abstractNumId w:val="4"/>
  </w:num>
  <w:num w:numId="15">
    <w:abstractNumId w:val="8"/>
  </w:num>
  <w:num w:numId="16">
    <w:abstractNumId w:val="12"/>
  </w:num>
  <w:num w:numId="1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12993"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A65"/>
    <w:rsid w:val="00002D83"/>
    <w:rsid w:val="000045EA"/>
    <w:rsid w:val="00006587"/>
    <w:rsid w:val="0001099E"/>
    <w:rsid w:val="00012C95"/>
    <w:rsid w:val="00012E09"/>
    <w:rsid w:val="00012FA3"/>
    <w:rsid w:val="00014C9F"/>
    <w:rsid w:val="00015147"/>
    <w:rsid w:val="00016F0A"/>
    <w:rsid w:val="00020C55"/>
    <w:rsid w:val="0002140B"/>
    <w:rsid w:val="00021909"/>
    <w:rsid w:val="00022CDE"/>
    <w:rsid w:val="00027EEB"/>
    <w:rsid w:val="00030041"/>
    <w:rsid w:val="00030C81"/>
    <w:rsid w:val="00031CF6"/>
    <w:rsid w:val="000329C2"/>
    <w:rsid w:val="0003305A"/>
    <w:rsid w:val="00033927"/>
    <w:rsid w:val="00033D7B"/>
    <w:rsid w:val="00033EBD"/>
    <w:rsid w:val="000341E4"/>
    <w:rsid w:val="00034C4B"/>
    <w:rsid w:val="000366C8"/>
    <w:rsid w:val="000373A2"/>
    <w:rsid w:val="00040364"/>
    <w:rsid w:val="00040739"/>
    <w:rsid w:val="00043BC0"/>
    <w:rsid w:val="00044777"/>
    <w:rsid w:val="0004719E"/>
    <w:rsid w:val="00047219"/>
    <w:rsid w:val="000477A0"/>
    <w:rsid w:val="00050C3D"/>
    <w:rsid w:val="0005173F"/>
    <w:rsid w:val="00051A7A"/>
    <w:rsid w:val="00052006"/>
    <w:rsid w:val="000536CE"/>
    <w:rsid w:val="000537DD"/>
    <w:rsid w:val="0005664F"/>
    <w:rsid w:val="00056B49"/>
    <w:rsid w:val="00057F5E"/>
    <w:rsid w:val="00060EA2"/>
    <w:rsid w:val="00061E7D"/>
    <w:rsid w:val="00062EBE"/>
    <w:rsid w:val="0006385A"/>
    <w:rsid w:val="00063A38"/>
    <w:rsid w:val="0006478A"/>
    <w:rsid w:val="00065DE6"/>
    <w:rsid w:val="0006686B"/>
    <w:rsid w:val="00067302"/>
    <w:rsid w:val="00067486"/>
    <w:rsid w:val="000675A8"/>
    <w:rsid w:val="000675E7"/>
    <w:rsid w:val="00067808"/>
    <w:rsid w:val="00073247"/>
    <w:rsid w:val="00073645"/>
    <w:rsid w:val="000744E8"/>
    <w:rsid w:val="00074AF6"/>
    <w:rsid w:val="00074D0F"/>
    <w:rsid w:val="00075715"/>
    <w:rsid w:val="00080C35"/>
    <w:rsid w:val="0008153E"/>
    <w:rsid w:val="00082155"/>
    <w:rsid w:val="00082EDB"/>
    <w:rsid w:val="00083473"/>
    <w:rsid w:val="0008581A"/>
    <w:rsid w:val="00087586"/>
    <w:rsid w:val="0008790E"/>
    <w:rsid w:val="00090BE0"/>
    <w:rsid w:val="00090CA5"/>
    <w:rsid w:val="0009108F"/>
    <w:rsid w:val="00091D35"/>
    <w:rsid w:val="00092609"/>
    <w:rsid w:val="000932AE"/>
    <w:rsid w:val="000946C9"/>
    <w:rsid w:val="00094FCD"/>
    <w:rsid w:val="000969C4"/>
    <w:rsid w:val="00096B4B"/>
    <w:rsid w:val="000A072B"/>
    <w:rsid w:val="000A0D62"/>
    <w:rsid w:val="000A14A1"/>
    <w:rsid w:val="000A190D"/>
    <w:rsid w:val="000A1D81"/>
    <w:rsid w:val="000A230C"/>
    <w:rsid w:val="000A4463"/>
    <w:rsid w:val="000A4FFB"/>
    <w:rsid w:val="000A51F1"/>
    <w:rsid w:val="000A7DCC"/>
    <w:rsid w:val="000B218B"/>
    <w:rsid w:val="000B28ED"/>
    <w:rsid w:val="000B291A"/>
    <w:rsid w:val="000B3E4B"/>
    <w:rsid w:val="000B4669"/>
    <w:rsid w:val="000B7054"/>
    <w:rsid w:val="000B78E3"/>
    <w:rsid w:val="000B7B96"/>
    <w:rsid w:val="000C0322"/>
    <w:rsid w:val="000C0597"/>
    <w:rsid w:val="000C0B81"/>
    <w:rsid w:val="000C0EB6"/>
    <w:rsid w:val="000C25B7"/>
    <w:rsid w:val="000C3892"/>
    <w:rsid w:val="000C3F5B"/>
    <w:rsid w:val="000C409B"/>
    <w:rsid w:val="000C47AA"/>
    <w:rsid w:val="000C788E"/>
    <w:rsid w:val="000C78C6"/>
    <w:rsid w:val="000C7B03"/>
    <w:rsid w:val="000D0C7F"/>
    <w:rsid w:val="000D26C8"/>
    <w:rsid w:val="000D36B0"/>
    <w:rsid w:val="000D3C9B"/>
    <w:rsid w:val="000D3F21"/>
    <w:rsid w:val="000D425C"/>
    <w:rsid w:val="000D4790"/>
    <w:rsid w:val="000D5B7C"/>
    <w:rsid w:val="000E1754"/>
    <w:rsid w:val="000E289A"/>
    <w:rsid w:val="000E5233"/>
    <w:rsid w:val="000F0FF7"/>
    <w:rsid w:val="000F2273"/>
    <w:rsid w:val="000F487A"/>
    <w:rsid w:val="000F52CB"/>
    <w:rsid w:val="000F6693"/>
    <w:rsid w:val="000F6E43"/>
    <w:rsid w:val="000F76AB"/>
    <w:rsid w:val="000F77C7"/>
    <w:rsid w:val="000F7CD7"/>
    <w:rsid w:val="00100081"/>
    <w:rsid w:val="0010121A"/>
    <w:rsid w:val="00102474"/>
    <w:rsid w:val="00102A25"/>
    <w:rsid w:val="00104601"/>
    <w:rsid w:val="001064F0"/>
    <w:rsid w:val="00106D86"/>
    <w:rsid w:val="00110114"/>
    <w:rsid w:val="0011275D"/>
    <w:rsid w:val="00112ABB"/>
    <w:rsid w:val="001134A7"/>
    <w:rsid w:val="00113D41"/>
    <w:rsid w:val="00113F46"/>
    <w:rsid w:val="00114D5A"/>
    <w:rsid w:val="001156ED"/>
    <w:rsid w:val="00115D93"/>
    <w:rsid w:val="00115E07"/>
    <w:rsid w:val="0011630A"/>
    <w:rsid w:val="001168E2"/>
    <w:rsid w:val="00117F79"/>
    <w:rsid w:val="00120362"/>
    <w:rsid w:val="00124902"/>
    <w:rsid w:val="00124BE6"/>
    <w:rsid w:val="001252C0"/>
    <w:rsid w:val="0012544D"/>
    <w:rsid w:val="0012628F"/>
    <w:rsid w:val="0012658A"/>
    <w:rsid w:val="00126C22"/>
    <w:rsid w:val="00126E6E"/>
    <w:rsid w:val="00127878"/>
    <w:rsid w:val="00130405"/>
    <w:rsid w:val="00130CA6"/>
    <w:rsid w:val="00134659"/>
    <w:rsid w:val="00136E62"/>
    <w:rsid w:val="0013746F"/>
    <w:rsid w:val="00137AF7"/>
    <w:rsid w:val="00137BED"/>
    <w:rsid w:val="0014047A"/>
    <w:rsid w:val="00140F7E"/>
    <w:rsid w:val="0014141D"/>
    <w:rsid w:val="00143B48"/>
    <w:rsid w:val="001443E3"/>
    <w:rsid w:val="00145A75"/>
    <w:rsid w:val="00145A8F"/>
    <w:rsid w:val="00145CC6"/>
    <w:rsid w:val="00145E47"/>
    <w:rsid w:val="0014727E"/>
    <w:rsid w:val="00147F1C"/>
    <w:rsid w:val="00150640"/>
    <w:rsid w:val="001513EC"/>
    <w:rsid w:val="0015410F"/>
    <w:rsid w:val="0015567D"/>
    <w:rsid w:val="00155C81"/>
    <w:rsid w:val="0015609F"/>
    <w:rsid w:val="001560AD"/>
    <w:rsid w:val="00156385"/>
    <w:rsid w:val="00156999"/>
    <w:rsid w:val="0016655A"/>
    <w:rsid w:val="00166921"/>
    <w:rsid w:val="001670C3"/>
    <w:rsid w:val="001679F0"/>
    <w:rsid w:val="00170DCF"/>
    <w:rsid w:val="0017119D"/>
    <w:rsid w:val="001715DC"/>
    <w:rsid w:val="00171791"/>
    <w:rsid w:val="00171E35"/>
    <w:rsid w:val="001725B6"/>
    <w:rsid w:val="00172DE8"/>
    <w:rsid w:val="00173D76"/>
    <w:rsid w:val="00177105"/>
    <w:rsid w:val="00177631"/>
    <w:rsid w:val="00177760"/>
    <w:rsid w:val="00180779"/>
    <w:rsid w:val="001813EC"/>
    <w:rsid w:val="00181783"/>
    <w:rsid w:val="00181F57"/>
    <w:rsid w:val="001826C7"/>
    <w:rsid w:val="0018395B"/>
    <w:rsid w:val="00186AD7"/>
    <w:rsid w:val="00187CF1"/>
    <w:rsid w:val="00190844"/>
    <w:rsid w:val="00191556"/>
    <w:rsid w:val="00191A5B"/>
    <w:rsid w:val="00191D8D"/>
    <w:rsid w:val="001933AB"/>
    <w:rsid w:val="00193A59"/>
    <w:rsid w:val="001964F9"/>
    <w:rsid w:val="00197B29"/>
    <w:rsid w:val="001A2DF2"/>
    <w:rsid w:val="001A4994"/>
    <w:rsid w:val="001A4D3D"/>
    <w:rsid w:val="001A5088"/>
    <w:rsid w:val="001A6DD7"/>
    <w:rsid w:val="001A73E0"/>
    <w:rsid w:val="001A79E3"/>
    <w:rsid w:val="001A7AB9"/>
    <w:rsid w:val="001B1B5C"/>
    <w:rsid w:val="001B1C7D"/>
    <w:rsid w:val="001B3511"/>
    <w:rsid w:val="001B36D7"/>
    <w:rsid w:val="001B382F"/>
    <w:rsid w:val="001B43EC"/>
    <w:rsid w:val="001B5E91"/>
    <w:rsid w:val="001B629E"/>
    <w:rsid w:val="001B6630"/>
    <w:rsid w:val="001B6775"/>
    <w:rsid w:val="001B7053"/>
    <w:rsid w:val="001B7925"/>
    <w:rsid w:val="001C09F2"/>
    <w:rsid w:val="001C1035"/>
    <w:rsid w:val="001C213E"/>
    <w:rsid w:val="001C2E20"/>
    <w:rsid w:val="001C5C92"/>
    <w:rsid w:val="001C640A"/>
    <w:rsid w:val="001D02F3"/>
    <w:rsid w:val="001D036F"/>
    <w:rsid w:val="001D0874"/>
    <w:rsid w:val="001D3682"/>
    <w:rsid w:val="001D37AD"/>
    <w:rsid w:val="001D4634"/>
    <w:rsid w:val="001D5661"/>
    <w:rsid w:val="001E1564"/>
    <w:rsid w:val="001E179A"/>
    <w:rsid w:val="001E1D24"/>
    <w:rsid w:val="001E2F70"/>
    <w:rsid w:val="001E4272"/>
    <w:rsid w:val="001E467A"/>
    <w:rsid w:val="001E46F8"/>
    <w:rsid w:val="001E50E3"/>
    <w:rsid w:val="001E5240"/>
    <w:rsid w:val="001E6669"/>
    <w:rsid w:val="001E7DB6"/>
    <w:rsid w:val="001F0631"/>
    <w:rsid w:val="001F107F"/>
    <w:rsid w:val="001F1EDA"/>
    <w:rsid w:val="001F1FD8"/>
    <w:rsid w:val="001F205F"/>
    <w:rsid w:val="001F3B85"/>
    <w:rsid w:val="001F4011"/>
    <w:rsid w:val="001F64CA"/>
    <w:rsid w:val="001F6AEF"/>
    <w:rsid w:val="001F7976"/>
    <w:rsid w:val="002002B0"/>
    <w:rsid w:val="002007BD"/>
    <w:rsid w:val="00201925"/>
    <w:rsid w:val="00201A67"/>
    <w:rsid w:val="00201EEA"/>
    <w:rsid w:val="002025DA"/>
    <w:rsid w:val="002041A0"/>
    <w:rsid w:val="00204CC5"/>
    <w:rsid w:val="002051D6"/>
    <w:rsid w:val="00205A52"/>
    <w:rsid w:val="00205C92"/>
    <w:rsid w:val="002061AA"/>
    <w:rsid w:val="00206CB2"/>
    <w:rsid w:val="00210987"/>
    <w:rsid w:val="002115E9"/>
    <w:rsid w:val="00211941"/>
    <w:rsid w:val="00211CDD"/>
    <w:rsid w:val="00211F3D"/>
    <w:rsid w:val="002128BA"/>
    <w:rsid w:val="00212A26"/>
    <w:rsid w:val="00215232"/>
    <w:rsid w:val="00216718"/>
    <w:rsid w:val="00220C0B"/>
    <w:rsid w:val="002229C1"/>
    <w:rsid w:val="00223961"/>
    <w:rsid w:val="00224F4F"/>
    <w:rsid w:val="00225DF5"/>
    <w:rsid w:val="00225F61"/>
    <w:rsid w:val="00227CFF"/>
    <w:rsid w:val="00230048"/>
    <w:rsid w:val="00230C93"/>
    <w:rsid w:val="00233639"/>
    <w:rsid w:val="00234D5A"/>
    <w:rsid w:val="002356B3"/>
    <w:rsid w:val="00236679"/>
    <w:rsid w:val="00236F29"/>
    <w:rsid w:val="0024115A"/>
    <w:rsid w:val="002412D7"/>
    <w:rsid w:val="00241F6C"/>
    <w:rsid w:val="00242E7D"/>
    <w:rsid w:val="002432EA"/>
    <w:rsid w:val="00243513"/>
    <w:rsid w:val="00243DCD"/>
    <w:rsid w:val="002448EC"/>
    <w:rsid w:val="002464F3"/>
    <w:rsid w:val="00246B71"/>
    <w:rsid w:val="0024700E"/>
    <w:rsid w:val="002502C2"/>
    <w:rsid w:val="00252C32"/>
    <w:rsid w:val="00254006"/>
    <w:rsid w:val="0025413D"/>
    <w:rsid w:val="002571D6"/>
    <w:rsid w:val="0025773C"/>
    <w:rsid w:val="002579D0"/>
    <w:rsid w:val="00257A30"/>
    <w:rsid w:val="00261B37"/>
    <w:rsid w:val="00264738"/>
    <w:rsid w:val="00264925"/>
    <w:rsid w:val="002659D3"/>
    <w:rsid w:val="0026718A"/>
    <w:rsid w:val="00267684"/>
    <w:rsid w:val="002702C2"/>
    <w:rsid w:val="00270C50"/>
    <w:rsid w:val="00271926"/>
    <w:rsid w:val="002727FA"/>
    <w:rsid w:val="00272835"/>
    <w:rsid w:val="0027526D"/>
    <w:rsid w:val="00276C62"/>
    <w:rsid w:val="0027713C"/>
    <w:rsid w:val="00280680"/>
    <w:rsid w:val="00282EB2"/>
    <w:rsid w:val="002837E2"/>
    <w:rsid w:val="00283B24"/>
    <w:rsid w:val="002848A0"/>
    <w:rsid w:val="002849C5"/>
    <w:rsid w:val="00284EBA"/>
    <w:rsid w:val="00287C86"/>
    <w:rsid w:val="002911DB"/>
    <w:rsid w:val="00291D36"/>
    <w:rsid w:val="002936EE"/>
    <w:rsid w:val="00293B32"/>
    <w:rsid w:val="00294320"/>
    <w:rsid w:val="00296C94"/>
    <w:rsid w:val="002A00B7"/>
    <w:rsid w:val="002A0E86"/>
    <w:rsid w:val="002A1600"/>
    <w:rsid w:val="002A2937"/>
    <w:rsid w:val="002A455A"/>
    <w:rsid w:val="002A7906"/>
    <w:rsid w:val="002B00CE"/>
    <w:rsid w:val="002B0DDF"/>
    <w:rsid w:val="002B138A"/>
    <w:rsid w:val="002B1B1C"/>
    <w:rsid w:val="002B2718"/>
    <w:rsid w:val="002B6303"/>
    <w:rsid w:val="002B79A4"/>
    <w:rsid w:val="002B7F59"/>
    <w:rsid w:val="002C1566"/>
    <w:rsid w:val="002C159A"/>
    <w:rsid w:val="002C294F"/>
    <w:rsid w:val="002C4917"/>
    <w:rsid w:val="002C61C9"/>
    <w:rsid w:val="002D007F"/>
    <w:rsid w:val="002D1DA0"/>
    <w:rsid w:val="002D2E44"/>
    <w:rsid w:val="002D343C"/>
    <w:rsid w:val="002D3743"/>
    <w:rsid w:val="002D3D0D"/>
    <w:rsid w:val="002D4664"/>
    <w:rsid w:val="002D4678"/>
    <w:rsid w:val="002D4D91"/>
    <w:rsid w:val="002D4F1A"/>
    <w:rsid w:val="002D5FF7"/>
    <w:rsid w:val="002D7ADB"/>
    <w:rsid w:val="002E4364"/>
    <w:rsid w:val="002F02D4"/>
    <w:rsid w:val="002F0E00"/>
    <w:rsid w:val="002F1471"/>
    <w:rsid w:val="002F15A7"/>
    <w:rsid w:val="002F1FFA"/>
    <w:rsid w:val="002F2D2D"/>
    <w:rsid w:val="002F37DF"/>
    <w:rsid w:val="002F7AEE"/>
    <w:rsid w:val="00300332"/>
    <w:rsid w:val="00300B49"/>
    <w:rsid w:val="00300F53"/>
    <w:rsid w:val="003011B3"/>
    <w:rsid w:val="00305869"/>
    <w:rsid w:val="00307F2D"/>
    <w:rsid w:val="00310124"/>
    <w:rsid w:val="00310575"/>
    <w:rsid w:val="00311F5D"/>
    <w:rsid w:val="003152E1"/>
    <w:rsid w:val="00315CA0"/>
    <w:rsid w:val="00320135"/>
    <w:rsid w:val="00321500"/>
    <w:rsid w:val="00321BB9"/>
    <w:rsid w:val="003220AE"/>
    <w:rsid w:val="0032230C"/>
    <w:rsid w:val="00323441"/>
    <w:rsid w:val="00325B22"/>
    <w:rsid w:val="00326758"/>
    <w:rsid w:val="00330562"/>
    <w:rsid w:val="003310E1"/>
    <w:rsid w:val="00334251"/>
    <w:rsid w:val="0033665F"/>
    <w:rsid w:val="0033779F"/>
    <w:rsid w:val="003402C8"/>
    <w:rsid w:val="003402E2"/>
    <w:rsid w:val="00341AED"/>
    <w:rsid w:val="00342612"/>
    <w:rsid w:val="00343346"/>
    <w:rsid w:val="00344561"/>
    <w:rsid w:val="0034521D"/>
    <w:rsid w:val="0034524E"/>
    <w:rsid w:val="00345B3C"/>
    <w:rsid w:val="00346869"/>
    <w:rsid w:val="00347010"/>
    <w:rsid w:val="0034723E"/>
    <w:rsid w:val="0035057F"/>
    <w:rsid w:val="0035108E"/>
    <w:rsid w:val="00352AE2"/>
    <w:rsid w:val="00355E3E"/>
    <w:rsid w:val="00357250"/>
    <w:rsid w:val="00357D84"/>
    <w:rsid w:val="00360105"/>
    <w:rsid w:val="00360117"/>
    <w:rsid w:val="00361370"/>
    <w:rsid w:val="00361589"/>
    <w:rsid w:val="00361748"/>
    <w:rsid w:val="00361DE5"/>
    <w:rsid w:val="00361F47"/>
    <w:rsid w:val="00362B36"/>
    <w:rsid w:val="00363E26"/>
    <w:rsid w:val="0036561D"/>
    <w:rsid w:val="00366ACE"/>
    <w:rsid w:val="00370C7B"/>
    <w:rsid w:val="00373EB2"/>
    <w:rsid w:val="00375012"/>
    <w:rsid w:val="00375293"/>
    <w:rsid w:val="00381B7F"/>
    <w:rsid w:val="003824B6"/>
    <w:rsid w:val="003834B1"/>
    <w:rsid w:val="003852AB"/>
    <w:rsid w:val="003869BE"/>
    <w:rsid w:val="00386B50"/>
    <w:rsid w:val="00386E71"/>
    <w:rsid w:val="00386E9A"/>
    <w:rsid w:val="0039235B"/>
    <w:rsid w:val="003925BA"/>
    <w:rsid w:val="003933FF"/>
    <w:rsid w:val="00393F30"/>
    <w:rsid w:val="003946AD"/>
    <w:rsid w:val="00394829"/>
    <w:rsid w:val="00394B9F"/>
    <w:rsid w:val="0039542F"/>
    <w:rsid w:val="00397DA6"/>
    <w:rsid w:val="003A0295"/>
    <w:rsid w:val="003A02AF"/>
    <w:rsid w:val="003A1672"/>
    <w:rsid w:val="003A2087"/>
    <w:rsid w:val="003A2839"/>
    <w:rsid w:val="003A5770"/>
    <w:rsid w:val="003A68D7"/>
    <w:rsid w:val="003A68DC"/>
    <w:rsid w:val="003B362F"/>
    <w:rsid w:val="003B4C09"/>
    <w:rsid w:val="003B6312"/>
    <w:rsid w:val="003B66DB"/>
    <w:rsid w:val="003B6868"/>
    <w:rsid w:val="003B6DAB"/>
    <w:rsid w:val="003C0416"/>
    <w:rsid w:val="003C2748"/>
    <w:rsid w:val="003C300D"/>
    <w:rsid w:val="003C3839"/>
    <w:rsid w:val="003C4EAA"/>
    <w:rsid w:val="003C6117"/>
    <w:rsid w:val="003C634A"/>
    <w:rsid w:val="003C7983"/>
    <w:rsid w:val="003D08C7"/>
    <w:rsid w:val="003D276E"/>
    <w:rsid w:val="003D4173"/>
    <w:rsid w:val="003D47A6"/>
    <w:rsid w:val="003D60BD"/>
    <w:rsid w:val="003D755F"/>
    <w:rsid w:val="003D7E6A"/>
    <w:rsid w:val="003E17DB"/>
    <w:rsid w:val="003E1A53"/>
    <w:rsid w:val="003E288C"/>
    <w:rsid w:val="003E2EE9"/>
    <w:rsid w:val="003E3B38"/>
    <w:rsid w:val="003E4DF5"/>
    <w:rsid w:val="003E59CF"/>
    <w:rsid w:val="003E5DBE"/>
    <w:rsid w:val="003E7A0B"/>
    <w:rsid w:val="003E7B28"/>
    <w:rsid w:val="003F0E4A"/>
    <w:rsid w:val="003F1520"/>
    <w:rsid w:val="003F1B4D"/>
    <w:rsid w:val="003F20DB"/>
    <w:rsid w:val="003F2B78"/>
    <w:rsid w:val="003F600D"/>
    <w:rsid w:val="00400492"/>
    <w:rsid w:val="00400928"/>
    <w:rsid w:val="004022CF"/>
    <w:rsid w:val="00402704"/>
    <w:rsid w:val="00402761"/>
    <w:rsid w:val="00403EED"/>
    <w:rsid w:val="00403F3E"/>
    <w:rsid w:val="00405026"/>
    <w:rsid w:val="00406D23"/>
    <w:rsid w:val="004115D8"/>
    <w:rsid w:val="00411A3C"/>
    <w:rsid w:val="004122A0"/>
    <w:rsid w:val="004145C4"/>
    <w:rsid w:val="00414607"/>
    <w:rsid w:val="00417AAE"/>
    <w:rsid w:val="00417D6E"/>
    <w:rsid w:val="004238A6"/>
    <w:rsid w:val="00424E34"/>
    <w:rsid w:val="00434E55"/>
    <w:rsid w:val="00435F0F"/>
    <w:rsid w:val="0043667A"/>
    <w:rsid w:val="00437168"/>
    <w:rsid w:val="0044018D"/>
    <w:rsid w:val="00440F35"/>
    <w:rsid w:val="00442067"/>
    <w:rsid w:val="00443F16"/>
    <w:rsid w:val="00444227"/>
    <w:rsid w:val="00444E6F"/>
    <w:rsid w:val="0044659B"/>
    <w:rsid w:val="004466D6"/>
    <w:rsid w:val="00446C03"/>
    <w:rsid w:val="004506B7"/>
    <w:rsid w:val="004514BE"/>
    <w:rsid w:val="004521B8"/>
    <w:rsid w:val="00452334"/>
    <w:rsid w:val="00453D55"/>
    <w:rsid w:val="00454B52"/>
    <w:rsid w:val="004609AE"/>
    <w:rsid w:val="0046215A"/>
    <w:rsid w:val="00462D7A"/>
    <w:rsid w:val="00462F8A"/>
    <w:rsid w:val="0046368B"/>
    <w:rsid w:val="004638C8"/>
    <w:rsid w:val="00463968"/>
    <w:rsid w:val="00465B6F"/>
    <w:rsid w:val="00466EF0"/>
    <w:rsid w:val="00471863"/>
    <w:rsid w:val="00473F07"/>
    <w:rsid w:val="00474010"/>
    <w:rsid w:val="00474931"/>
    <w:rsid w:val="00474F80"/>
    <w:rsid w:val="00474FE6"/>
    <w:rsid w:val="004754C7"/>
    <w:rsid w:val="0048044A"/>
    <w:rsid w:val="004807CD"/>
    <w:rsid w:val="004820EC"/>
    <w:rsid w:val="004839F3"/>
    <w:rsid w:val="00484C39"/>
    <w:rsid w:val="004878AB"/>
    <w:rsid w:val="004879EC"/>
    <w:rsid w:val="00491E6E"/>
    <w:rsid w:val="00491F45"/>
    <w:rsid w:val="00492DB0"/>
    <w:rsid w:val="00493114"/>
    <w:rsid w:val="00497678"/>
    <w:rsid w:val="004A1CDB"/>
    <w:rsid w:val="004A3DC2"/>
    <w:rsid w:val="004A4DA2"/>
    <w:rsid w:val="004B09CB"/>
    <w:rsid w:val="004B0AC5"/>
    <w:rsid w:val="004B0CCC"/>
    <w:rsid w:val="004B0E94"/>
    <w:rsid w:val="004B309D"/>
    <w:rsid w:val="004C08B4"/>
    <w:rsid w:val="004C3199"/>
    <w:rsid w:val="004C382C"/>
    <w:rsid w:val="004C44E2"/>
    <w:rsid w:val="004C4FA9"/>
    <w:rsid w:val="004C520F"/>
    <w:rsid w:val="004C5DED"/>
    <w:rsid w:val="004C6124"/>
    <w:rsid w:val="004C6774"/>
    <w:rsid w:val="004D0992"/>
    <w:rsid w:val="004D19FF"/>
    <w:rsid w:val="004D22E2"/>
    <w:rsid w:val="004D461D"/>
    <w:rsid w:val="004D47BA"/>
    <w:rsid w:val="004D5471"/>
    <w:rsid w:val="004D69A4"/>
    <w:rsid w:val="004D6F98"/>
    <w:rsid w:val="004D7143"/>
    <w:rsid w:val="004D730F"/>
    <w:rsid w:val="004D73BD"/>
    <w:rsid w:val="004D7FB1"/>
    <w:rsid w:val="004E1C69"/>
    <w:rsid w:val="004E2036"/>
    <w:rsid w:val="004E2ED0"/>
    <w:rsid w:val="004E4286"/>
    <w:rsid w:val="004E44B2"/>
    <w:rsid w:val="004E494B"/>
    <w:rsid w:val="004E52C3"/>
    <w:rsid w:val="004E6215"/>
    <w:rsid w:val="004E764D"/>
    <w:rsid w:val="004E77D1"/>
    <w:rsid w:val="004F010E"/>
    <w:rsid w:val="004F07DE"/>
    <w:rsid w:val="004F0C47"/>
    <w:rsid w:val="004F1044"/>
    <w:rsid w:val="004F106B"/>
    <w:rsid w:val="004F23DA"/>
    <w:rsid w:val="004F2CBE"/>
    <w:rsid w:val="004F3CF2"/>
    <w:rsid w:val="004F44F8"/>
    <w:rsid w:val="004F6787"/>
    <w:rsid w:val="004F67E0"/>
    <w:rsid w:val="004F6CBC"/>
    <w:rsid w:val="0050027A"/>
    <w:rsid w:val="005002F9"/>
    <w:rsid w:val="00500860"/>
    <w:rsid w:val="00501DBF"/>
    <w:rsid w:val="00502674"/>
    <w:rsid w:val="00502BC2"/>
    <w:rsid w:val="00504DB1"/>
    <w:rsid w:val="0050545C"/>
    <w:rsid w:val="00505582"/>
    <w:rsid w:val="0050600B"/>
    <w:rsid w:val="00507984"/>
    <w:rsid w:val="00510FDE"/>
    <w:rsid w:val="005114AD"/>
    <w:rsid w:val="005124FB"/>
    <w:rsid w:val="0051493A"/>
    <w:rsid w:val="00516D10"/>
    <w:rsid w:val="00520CE7"/>
    <w:rsid w:val="005216D4"/>
    <w:rsid w:val="00521C25"/>
    <w:rsid w:val="0052275B"/>
    <w:rsid w:val="00522ADC"/>
    <w:rsid w:val="00523D4F"/>
    <w:rsid w:val="00526492"/>
    <w:rsid w:val="00527020"/>
    <w:rsid w:val="00527572"/>
    <w:rsid w:val="00530C7B"/>
    <w:rsid w:val="00531352"/>
    <w:rsid w:val="00531E16"/>
    <w:rsid w:val="00532D28"/>
    <w:rsid w:val="00532E68"/>
    <w:rsid w:val="005340C4"/>
    <w:rsid w:val="00534A1B"/>
    <w:rsid w:val="005359E2"/>
    <w:rsid w:val="00535A9E"/>
    <w:rsid w:val="00536A43"/>
    <w:rsid w:val="0053788C"/>
    <w:rsid w:val="00540391"/>
    <w:rsid w:val="00540541"/>
    <w:rsid w:val="0054054A"/>
    <w:rsid w:val="00540E54"/>
    <w:rsid w:val="00540E9B"/>
    <w:rsid w:val="00542673"/>
    <w:rsid w:val="00542E16"/>
    <w:rsid w:val="00544181"/>
    <w:rsid w:val="00544302"/>
    <w:rsid w:val="00545CCF"/>
    <w:rsid w:val="00547FA5"/>
    <w:rsid w:val="005510A4"/>
    <w:rsid w:val="00551BDD"/>
    <w:rsid w:val="005529F5"/>
    <w:rsid w:val="00552A72"/>
    <w:rsid w:val="00552FA8"/>
    <w:rsid w:val="005540C9"/>
    <w:rsid w:val="00554660"/>
    <w:rsid w:val="005550C5"/>
    <w:rsid w:val="00556B07"/>
    <w:rsid w:val="00556C41"/>
    <w:rsid w:val="00561E13"/>
    <w:rsid w:val="00563F1E"/>
    <w:rsid w:val="0056559B"/>
    <w:rsid w:val="00566635"/>
    <w:rsid w:val="00566CEB"/>
    <w:rsid w:val="00567400"/>
    <w:rsid w:val="0057101C"/>
    <w:rsid w:val="005744C1"/>
    <w:rsid w:val="005749A8"/>
    <w:rsid w:val="00577243"/>
    <w:rsid w:val="00577651"/>
    <w:rsid w:val="00577897"/>
    <w:rsid w:val="0057799C"/>
    <w:rsid w:val="00581B87"/>
    <w:rsid w:val="00583374"/>
    <w:rsid w:val="00583997"/>
    <w:rsid w:val="0058478A"/>
    <w:rsid w:val="005851EE"/>
    <w:rsid w:val="005904B8"/>
    <w:rsid w:val="00590741"/>
    <w:rsid w:val="00593614"/>
    <w:rsid w:val="00594422"/>
    <w:rsid w:val="00595E32"/>
    <w:rsid w:val="005973F3"/>
    <w:rsid w:val="005976DE"/>
    <w:rsid w:val="00597C73"/>
    <w:rsid w:val="00597D52"/>
    <w:rsid w:val="00597FE4"/>
    <w:rsid w:val="005A01DA"/>
    <w:rsid w:val="005A2B8F"/>
    <w:rsid w:val="005A4B6D"/>
    <w:rsid w:val="005A6F11"/>
    <w:rsid w:val="005A73D1"/>
    <w:rsid w:val="005A78DE"/>
    <w:rsid w:val="005B0579"/>
    <w:rsid w:val="005B10BB"/>
    <w:rsid w:val="005B38CA"/>
    <w:rsid w:val="005B564A"/>
    <w:rsid w:val="005B6824"/>
    <w:rsid w:val="005B72A0"/>
    <w:rsid w:val="005B76F9"/>
    <w:rsid w:val="005B7923"/>
    <w:rsid w:val="005B7933"/>
    <w:rsid w:val="005C0747"/>
    <w:rsid w:val="005C3976"/>
    <w:rsid w:val="005C3DD6"/>
    <w:rsid w:val="005C427C"/>
    <w:rsid w:val="005C715C"/>
    <w:rsid w:val="005C7817"/>
    <w:rsid w:val="005D2FB1"/>
    <w:rsid w:val="005D4550"/>
    <w:rsid w:val="005D48B3"/>
    <w:rsid w:val="005D4B90"/>
    <w:rsid w:val="005D666B"/>
    <w:rsid w:val="005E1313"/>
    <w:rsid w:val="005E2186"/>
    <w:rsid w:val="005E26F7"/>
    <w:rsid w:val="005E2B46"/>
    <w:rsid w:val="005E3096"/>
    <w:rsid w:val="005E30DE"/>
    <w:rsid w:val="005E6DBB"/>
    <w:rsid w:val="005F0394"/>
    <w:rsid w:val="005F03B6"/>
    <w:rsid w:val="005F0D03"/>
    <w:rsid w:val="005F2BF5"/>
    <w:rsid w:val="005F6830"/>
    <w:rsid w:val="005F7174"/>
    <w:rsid w:val="006027A5"/>
    <w:rsid w:val="006029CD"/>
    <w:rsid w:val="00603573"/>
    <w:rsid w:val="00605131"/>
    <w:rsid w:val="00605256"/>
    <w:rsid w:val="006053DA"/>
    <w:rsid w:val="006060C5"/>
    <w:rsid w:val="0060621A"/>
    <w:rsid w:val="0060790C"/>
    <w:rsid w:val="00612239"/>
    <w:rsid w:val="006122A3"/>
    <w:rsid w:val="006129CD"/>
    <w:rsid w:val="0061314B"/>
    <w:rsid w:val="00615207"/>
    <w:rsid w:val="0061534E"/>
    <w:rsid w:val="00615BDF"/>
    <w:rsid w:val="00616C08"/>
    <w:rsid w:val="006202F3"/>
    <w:rsid w:val="0062193F"/>
    <w:rsid w:val="00621B46"/>
    <w:rsid w:val="00623A77"/>
    <w:rsid w:val="00624DAE"/>
    <w:rsid w:val="006253A1"/>
    <w:rsid w:val="00626C7D"/>
    <w:rsid w:val="006274C6"/>
    <w:rsid w:val="006274E9"/>
    <w:rsid w:val="00630858"/>
    <w:rsid w:val="006312CA"/>
    <w:rsid w:val="00633CDF"/>
    <w:rsid w:val="00634620"/>
    <w:rsid w:val="00634809"/>
    <w:rsid w:val="00635981"/>
    <w:rsid w:val="006368DB"/>
    <w:rsid w:val="00636BD8"/>
    <w:rsid w:val="00640D93"/>
    <w:rsid w:val="006418A6"/>
    <w:rsid w:val="00644118"/>
    <w:rsid w:val="00644458"/>
    <w:rsid w:val="0064581F"/>
    <w:rsid w:val="00647090"/>
    <w:rsid w:val="006533F6"/>
    <w:rsid w:val="00653B38"/>
    <w:rsid w:val="00655203"/>
    <w:rsid w:val="00656512"/>
    <w:rsid w:val="00657548"/>
    <w:rsid w:val="0066067E"/>
    <w:rsid w:val="00660890"/>
    <w:rsid w:val="00660B38"/>
    <w:rsid w:val="006628A7"/>
    <w:rsid w:val="0066362E"/>
    <w:rsid w:val="0066372A"/>
    <w:rsid w:val="006649CB"/>
    <w:rsid w:val="00664EDF"/>
    <w:rsid w:val="00665065"/>
    <w:rsid w:val="006762CA"/>
    <w:rsid w:val="00677057"/>
    <w:rsid w:val="00677700"/>
    <w:rsid w:val="00677BB0"/>
    <w:rsid w:val="00682E4A"/>
    <w:rsid w:val="00682F26"/>
    <w:rsid w:val="006835D8"/>
    <w:rsid w:val="00685D71"/>
    <w:rsid w:val="00685EC3"/>
    <w:rsid w:val="0069107B"/>
    <w:rsid w:val="00692166"/>
    <w:rsid w:val="00693F9A"/>
    <w:rsid w:val="006946E6"/>
    <w:rsid w:val="006957A2"/>
    <w:rsid w:val="0069612F"/>
    <w:rsid w:val="0069773D"/>
    <w:rsid w:val="006A1740"/>
    <w:rsid w:val="006A210D"/>
    <w:rsid w:val="006A2996"/>
    <w:rsid w:val="006A2CD1"/>
    <w:rsid w:val="006A362A"/>
    <w:rsid w:val="006A3EAB"/>
    <w:rsid w:val="006A593F"/>
    <w:rsid w:val="006A62B1"/>
    <w:rsid w:val="006B0A22"/>
    <w:rsid w:val="006B192E"/>
    <w:rsid w:val="006B1C98"/>
    <w:rsid w:val="006B281F"/>
    <w:rsid w:val="006B3D5C"/>
    <w:rsid w:val="006B6A61"/>
    <w:rsid w:val="006C18A4"/>
    <w:rsid w:val="006C1D70"/>
    <w:rsid w:val="006C2C52"/>
    <w:rsid w:val="006C4381"/>
    <w:rsid w:val="006C45A9"/>
    <w:rsid w:val="006C4DAC"/>
    <w:rsid w:val="006C5E13"/>
    <w:rsid w:val="006C6636"/>
    <w:rsid w:val="006C6A3D"/>
    <w:rsid w:val="006C6FC0"/>
    <w:rsid w:val="006C71F7"/>
    <w:rsid w:val="006D047F"/>
    <w:rsid w:val="006D04C7"/>
    <w:rsid w:val="006D2477"/>
    <w:rsid w:val="006D2B00"/>
    <w:rsid w:val="006D3BDE"/>
    <w:rsid w:val="006D3D74"/>
    <w:rsid w:val="006D4050"/>
    <w:rsid w:val="006D4BF3"/>
    <w:rsid w:val="006D5281"/>
    <w:rsid w:val="006D554A"/>
    <w:rsid w:val="006D6614"/>
    <w:rsid w:val="006D6648"/>
    <w:rsid w:val="006D78D2"/>
    <w:rsid w:val="006E0506"/>
    <w:rsid w:val="006E1370"/>
    <w:rsid w:val="006E3689"/>
    <w:rsid w:val="006E4DD1"/>
    <w:rsid w:val="006E51AA"/>
    <w:rsid w:val="006E6156"/>
    <w:rsid w:val="006E6A6F"/>
    <w:rsid w:val="006E6E31"/>
    <w:rsid w:val="006E75FD"/>
    <w:rsid w:val="006F15A9"/>
    <w:rsid w:val="006F2B1F"/>
    <w:rsid w:val="006F3760"/>
    <w:rsid w:val="006F49A7"/>
    <w:rsid w:val="006F6768"/>
    <w:rsid w:val="006F6D06"/>
    <w:rsid w:val="006F72A4"/>
    <w:rsid w:val="006F7336"/>
    <w:rsid w:val="006F7C73"/>
    <w:rsid w:val="007007CB"/>
    <w:rsid w:val="0070110D"/>
    <w:rsid w:val="00703FE5"/>
    <w:rsid w:val="0070493F"/>
    <w:rsid w:val="00705944"/>
    <w:rsid w:val="00707DB5"/>
    <w:rsid w:val="00707E12"/>
    <w:rsid w:val="00710059"/>
    <w:rsid w:val="00710CE3"/>
    <w:rsid w:val="00711578"/>
    <w:rsid w:val="00712ACC"/>
    <w:rsid w:val="00713186"/>
    <w:rsid w:val="00714F8D"/>
    <w:rsid w:val="00715312"/>
    <w:rsid w:val="007154B3"/>
    <w:rsid w:val="00716D47"/>
    <w:rsid w:val="00722BF6"/>
    <w:rsid w:val="0072399C"/>
    <w:rsid w:val="007247B8"/>
    <w:rsid w:val="00724D47"/>
    <w:rsid w:val="007257CA"/>
    <w:rsid w:val="00725B63"/>
    <w:rsid w:val="007260E9"/>
    <w:rsid w:val="007308BD"/>
    <w:rsid w:val="00732064"/>
    <w:rsid w:val="00733475"/>
    <w:rsid w:val="00734F00"/>
    <w:rsid w:val="00735B51"/>
    <w:rsid w:val="007379B2"/>
    <w:rsid w:val="007407E0"/>
    <w:rsid w:val="00740CF2"/>
    <w:rsid w:val="0074173C"/>
    <w:rsid w:val="00745A24"/>
    <w:rsid w:val="0074634D"/>
    <w:rsid w:val="0074686C"/>
    <w:rsid w:val="00747E14"/>
    <w:rsid w:val="00750A81"/>
    <w:rsid w:val="00751793"/>
    <w:rsid w:val="007523DE"/>
    <w:rsid w:val="00752BF6"/>
    <w:rsid w:val="00753523"/>
    <w:rsid w:val="00754EF0"/>
    <w:rsid w:val="007553A0"/>
    <w:rsid w:val="00755A78"/>
    <w:rsid w:val="00755C3D"/>
    <w:rsid w:val="007614F3"/>
    <w:rsid w:val="007615EC"/>
    <w:rsid w:val="00762BDD"/>
    <w:rsid w:val="007645DB"/>
    <w:rsid w:val="00765011"/>
    <w:rsid w:val="00765BEC"/>
    <w:rsid w:val="00765FF4"/>
    <w:rsid w:val="00766339"/>
    <w:rsid w:val="00767EFD"/>
    <w:rsid w:val="00770E6C"/>
    <w:rsid w:val="0077163F"/>
    <w:rsid w:val="0077230E"/>
    <w:rsid w:val="00773E20"/>
    <w:rsid w:val="0077470E"/>
    <w:rsid w:val="007747C0"/>
    <w:rsid w:val="00777331"/>
    <w:rsid w:val="0077743B"/>
    <w:rsid w:val="00781C11"/>
    <w:rsid w:val="00782221"/>
    <w:rsid w:val="007828C7"/>
    <w:rsid w:val="007839E4"/>
    <w:rsid w:val="00785BC9"/>
    <w:rsid w:val="007867D3"/>
    <w:rsid w:val="0079035C"/>
    <w:rsid w:val="007905C6"/>
    <w:rsid w:val="00791368"/>
    <w:rsid w:val="00791FFA"/>
    <w:rsid w:val="0079201E"/>
    <w:rsid w:val="00793490"/>
    <w:rsid w:val="00793BDA"/>
    <w:rsid w:val="00793F8A"/>
    <w:rsid w:val="00794CD8"/>
    <w:rsid w:val="0079658B"/>
    <w:rsid w:val="0079681F"/>
    <w:rsid w:val="007A03D0"/>
    <w:rsid w:val="007A2047"/>
    <w:rsid w:val="007A2CD0"/>
    <w:rsid w:val="007A2D58"/>
    <w:rsid w:val="007A4D2F"/>
    <w:rsid w:val="007A59E4"/>
    <w:rsid w:val="007A66CD"/>
    <w:rsid w:val="007A70F0"/>
    <w:rsid w:val="007A79CE"/>
    <w:rsid w:val="007A7DCA"/>
    <w:rsid w:val="007B0D0E"/>
    <w:rsid w:val="007B13D3"/>
    <w:rsid w:val="007B3FC7"/>
    <w:rsid w:val="007B434E"/>
    <w:rsid w:val="007B4567"/>
    <w:rsid w:val="007B4857"/>
    <w:rsid w:val="007B4B25"/>
    <w:rsid w:val="007B5135"/>
    <w:rsid w:val="007B5388"/>
    <w:rsid w:val="007B5691"/>
    <w:rsid w:val="007B56C9"/>
    <w:rsid w:val="007B671D"/>
    <w:rsid w:val="007C1078"/>
    <w:rsid w:val="007C2098"/>
    <w:rsid w:val="007C2A71"/>
    <w:rsid w:val="007C377A"/>
    <w:rsid w:val="007C654B"/>
    <w:rsid w:val="007C77CC"/>
    <w:rsid w:val="007C7AD3"/>
    <w:rsid w:val="007C7E1F"/>
    <w:rsid w:val="007D1B14"/>
    <w:rsid w:val="007D42E0"/>
    <w:rsid w:val="007D53B9"/>
    <w:rsid w:val="007D56D4"/>
    <w:rsid w:val="007D570D"/>
    <w:rsid w:val="007D6B3F"/>
    <w:rsid w:val="007D7759"/>
    <w:rsid w:val="007E0F7C"/>
    <w:rsid w:val="007E1228"/>
    <w:rsid w:val="007E18DE"/>
    <w:rsid w:val="007E2818"/>
    <w:rsid w:val="007E4AF4"/>
    <w:rsid w:val="007E4D3C"/>
    <w:rsid w:val="007E54C9"/>
    <w:rsid w:val="007E57B2"/>
    <w:rsid w:val="007F0011"/>
    <w:rsid w:val="007F065E"/>
    <w:rsid w:val="007F2D4C"/>
    <w:rsid w:val="007F3296"/>
    <w:rsid w:val="007F3E24"/>
    <w:rsid w:val="007F5287"/>
    <w:rsid w:val="007F567C"/>
    <w:rsid w:val="007F5FEE"/>
    <w:rsid w:val="007F72C0"/>
    <w:rsid w:val="007F7CA7"/>
    <w:rsid w:val="0080112B"/>
    <w:rsid w:val="00803412"/>
    <w:rsid w:val="0080523B"/>
    <w:rsid w:val="00806725"/>
    <w:rsid w:val="00810DD9"/>
    <w:rsid w:val="00811585"/>
    <w:rsid w:val="008126FF"/>
    <w:rsid w:val="00812A11"/>
    <w:rsid w:val="00813374"/>
    <w:rsid w:val="00817092"/>
    <w:rsid w:val="0081786E"/>
    <w:rsid w:val="008205E7"/>
    <w:rsid w:val="008212FB"/>
    <w:rsid w:val="00821A8E"/>
    <w:rsid w:val="008244ED"/>
    <w:rsid w:val="00824A02"/>
    <w:rsid w:val="008259BD"/>
    <w:rsid w:val="00827551"/>
    <w:rsid w:val="00827F64"/>
    <w:rsid w:val="00833485"/>
    <w:rsid w:val="00835243"/>
    <w:rsid w:val="00837206"/>
    <w:rsid w:val="00837F9B"/>
    <w:rsid w:val="00840BA5"/>
    <w:rsid w:val="008410AC"/>
    <w:rsid w:val="00842D08"/>
    <w:rsid w:val="008434F0"/>
    <w:rsid w:val="008459CF"/>
    <w:rsid w:val="00846A2D"/>
    <w:rsid w:val="00846D71"/>
    <w:rsid w:val="0084778E"/>
    <w:rsid w:val="008479C7"/>
    <w:rsid w:val="00850718"/>
    <w:rsid w:val="00852193"/>
    <w:rsid w:val="00853845"/>
    <w:rsid w:val="00853A16"/>
    <w:rsid w:val="008567C6"/>
    <w:rsid w:val="00856EE8"/>
    <w:rsid w:val="00860BBB"/>
    <w:rsid w:val="00861A98"/>
    <w:rsid w:val="00862B07"/>
    <w:rsid w:val="008638A1"/>
    <w:rsid w:val="00864AD7"/>
    <w:rsid w:val="00865A0D"/>
    <w:rsid w:val="00865EB4"/>
    <w:rsid w:val="0086717A"/>
    <w:rsid w:val="00872FA2"/>
    <w:rsid w:val="00873274"/>
    <w:rsid w:val="00876D00"/>
    <w:rsid w:val="0088115B"/>
    <w:rsid w:val="008827EC"/>
    <w:rsid w:val="00883DB9"/>
    <w:rsid w:val="00884C37"/>
    <w:rsid w:val="00884D6F"/>
    <w:rsid w:val="00887BF0"/>
    <w:rsid w:val="008909E4"/>
    <w:rsid w:val="00890AC4"/>
    <w:rsid w:val="00891673"/>
    <w:rsid w:val="0089405C"/>
    <w:rsid w:val="008948E0"/>
    <w:rsid w:val="00895B95"/>
    <w:rsid w:val="008966B0"/>
    <w:rsid w:val="008977BE"/>
    <w:rsid w:val="00897AEA"/>
    <w:rsid w:val="008A147F"/>
    <w:rsid w:val="008A22E8"/>
    <w:rsid w:val="008A281B"/>
    <w:rsid w:val="008A3A7A"/>
    <w:rsid w:val="008A5689"/>
    <w:rsid w:val="008A5B61"/>
    <w:rsid w:val="008A63F6"/>
    <w:rsid w:val="008A685E"/>
    <w:rsid w:val="008B0805"/>
    <w:rsid w:val="008B0CE6"/>
    <w:rsid w:val="008B0D82"/>
    <w:rsid w:val="008B0EA5"/>
    <w:rsid w:val="008B1A0E"/>
    <w:rsid w:val="008B6AA4"/>
    <w:rsid w:val="008C01EE"/>
    <w:rsid w:val="008C0734"/>
    <w:rsid w:val="008C0BDC"/>
    <w:rsid w:val="008C159B"/>
    <w:rsid w:val="008C18CE"/>
    <w:rsid w:val="008C1AAC"/>
    <w:rsid w:val="008C2891"/>
    <w:rsid w:val="008C3F64"/>
    <w:rsid w:val="008C5A21"/>
    <w:rsid w:val="008C5DFB"/>
    <w:rsid w:val="008C6181"/>
    <w:rsid w:val="008C69E7"/>
    <w:rsid w:val="008C6EEB"/>
    <w:rsid w:val="008D071E"/>
    <w:rsid w:val="008D0D6E"/>
    <w:rsid w:val="008D26B4"/>
    <w:rsid w:val="008D2941"/>
    <w:rsid w:val="008D2B6A"/>
    <w:rsid w:val="008D31B6"/>
    <w:rsid w:val="008D32CB"/>
    <w:rsid w:val="008D37EF"/>
    <w:rsid w:val="008D7DBC"/>
    <w:rsid w:val="008E191F"/>
    <w:rsid w:val="008E1C9A"/>
    <w:rsid w:val="008E290A"/>
    <w:rsid w:val="008E3423"/>
    <w:rsid w:val="008E3E93"/>
    <w:rsid w:val="008E516E"/>
    <w:rsid w:val="008E7613"/>
    <w:rsid w:val="008F0355"/>
    <w:rsid w:val="008F4A63"/>
    <w:rsid w:val="008F564C"/>
    <w:rsid w:val="008F590A"/>
    <w:rsid w:val="008F6F78"/>
    <w:rsid w:val="008F7D46"/>
    <w:rsid w:val="00900E07"/>
    <w:rsid w:val="0090149E"/>
    <w:rsid w:val="009024EB"/>
    <w:rsid w:val="00902534"/>
    <w:rsid w:val="00902D43"/>
    <w:rsid w:val="00902F1A"/>
    <w:rsid w:val="0090327B"/>
    <w:rsid w:val="00903389"/>
    <w:rsid w:val="0090424E"/>
    <w:rsid w:val="0090475F"/>
    <w:rsid w:val="00907BF7"/>
    <w:rsid w:val="00910D87"/>
    <w:rsid w:val="00912A8B"/>
    <w:rsid w:val="009160F8"/>
    <w:rsid w:val="009171A7"/>
    <w:rsid w:val="00917411"/>
    <w:rsid w:val="00917992"/>
    <w:rsid w:val="00917F41"/>
    <w:rsid w:val="009201F7"/>
    <w:rsid w:val="00921001"/>
    <w:rsid w:val="00922B02"/>
    <w:rsid w:val="0092327C"/>
    <w:rsid w:val="009238A8"/>
    <w:rsid w:val="009267AB"/>
    <w:rsid w:val="00926C33"/>
    <w:rsid w:val="00930A9E"/>
    <w:rsid w:val="00930B25"/>
    <w:rsid w:val="00930DCF"/>
    <w:rsid w:val="00931306"/>
    <w:rsid w:val="009326BC"/>
    <w:rsid w:val="009327F7"/>
    <w:rsid w:val="00932D88"/>
    <w:rsid w:val="00933BC3"/>
    <w:rsid w:val="00933E39"/>
    <w:rsid w:val="0093481D"/>
    <w:rsid w:val="00935486"/>
    <w:rsid w:val="0093608C"/>
    <w:rsid w:val="00936C0B"/>
    <w:rsid w:val="009400C9"/>
    <w:rsid w:val="00942B7B"/>
    <w:rsid w:val="009435CA"/>
    <w:rsid w:val="00943D3F"/>
    <w:rsid w:val="009449CF"/>
    <w:rsid w:val="00945235"/>
    <w:rsid w:val="00946531"/>
    <w:rsid w:val="00950859"/>
    <w:rsid w:val="00951E3B"/>
    <w:rsid w:val="00952A0E"/>
    <w:rsid w:val="00952CF3"/>
    <w:rsid w:val="00953947"/>
    <w:rsid w:val="00957226"/>
    <w:rsid w:val="00957246"/>
    <w:rsid w:val="009573D3"/>
    <w:rsid w:val="00960593"/>
    <w:rsid w:val="0096185F"/>
    <w:rsid w:val="009619F1"/>
    <w:rsid w:val="00962275"/>
    <w:rsid w:val="00963477"/>
    <w:rsid w:val="00964C7E"/>
    <w:rsid w:val="009657F9"/>
    <w:rsid w:val="00966357"/>
    <w:rsid w:val="0096662F"/>
    <w:rsid w:val="00967D92"/>
    <w:rsid w:val="009717DE"/>
    <w:rsid w:val="00971B50"/>
    <w:rsid w:val="00973E98"/>
    <w:rsid w:val="00974CC3"/>
    <w:rsid w:val="00975FD2"/>
    <w:rsid w:val="00976550"/>
    <w:rsid w:val="009818A2"/>
    <w:rsid w:val="0098297E"/>
    <w:rsid w:val="009833BD"/>
    <w:rsid w:val="009834E6"/>
    <w:rsid w:val="009836D9"/>
    <w:rsid w:val="00986054"/>
    <w:rsid w:val="00986C25"/>
    <w:rsid w:val="00986F03"/>
    <w:rsid w:val="00990174"/>
    <w:rsid w:val="0099276D"/>
    <w:rsid w:val="00994454"/>
    <w:rsid w:val="00995A1D"/>
    <w:rsid w:val="00997469"/>
    <w:rsid w:val="009A2694"/>
    <w:rsid w:val="009A2981"/>
    <w:rsid w:val="009A428E"/>
    <w:rsid w:val="009A57D9"/>
    <w:rsid w:val="009A5D65"/>
    <w:rsid w:val="009A7846"/>
    <w:rsid w:val="009B16BF"/>
    <w:rsid w:val="009B5508"/>
    <w:rsid w:val="009B739F"/>
    <w:rsid w:val="009B79F2"/>
    <w:rsid w:val="009C4DA2"/>
    <w:rsid w:val="009C5729"/>
    <w:rsid w:val="009C6285"/>
    <w:rsid w:val="009C6B01"/>
    <w:rsid w:val="009C6B4E"/>
    <w:rsid w:val="009C6F5E"/>
    <w:rsid w:val="009C75E4"/>
    <w:rsid w:val="009D0676"/>
    <w:rsid w:val="009D0E2A"/>
    <w:rsid w:val="009D3015"/>
    <w:rsid w:val="009D3F4B"/>
    <w:rsid w:val="009D6848"/>
    <w:rsid w:val="009D6FEA"/>
    <w:rsid w:val="009D7FF1"/>
    <w:rsid w:val="009E0D76"/>
    <w:rsid w:val="009E1CC7"/>
    <w:rsid w:val="009E1D35"/>
    <w:rsid w:val="009E2CF1"/>
    <w:rsid w:val="009E4429"/>
    <w:rsid w:val="009E4ACE"/>
    <w:rsid w:val="009E4E77"/>
    <w:rsid w:val="009E59FB"/>
    <w:rsid w:val="009E6110"/>
    <w:rsid w:val="009E62E3"/>
    <w:rsid w:val="009E7DBC"/>
    <w:rsid w:val="009F6484"/>
    <w:rsid w:val="009F681C"/>
    <w:rsid w:val="009F7EF5"/>
    <w:rsid w:val="00A00B76"/>
    <w:rsid w:val="00A01339"/>
    <w:rsid w:val="00A0297C"/>
    <w:rsid w:val="00A04A13"/>
    <w:rsid w:val="00A04C33"/>
    <w:rsid w:val="00A04D15"/>
    <w:rsid w:val="00A0794C"/>
    <w:rsid w:val="00A07EA2"/>
    <w:rsid w:val="00A1110A"/>
    <w:rsid w:val="00A11175"/>
    <w:rsid w:val="00A1180D"/>
    <w:rsid w:val="00A1356A"/>
    <w:rsid w:val="00A13848"/>
    <w:rsid w:val="00A159A8"/>
    <w:rsid w:val="00A15ADD"/>
    <w:rsid w:val="00A15F9F"/>
    <w:rsid w:val="00A17E98"/>
    <w:rsid w:val="00A213F2"/>
    <w:rsid w:val="00A22159"/>
    <w:rsid w:val="00A22BBD"/>
    <w:rsid w:val="00A23818"/>
    <w:rsid w:val="00A24038"/>
    <w:rsid w:val="00A241FD"/>
    <w:rsid w:val="00A256ED"/>
    <w:rsid w:val="00A263BF"/>
    <w:rsid w:val="00A2657D"/>
    <w:rsid w:val="00A26B83"/>
    <w:rsid w:val="00A26DD7"/>
    <w:rsid w:val="00A30487"/>
    <w:rsid w:val="00A3201B"/>
    <w:rsid w:val="00A32157"/>
    <w:rsid w:val="00A329B1"/>
    <w:rsid w:val="00A348B9"/>
    <w:rsid w:val="00A34902"/>
    <w:rsid w:val="00A34AE8"/>
    <w:rsid w:val="00A353F8"/>
    <w:rsid w:val="00A3624C"/>
    <w:rsid w:val="00A367F4"/>
    <w:rsid w:val="00A37A5C"/>
    <w:rsid w:val="00A37AE7"/>
    <w:rsid w:val="00A40B8E"/>
    <w:rsid w:val="00A40BF2"/>
    <w:rsid w:val="00A41EFF"/>
    <w:rsid w:val="00A4253A"/>
    <w:rsid w:val="00A433BA"/>
    <w:rsid w:val="00A4441C"/>
    <w:rsid w:val="00A45C77"/>
    <w:rsid w:val="00A4609C"/>
    <w:rsid w:val="00A5450B"/>
    <w:rsid w:val="00A566DC"/>
    <w:rsid w:val="00A56C4B"/>
    <w:rsid w:val="00A57289"/>
    <w:rsid w:val="00A60D13"/>
    <w:rsid w:val="00A610FB"/>
    <w:rsid w:val="00A61D88"/>
    <w:rsid w:val="00A62026"/>
    <w:rsid w:val="00A62670"/>
    <w:rsid w:val="00A63713"/>
    <w:rsid w:val="00A64558"/>
    <w:rsid w:val="00A64D48"/>
    <w:rsid w:val="00A66C2A"/>
    <w:rsid w:val="00A670BF"/>
    <w:rsid w:val="00A678A0"/>
    <w:rsid w:val="00A67C4B"/>
    <w:rsid w:val="00A701FB"/>
    <w:rsid w:val="00A713E8"/>
    <w:rsid w:val="00A71CA7"/>
    <w:rsid w:val="00A71F14"/>
    <w:rsid w:val="00A73E2C"/>
    <w:rsid w:val="00A75982"/>
    <w:rsid w:val="00A77A93"/>
    <w:rsid w:val="00A81750"/>
    <w:rsid w:val="00A82E94"/>
    <w:rsid w:val="00A83DFB"/>
    <w:rsid w:val="00A84454"/>
    <w:rsid w:val="00A859DD"/>
    <w:rsid w:val="00A868F4"/>
    <w:rsid w:val="00A90B59"/>
    <w:rsid w:val="00A91BB6"/>
    <w:rsid w:val="00A92E72"/>
    <w:rsid w:val="00A92EF4"/>
    <w:rsid w:val="00A931B0"/>
    <w:rsid w:val="00A93BBC"/>
    <w:rsid w:val="00A949B0"/>
    <w:rsid w:val="00A956B1"/>
    <w:rsid w:val="00A95F1D"/>
    <w:rsid w:val="00A97A8D"/>
    <w:rsid w:val="00A97CC0"/>
    <w:rsid w:val="00AA07BE"/>
    <w:rsid w:val="00AA39AB"/>
    <w:rsid w:val="00AA3A9D"/>
    <w:rsid w:val="00AA430F"/>
    <w:rsid w:val="00AB0605"/>
    <w:rsid w:val="00AB0888"/>
    <w:rsid w:val="00AB1358"/>
    <w:rsid w:val="00AB62DE"/>
    <w:rsid w:val="00AB797A"/>
    <w:rsid w:val="00AC0236"/>
    <w:rsid w:val="00AC213D"/>
    <w:rsid w:val="00AC2EE8"/>
    <w:rsid w:val="00AC3654"/>
    <w:rsid w:val="00AC58B8"/>
    <w:rsid w:val="00AC5B5F"/>
    <w:rsid w:val="00AC604A"/>
    <w:rsid w:val="00AC6371"/>
    <w:rsid w:val="00AD256F"/>
    <w:rsid w:val="00AD63B9"/>
    <w:rsid w:val="00AD76ED"/>
    <w:rsid w:val="00AE05F3"/>
    <w:rsid w:val="00AE0F95"/>
    <w:rsid w:val="00AE2F1E"/>
    <w:rsid w:val="00AE3512"/>
    <w:rsid w:val="00AE5224"/>
    <w:rsid w:val="00AE5B6F"/>
    <w:rsid w:val="00AE7AC0"/>
    <w:rsid w:val="00AF0057"/>
    <w:rsid w:val="00AF12BE"/>
    <w:rsid w:val="00AF1668"/>
    <w:rsid w:val="00AF4C9A"/>
    <w:rsid w:val="00AF60CF"/>
    <w:rsid w:val="00AF6E15"/>
    <w:rsid w:val="00AF7D08"/>
    <w:rsid w:val="00B00372"/>
    <w:rsid w:val="00B00F26"/>
    <w:rsid w:val="00B01CBA"/>
    <w:rsid w:val="00B0580A"/>
    <w:rsid w:val="00B07314"/>
    <w:rsid w:val="00B0786B"/>
    <w:rsid w:val="00B10551"/>
    <w:rsid w:val="00B107C0"/>
    <w:rsid w:val="00B1224A"/>
    <w:rsid w:val="00B123C8"/>
    <w:rsid w:val="00B14D90"/>
    <w:rsid w:val="00B15466"/>
    <w:rsid w:val="00B1656D"/>
    <w:rsid w:val="00B17168"/>
    <w:rsid w:val="00B2117B"/>
    <w:rsid w:val="00B25567"/>
    <w:rsid w:val="00B303A5"/>
    <w:rsid w:val="00B31365"/>
    <w:rsid w:val="00B31EED"/>
    <w:rsid w:val="00B3482E"/>
    <w:rsid w:val="00B34972"/>
    <w:rsid w:val="00B36BC2"/>
    <w:rsid w:val="00B37956"/>
    <w:rsid w:val="00B40DF2"/>
    <w:rsid w:val="00B41156"/>
    <w:rsid w:val="00B426A5"/>
    <w:rsid w:val="00B52320"/>
    <w:rsid w:val="00B5263F"/>
    <w:rsid w:val="00B52C3F"/>
    <w:rsid w:val="00B52D94"/>
    <w:rsid w:val="00B5358D"/>
    <w:rsid w:val="00B53888"/>
    <w:rsid w:val="00B55054"/>
    <w:rsid w:val="00B56171"/>
    <w:rsid w:val="00B56886"/>
    <w:rsid w:val="00B60CCC"/>
    <w:rsid w:val="00B60FD6"/>
    <w:rsid w:val="00B618F7"/>
    <w:rsid w:val="00B63889"/>
    <w:rsid w:val="00B64074"/>
    <w:rsid w:val="00B6424E"/>
    <w:rsid w:val="00B652F9"/>
    <w:rsid w:val="00B66F71"/>
    <w:rsid w:val="00B678FB"/>
    <w:rsid w:val="00B7071E"/>
    <w:rsid w:val="00B7188B"/>
    <w:rsid w:val="00B71C11"/>
    <w:rsid w:val="00B7318C"/>
    <w:rsid w:val="00B74EAF"/>
    <w:rsid w:val="00B75AB9"/>
    <w:rsid w:val="00B76580"/>
    <w:rsid w:val="00B76CE2"/>
    <w:rsid w:val="00B8001D"/>
    <w:rsid w:val="00B80817"/>
    <w:rsid w:val="00B80A24"/>
    <w:rsid w:val="00B813B0"/>
    <w:rsid w:val="00B81DB0"/>
    <w:rsid w:val="00B854CB"/>
    <w:rsid w:val="00B85AAA"/>
    <w:rsid w:val="00B9047C"/>
    <w:rsid w:val="00B92B10"/>
    <w:rsid w:val="00B937EC"/>
    <w:rsid w:val="00B941F3"/>
    <w:rsid w:val="00BA0BCB"/>
    <w:rsid w:val="00BA194A"/>
    <w:rsid w:val="00BA20F8"/>
    <w:rsid w:val="00BA29E3"/>
    <w:rsid w:val="00BA31B0"/>
    <w:rsid w:val="00BA31CE"/>
    <w:rsid w:val="00BA4E5D"/>
    <w:rsid w:val="00BA59CE"/>
    <w:rsid w:val="00BA6776"/>
    <w:rsid w:val="00BB12B3"/>
    <w:rsid w:val="00BB1300"/>
    <w:rsid w:val="00BB21A7"/>
    <w:rsid w:val="00BB2D2B"/>
    <w:rsid w:val="00BB5D88"/>
    <w:rsid w:val="00BB63A7"/>
    <w:rsid w:val="00BB6B38"/>
    <w:rsid w:val="00BC095C"/>
    <w:rsid w:val="00BC1873"/>
    <w:rsid w:val="00BC1DF1"/>
    <w:rsid w:val="00BC506A"/>
    <w:rsid w:val="00BC5931"/>
    <w:rsid w:val="00BC6D28"/>
    <w:rsid w:val="00BC6D4F"/>
    <w:rsid w:val="00BD3474"/>
    <w:rsid w:val="00BD394A"/>
    <w:rsid w:val="00BD5499"/>
    <w:rsid w:val="00BD6A65"/>
    <w:rsid w:val="00BD7FDA"/>
    <w:rsid w:val="00BE19CF"/>
    <w:rsid w:val="00BE2560"/>
    <w:rsid w:val="00BE2B7B"/>
    <w:rsid w:val="00BE2CC2"/>
    <w:rsid w:val="00BE404F"/>
    <w:rsid w:val="00BE412B"/>
    <w:rsid w:val="00BE4A70"/>
    <w:rsid w:val="00BE588C"/>
    <w:rsid w:val="00BE6475"/>
    <w:rsid w:val="00BE6B96"/>
    <w:rsid w:val="00BE765D"/>
    <w:rsid w:val="00BE7BBC"/>
    <w:rsid w:val="00BF05AF"/>
    <w:rsid w:val="00BF1549"/>
    <w:rsid w:val="00BF1C5F"/>
    <w:rsid w:val="00BF42BE"/>
    <w:rsid w:val="00BF6D17"/>
    <w:rsid w:val="00BF766D"/>
    <w:rsid w:val="00BF7C85"/>
    <w:rsid w:val="00C011CF"/>
    <w:rsid w:val="00C016E2"/>
    <w:rsid w:val="00C01D69"/>
    <w:rsid w:val="00C03FB2"/>
    <w:rsid w:val="00C04C04"/>
    <w:rsid w:val="00C053F3"/>
    <w:rsid w:val="00C06077"/>
    <w:rsid w:val="00C071A4"/>
    <w:rsid w:val="00C07F94"/>
    <w:rsid w:val="00C1054F"/>
    <w:rsid w:val="00C10555"/>
    <w:rsid w:val="00C108BD"/>
    <w:rsid w:val="00C10F14"/>
    <w:rsid w:val="00C1214C"/>
    <w:rsid w:val="00C12CE1"/>
    <w:rsid w:val="00C14B75"/>
    <w:rsid w:val="00C201A8"/>
    <w:rsid w:val="00C20D47"/>
    <w:rsid w:val="00C218BC"/>
    <w:rsid w:val="00C21AB0"/>
    <w:rsid w:val="00C2396A"/>
    <w:rsid w:val="00C2510D"/>
    <w:rsid w:val="00C25CF7"/>
    <w:rsid w:val="00C26054"/>
    <w:rsid w:val="00C2673B"/>
    <w:rsid w:val="00C26CF7"/>
    <w:rsid w:val="00C30336"/>
    <w:rsid w:val="00C32864"/>
    <w:rsid w:val="00C3310E"/>
    <w:rsid w:val="00C33DFB"/>
    <w:rsid w:val="00C35A9F"/>
    <w:rsid w:val="00C36934"/>
    <w:rsid w:val="00C369E6"/>
    <w:rsid w:val="00C37280"/>
    <w:rsid w:val="00C376AB"/>
    <w:rsid w:val="00C37A3F"/>
    <w:rsid w:val="00C42060"/>
    <w:rsid w:val="00C4325A"/>
    <w:rsid w:val="00C43FAD"/>
    <w:rsid w:val="00C44919"/>
    <w:rsid w:val="00C4524D"/>
    <w:rsid w:val="00C45C91"/>
    <w:rsid w:val="00C46FF8"/>
    <w:rsid w:val="00C507D0"/>
    <w:rsid w:val="00C50A43"/>
    <w:rsid w:val="00C50E13"/>
    <w:rsid w:val="00C5243C"/>
    <w:rsid w:val="00C52463"/>
    <w:rsid w:val="00C54306"/>
    <w:rsid w:val="00C55C85"/>
    <w:rsid w:val="00C56857"/>
    <w:rsid w:val="00C57ADA"/>
    <w:rsid w:val="00C6174A"/>
    <w:rsid w:val="00C61842"/>
    <w:rsid w:val="00C61C5B"/>
    <w:rsid w:val="00C65CAC"/>
    <w:rsid w:val="00C669DB"/>
    <w:rsid w:val="00C679EA"/>
    <w:rsid w:val="00C67E5E"/>
    <w:rsid w:val="00C67FA8"/>
    <w:rsid w:val="00C700F5"/>
    <w:rsid w:val="00C70F57"/>
    <w:rsid w:val="00C72465"/>
    <w:rsid w:val="00C7248A"/>
    <w:rsid w:val="00C73F82"/>
    <w:rsid w:val="00C742E6"/>
    <w:rsid w:val="00C74AC4"/>
    <w:rsid w:val="00C750B8"/>
    <w:rsid w:val="00C75F01"/>
    <w:rsid w:val="00C77E07"/>
    <w:rsid w:val="00C8120B"/>
    <w:rsid w:val="00C8128B"/>
    <w:rsid w:val="00C8370E"/>
    <w:rsid w:val="00C84002"/>
    <w:rsid w:val="00C843A8"/>
    <w:rsid w:val="00C848DF"/>
    <w:rsid w:val="00C8541C"/>
    <w:rsid w:val="00C8616B"/>
    <w:rsid w:val="00C87EFE"/>
    <w:rsid w:val="00C92D84"/>
    <w:rsid w:val="00C92EFB"/>
    <w:rsid w:val="00C92F06"/>
    <w:rsid w:val="00C93240"/>
    <w:rsid w:val="00C94022"/>
    <w:rsid w:val="00C94EFB"/>
    <w:rsid w:val="00C95411"/>
    <w:rsid w:val="00C961EC"/>
    <w:rsid w:val="00C97D94"/>
    <w:rsid w:val="00CA1DED"/>
    <w:rsid w:val="00CA2201"/>
    <w:rsid w:val="00CA285F"/>
    <w:rsid w:val="00CA2BF6"/>
    <w:rsid w:val="00CA66AB"/>
    <w:rsid w:val="00CA6D01"/>
    <w:rsid w:val="00CB1AF1"/>
    <w:rsid w:val="00CB22F8"/>
    <w:rsid w:val="00CB26A3"/>
    <w:rsid w:val="00CB3122"/>
    <w:rsid w:val="00CB3FAB"/>
    <w:rsid w:val="00CB6A74"/>
    <w:rsid w:val="00CB7BEE"/>
    <w:rsid w:val="00CC0602"/>
    <w:rsid w:val="00CC0C00"/>
    <w:rsid w:val="00CC123E"/>
    <w:rsid w:val="00CC129C"/>
    <w:rsid w:val="00CC491E"/>
    <w:rsid w:val="00CC6614"/>
    <w:rsid w:val="00CC678F"/>
    <w:rsid w:val="00CC67B2"/>
    <w:rsid w:val="00CC691F"/>
    <w:rsid w:val="00CC6998"/>
    <w:rsid w:val="00CD2482"/>
    <w:rsid w:val="00CD2D0E"/>
    <w:rsid w:val="00CD318B"/>
    <w:rsid w:val="00CD55A0"/>
    <w:rsid w:val="00CD5AA6"/>
    <w:rsid w:val="00CD5E1E"/>
    <w:rsid w:val="00CD614B"/>
    <w:rsid w:val="00CD65C7"/>
    <w:rsid w:val="00CD682E"/>
    <w:rsid w:val="00CD72CB"/>
    <w:rsid w:val="00CE144D"/>
    <w:rsid w:val="00CE15A5"/>
    <w:rsid w:val="00CE1C69"/>
    <w:rsid w:val="00CE2239"/>
    <w:rsid w:val="00CE3278"/>
    <w:rsid w:val="00CE3AED"/>
    <w:rsid w:val="00CE45EB"/>
    <w:rsid w:val="00CE5E6F"/>
    <w:rsid w:val="00CE6256"/>
    <w:rsid w:val="00CF1CB0"/>
    <w:rsid w:val="00CF48AE"/>
    <w:rsid w:val="00CF4CBA"/>
    <w:rsid w:val="00CF639D"/>
    <w:rsid w:val="00D0268D"/>
    <w:rsid w:val="00D03F16"/>
    <w:rsid w:val="00D047E1"/>
    <w:rsid w:val="00D06139"/>
    <w:rsid w:val="00D149F4"/>
    <w:rsid w:val="00D14EC6"/>
    <w:rsid w:val="00D157CE"/>
    <w:rsid w:val="00D173D3"/>
    <w:rsid w:val="00D1795C"/>
    <w:rsid w:val="00D17A03"/>
    <w:rsid w:val="00D217EA"/>
    <w:rsid w:val="00D21B6D"/>
    <w:rsid w:val="00D21C8C"/>
    <w:rsid w:val="00D2295A"/>
    <w:rsid w:val="00D26084"/>
    <w:rsid w:val="00D27461"/>
    <w:rsid w:val="00D32FA3"/>
    <w:rsid w:val="00D35D07"/>
    <w:rsid w:val="00D40831"/>
    <w:rsid w:val="00D40CD8"/>
    <w:rsid w:val="00D41394"/>
    <w:rsid w:val="00D4386D"/>
    <w:rsid w:val="00D47935"/>
    <w:rsid w:val="00D47EDA"/>
    <w:rsid w:val="00D52D63"/>
    <w:rsid w:val="00D53BE5"/>
    <w:rsid w:val="00D5512D"/>
    <w:rsid w:val="00D56116"/>
    <w:rsid w:val="00D5650B"/>
    <w:rsid w:val="00D57194"/>
    <w:rsid w:val="00D57428"/>
    <w:rsid w:val="00D62106"/>
    <w:rsid w:val="00D6235B"/>
    <w:rsid w:val="00D635FD"/>
    <w:rsid w:val="00D644A9"/>
    <w:rsid w:val="00D648A4"/>
    <w:rsid w:val="00D70500"/>
    <w:rsid w:val="00D70816"/>
    <w:rsid w:val="00D734C2"/>
    <w:rsid w:val="00D75034"/>
    <w:rsid w:val="00D76BBA"/>
    <w:rsid w:val="00D85C7D"/>
    <w:rsid w:val="00D86686"/>
    <w:rsid w:val="00D87A63"/>
    <w:rsid w:val="00D87B15"/>
    <w:rsid w:val="00D87DAA"/>
    <w:rsid w:val="00D87F8C"/>
    <w:rsid w:val="00D904D4"/>
    <w:rsid w:val="00D9240C"/>
    <w:rsid w:val="00D95449"/>
    <w:rsid w:val="00D95608"/>
    <w:rsid w:val="00D95824"/>
    <w:rsid w:val="00D96E08"/>
    <w:rsid w:val="00D9740D"/>
    <w:rsid w:val="00D97A25"/>
    <w:rsid w:val="00DA1B3D"/>
    <w:rsid w:val="00DA1BC8"/>
    <w:rsid w:val="00DA1C9A"/>
    <w:rsid w:val="00DA20F9"/>
    <w:rsid w:val="00DA3021"/>
    <w:rsid w:val="00DA355F"/>
    <w:rsid w:val="00DA532C"/>
    <w:rsid w:val="00DA68FE"/>
    <w:rsid w:val="00DB0B90"/>
    <w:rsid w:val="00DB0EA8"/>
    <w:rsid w:val="00DB0F45"/>
    <w:rsid w:val="00DB13FD"/>
    <w:rsid w:val="00DB1FBB"/>
    <w:rsid w:val="00DB442E"/>
    <w:rsid w:val="00DB481E"/>
    <w:rsid w:val="00DB4F48"/>
    <w:rsid w:val="00DB60CC"/>
    <w:rsid w:val="00DB6AC9"/>
    <w:rsid w:val="00DB6D6D"/>
    <w:rsid w:val="00DB6E30"/>
    <w:rsid w:val="00DC0104"/>
    <w:rsid w:val="00DC5749"/>
    <w:rsid w:val="00DC5AED"/>
    <w:rsid w:val="00DC668B"/>
    <w:rsid w:val="00DC6CE5"/>
    <w:rsid w:val="00DC71A6"/>
    <w:rsid w:val="00DC72A1"/>
    <w:rsid w:val="00DD0C91"/>
    <w:rsid w:val="00DD0DC9"/>
    <w:rsid w:val="00DD0DE9"/>
    <w:rsid w:val="00DD3AE6"/>
    <w:rsid w:val="00DD509F"/>
    <w:rsid w:val="00DD6E54"/>
    <w:rsid w:val="00DD79DC"/>
    <w:rsid w:val="00DE061D"/>
    <w:rsid w:val="00DE20D6"/>
    <w:rsid w:val="00DE2E1A"/>
    <w:rsid w:val="00DE33C6"/>
    <w:rsid w:val="00DE359F"/>
    <w:rsid w:val="00DE4AE8"/>
    <w:rsid w:val="00DE647E"/>
    <w:rsid w:val="00DE68AF"/>
    <w:rsid w:val="00DF1835"/>
    <w:rsid w:val="00DF41E7"/>
    <w:rsid w:val="00DF5707"/>
    <w:rsid w:val="00DF571E"/>
    <w:rsid w:val="00E001BC"/>
    <w:rsid w:val="00E00F4B"/>
    <w:rsid w:val="00E01AC9"/>
    <w:rsid w:val="00E01C65"/>
    <w:rsid w:val="00E037E2"/>
    <w:rsid w:val="00E0498E"/>
    <w:rsid w:val="00E06A2B"/>
    <w:rsid w:val="00E0777F"/>
    <w:rsid w:val="00E07AB1"/>
    <w:rsid w:val="00E07B78"/>
    <w:rsid w:val="00E101C3"/>
    <w:rsid w:val="00E101F0"/>
    <w:rsid w:val="00E10A79"/>
    <w:rsid w:val="00E11485"/>
    <w:rsid w:val="00E118A0"/>
    <w:rsid w:val="00E148F2"/>
    <w:rsid w:val="00E16150"/>
    <w:rsid w:val="00E1773B"/>
    <w:rsid w:val="00E22F43"/>
    <w:rsid w:val="00E24482"/>
    <w:rsid w:val="00E25592"/>
    <w:rsid w:val="00E313E1"/>
    <w:rsid w:val="00E338A8"/>
    <w:rsid w:val="00E34BB1"/>
    <w:rsid w:val="00E36293"/>
    <w:rsid w:val="00E366DB"/>
    <w:rsid w:val="00E36776"/>
    <w:rsid w:val="00E3738D"/>
    <w:rsid w:val="00E3771A"/>
    <w:rsid w:val="00E37DE4"/>
    <w:rsid w:val="00E37EBE"/>
    <w:rsid w:val="00E4027D"/>
    <w:rsid w:val="00E410EC"/>
    <w:rsid w:val="00E4124D"/>
    <w:rsid w:val="00E41F8D"/>
    <w:rsid w:val="00E43926"/>
    <w:rsid w:val="00E43AAC"/>
    <w:rsid w:val="00E443FF"/>
    <w:rsid w:val="00E44525"/>
    <w:rsid w:val="00E44801"/>
    <w:rsid w:val="00E454B5"/>
    <w:rsid w:val="00E4608D"/>
    <w:rsid w:val="00E47075"/>
    <w:rsid w:val="00E47377"/>
    <w:rsid w:val="00E47A0A"/>
    <w:rsid w:val="00E47F61"/>
    <w:rsid w:val="00E503E5"/>
    <w:rsid w:val="00E50910"/>
    <w:rsid w:val="00E51328"/>
    <w:rsid w:val="00E516F4"/>
    <w:rsid w:val="00E52CAA"/>
    <w:rsid w:val="00E54806"/>
    <w:rsid w:val="00E54C02"/>
    <w:rsid w:val="00E55A46"/>
    <w:rsid w:val="00E55E13"/>
    <w:rsid w:val="00E5794E"/>
    <w:rsid w:val="00E57D74"/>
    <w:rsid w:val="00E6240E"/>
    <w:rsid w:val="00E62FFA"/>
    <w:rsid w:val="00E64B84"/>
    <w:rsid w:val="00E66386"/>
    <w:rsid w:val="00E67F0B"/>
    <w:rsid w:val="00E71AE2"/>
    <w:rsid w:val="00E732A5"/>
    <w:rsid w:val="00E73496"/>
    <w:rsid w:val="00E73791"/>
    <w:rsid w:val="00E74A03"/>
    <w:rsid w:val="00E76D97"/>
    <w:rsid w:val="00E77253"/>
    <w:rsid w:val="00E80209"/>
    <w:rsid w:val="00E80F81"/>
    <w:rsid w:val="00E811F9"/>
    <w:rsid w:val="00E83378"/>
    <w:rsid w:val="00E8368A"/>
    <w:rsid w:val="00E83B76"/>
    <w:rsid w:val="00E84AE0"/>
    <w:rsid w:val="00E84B8E"/>
    <w:rsid w:val="00E8537B"/>
    <w:rsid w:val="00E86A23"/>
    <w:rsid w:val="00E87440"/>
    <w:rsid w:val="00E8784D"/>
    <w:rsid w:val="00E90565"/>
    <w:rsid w:val="00E910F3"/>
    <w:rsid w:val="00E91C94"/>
    <w:rsid w:val="00E92323"/>
    <w:rsid w:val="00E942CD"/>
    <w:rsid w:val="00E94F4A"/>
    <w:rsid w:val="00E96835"/>
    <w:rsid w:val="00E97A6D"/>
    <w:rsid w:val="00EA151B"/>
    <w:rsid w:val="00EA26F8"/>
    <w:rsid w:val="00EA4259"/>
    <w:rsid w:val="00EA42F6"/>
    <w:rsid w:val="00EA6400"/>
    <w:rsid w:val="00EA78B3"/>
    <w:rsid w:val="00EA7C94"/>
    <w:rsid w:val="00EB0D55"/>
    <w:rsid w:val="00EB1B3A"/>
    <w:rsid w:val="00EB2D90"/>
    <w:rsid w:val="00EB5379"/>
    <w:rsid w:val="00EB6975"/>
    <w:rsid w:val="00EB6B46"/>
    <w:rsid w:val="00EB72A1"/>
    <w:rsid w:val="00EB7A76"/>
    <w:rsid w:val="00EC0B33"/>
    <w:rsid w:val="00EC0F8F"/>
    <w:rsid w:val="00EC1266"/>
    <w:rsid w:val="00EC1C20"/>
    <w:rsid w:val="00EC39B0"/>
    <w:rsid w:val="00EC4AF7"/>
    <w:rsid w:val="00EC5C2A"/>
    <w:rsid w:val="00EC62BC"/>
    <w:rsid w:val="00EC6BC9"/>
    <w:rsid w:val="00ED025C"/>
    <w:rsid w:val="00ED20B5"/>
    <w:rsid w:val="00ED2BE1"/>
    <w:rsid w:val="00ED39A7"/>
    <w:rsid w:val="00ED3B5F"/>
    <w:rsid w:val="00ED6830"/>
    <w:rsid w:val="00ED6C72"/>
    <w:rsid w:val="00EE04E2"/>
    <w:rsid w:val="00EE0DEC"/>
    <w:rsid w:val="00EE253C"/>
    <w:rsid w:val="00EE2763"/>
    <w:rsid w:val="00EE2CE3"/>
    <w:rsid w:val="00EE40D9"/>
    <w:rsid w:val="00EE495A"/>
    <w:rsid w:val="00EE623B"/>
    <w:rsid w:val="00EE68F7"/>
    <w:rsid w:val="00EE6F83"/>
    <w:rsid w:val="00EE77B6"/>
    <w:rsid w:val="00EF0888"/>
    <w:rsid w:val="00EF0A98"/>
    <w:rsid w:val="00EF0F59"/>
    <w:rsid w:val="00EF218A"/>
    <w:rsid w:val="00EF3D60"/>
    <w:rsid w:val="00EF41A8"/>
    <w:rsid w:val="00EF7BD5"/>
    <w:rsid w:val="00F02E03"/>
    <w:rsid w:val="00F04B98"/>
    <w:rsid w:val="00F06ED9"/>
    <w:rsid w:val="00F07333"/>
    <w:rsid w:val="00F07AD9"/>
    <w:rsid w:val="00F10E5F"/>
    <w:rsid w:val="00F1131B"/>
    <w:rsid w:val="00F115D5"/>
    <w:rsid w:val="00F12014"/>
    <w:rsid w:val="00F12CEB"/>
    <w:rsid w:val="00F13468"/>
    <w:rsid w:val="00F1587C"/>
    <w:rsid w:val="00F1595B"/>
    <w:rsid w:val="00F161E5"/>
    <w:rsid w:val="00F175DD"/>
    <w:rsid w:val="00F2005A"/>
    <w:rsid w:val="00F21696"/>
    <w:rsid w:val="00F216C1"/>
    <w:rsid w:val="00F225CE"/>
    <w:rsid w:val="00F22E70"/>
    <w:rsid w:val="00F25C07"/>
    <w:rsid w:val="00F26490"/>
    <w:rsid w:val="00F26D05"/>
    <w:rsid w:val="00F26F16"/>
    <w:rsid w:val="00F3094E"/>
    <w:rsid w:val="00F31E25"/>
    <w:rsid w:val="00F33052"/>
    <w:rsid w:val="00F3476D"/>
    <w:rsid w:val="00F34A7F"/>
    <w:rsid w:val="00F34E46"/>
    <w:rsid w:val="00F35715"/>
    <w:rsid w:val="00F379E4"/>
    <w:rsid w:val="00F406AA"/>
    <w:rsid w:val="00F41BD4"/>
    <w:rsid w:val="00F433F0"/>
    <w:rsid w:val="00F447E3"/>
    <w:rsid w:val="00F44C95"/>
    <w:rsid w:val="00F45E68"/>
    <w:rsid w:val="00F469FD"/>
    <w:rsid w:val="00F4702E"/>
    <w:rsid w:val="00F47442"/>
    <w:rsid w:val="00F50440"/>
    <w:rsid w:val="00F5064A"/>
    <w:rsid w:val="00F53688"/>
    <w:rsid w:val="00F53ECC"/>
    <w:rsid w:val="00F543EC"/>
    <w:rsid w:val="00F573E4"/>
    <w:rsid w:val="00F61E23"/>
    <w:rsid w:val="00F6204D"/>
    <w:rsid w:val="00F647CC"/>
    <w:rsid w:val="00F70813"/>
    <w:rsid w:val="00F72BCF"/>
    <w:rsid w:val="00F763AC"/>
    <w:rsid w:val="00F76A67"/>
    <w:rsid w:val="00F8312D"/>
    <w:rsid w:val="00F835C1"/>
    <w:rsid w:val="00F8540B"/>
    <w:rsid w:val="00F856DB"/>
    <w:rsid w:val="00F858B2"/>
    <w:rsid w:val="00F87ADB"/>
    <w:rsid w:val="00F90DE3"/>
    <w:rsid w:val="00F90E6C"/>
    <w:rsid w:val="00F91377"/>
    <w:rsid w:val="00F91B5A"/>
    <w:rsid w:val="00F9252F"/>
    <w:rsid w:val="00F92B61"/>
    <w:rsid w:val="00F92F5E"/>
    <w:rsid w:val="00F92FD1"/>
    <w:rsid w:val="00F94585"/>
    <w:rsid w:val="00F969DB"/>
    <w:rsid w:val="00F96FE6"/>
    <w:rsid w:val="00FA0987"/>
    <w:rsid w:val="00FA1496"/>
    <w:rsid w:val="00FA2083"/>
    <w:rsid w:val="00FA252D"/>
    <w:rsid w:val="00FA693F"/>
    <w:rsid w:val="00FA69DF"/>
    <w:rsid w:val="00FA6BCE"/>
    <w:rsid w:val="00FA7003"/>
    <w:rsid w:val="00FB11A5"/>
    <w:rsid w:val="00FB143A"/>
    <w:rsid w:val="00FB1F0E"/>
    <w:rsid w:val="00FB26ED"/>
    <w:rsid w:val="00FB2C7E"/>
    <w:rsid w:val="00FB41DF"/>
    <w:rsid w:val="00FB41E4"/>
    <w:rsid w:val="00FB4927"/>
    <w:rsid w:val="00FB4E3C"/>
    <w:rsid w:val="00FB7E71"/>
    <w:rsid w:val="00FC0080"/>
    <w:rsid w:val="00FC11C1"/>
    <w:rsid w:val="00FC17E3"/>
    <w:rsid w:val="00FC196D"/>
    <w:rsid w:val="00FC1BD3"/>
    <w:rsid w:val="00FC1DAA"/>
    <w:rsid w:val="00FC4EAD"/>
    <w:rsid w:val="00FC53FF"/>
    <w:rsid w:val="00FC5DB1"/>
    <w:rsid w:val="00FC77DC"/>
    <w:rsid w:val="00FD05CD"/>
    <w:rsid w:val="00FD093E"/>
    <w:rsid w:val="00FD5AAE"/>
    <w:rsid w:val="00FD6C60"/>
    <w:rsid w:val="00FD711E"/>
    <w:rsid w:val="00FD7EEC"/>
    <w:rsid w:val="00FE058B"/>
    <w:rsid w:val="00FE2237"/>
    <w:rsid w:val="00FE2402"/>
    <w:rsid w:val="00FE2A72"/>
    <w:rsid w:val="00FE4D9F"/>
    <w:rsid w:val="00FE55F2"/>
    <w:rsid w:val="00FF0091"/>
    <w:rsid w:val="00FF1488"/>
    <w:rsid w:val="00FF1DE8"/>
    <w:rsid w:val="00FF1EB2"/>
    <w:rsid w:val="00FF1F67"/>
    <w:rsid w:val="00FF2C36"/>
    <w:rsid w:val="00FF3D93"/>
    <w:rsid w:val="00FF5CC6"/>
    <w:rsid w:val="00FF618C"/>
    <w:rsid w:val="00FF72F1"/>
    <w:rsid w:val="00FF7C4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fill="f" fillcolor="white" stroke="f">
      <v:fill color="white" on="f"/>
      <v:stroke on="f"/>
      <v:textbox inset="0,0,0,0"/>
    </o:shapedefaults>
    <o:shapelayout v:ext="edit">
      <o:idmap v:ext="edit" data="1"/>
    </o:shapelayout>
  </w:shapeDefaults>
  <w:doNotEmbedSmartTags/>
  <w:decimalSymbol w:val="."/>
  <w:listSeparator w:val=","/>
  <w14:docId w14:val="0D40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39F3"/>
    <w:pPr>
      <w:jc w:val="both"/>
    </w:pPr>
  </w:style>
  <w:style w:type="paragraph" w:styleId="Heading1">
    <w:name w:val="heading 1"/>
    <w:basedOn w:val="Normal"/>
    <w:next w:val="Normal"/>
    <w:qFormat/>
    <w:rsid w:val="004B0E94"/>
    <w:pPr>
      <w:pageBreakBefore/>
      <w:numPr>
        <w:numId w:val="2"/>
      </w:numPr>
      <w:spacing w:before="240" w:after="360"/>
      <w:jc w:val="center"/>
      <w:outlineLvl w:val="0"/>
    </w:pPr>
    <w:rPr>
      <w:b/>
      <w:sz w:val="30"/>
    </w:rPr>
  </w:style>
  <w:style w:type="paragraph" w:styleId="Heading2">
    <w:name w:val="heading 2"/>
    <w:basedOn w:val="Normal"/>
    <w:next w:val="Normal"/>
    <w:qFormat/>
    <w:rsid w:val="004B0E94"/>
    <w:pPr>
      <w:numPr>
        <w:ilvl w:val="1"/>
        <w:numId w:val="2"/>
      </w:numPr>
      <w:spacing w:before="240" w:after="120"/>
      <w:outlineLvl w:val="1"/>
    </w:pPr>
    <w:rPr>
      <w:b/>
      <w:sz w:val="26"/>
    </w:rPr>
  </w:style>
  <w:style w:type="paragraph" w:styleId="Heading3">
    <w:name w:val="heading 3"/>
    <w:basedOn w:val="Normal"/>
    <w:next w:val="NormalIndent"/>
    <w:qFormat/>
    <w:rsid w:val="004B0E94"/>
    <w:pPr>
      <w:numPr>
        <w:ilvl w:val="2"/>
        <w:numId w:val="2"/>
      </w:numPr>
      <w:spacing w:before="240" w:after="240"/>
      <w:outlineLvl w:val="2"/>
    </w:pPr>
    <w:rPr>
      <w:sz w:val="24"/>
      <w:u w:val="single"/>
    </w:rPr>
  </w:style>
  <w:style w:type="paragraph" w:styleId="Heading4">
    <w:name w:val="heading 4"/>
    <w:basedOn w:val="Normal"/>
    <w:next w:val="NormalIndent"/>
    <w:qFormat/>
    <w:rsid w:val="004B0E94"/>
    <w:pPr>
      <w:numPr>
        <w:ilvl w:val="3"/>
        <w:numId w:val="3"/>
      </w:numPr>
      <w:spacing w:before="240" w:after="240"/>
      <w:outlineLvl w:val="3"/>
    </w:pPr>
    <w:rPr>
      <w:caps/>
      <w:sz w:val="24"/>
    </w:rPr>
  </w:style>
  <w:style w:type="paragraph" w:styleId="Heading5">
    <w:name w:val="heading 5"/>
    <w:basedOn w:val="Normal"/>
    <w:next w:val="NormalIndent"/>
    <w:qFormat/>
    <w:rsid w:val="004B0E94"/>
    <w:pPr>
      <w:numPr>
        <w:ilvl w:val="4"/>
        <w:numId w:val="3"/>
      </w:numPr>
      <w:outlineLvl w:val="4"/>
    </w:pPr>
    <w:rPr>
      <w:b/>
    </w:rPr>
  </w:style>
  <w:style w:type="paragraph" w:styleId="Heading6">
    <w:name w:val="heading 6"/>
    <w:basedOn w:val="Normal"/>
    <w:next w:val="NormalIndent"/>
    <w:qFormat/>
    <w:rsid w:val="004B0E94"/>
    <w:pPr>
      <w:numPr>
        <w:ilvl w:val="5"/>
        <w:numId w:val="3"/>
      </w:numPr>
      <w:outlineLvl w:val="5"/>
    </w:pPr>
    <w:rPr>
      <w:u w:val="single"/>
    </w:rPr>
  </w:style>
  <w:style w:type="paragraph" w:styleId="Heading7">
    <w:name w:val="heading 7"/>
    <w:basedOn w:val="Normal"/>
    <w:next w:val="NormalIndent"/>
    <w:qFormat/>
    <w:rsid w:val="004B0E94"/>
    <w:pPr>
      <w:numPr>
        <w:ilvl w:val="6"/>
        <w:numId w:val="3"/>
      </w:numPr>
      <w:outlineLvl w:val="6"/>
    </w:pPr>
    <w:rPr>
      <w:i/>
    </w:rPr>
  </w:style>
  <w:style w:type="paragraph" w:styleId="Heading8">
    <w:name w:val="heading 8"/>
    <w:basedOn w:val="Normal"/>
    <w:next w:val="NormalIndent"/>
    <w:qFormat/>
    <w:rsid w:val="004B0E94"/>
    <w:pPr>
      <w:numPr>
        <w:ilvl w:val="7"/>
        <w:numId w:val="3"/>
      </w:numPr>
      <w:outlineLvl w:val="7"/>
    </w:pPr>
    <w:rPr>
      <w:i/>
    </w:rPr>
  </w:style>
  <w:style w:type="paragraph" w:styleId="Heading9">
    <w:name w:val="heading 9"/>
    <w:basedOn w:val="Normal"/>
    <w:next w:val="NormalIndent"/>
    <w:qFormat/>
    <w:rsid w:val="004B0E94"/>
    <w:pPr>
      <w:numPr>
        <w:ilvl w:val="8"/>
        <w:numId w:val="3"/>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4B0E94"/>
    <w:pPr>
      <w:ind w:left="720"/>
    </w:pPr>
  </w:style>
  <w:style w:type="paragraph" w:styleId="Index1">
    <w:name w:val="index 1"/>
    <w:basedOn w:val="Normal"/>
    <w:next w:val="Normal"/>
    <w:semiHidden/>
    <w:rsid w:val="004B0E94"/>
    <w:pPr>
      <w:tabs>
        <w:tab w:val="right" w:pos="8460"/>
      </w:tabs>
      <w:ind w:left="200" w:hanging="200"/>
    </w:pPr>
    <w:rPr>
      <w:sz w:val="18"/>
    </w:rPr>
  </w:style>
  <w:style w:type="character" w:styleId="LineNumber">
    <w:name w:val="line number"/>
    <w:basedOn w:val="DefaultParagraphFont"/>
    <w:rsid w:val="004B0E94"/>
  </w:style>
  <w:style w:type="paragraph" w:styleId="IndexHeading">
    <w:name w:val="index heading"/>
    <w:basedOn w:val="Normal"/>
    <w:next w:val="Index1"/>
    <w:semiHidden/>
    <w:rsid w:val="004B0E94"/>
    <w:pPr>
      <w:spacing w:before="240" w:after="120"/>
      <w:jc w:val="center"/>
    </w:pPr>
    <w:rPr>
      <w:b/>
      <w:sz w:val="26"/>
    </w:rPr>
  </w:style>
  <w:style w:type="paragraph" w:styleId="Footer">
    <w:name w:val="footer"/>
    <w:basedOn w:val="Normal"/>
    <w:rsid w:val="004B0E94"/>
    <w:pPr>
      <w:tabs>
        <w:tab w:val="center" w:pos="4320"/>
        <w:tab w:val="right" w:pos="8640"/>
      </w:tabs>
    </w:pPr>
  </w:style>
  <w:style w:type="paragraph" w:styleId="Header">
    <w:name w:val="header"/>
    <w:basedOn w:val="Normal"/>
    <w:rsid w:val="004B0E94"/>
    <w:pPr>
      <w:tabs>
        <w:tab w:val="center" w:pos="4320"/>
        <w:tab w:val="right" w:pos="8640"/>
      </w:tabs>
    </w:pPr>
  </w:style>
  <w:style w:type="character" w:styleId="FootnoteReference">
    <w:name w:val="footnote reference"/>
    <w:basedOn w:val="DefaultParagraphFont"/>
    <w:semiHidden/>
    <w:rsid w:val="004B0E94"/>
    <w:rPr>
      <w:position w:val="6"/>
      <w:sz w:val="16"/>
    </w:rPr>
  </w:style>
  <w:style w:type="paragraph" w:styleId="FootnoteText">
    <w:name w:val="footnote text"/>
    <w:basedOn w:val="Normal"/>
    <w:semiHidden/>
    <w:rsid w:val="004B0E94"/>
  </w:style>
  <w:style w:type="character" w:styleId="PageNumber">
    <w:name w:val="page number"/>
    <w:basedOn w:val="DefaultParagraphFont"/>
    <w:rsid w:val="004B0E94"/>
  </w:style>
  <w:style w:type="paragraph" w:customStyle="1" w:styleId="TableHead">
    <w:name w:val="TableHead"/>
    <w:basedOn w:val="Normal"/>
    <w:rsid w:val="004B0E94"/>
    <w:pPr>
      <w:numPr>
        <w:ilvl w:val="2"/>
        <w:numId w:val="3"/>
      </w:numPr>
      <w:spacing w:before="240" w:after="240"/>
      <w:jc w:val="center"/>
    </w:pPr>
    <w:rPr>
      <w:sz w:val="24"/>
    </w:rPr>
  </w:style>
  <w:style w:type="paragraph" w:customStyle="1" w:styleId="refer">
    <w:name w:val="refer"/>
    <w:basedOn w:val="Normal"/>
    <w:rsid w:val="004B0E94"/>
    <w:pPr>
      <w:tabs>
        <w:tab w:val="left" w:pos="360"/>
      </w:tabs>
      <w:spacing w:before="120" w:after="120"/>
      <w:ind w:left="360"/>
    </w:pPr>
    <w:rPr>
      <w:sz w:val="24"/>
    </w:rPr>
  </w:style>
  <w:style w:type="paragraph" w:styleId="Index2">
    <w:name w:val="index 2"/>
    <w:basedOn w:val="Normal"/>
    <w:next w:val="Normal"/>
    <w:semiHidden/>
    <w:rsid w:val="004B0E94"/>
    <w:pPr>
      <w:tabs>
        <w:tab w:val="right" w:pos="8460"/>
      </w:tabs>
      <w:ind w:left="400" w:hanging="200"/>
    </w:pPr>
    <w:rPr>
      <w:sz w:val="18"/>
    </w:rPr>
  </w:style>
  <w:style w:type="paragraph" w:styleId="Index3">
    <w:name w:val="index 3"/>
    <w:basedOn w:val="Normal"/>
    <w:next w:val="Normal"/>
    <w:semiHidden/>
    <w:rsid w:val="004B0E94"/>
    <w:pPr>
      <w:tabs>
        <w:tab w:val="right" w:pos="8460"/>
      </w:tabs>
      <w:ind w:left="600" w:hanging="200"/>
    </w:pPr>
    <w:rPr>
      <w:sz w:val="18"/>
    </w:rPr>
  </w:style>
  <w:style w:type="paragraph" w:styleId="Index4">
    <w:name w:val="index 4"/>
    <w:basedOn w:val="Normal"/>
    <w:next w:val="Normal"/>
    <w:semiHidden/>
    <w:rsid w:val="004B0E94"/>
    <w:pPr>
      <w:tabs>
        <w:tab w:val="right" w:pos="8460"/>
      </w:tabs>
      <w:ind w:left="800" w:hanging="200"/>
    </w:pPr>
    <w:rPr>
      <w:sz w:val="18"/>
    </w:rPr>
  </w:style>
  <w:style w:type="paragraph" w:styleId="Index5">
    <w:name w:val="index 5"/>
    <w:basedOn w:val="Normal"/>
    <w:next w:val="Normal"/>
    <w:semiHidden/>
    <w:rsid w:val="004B0E94"/>
    <w:pPr>
      <w:tabs>
        <w:tab w:val="right" w:pos="8460"/>
      </w:tabs>
      <w:ind w:left="1000" w:hanging="200"/>
    </w:pPr>
    <w:rPr>
      <w:sz w:val="18"/>
    </w:rPr>
  </w:style>
  <w:style w:type="paragraph" w:styleId="Index6">
    <w:name w:val="index 6"/>
    <w:basedOn w:val="Normal"/>
    <w:next w:val="Normal"/>
    <w:semiHidden/>
    <w:rsid w:val="004B0E94"/>
    <w:pPr>
      <w:tabs>
        <w:tab w:val="right" w:pos="8460"/>
      </w:tabs>
      <w:ind w:left="1200" w:hanging="200"/>
    </w:pPr>
    <w:rPr>
      <w:sz w:val="18"/>
    </w:rPr>
  </w:style>
  <w:style w:type="paragraph" w:styleId="Index7">
    <w:name w:val="index 7"/>
    <w:basedOn w:val="Normal"/>
    <w:next w:val="Normal"/>
    <w:semiHidden/>
    <w:rsid w:val="004B0E94"/>
    <w:pPr>
      <w:tabs>
        <w:tab w:val="right" w:pos="8460"/>
      </w:tabs>
      <w:ind w:left="1400" w:hanging="200"/>
    </w:pPr>
    <w:rPr>
      <w:sz w:val="18"/>
    </w:rPr>
  </w:style>
  <w:style w:type="paragraph" w:styleId="Index8">
    <w:name w:val="index 8"/>
    <w:basedOn w:val="Normal"/>
    <w:next w:val="Normal"/>
    <w:semiHidden/>
    <w:rsid w:val="004B0E94"/>
    <w:pPr>
      <w:tabs>
        <w:tab w:val="right" w:pos="8460"/>
      </w:tabs>
      <w:ind w:left="1600" w:hanging="200"/>
    </w:pPr>
    <w:rPr>
      <w:sz w:val="18"/>
    </w:rPr>
  </w:style>
  <w:style w:type="paragraph" w:styleId="Index9">
    <w:name w:val="index 9"/>
    <w:basedOn w:val="Normal"/>
    <w:next w:val="Normal"/>
    <w:semiHidden/>
    <w:rsid w:val="004B0E94"/>
    <w:pPr>
      <w:tabs>
        <w:tab w:val="right" w:pos="8460"/>
      </w:tabs>
      <w:ind w:left="1800" w:hanging="200"/>
    </w:pPr>
    <w:rPr>
      <w:sz w:val="18"/>
    </w:rPr>
  </w:style>
  <w:style w:type="paragraph" w:styleId="TOC1">
    <w:name w:val="toc 1"/>
    <w:basedOn w:val="Normal"/>
    <w:next w:val="Normal"/>
    <w:semiHidden/>
    <w:rsid w:val="004B0E94"/>
    <w:pPr>
      <w:tabs>
        <w:tab w:val="right" w:pos="8460"/>
      </w:tabs>
      <w:spacing w:before="360"/>
    </w:pPr>
    <w:rPr>
      <w:rFonts w:ascii="Arial" w:hAnsi="Arial"/>
      <w:b/>
      <w:caps/>
      <w:sz w:val="24"/>
    </w:rPr>
  </w:style>
  <w:style w:type="paragraph" w:styleId="TOC2">
    <w:name w:val="toc 2"/>
    <w:basedOn w:val="Normal"/>
    <w:next w:val="Normal"/>
    <w:semiHidden/>
    <w:rsid w:val="004B0E94"/>
    <w:pPr>
      <w:tabs>
        <w:tab w:val="right" w:pos="8460"/>
      </w:tabs>
      <w:spacing w:before="240"/>
      <w:ind w:left="200"/>
    </w:pPr>
    <w:rPr>
      <w:b/>
    </w:rPr>
  </w:style>
  <w:style w:type="paragraph" w:styleId="TOC3">
    <w:name w:val="toc 3"/>
    <w:basedOn w:val="Normal"/>
    <w:next w:val="Normal"/>
    <w:semiHidden/>
    <w:rsid w:val="004B0E94"/>
    <w:pPr>
      <w:tabs>
        <w:tab w:val="right" w:pos="8460"/>
      </w:tabs>
      <w:ind w:left="400"/>
    </w:pPr>
  </w:style>
  <w:style w:type="paragraph" w:styleId="TOC4">
    <w:name w:val="toc 4"/>
    <w:basedOn w:val="Normal"/>
    <w:next w:val="Normal"/>
    <w:semiHidden/>
    <w:rsid w:val="004B0E94"/>
    <w:pPr>
      <w:tabs>
        <w:tab w:val="right" w:pos="8460"/>
      </w:tabs>
      <w:ind w:left="600"/>
    </w:pPr>
  </w:style>
  <w:style w:type="paragraph" w:styleId="TOC5">
    <w:name w:val="toc 5"/>
    <w:basedOn w:val="Normal"/>
    <w:next w:val="Normal"/>
    <w:semiHidden/>
    <w:rsid w:val="004B0E94"/>
    <w:pPr>
      <w:tabs>
        <w:tab w:val="right" w:pos="8460"/>
      </w:tabs>
      <w:ind w:left="800"/>
    </w:pPr>
  </w:style>
  <w:style w:type="paragraph" w:styleId="TOC6">
    <w:name w:val="toc 6"/>
    <w:basedOn w:val="Normal"/>
    <w:next w:val="Normal"/>
    <w:semiHidden/>
    <w:rsid w:val="004B0E94"/>
    <w:pPr>
      <w:tabs>
        <w:tab w:val="right" w:pos="8460"/>
      </w:tabs>
      <w:ind w:left="1000"/>
    </w:pPr>
  </w:style>
  <w:style w:type="paragraph" w:styleId="TOC7">
    <w:name w:val="toc 7"/>
    <w:basedOn w:val="Normal"/>
    <w:next w:val="Normal"/>
    <w:semiHidden/>
    <w:rsid w:val="004B0E94"/>
    <w:pPr>
      <w:tabs>
        <w:tab w:val="right" w:pos="8460"/>
      </w:tabs>
      <w:ind w:left="1200"/>
    </w:pPr>
  </w:style>
  <w:style w:type="paragraph" w:styleId="TOC8">
    <w:name w:val="toc 8"/>
    <w:basedOn w:val="Normal"/>
    <w:next w:val="Normal"/>
    <w:semiHidden/>
    <w:rsid w:val="004B0E94"/>
    <w:pPr>
      <w:tabs>
        <w:tab w:val="right" w:pos="8460"/>
      </w:tabs>
      <w:ind w:left="1400"/>
    </w:pPr>
  </w:style>
  <w:style w:type="paragraph" w:styleId="TOC9">
    <w:name w:val="toc 9"/>
    <w:basedOn w:val="Normal"/>
    <w:next w:val="Normal"/>
    <w:semiHidden/>
    <w:rsid w:val="004B0E94"/>
    <w:pPr>
      <w:tabs>
        <w:tab w:val="right" w:pos="8460"/>
      </w:tabs>
      <w:ind w:left="1600"/>
    </w:pPr>
  </w:style>
  <w:style w:type="character" w:styleId="CommentReference">
    <w:name w:val="annotation reference"/>
    <w:basedOn w:val="DefaultParagraphFont"/>
    <w:uiPriority w:val="99"/>
    <w:semiHidden/>
    <w:rsid w:val="004B0E94"/>
    <w:rPr>
      <w:sz w:val="16"/>
    </w:rPr>
  </w:style>
  <w:style w:type="paragraph" w:styleId="CommentText">
    <w:name w:val="annotation text"/>
    <w:basedOn w:val="Normal"/>
    <w:link w:val="CommentTextChar"/>
    <w:uiPriority w:val="99"/>
    <w:rsid w:val="004B0E94"/>
  </w:style>
  <w:style w:type="paragraph" w:styleId="BodyText">
    <w:name w:val="Body Text"/>
    <w:basedOn w:val="Normal"/>
    <w:rsid w:val="004B0E94"/>
    <w:pPr>
      <w:jc w:val="left"/>
    </w:pPr>
    <w:rPr>
      <w:rFonts w:ascii="Arial" w:hAnsi="Arial"/>
      <w:color w:val="000000"/>
    </w:rPr>
  </w:style>
  <w:style w:type="paragraph" w:styleId="Title">
    <w:name w:val="Title"/>
    <w:basedOn w:val="Normal"/>
    <w:qFormat/>
    <w:rsid w:val="004B0E94"/>
    <w:pPr>
      <w:jc w:val="center"/>
    </w:pPr>
    <w:rPr>
      <w:sz w:val="28"/>
    </w:rPr>
  </w:style>
  <w:style w:type="character" w:styleId="Hyperlink">
    <w:name w:val="Hyperlink"/>
    <w:basedOn w:val="DefaultParagraphFont"/>
    <w:rsid w:val="004B0E94"/>
    <w:rPr>
      <w:color w:val="0000FF"/>
      <w:u w:val="single"/>
    </w:rPr>
  </w:style>
  <w:style w:type="paragraph" w:styleId="CommentSubject">
    <w:name w:val="annotation subject"/>
    <w:basedOn w:val="CommentText"/>
    <w:next w:val="CommentText"/>
    <w:semiHidden/>
    <w:rsid w:val="00DA355F"/>
    <w:rPr>
      <w:b/>
      <w:bCs/>
    </w:rPr>
  </w:style>
  <w:style w:type="paragraph" w:styleId="BalloonText">
    <w:name w:val="Balloon Text"/>
    <w:basedOn w:val="Normal"/>
    <w:semiHidden/>
    <w:rsid w:val="00DA355F"/>
    <w:rPr>
      <w:rFonts w:ascii="Tahoma" w:hAnsi="Tahoma" w:cs="Tahoma"/>
      <w:sz w:val="16"/>
      <w:szCs w:val="16"/>
    </w:rPr>
  </w:style>
  <w:style w:type="paragraph" w:styleId="Caption">
    <w:name w:val="caption"/>
    <w:basedOn w:val="Normal"/>
    <w:next w:val="Normal"/>
    <w:qFormat/>
    <w:rsid w:val="00435F0F"/>
    <w:rPr>
      <w:b/>
      <w:bCs/>
    </w:rPr>
  </w:style>
  <w:style w:type="paragraph" w:styleId="Revision">
    <w:name w:val="Revision"/>
    <w:hidden/>
    <w:uiPriority w:val="99"/>
    <w:semiHidden/>
    <w:rsid w:val="00765BEC"/>
  </w:style>
  <w:style w:type="paragraph" w:styleId="ListParagraph">
    <w:name w:val="List Paragraph"/>
    <w:basedOn w:val="Normal"/>
    <w:uiPriority w:val="34"/>
    <w:qFormat/>
    <w:rsid w:val="000E289A"/>
    <w:pPr>
      <w:ind w:left="720"/>
      <w:contextualSpacing/>
    </w:pPr>
  </w:style>
  <w:style w:type="table" w:styleId="TableGrid">
    <w:name w:val="Table Grid"/>
    <w:basedOn w:val="TableNormal"/>
    <w:uiPriority w:val="59"/>
    <w:rsid w:val="008D3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424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9623">
      <w:bodyDiv w:val="1"/>
      <w:marLeft w:val="0"/>
      <w:marRight w:val="0"/>
      <w:marTop w:val="0"/>
      <w:marBottom w:val="0"/>
      <w:divBdr>
        <w:top w:val="none" w:sz="0" w:space="0" w:color="auto"/>
        <w:left w:val="none" w:sz="0" w:space="0" w:color="auto"/>
        <w:bottom w:val="none" w:sz="0" w:space="0" w:color="auto"/>
        <w:right w:val="none" w:sz="0" w:space="0" w:color="auto"/>
      </w:divBdr>
    </w:div>
    <w:div w:id="27530851">
      <w:bodyDiv w:val="1"/>
      <w:marLeft w:val="0"/>
      <w:marRight w:val="0"/>
      <w:marTop w:val="0"/>
      <w:marBottom w:val="0"/>
      <w:divBdr>
        <w:top w:val="none" w:sz="0" w:space="0" w:color="auto"/>
        <w:left w:val="none" w:sz="0" w:space="0" w:color="auto"/>
        <w:bottom w:val="none" w:sz="0" w:space="0" w:color="auto"/>
        <w:right w:val="none" w:sz="0" w:space="0" w:color="auto"/>
      </w:divBdr>
    </w:div>
    <w:div w:id="46077375">
      <w:bodyDiv w:val="1"/>
      <w:marLeft w:val="0"/>
      <w:marRight w:val="0"/>
      <w:marTop w:val="0"/>
      <w:marBottom w:val="0"/>
      <w:divBdr>
        <w:top w:val="none" w:sz="0" w:space="0" w:color="auto"/>
        <w:left w:val="none" w:sz="0" w:space="0" w:color="auto"/>
        <w:bottom w:val="none" w:sz="0" w:space="0" w:color="auto"/>
        <w:right w:val="none" w:sz="0" w:space="0" w:color="auto"/>
      </w:divBdr>
    </w:div>
    <w:div w:id="89202269">
      <w:bodyDiv w:val="1"/>
      <w:marLeft w:val="0"/>
      <w:marRight w:val="0"/>
      <w:marTop w:val="0"/>
      <w:marBottom w:val="0"/>
      <w:divBdr>
        <w:top w:val="none" w:sz="0" w:space="0" w:color="auto"/>
        <w:left w:val="none" w:sz="0" w:space="0" w:color="auto"/>
        <w:bottom w:val="none" w:sz="0" w:space="0" w:color="auto"/>
        <w:right w:val="none" w:sz="0" w:space="0" w:color="auto"/>
      </w:divBdr>
    </w:div>
    <w:div w:id="97262544">
      <w:bodyDiv w:val="1"/>
      <w:marLeft w:val="0"/>
      <w:marRight w:val="0"/>
      <w:marTop w:val="0"/>
      <w:marBottom w:val="0"/>
      <w:divBdr>
        <w:top w:val="none" w:sz="0" w:space="0" w:color="auto"/>
        <w:left w:val="none" w:sz="0" w:space="0" w:color="auto"/>
        <w:bottom w:val="none" w:sz="0" w:space="0" w:color="auto"/>
        <w:right w:val="none" w:sz="0" w:space="0" w:color="auto"/>
      </w:divBdr>
    </w:div>
    <w:div w:id="122235733">
      <w:bodyDiv w:val="1"/>
      <w:marLeft w:val="0"/>
      <w:marRight w:val="0"/>
      <w:marTop w:val="0"/>
      <w:marBottom w:val="0"/>
      <w:divBdr>
        <w:top w:val="none" w:sz="0" w:space="0" w:color="auto"/>
        <w:left w:val="none" w:sz="0" w:space="0" w:color="auto"/>
        <w:bottom w:val="none" w:sz="0" w:space="0" w:color="auto"/>
        <w:right w:val="none" w:sz="0" w:space="0" w:color="auto"/>
      </w:divBdr>
    </w:div>
    <w:div w:id="124354474">
      <w:bodyDiv w:val="1"/>
      <w:marLeft w:val="0"/>
      <w:marRight w:val="0"/>
      <w:marTop w:val="0"/>
      <w:marBottom w:val="0"/>
      <w:divBdr>
        <w:top w:val="none" w:sz="0" w:space="0" w:color="auto"/>
        <w:left w:val="none" w:sz="0" w:space="0" w:color="auto"/>
        <w:bottom w:val="none" w:sz="0" w:space="0" w:color="auto"/>
        <w:right w:val="none" w:sz="0" w:space="0" w:color="auto"/>
      </w:divBdr>
    </w:div>
    <w:div w:id="137116648">
      <w:bodyDiv w:val="1"/>
      <w:marLeft w:val="0"/>
      <w:marRight w:val="0"/>
      <w:marTop w:val="0"/>
      <w:marBottom w:val="0"/>
      <w:divBdr>
        <w:top w:val="none" w:sz="0" w:space="0" w:color="auto"/>
        <w:left w:val="none" w:sz="0" w:space="0" w:color="auto"/>
        <w:bottom w:val="none" w:sz="0" w:space="0" w:color="auto"/>
        <w:right w:val="none" w:sz="0" w:space="0" w:color="auto"/>
      </w:divBdr>
    </w:div>
    <w:div w:id="153374280">
      <w:bodyDiv w:val="1"/>
      <w:marLeft w:val="0"/>
      <w:marRight w:val="0"/>
      <w:marTop w:val="0"/>
      <w:marBottom w:val="0"/>
      <w:divBdr>
        <w:top w:val="none" w:sz="0" w:space="0" w:color="auto"/>
        <w:left w:val="none" w:sz="0" w:space="0" w:color="auto"/>
        <w:bottom w:val="none" w:sz="0" w:space="0" w:color="auto"/>
        <w:right w:val="none" w:sz="0" w:space="0" w:color="auto"/>
      </w:divBdr>
    </w:div>
    <w:div w:id="157891604">
      <w:bodyDiv w:val="1"/>
      <w:marLeft w:val="0"/>
      <w:marRight w:val="0"/>
      <w:marTop w:val="0"/>
      <w:marBottom w:val="0"/>
      <w:divBdr>
        <w:top w:val="none" w:sz="0" w:space="0" w:color="auto"/>
        <w:left w:val="none" w:sz="0" w:space="0" w:color="auto"/>
        <w:bottom w:val="none" w:sz="0" w:space="0" w:color="auto"/>
        <w:right w:val="none" w:sz="0" w:space="0" w:color="auto"/>
      </w:divBdr>
    </w:div>
    <w:div w:id="181090192">
      <w:bodyDiv w:val="1"/>
      <w:marLeft w:val="0"/>
      <w:marRight w:val="0"/>
      <w:marTop w:val="0"/>
      <w:marBottom w:val="0"/>
      <w:divBdr>
        <w:top w:val="none" w:sz="0" w:space="0" w:color="auto"/>
        <w:left w:val="none" w:sz="0" w:space="0" w:color="auto"/>
        <w:bottom w:val="none" w:sz="0" w:space="0" w:color="auto"/>
        <w:right w:val="none" w:sz="0" w:space="0" w:color="auto"/>
      </w:divBdr>
    </w:div>
    <w:div w:id="251663372">
      <w:bodyDiv w:val="1"/>
      <w:marLeft w:val="0"/>
      <w:marRight w:val="0"/>
      <w:marTop w:val="0"/>
      <w:marBottom w:val="0"/>
      <w:divBdr>
        <w:top w:val="none" w:sz="0" w:space="0" w:color="auto"/>
        <w:left w:val="none" w:sz="0" w:space="0" w:color="auto"/>
        <w:bottom w:val="none" w:sz="0" w:space="0" w:color="auto"/>
        <w:right w:val="none" w:sz="0" w:space="0" w:color="auto"/>
      </w:divBdr>
    </w:div>
    <w:div w:id="254483755">
      <w:bodyDiv w:val="1"/>
      <w:marLeft w:val="0"/>
      <w:marRight w:val="0"/>
      <w:marTop w:val="0"/>
      <w:marBottom w:val="0"/>
      <w:divBdr>
        <w:top w:val="none" w:sz="0" w:space="0" w:color="auto"/>
        <w:left w:val="none" w:sz="0" w:space="0" w:color="auto"/>
        <w:bottom w:val="none" w:sz="0" w:space="0" w:color="auto"/>
        <w:right w:val="none" w:sz="0" w:space="0" w:color="auto"/>
      </w:divBdr>
    </w:div>
    <w:div w:id="280496134">
      <w:bodyDiv w:val="1"/>
      <w:marLeft w:val="0"/>
      <w:marRight w:val="0"/>
      <w:marTop w:val="0"/>
      <w:marBottom w:val="0"/>
      <w:divBdr>
        <w:top w:val="none" w:sz="0" w:space="0" w:color="auto"/>
        <w:left w:val="none" w:sz="0" w:space="0" w:color="auto"/>
        <w:bottom w:val="none" w:sz="0" w:space="0" w:color="auto"/>
        <w:right w:val="none" w:sz="0" w:space="0" w:color="auto"/>
      </w:divBdr>
    </w:div>
    <w:div w:id="318271419">
      <w:bodyDiv w:val="1"/>
      <w:marLeft w:val="0"/>
      <w:marRight w:val="0"/>
      <w:marTop w:val="0"/>
      <w:marBottom w:val="0"/>
      <w:divBdr>
        <w:top w:val="none" w:sz="0" w:space="0" w:color="auto"/>
        <w:left w:val="none" w:sz="0" w:space="0" w:color="auto"/>
        <w:bottom w:val="none" w:sz="0" w:space="0" w:color="auto"/>
        <w:right w:val="none" w:sz="0" w:space="0" w:color="auto"/>
      </w:divBdr>
    </w:div>
    <w:div w:id="328214921">
      <w:bodyDiv w:val="1"/>
      <w:marLeft w:val="0"/>
      <w:marRight w:val="0"/>
      <w:marTop w:val="0"/>
      <w:marBottom w:val="0"/>
      <w:divBdr>
        <w:top w:val="none" w:sz="0" w:space="0" w:color="auto"/>
        <w:left w:val="none" w:sz="0" w:space="0" w:color="auto"/>
        <w:bottom w:val="none" w:sz="0" w:space="0" w:color="auto"/>
        <w:right w:val="none" w:sz="0" w:space="0" w:color="auto"/>
      </w:divBdr>
    </w:div>
    <w:div w:id="329405650">
      <w:bodyDiv w:val="1"/>
      <w:marLeft w:val="0"/>
      <w:marRight w:val="0"/>
      <w:marTop w:val="0"/>
      <w:marBottom w:val="0"/>
      <w:divBdr>
        <w:top w:val="none" w:sz="0" w:space="0" w:color="auto"/>
        <w:left w:val="none" w:sz="0" w:space="0" w:color="auto"/>
        <w:bottom w:val="none" w:sz="0" w:space="0" w:color="auto"/>
        <w:right w:val="none" w:sz="0" w:space="0" w:color="auto"/>
      </w:divBdr>
    </w:div>
    <w:div w:id="334919390">
      <w:bodyDiv w:val="1"/>
      <w:marLeft w:val="0"/>
      <w:marRight w:val="0"/>
      <w:marTop w:val="0"/>
      <w:marBottom w:val="0"/>
      <w:divBdr>
        <w:top w:val="none" w:sz="0" w:space="0" w:color="auto"/>
        <w:left w:val="none" w:sz="0" w:space="0" w:color="auto"/>
        <w:bottom w:val="none" w:sz="0" w:space="0" w:color="auto"/>
        <w:right w:val="none" w:sz="0" w:space="0" w:color="auto"/>
      </w:divBdr>
    </w:div>
    <w:div w:id="359477937">
      <w:bodyDiv w:val="1"/>
      <w:marLeft w:val="0"/>
      <w:marRight w:val="0"/>
      <w:marTop w:val="0"/>
      <w:marBottom w:val="0"/>
      <w:divBdr>
        <w:top w:val="none" w:sz="0" w:space="0" w:color="auto"/>
        <w:left w:val="none" w:sz="0" w:space="0" w:color="auto"/>
        <w:bottom w:val="none" w:sz="0" w:space="0" w:color="auto"/>
        <w:right w:val="none" w:sz="0" w:space="0" w:color="auto"/>
      </w:divBdr>
    </w:div>
    <w:div w:id="367605592">
      <w:bodyDiv w:val="1"/>
      <w:marLeft w:val="0"/>
      <w:marRight w:val="0"/>
      <w:marTop w:val="0"/>
      <w:marBottom w:val="0"/>
      <w:divBdr>
        <w:top w:val="none" w:sz="0" w:space="0" w:color="auto"/>
        <w:left w:val="none" w:sz="0" w:space="0" w:color="auto"/>
        <w:bottom w:val="none" w:sz="0" w:space="0" w:color="auto"/>
        <w:right w:val="none" w:sz="0" w:space="0" w:color="auto"/>
      </w:divBdr>
    </w:div>
    <w:div w:id="398481092">
      <w:bodyDiv w:val="1"/>
      <w:marLeft w:val="0"/>
      <w:marRight w:val="0"/>
      <w:marTop w:val="0"/>
      <w:marBottom w:val="0"/>
      <w:divBdr>
        <w:top w:val="none" w:sz="0" w:space="0" w:color="auto"/>
        <w:left w:val="none" w:sz="0" w:space="0" w:color="auto"/>
        <w:bottom w:val="none" w:sz="0" w:space="0" w:color="auto"/>
        <w:right w:val="none" w:sz="0" w:space="0" w:color="auto"/>
      </w:divBdr>
    </w:div>
    <w:div w:id="427123562">
      <w:bodyDiv w:val="1"/>
      <w:marLeft w:val="0"/>
      <w:marRight w:val="0"/>
      <w:marTop w:val="0"/>
      <w:marBottom w:val="0"/>
      <w:divBdr>
        <w:top w:val="none" w:sz="0" w:space="0" w:color="auto"/>
        <w:left w:val="none" w:sz="0" w:space="0" w:color="auto"/>
        <w:bottom w:val="none" w:sz="0" w:space="0" w:color="auto"/>
        <w:right w:val="none" w:sz="0" w:space="0" w:color="auto"/>
      </w:divBdr>
    </w:div>
    <w:div w:id="429859620">
      <w:bodyDiv w:val="1"/>
      <w:marLeft w:val="0"/>
      <w:marRight w:val="0"/>
      <w:marTop w:val="0"/>
      <w:marBottom w:val="0"/>
      <w:divBdr>
        <w:top w:val="none" w:sz="0" w:space="0" w:color="auto"/>
        <w:left w:val="none" w:sz="0" w:space="0" w:color="auto"/>
        <w:bottom w:val="none" w:sz="0" w:space="0" w:color="auto"/>
        <w:right w:val="none" w:sz="0" w:space="0" w:color="auto"/>
      </w:divBdr>
    </w:div>
    <w:div w:id="430467543">
      <w:bodyDiv w:val="1"/>
      <w:marLeft w:val="0"/>
      <w:marRight w:val="0"/>
      <w:marTop w:val="0"/>
      <w:marBottom w:val="0"/>
      <w:divBdr>
        <w:top w:val="none" w:sz="0" w:space="0" w:color="auto"/>
        <w:left w:val="none" w:sz="0" w:space="0" w:color="auto"/>
        <w:bottom w:val="none" w:sz="0" w:space="0" w:color="auto"/>
        <w:right w:val="none" w:sz="0" w:space="0" w:color="auto"/>
      </w:divBdr>
    </w:div>
    <w:div w:id="460000099">
      <w:bodyDiv w:val="1"/>
      <w:marLeft w:val="0"/>
      <w:marRight w:val="0"/>
      <w:marTop w:val="0"/>
      <w:marBottom w:val="0"/>
      <w:divBdr>
        <w:top w:val="none" w:sz="0" w:space="0" w:color="auto"/>
        <w:left w:val="none" w:sz="0" w:space="0" w:color="auto"/>
        <w:bottom w:val="none" w:sz="0" w:space="0" w:color="auto"/>
        <w:right w:val="none" w:sz="0" w:space="0" w:color="auto"/>
      </w:divBdr>
    </w:div>
    <w:div w:id="470364489">
      <w:bodyDiv w:val="1"/>
      <w:marLeft w:val="0"/>
      <w:marRight w:val="0"/>
      <w:marTop w:val="0"/>
      <w:marBottom w:val="0"/>
      <w:divBdr>
        <w:top w:val="none" w:sz="0" w:space="0" w:color="auto"/>
        <w:left w:val="none" w:sz="0" w:space="0" w:color="auto"/>
        <w:bottom w:val="none" w:sz="0" w:space="0" w:color="auto"/>
        <w:right w:val="none" w:sz="0" w:space="0" w:color="auto"/>
      </w:divBdr>
    </w:div>
    <w:div w:id="477185429">
      <w:bodyDiv w:val="1"/>
      <w:marLeft w:val="0"/>
      <w:marRight w:val="0"/>
      <w:marTop w:val="0"/>
      <w:marBottom w:val="0"/>
      <w:divBdr>
        <w:top w:val="none" w:sz="0" w:space="0" w:color="auto"/>
        <w:left w:val="none" w:sz="0" w:space="0" w:color="auto"/>
        <w:bottom w:val="none" w:sz="0" w:space="0" w:color="auto"/>
        <w:right w:val="none" w:sz="0" w:space="0" w:color="auto"/>
      </w:divBdr>
    </w:div>
    <w:div w:id="497580846">
      <w:bodyDiv w:val="1"/>
      <w:marLeft w:val="0"/>
      <w:marRight w:val="0"/>
      <w:marTop w:val="0"/>
      <w:marBottom w:val="0"/>
      <w:divBdr>
        <w:top w:val="none" w:sz="0" w:space="0" w:color="auto"/>
        <w:left w:val="none" w:sz="0" w:space="0" w:color="auto"/>
        <w:bottom w:val="none" w:sz="0" w:space="0" w:color="auto"/>
        <w:right w:val="none" w:sz="0" w:space="0" w:color="auto"/>
      </w:divBdr>
    </w:div>
    <w:div w:id="577207921">
      <w:bodyDiv w:val="1"/>
      <w:marLeft w:val="0"/>
      <w:marRight w:val="0"/>
      <w:marTop w:val="0"/>
      <w:marBottom w:val="0"/>
      <w:divBdr>
        <w:top w:val="none" w:sz="0" w:space="0" w:color="auto"/>
        <w:left w:val="none" w:sz="0" w:space="0" w:color="auto"/>
        <w:bottom w:val="none" w:sz="0" w:space="0" w:color="auto"/>
        <w:right w:val="none" w:sz="0" w:space="0" w:color="auto"/>
      </w:divBdr>
    </w:div>
    <w:div w:id="624628380">
      <w:bodyDiv w:val="1"/>
      <w:marLeft w:val="0"/>
      <w:marRight w:val="0"/>
      <w:marTop w:val="0"/>
      <w:marBottom w:val="0"/>
      <w:divBdr>
        <w:top w:val="none" w:sz="0" w:space="0" w:color="auto"/>
        <w:left w:val="none" w:sz="0" w:space="0" w:color="auto"/>
        <w:bottom w:val="none" w:sz="0" w:space="0" w:color="auto"/>
        <w:right w:val="none" w:sz="0" w:space="0" w:color="auto"/>
      </w:divBdr>
    </w:div>
    <w:div w:id="655037031">
      <w:bodyDiv w:val="1"/>
      <w:marLeft w:val="0"/>
      <w:marRight w:val="0"/>
      <w:marTop w:val="0"/>
      <w:marBottom w:val="0"/>
      <w:divBdr>
        <w:top w:val="none" w:sz="0" w:space="0" w:color="auto"/>
        <w:left w:val="none" w:sz="0" w:space="0" w:color="auto"/>
        <w:bottom w:val="none" w:sz="0" w:space="0" w:color="auto"/>
        <w:right w:val="none" w:sz="0" w:space="0" w:color="auto"/>
      </w:divBdr>
    </w:div>
    <w:div w:id="664359834">
      <w:bodyDiv w:val="1"/>
      <w:marLeft w:val="0"/>
      <w:marRight w:val="0"/>
      <w:marTop w:val="0"/>
      <w:marBottom w:val="0"/>
      <w:divBdr>
        <w:top w:val="none" w:sz="0" w:space="0" w:color="auto"/>
        <w:left w:val="none" w:sz="0" w:space="0" w:color="auto"/>
        <w:bottom w:val="none" w:sz="0" w:space="0" w:color="auto"/>
        <w:right w:val="none" w:sz="0" w:space="0" w:color="auto"/>
      </w:divBdr>
    </w:div>
    <w:div w:id="680398464">
      <w:bodyDiv w:val="1"/>
      <w:marLeft w:val="0"/>
      <w:marRight w:val="0"/>
      <w:marTop w:val="0"/>
      <w:marBottom w:val="0"/>
      <w:divBdr>
        <w:top w:val="none" w:sz="0" w:space="0" w:color="auto"/>
        <w:left w:val="none" w:sz="0" w:space="0" w:color="auto"/>
        <w:bottom w:val="none" w:sz="0" w:space="0" w:color="auto"/>
        <w:right w:val="none" w:sz="0" w:space="0" w:color="auto"/>
      </w:divBdr>
    </w:div>
    <w:div w:id="762996379">
      <w:bodyDiv w:val="1"/>
      <w:marLeft w:val="0"/>
      <w:marRight w:val="0"/>
      <w:marTop w:val="0"/>
      <w:marBottom w:val="0"/>
      <w:divBdr>
        <w:top w:val="none" w:sz="0" w:space="0" w:color="auto"/>
        <w:left w:val="none" w:sz="0" w:space="0" w:color="auto"/>
        <w:bottom w:val="none" w:sz="0" w:space="0" w:color="auto"/>
        <w:right w:val="none" w:sz="0" w:space="0" w:color="auto"/>
      </w:divBdr>
    </w:div>
    <w:div w:id="817576539">
      <w:bodyDiv w:val="1"/>
      <w:marLeft w:val="0"/>
      <w:marRight w:val="0"/>
      <w:marTop w:val="0"/>
      <w:marBottom w:val="0"/>
      <w:divBdr>
        <w:top w:val="none" w:sz="0" w:space="0" w:color="auto"/>
        <w:left w:val="none" w:sz="0" w:space="0" w:color="auto"/>
        <w:bottom w:val="none" w:sz="0" w:space="0" w:color="auto"/>
        <w:right w:val="none" w:sz="0" w:space="0" w:color="auto"/>
      </w:divBdr>
    </w:div>
    <w:div w:id="858470071">
      <w:bodyDiv w:val="1"/>
      <w:marLeft w:val="0"/>
      <w:marRight w:val="0"/>
      <w:marTop w:val="0"/>
      <w:marBottom w:val="0"/>
      <w:divBdr>
        <w:top w:val="none" w:sz="0" w:space="0" w:color="auto"/>
        <w:left w:val="none" w:sz="0" w:space="0" w:color="auto"/>
        <w:bottom w:val="none" w:sz="0" w:space="0" w:color="auto"/>
        <w:right w:val="none" w:sz="0" w:space="0" w:color="auto"/>
      </w:divBdr>
    </w:div>
    <w:div w:id="923539175">
      <w:bodyDiv w:val="1"/>
      <w:marLeft w:val="0"/>
      <w:marRight w:val="0"/>
      <w:marTop w:val="0"/>
      <w:marBottom w:val="0"/>
      <w:divBdr>
        <w:top w:val="none" w:sz="0" w:space="0" w:color="auto"/>
        <w:left w:val="none" w:sz="0" w:space="0" w:color="auto"/>
        <w:bottom w:val="none" w:sz="0" w:space="0" w:color="auto"/>
        <w:right w:val="none" w:sz="0" w:space="0" w:color="auto"/>
      </w:divBdr>
    </w:div>
    <w:div w:id="981614638">
      <w:bodyDiv w:val="1"/>
      <w:marLeft w:val="0"/>
      <w:marRight w:val="0"/>
      <w:marTop w:val="0"/>
      <w:marBottom w:val="0"/>
      <w:divBdr>
        <w:top w:val="none" w:sz="0" w:space="0" w:color="auto"/>
        <w:left w:val="none" w:sz="0" w:space="0" w:color="auto"/>
        <w:bottom w:val="none" w:sz="0" w:space="0" w:color="auto"/>
        <w:right w:val="none" w:sz="0" w:space="0" w:color="auto"/>
      </w:divBdr>
    </w:div>
    <w:div w:id="994534290">
      <w:bodyDiv w:val="1"/>
      <w:marLeft w:val="0"/>
      <w:marRight w:val="0"/>
      <w:marTop w:val="0"/>
      <w:marBottom w:val="0"/>
      <w:divBdr>
        <w:top w:val="none" w:sz="0" w:space="0" w:color="auto"/>
        <w:left w:val="none" w:sz="0" w:space="0" w:color="auto"/>
        <w:bottom w:val="none" w:sz="0" w:space="0" w:color="auto"/>
        <w:right w:val="none" w:sz="0" w:space="0" w:color="auto"/>
      </w:divBdr>
    </w:div>
    <w:div w:id="1004086747">
      <w:bodyDiv w:val="1"/>
      <w:marLeft w:val="0"/>
      <w:marRight w:val="0"/>
      <w:marTop w:val="0"/>
      <w:marBottom w:val="0"/>
      <w:divBdr>
        <w:top w:val="none" w:sz="0" w:space="0" w:color="auto"/>
        <w:left w:val="none" w:sz="0" w:space="0" w:color="auto"/>
        <w:bottom w:val="none" w:sz="0" w:space="0" w:color="auto"/>
        <w:right w:val="none" w:sz="0" w:space="0" w:color="auto"/>
      </w:divBdr>
    </w:div>
    <w:div w:id="1050035896">
      <w:bodyDiv w:val="1"/>
      <w:marLeft w:val="0"/>
      <w:marRight w:val="0"/>
      <w:marTop w:val="0"/>
      <w:marBottom w:val="0"/>
      <w:divBdr>
        <w:top w:val="none" w:sz="0" w:space="0" w:color="auto"/>
        <w:left w:val="none" w:sz="0" w:space="0" w:color="auto"/>
        <w:bottom w:val="none" w:sz="0" w:space="0" w:color="auto"/>
        <w:right w:val="none" w:sz="0" w:space="0" w:color="auto"/>
      </w:divBdr>
    </w:div>
    <w:div w:id="1124815242">
      <w:bodyDiv w:val="1"/>
      <w:marLeft w:val="0"/>
      <w:marRight w:val="0"/>
      <w:marTop w:val="0"/>
      <w:marBottom w:val="0"/>
      <w:divBdr>
        <w:top w:val="none" w:sz="0" w:space="0" w:color="auto"/>
        <w:left w:val="none" w:sz="0" w:space="0" w:color="auto"/>
        <w:bottom w:val="none" w:sz="0" w:space="0" w:color="auto"/>
        <w:right w:val="none" w:sz="0" w:space="0" w:color="auto"/>
      </w:divBdr>
    </w:div>
    <w:div w:id="1131896179">
      <w:bodyDiv w:val="1"/>
      <w:marLeft w:val="0"/>
      <w:marRight w:val="0"/>
      <w:marTop w:val="0"/>
      <w:marBottom w:val="0"/>
      <w:divBdr>
        <w:top w:val="none" w:sz="0" w:space="0" w:color="auto"/>
        <w:left w:val="none" w:sz="0" w:space="0" w:color="auto"/>
        <w:bottom w:val="none" w:sz="0" w:space="0" w:color="auto"/>
        <w:right w:val="none" w:sz="0" w:space="0" w:color="auto"/>
      </w:divBdr>
    </w:div>
    <w:div w:id="1148128936">
      <w:bodyDiv w:val="1"/>
      <w:marLeft w:val="0"/>
      <w:marRight w:val="0"/>
      <w:marTop w:val="0"/>
      <w:marBottom w:val="0"/>
      <w:divBdr>
        <w:top w:val="none" w:sz="0" w:space="0" w:color="auto"/>
        <w:left w:val="none" w:sz="0" w:space="0" w:color="auto"/>
        <w:bottom w:val="none" w:sz="0" w:space="0" w:color="auto"/>
        <w:right w:val="none" w:sz="0" w:space="0" w:color="auto"/>
      </w:divBdr>
    </w:div>
    <w:div w:id="1184129845">
      <w:bodyDiv w:val="1"/>
      <w:marLeft w:val="0"/>
      <w:marRight w:val="0"/>
      <w:marTop w:val="0"/>
      <w:marBottom w:val="0"/>
      <w:divBdr>
        <w:top w:val="none" w:sz="0" w:space="0" w:color="auto"/>
        <w:left w:val="none" w:sz="0" w:space="0" w:color="auto"/>
        <w:bottom w:val="none" w:sz="0" w:space="0" w:color="auto"/>
        <w:right w:val="none" w:sz="0" w:space="0" w:color="auto"/>
      </w:divBdr>
    </w:div>
    <w:div w:id="1243611810">
      <w:bodyDiv w:val="1"/>
      <w:marLeft w:val="0"/>
      <w:marRight w:val="0"/>
      <w:marTop w:val="0"/>
      <w:marBottom w:val="0"/>
      <w:divBdr>
        <w:top w:val="none" w:sz="0" w:space="0" w:color="auto"/>
        <w:left w:val="none" w:sz="0" w:space="0" w:color="auto"/>
        <w:bottom w:val="none" w:sz="0" w:space="0" w:color="auto"/>
        <w:right w:val="none" w:sz="0" w:space="0" w:color="auto"/>
      </w:divBdr>
    </w:div>
    <w:div w:id="1259169371">
      <w:bodyDiv w:val="1"/>
      <w:marLeft w:val="0"/>
      <w:marRight w:val="0"/>
      <w:marTop w:val="0"/>
      <w:marBottom w:val="0"/>
      <w:divBdr>
        <w:top w:val="none" w:sz="0" w:space="0" w:color="auto"/>
        <w:left w:val="none" w:sz="0" w:space="0" w:color="auto"/>
        <w:bottom w:val="none" w:sz="0" w:space="0" w:color="auto"/>
        <w:right w:val="none" w:sz="0" w:space="0" w:color="auto"/>
      </w:divBdr>
    </w:div>
    <w:div w:id="1330257667">
      <w:bodyDiv w:val="1"/>
      <w:marLeft w:val="0"/>
      <w:marRight w:val="0"/>
      <w:marTop w:val="0"/>
      <w:marBottom w:val="0"/>
      <w:divBdr>
        <w:top w:val="none" w:sz="0" w:space="0" w:color="auto"/>
        <w:left w:val="none" w:sz="0" w:space="0" w:color="auto"/>
        <w:bottom w:val="none" w:sz="0" w:space="0" w:color="auto"/>
        <w:right w:val="none" w:sz="0" w:space="0" w:color="auto"/>
      </w:divBdr>
    </w:div>
    <w:div w:id="1345129598">
      <w:bodyDiv w:val="1"/>
      <w:marLeft w:val="0"/>
      <w:marRight w:val="0"/>
      <w:marTop w:val="0"/>
      <w:marBottom w:val="0"/>
      <w:divBdr>
        <w:top w:val="none" w:sz="0" w:space="0" w:color="auto"/>
        <w:left w:val="none" w:sz="0" w:space="0" w:color="auto"/>
        <w:bottom w:val="none" w:sz="0" w:space="0" w:color="auto"/>
        <w:right w:val="none" w:sz="0" w:space="0" w:color="auto"/>
      </w:divBdr>
    </w:div>
    <w:div w:id="1361013304">
      <w:bodyDiv w:val="1"/>
      <w:marLeft w:val="0"/>
      <w:marRight w:val="0"/>
      <w:marTop w:val="0"/>
      <w:marBottom w:val="0"/>
      <w:divBdr>
        <w:top w:val="none" w:sz="0" w:space="0" w:color="auto"/>
        <w:left w:val="none" w:sz="0" w:space="0" w:color="auto"/>
        <w:bottom w:val="none" w:sz="0" w:space="0" w:color="auto"/>
        <w:right w:val="none" w:sz="0" w:space="0" w:color="auto"/>
      </w:divBdr>
    </w:div>
    <w:div w:id="1362320667">
      <w:bodyDiv w:val="1"/>
      <w:marLeft w:val="0"/>
      <w:marRight w:val="0"/>
      <w:marTop w:val="0"/>
      <w:marBottom w:val="0"/>
      <w:divBdr>
        <w:top w:val="none" w:sz="0" w:space="0" w:color="auto"/>
        <w:left w:val="none" w:sz="0" w:space="0" w:color="auto"/>
        <w:bottom w:val="none" w:sz="0" w:space="0" w:color="auto"/>
        <w:right w:val="none" w:sz="0" w:space="0" w:color="auto"/>
      </w:divBdr>
    </w:div>
    <w:div w:id="1393843925">
      <w:bodyDiv w:val="1"/>
      <w:marLeft w:val="0"/>
      <w:marRight w:val="0"/>
      <w:marTop w:val="0"/>
      <w:marBottom w:val="0"/>
      <w:divBdr>
        <w:top w:val="none" w:sz="0" w:space="0" w:color="auto"/>
        <w:left w:val="none" w:sz="0" w:space="0" w:color="auto"/>
        <w:bottom w:val="none" w:sz="0" w:space="0" w:color="auto"/>
        <w:right w:val="none" w:sz="0" w:space="0" w:color="auto"/>
      </w:divBdr>
    </w:div>
    <w:div w:id="1416979858">
      <w:bodyDiv w:val="1"/>
      <w:marLeft w:val="0"/>
      <w:marRight w:val="0"/>
      <w:marTop w:val="0"/>
      <w:marBottom w:val="0"/>
      <w:divBdr>
        <w:top w:val="none" w:sz="0" w:space="0" w:color="auto"/>
        <w:left w:val="none" w:sz="0" w:space="0" w:color="auto"/>
        <w:bottom w:val="none" w:sz="0" w:space="0" w:color="auto"/>
        <w:right w:val="none" w:sz="0" w:space="0" w:color="auto"/>
      </w:divBdr>
    </w:div>
    <w:div w:id="1420054141">
      <w:bodyDiv w:val="1"/>
      <w:marLeft w:val="0"/>
      <w:marRight w:val="0"/>
      <w:marTop w:val="0"/>
      <w:marBottom w:val="0"/>
      <w:divBdr>
        <w:top w:val="none" w:sz="0" w:space="0" w:color="auto"/>
        <w:left w:val="none" w:sz="0" w:space="0" w:color="auto"/>
        <w:bottom w:val="none" w:sz="0" w:space="0" w:color="auto"/>
        <w:right w:val="none" w:sz="0" w:space="0" w:color="auto"/>
      </w:divBdr>
    </w:div>
    <w:div w:id="1421218498">
      <w:bodyDiv w:val="1"/>
      <w:marLeft w:val="0"/>
      <w:marRight w:val="0"/>
      <w:marTop w:val="0"/>
      <w:marBottom w:val="0"/>
      <w:divBdr>
        <w:top w:val="none" w:sz="0" w:space="0" w:color="auto"/>
        <w:left w:val="none" w:sz="0" w:space="0" w:color="auto"/>
        <w:bottom w:val="none" w:sz="0" w:space="0" w:color="auto"/>
        <w:right w:val="none" w:sz="0" w:space="0" w:color="auto"/>
      </w:divBdr>
    </w:div>
    <w:div w:id="1482424648">
      <w:bodyDiv w:val="1"/>
      <w:marLeft w:val="0"/>
      <w:marRight w:val="0"/>
      <w:marTop w:val="0"/>
      <w:marBottom w:val="0"/>
      <w:divBdr>
        <w:top w:val="none" w:sz="0" w:space="0" w:color="auto"/>
        <w:left w:val="none" w:sz="0" w:space="0" w:color="auto"/>
        <w:bottom w:val="none" w:sz="0" w:space="0" w:color="auto"/>
        <w:right w:val="none" w:sz="0" w:space="0" w:color="auto"/>
      </w:divBdr>
    </w:div>
    <w:div w:id="1532455561">
      <w:bodyDiv w:val="1"/>
      <w:marLeft w:val="0"/>
      <w:marRight w:val="0"/>
      <w:marTop w:val="0"/>
      <w:marBottom w:val="0"/>
      <w:divBdr>
        <w:top w:val="none" w:sz="0" w:space="0" w:color="auto"/>
        <w:left w:val="none" w:sz="0" w:space="0" w:color="auto"/>
        <w:bottom w:val="none" w:sz="0" w:space="0" w:color="auto"/>
        <w:right w:val="none" w:sz="0" w:space="0" w:color="auto"/>
      </w:divBdr>
    </w:div>
    <w:div w:id="1546913690">
      <w:bodyDiv w:val="1"/>
      <w:marLeft w:val="0"/>
      <w:marRight w:val="0"/>
      <w:marTop w:val="0"/>
      <w:marBottom w:val="0"/>
      <w:divBdr>
        <w:top w:val="none" w:sz="0" w:space="0" w:color="auto"/>
        <w:left w:val="none" w:sz="0" w:space="0" w:color="auto"/>
        <w:bottom w:val="none" w:sz="0" w:space="0" w:color="auto"/>
        <w:right w:val="none" w:sz="0" w:space="0" w:color="auto"/>
      </w:divBdr>
    </w:div>
    <w:div w:id="1550531324">
      <w:bodyDiv w:val="1"/>
      <w:marLeft w:val="0"/>
      <w:marRight w:val="0"/>
      <w:marTop w:val="0"/>
      <w:marBottom w:val="0"/>
      <w:divBdr>
        <w:top w:val="none" w:sz="0" w:space="0" w:color="auto"/>
        <w:left w:val="none" w:sz="0" w:space="0" w:color="auto"/>
        <w:bottom w:val="none" w:sz="0" w:space="0" w:color="auto"/>
        <w:right w:val="none" w:sz="0" w:space="0" w:color="auto"/>
      </w:divBdr>
    </w:div>
    <w:div w:id="1596816757">
      <w:bodyDiv w:val="1"/>
      <w:marLeft w:val="0"/>
      <w:marRight w:val="0"/>
      <w:marTop w:val="0"/>
      <w:marBottom w:val="0"/>
      <w:divBdr>
        <w:top w:val="none" w:sz="0" w:space="0" w:color="auto"/>
        <w:left w:val="none" w:sz="0" w:space="0" w:color="auto"/>
        <w:bottom w:val="none" w:sz="0" w:space="0" w:color="auto"/>
        <w:right w:val="none" w:sz="0" w:space="0" w:color="auto"/>
      </w:divBdr>
    </w:div>
    <w:div w:id="1643581944">
      <w:bodyDiv w:val="1"/>
      <w:marLeft w:val="0"/>
      <w:marRight w:val="0"/>
      <w:marTop w:val="0"/>
      <w:marBottom w:val="0"/>
      <w:divBdr>
        <w:top w:val="none" w:sz="0" w:space="0" w:color="auto"/>
        <w:left w:val="none" w:sz="0" w:space="0" w:color="auto"/>
        <w:bottom w:val="none" w:sz="0" w:space="0" w:color="auto"/>
        <w:right w:val="none" w:sz="0" w:space="0" w:color="auto"/>
      </w:divBdr>
    </w:div>
    <w:div w:id="1727875685">
      <w:bodyDiv w:val="1"/>
      <w:marLeft w:val="0"/>
      <w:marRight w:val="0"/>
      <w:marTop w:val="0"/>
      <w:marBottom w:val="0"/>
      <w:divBdr>
        <w:top w:val="none" w:sz="0" w:space="0" w:color="auto"/>
        <w:left w:val="none" w:sz="0" w:space="0" w:color="auto"/>
        <w:bottom w:val="none" w:sz="0" w:space="0" w:color="auto"/>
        <w:right w:val="none" w:sz="0" w:space="0" w:color="auto"/>
      </w:divBdr>
    </w:div>
    <w:div w:id="1755782020">
      <w:bodyDiv w:val="1"/>
      <w:marLeft w:val="0"/>
      <w:marRight w:val="0"/>
      <w:marTop w:val="0"/>
      <w:marBottom w:val="0"/>
      <w:divBdr>
        <w:top w:val="none" w:sz="0" w:space="0" w:color="auto"/>
        <w:left w:val="none" w:sz="0" w:space="0" w:color="auto"/>
        <w:bottom w:val="none" w:sz="0" w:space="0" w:color="auto"/>
        <w:right w:val="none" w:sz="0" w:space="0" w:color="auto"/>
      </w:divBdr>
    </w:div>
    <w:div w:id="1778987606">
      <w:bodyDiv w:val="1"/>
      <w:marLeft w:val="0"/>
      <w:marRight w:val="0"/>
      <w:marTop w:val="0"/>
      <w:marBottom w:val="0"/>
      <w:divBdr>
        <w:top w:val="none" w:sz="0" w:space="0" w:color="auto"/>
        <w:left w:val="none" w:sz="0" w:space="0" w:color="auto"/>
        <w:bottom w:val="none" w:sz="0" w:space="0" w:color="auto"/>
        <w:right w:val="none" w:sz="0" w:space="0" w:color="auto"/>
      </w:divBdr>
    </w:div>
    <w:div w:id="1780291799">
      <w:bodyDiv w:val="1"/>
      <w:marLeft w:val="0"/>
      <w:marRight w:val="0"/>
      <w:marTop w:val="0"/>
      <w:marBottom w:val="0"/>
      <w:divBdr>
        <w:top w:val="none" w:sz="0" w:space="0" w:color="auto"/>
        <w:left w:val="none" w:sz="0" w:space="0" w:color="auto"/>
        <w:bottom w:val="none" w:sz="0" w:space="0" w:color="auto"/>
        <w:right w:val="none" w:sz="0" w:space="0" w:color="auto"/>
      </w:divBdr>
    </w:div>
    <w:div w:id="1793405007">
      <w:bodyDiv w:val="1"/>
      <w:marLeft w:val="0"/>
      <w:marRight w:val="0"/>
      <w:marTop w:val="0"/>
      <w:marBottom w:val="0"/>
      <w:divBdr>
        <w:top w:val="none" w:sz="0" w:space="0" w:color="auto"/>
        <w:left w:val="none" w:sz="0" w:space="0" w:color="auto"/>
        <w:bottom w:val="none" w:sz="0" w:space="0" w:color="auto"/>
        <w:right w:val="none" w:sz="0" w:space="0" w:color="auto"/>
      </w:divBdr>
    </w:div>
    <w:div w:id="1799637876">
      <w:bodyDiv w:val="1"/>
      <w:marLeft w:val="0"/>
      <w:marRight w:val="0"/>
      <w:marTop w:val="0"/>
      <w:marBottom w:val="0"/>
      <w:divBdr>
        <w:top w:val="none" w:sz="0" w:space="0" w:color="auto"/>
        <w:left w:val="none" w:sz="0" w:space="0" w:color="auto"/>
        <w:bottom w:val="none" w:sz="0" w:space="0" w:color="auto"/>
        <w:right w:val="none" w:sz="0" w:space="0" w:color="auto"/>
      </w:divBdr>
    </w:div>
    <w:div w:id="1894655707">
      <w:bodyDiv w:val="1"/>
      <w:marLeft w:val="0"/>
      <w:marRight w:val="0"/>
      <w:marTop w:val="0"/>
      <w:marBottom w:val="0"/>
      <w:divBdr>
        <w:top w:val="none" w:sz="0" w:space="0" w:color="auto"/>
        <w:left w:val="none" w:sz="0" w:space="0" w:color="auto"/>
        <w:bottom w:val="none" w:sz="0" w:space="0" w:color="auto"/>
        <w:right w:val="none" w:sz="0" w:space="0" w:color="auto"/>
      </w:divBdr>
    </w:div>
    <w:div w:id="1921793086">
      <w:bodyDiv w:val="1"/>
      <w:marLeft w:val="0"/>
      <w:marRight w:val="0"/>
      <w:marTop w:val="0"/>
      <w:marBottom w:val="0"/>
      <w:divBdr>
        <w:top w:val="none" w:sz="0" w:space="0" w:color="auto"/>
        <w:left w:val="none" w:sz="0" w:space="0" w:color="auto"/>
        <w:bottom w:val="none" w:sz="0" w:space="0" w:color="auto"/>
        <w:right w:val="none" w:sz="0" w:space="0" w:color="auto"/>
      </w:divBdr>
    </w:div>
    <w:div w:id="1967543193">
      <w:bodyDiv w:val="1"/>
      <w:marLeft w:val="0"/>
      <w:marRight w:val="0"/>
      <w:marTop w:val="0"/>
      <w:marBottom w:val="0"/>
      <w:divBdr>
        <w:top w:val="none" w:sz="0" w:space="0" w:color="auto"/>
        <w:left w:val="none" w:sz="0" w:space="0" w:color="auto"/>
        <w:bottom w:val="none" w:sz="0" w:space="0" w:color="auto"/>
        <w:right w:val="none" w:sz="0" w:space="0" w:color="auto"/>
      </w:divBdr>
    </w:div>
    <w:div w:id="2004772443">
      <w:bodyDiv w:val="1"/>
      <w:marLeft w:val="0"/>
      <w:marRight w:val="0"/>
      <w:marTop w:val="0"/>
      <w:marBottom w:val="0"/>
      <w:divBdr>
        <w:top w:val="none" w:sz="0" w:space="0" w:color="auto"/>
        <w:left w:val="none" w:sz="0" w:space="0" w:color="auto"/>
        <w:bottom w:val="none" w:sz="0" w:space="0" w:color="auto"/>
        <w:right w:val="none" w:sz="0" w:space="0" w:color="auto"/>
      </w:divBdr>
    </w:div>
    <w:div w:id="2058434445">
      <w:bodyDiv w:val="1"/>
      <w:marLeft w:val="0"/>
      <w:marRight w:val="0"/>
      <w:marTop w:val="0"/>
      <w:marBottom w:val="0"/>
      <w:divBdr>
        <w:top w:val="none" w:sz="0" w:space="0" w:color="auto"/>
        <w:left w:val="none" w:sz="0" w:space="0" w:color="auto"/>
        <w:bottom w:val="none" w:sz="0" w:space="0" w:color="auto"/>
        <w:right w:val="none" w:sz="0" w:space="0" w:color="auto"/>
      </w:divBdr>
    </w:div>
    <w:div w:id="2085174483">
      <w:bodyDiv w:val="1"/>
      <w:marLeft w:val="0"/>
      <w:marRight w:val="0"/>
      <w:marTop w:val="0"/>
      <w:marBottom w:val="0"/>
      <w:divBdr>
        <w:top w:val="none" w:sz="0" w:space="0" w:color="auto"/>
        <w:left w:val="none" w:sz="0" w:space="0" w:color="auto"/>
        <w:bottom w:val="none" w:sz="0" w:space="0" w:color="auto"/>
        <w:right w:val="none" w:sz="0" w:space="0" w:color="auto"/>
      </w:divBdr>
    </w:div>
    <w:div w:id="21201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48B1-B3AB-445C-BE0A-7619984F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5264</Words>
  <Characters>30065</Characters>
  <Application>Microsoft Office Word</Application>
  <DocSecurity>0</DocSecurity>
  <Lines>250</Lines>
  <Paragraphs>70</Paragraphs>
  <ScaleCrop>false</ScaleCrop>
  <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2019-01-29T20:56:00Z</dcterms:created>
  <dcterms:modified xsi:type="dcterms:W3CDTF">2019-01-29T20:56:00Z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