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A4DD6" w14:textId="524E3DFE" w:rsidR="00964514" w:rsidRPr="00DB7156" w:rsidRDefault="00964514" w:rsidP="00DB7156">
      <w:pPr>
        <w:spacing w:after="0" w:line="240" w:lineRule="auto"/>
        <w:jc w:val="both"/>
        <w:rPr>
          <w:rFonts w:ascii="Arial" w:hAnsi="Arial" w:cs="Arial"/>
          <w:b/>
          <w:sz w:val="28"/>
          <w:szCs w:val="28"/>
        </w:rPr>
      </w:pPr>
      <w:bookmarkStart w:id="0" w:name="_GoBack"/>
      <w:bookmarkEnd w:id="0"/>
    </w:p>
    <w:p w14:paraId="22BA4DD7" w14:textId="77777777" w:rsidR="00964514" w:rsidRPr="00DB7156" w:rsidRDefault="00964514" w:rsidP="00DB7156">
      <w:pPr>
        <w:spacing w:after="0" w:line="240" w:lineRule="auto"/>
        <w:jc w:val="both"/>
        <w:rPr>
          <w:rFonts w:ascii="Arial" w:hAnsi="Arial" w:cs="Arial"/>
          <w:b/>
          <w:sz w:val="28"/>
          <w:szCs w:val="28"/>
        </w:rPr>
      </w:pPr>
    </w:p>
    <w:p w14:paraId="22BA4DD8" w14:textId="77777777" w:rsidR="00FC67F9" w:rsidRPr="00DB7156" w:rsidRDefault="00FC67F9" w:rsidP="00DB7156">
      <w:pPr>
        <w:autoSpaceDE w:val="0"/>
        <w:autoSpaceDN w:val="0"/>
        <w:adjustRightInd w:val="0"/>
        <w:spacing w:after="0" w:line="240" w:lineRule="auto"/>
        <w:jc w:val="both"/>
        <w:rPr>
          <w:rFonts w:ascii="Arial" w:hAnsi="Arial" w:cs="Arial"/>
          <w:b/>
          <w:bCs/>
          <w:color w:val="000080"/>
          <w:sz w:val="44"/>
          <w:szCs w:val="28"/>
        </w:rPr>
      </w:pPr>
    </w:p>
    <w:p w14:paraId="22BA4DD9" w14:textId="2DB5F4F0" w:rsidR="00FC67F9" w:rsidRPr="00DB7156" w:rsidRDefault="00FC67F9" w:rsidP="003E3EF4">
      <w:pPr>
        <w:autoSpaceDE w:val="0"/>
        <w:autoSpaceDN w:val="0"/>
        <w:adjustRightInd w:val="0"/>
        <w:spacing w:after="0" w:line="240" w:lineRule="auto"/>
        <w:jc w:val="center"/>
        <w:rPr>
          <w:rFonts w:ascii="Arial" w:hAnsi="Arial" w:cs="Arial"/>
          <w:b/>
          <w:bCs/>
          <w:color w:val="000080"/>
          <w:sz w:val="44"/>
          <w:szCs w:val="28"/>
        </w:rPr>
      </w:pPr>
      <w:r w:rsidRPr="00DB7156">
        <w:rPr>
          <w:rFonts w:ascii="Arial" w:hAnsi="Arial" w:cs="Arial"/>
          <w:b/>
          <w:bCs/>
          <w:color w:val="000080"/>
          <w:sz w:val="44"/>
          <w:szCs w:val="28"/>
        </w:rPr>
        <w:t>Environmental Compliance Strategy</w:t>
      </w:r>
    </w:p>
    <w:p w14:paraId="22BA4DDA" w14:textId="77777777" w:rsidR="00FC67F9" w:rsidRPr="00DB7156" w:rsidRDefault="00FC67F9" w:rsidP="003E3EF4">
      <w:pPr>
        <w:autoSpaceDE w:val="0"/>
        <w:autoSpaceDN w:val="0"/>
        <w:adjustRightInd w:val="0"/>
        <w:spacing w:after="0" w:line="240" w:lineRule="auto"/>
        <w:jc w:val="center"/>
        <w:rPr>
          <w:rFonts w:ascii="Arial" w:hAnsi="Arial" w:cs="Arial"/>
          <w:b/>
          <w:bCs/>
          <w:color w:val="000080"/>
          <w:sz w:val="44"/>
          <w:szCs w:val="28"/>
        </w:rPr>
      </w:pPr>
    </w:p>
    <w:p w14:paraId="22BA4DDB" w14:textId="7B2D4A0A" w:rsidR="00FC67F9" w:rsidRPr="00DB7156" w:rsidRDefault="00FC67F9" w:rsidP="003E3EF4">
      <w:pPr>
        <w:autoSpaceDE w:val="0"/>
        <w:autoSpaceDN w:val="0"/>
        <w:adjustRightInd w:val="0"/>
        <w:spacing w:after="0" w:line="240" w:lineRule="auto"/>
        <w:jc w:val="center"/>
        <w:rPr>
          <w:rFonts w:ascii="Arial" w:hAnsi="Arial" w:cs="Arial"/>
          <w:b/>
          <w:bCs/>
          <w:color w:val="000080"/>
          <w:sz w:val="36"/>
          <w:szCs w:val="28"/>
        </w:rPr>
      </w:pPr>
      <w:r w:rsidRPr="00DB7156">
        <w:rPr>
          <w:rFonts w:ascii="Arial" w:hAnsi="Arial" w:cs="Arial"/>
          <w:b/>
          <w:bCs/>
          <w:color w:val="000080"/>
          <w:sz w:val="36"/>
          <w:szCs w:val="28"/>
        </w:rPr>
        <w:t xml:space="preserve">Update for </w:t>
      </w:r>
      <w:r w:rsidR="00F2183D" w:rsidRPr="00DB7156">
        <w:rPr>
          <w:rFonts w:ascii="Arial" w:hAnsi="Arial" w:cs="Arial"/>
          <w:b/>
          <w:bCs/>
          <w:color w:val="000080"/>
          <w:sz w:val="36"/>
          <w:szCs w:val="28"/>
        </w:rPr>
        <w:t>201</w:t>
      </w:r>
      <w:r w:rsidR="00BA203A" w:rsidRPr="00DB7156">
        <w:rPr>
          <w:rFonts w:ascii="Arial" w:hAnsi="Arial" w:cs="Arial"/>
          <w:b/>
          <w:bCs/>
          <w:color w:val="000080"/>
          <w:sz w:val="36"/>
          <w:szCs w:val="28"/>
        </w:rPr>
        <w:t>9</w:t>
      </w:r>
    </w:p>
    <w:p w14:paraId="22BA4DDC" w14:textId="77777777" w:rsidR="00FC67F9" w:rsidRPr="00DB7156" w:rsidRDefault="00FC67F9" w:rsidP="003E3EF4">
      <w:pPr>
        <w:spacing w:after="0" w:line="240" w:lineRule="auto"/>
        <w:jc w:val="center"/>
        <w:rPr>
          <w:rFonts w:ascii="Arial" w:hAnsi="Arial" w:cs="Arial"/>
          <w:sz w:val="24"/>
          <w:szCs w:val="24"/>
        </w:rPr>
      </w:pPr>
    </w:p>
    <w:p w14:paraId="22BA4DDD" w14:textId="77777777" w:rsidR="00FC67F9" w:rsidRPr="00DB7156" w:rsidRDefault="00FC67F9" w:rsidP="003E3EF4">
      <w:pPr>
        <w:spacing w:after="0" w:line="240" w:lineRule="auto"/>
        <w:jc w:val="center"/>
        <w:rPr>
          <w:rFonts w:ascii="Arial" w:hAnsi="Arial" w:cs="Arial"/>
          <w:sz w:val="28"/>
          <w:szCs w:val="28"/>
        </w:rPr>
      </w:pPr>
    </w:p>
    <w:p w14:paraId="22BA4DDE" w14:textId="77777777" w:rsidR="00FC67F9" w:rsidRPr="00DB7156" w:rsidRDefault="00FC67F9" w:rsidP="003E3EF4">
      <w:pPr>
        <w:spacing w:after="0" w:line="240" w:lineRule="auto"/>
        <w:jc w:val="center"/>
        <w:rPr>
          <w:rFonts w:ascii="Arial" w:hAnsi="Arial" w:cs="Arial"/>
          <w:sz w:val="36"/>
          <w:szCs w:val="40"/>
        </w:rPr>
      </w:pPr>
      <w:r w:rsidRPr="00DB7156">
        <w:rPr>
          <w:rFonts w:ascii="Arial" w:hAnsi="Arial" w:cs="Arial"/>
          <w:sz w:val="36"/>
          <w:szCs w:val="40"/>
        </w:rPr>
        <w:t>Georgia Power Company</w:t>
      </w:r>
    </w:p>
    <w:p w14:paraId="22BA4DDF" w14:textId="77777777" w:rsidR="00FC67F9" w:rsidRPr="00DB7156" w:rsidRDefault="00FC67F9" w:rsidP="00DB7156">
      <w:pPr>
        <w:spacing w:after="0" w:line="240" w:lineRule="auto"/>
        <w:jc w:val="both"/>
        <w:rPr>
          <w:rFonts w:ascii="Arial" w:hAnsi="Arial" w:cs="Arial"/>
          <w:b/>
          <w:bCs/>
          <w:sz w:val="24"/>
          <w:szCs w:val="24"/>
        </w:rPr>
      </w:pPr>
    </w:p>
    <w:p w14:paraId="22BA4DE0" w14:textId="77777777" w:rsidR="00FC67F9" w:rsidRPr="00DB7156" w:rsidRDefault="00FC67F9" w:rsidP="00DB7156">
      <w:pPr>
        <w:spacing w:after="0" w:line="240" w:lineRule="auto"/>
        <w:jc w:val="both"/>
        <w:rPr>
          <w:rFonts w:ascii="Arial" w:hAnsi="Arial" w:cs="Arial"/>
          <w:b/>
          <w:bCs/>
          <w:sz w:val="24"/>
          <w:szCs w:val="24"/>
        </w:rPr>
      </w:pPr>
    </w:p>
    <w:p w14:paraId="22BA4DE1" w14:textId="77777777" w:rsidR="00FC67F9" w:rsidRPr="00DB7156" w:rsidRDefault="00FC67F9" w:rsidP="00DB7156">
      <w:pPr>
        <w:pBdr>
          <w:bottom w:val="single" w:sz="18" w:space="1" w:color="CC0000"/>
        </w:pBdr>
        <w:tabs>
          <w:tab w:val="left" w:pos="900"/>
        </w:tabs>
        <w:spacing w:after="0" w:line="240" w:lineRule="auto"/>
        <w:ind w:left="540" w:right="540"/>
        <w:jc w:val="both"/>
        <w:rPr>
          <w:rFonts w:ascii="Arial" w:hAnsi="Arial" w:cs="Arial"/>
          <w:b/>
          <w:bCs/>
          <w:kern w:val="28"/>
          <w:sz w:val="24"/>
          <w:szCs w:val="32"/>
        </w:rPr>
      </w:pPr>
    </w:p>
    <w:p w14:paraId="22BA4DE2" w14:textId="77777777" w:rsidR="00FC67F9" w:rsidRPr="00DB7156" w:rsidRDefault="00FC67F9" w:rsidP="00DB7156">
      <w:pPr>
        <w:tabs>
          <w:tab w:val="left" w:pos="360"/>
          <w:tab w:val="left" w:pos="900"/>
        </w:tabs>
        <w:spacing w:after="0" w:line="240" w:lineRule="auto"/>
        <w:jc w:val="both"/>
        <w:rPr>
          <w:rFonts w:ascii="Arial" w:hAnsi="Arial" w:cs="Arial"/>
          <w:b/>
          <w:bCs/>
          <w:kern w:val="28"/>
          <w:sz w:val="24"/>
          <w:szCs w:val="32"/>
        </w:rPr>
      </w:pPr>
    </w:p>
    <w:p w14:paraId="22BA4DE3" w14:textId="77777777" w:rsidR="00FC67F9" w:rsidRPr="00DB7156" w:rsidRDefault="00FC67F9" w:rsidP="00DB7156">
      <w:pPr>
        <w:spacing w:after="0" w:line="240" w:lineRule="auto"/>
        <w:jc w:val="both"/>
        <w:rPr>
          <w:rFonts w:ascii="Arial" w:hAnsi="Arial" w:cs="Arial"/>
          <w:b/>
          <w:iCs/>
          <w:sz w:val="24"/>
          <w:szCs w:val="24"/>
        </w:rPr>
      </w:pPr>
    </w:p>
    <w:p w14:paraId="22BA4DE4" w14:textId="77777777" w:rsidR="00FC67F9" w:rsidRPr="00DB7156" w:rsidRDefault="00FC67F9" w:rsidP="00DB7156">
      <w:pPr>
        <w:spacing w:after="0" w:line="240" w:lineRule="auto"/>
        <w:jc w:val="both"/>
        <w:rPr>
          <w:rFonts w:ascii="Arial" w:hAnsi="Arial" w:cs="Arial"/>
          <w:b/>
          <w:iCs/>
          <w:sz w:val="24"/>
          <w:szCs w:val="24"/>
        </w:rPr>
      </w:pPr>
    </w:p>
    <w:p w14:paraId="22BA4DE5" w14:textId="77777777" w:rsidR="00FC67F9" w:rsidRPr="00DB7156" w:rsidRDefault="00FC67F9" w:rsidP="00DB7156">
      <w:pPr>
        <w:tabs>
          <w:tab w:val="left" w:pos="2520"/>
          <w:tab w:val="left" w:pos="8190"/>
        </w:tabs>
        <w:spacing w:after="0" w:line="240" w:lineRule="auto"/>
        <w:ind w:right="-72"/>
        <w:jc w:val="both"/>
        <w:rPr>
          <w:rFonts w:ascii="Arial" w:hAnsi="Arial" w:cs="Arial"/>
          <w:sz w:val="24"/>
          <w:szCs w:val="24"/>
        </w:rPr>
      </w:pPr>
    </w:p>
    <w:p w14:paraId="22BA4DE6" w14:textId="77777777" w:rsidR="00FC67F9" w:rsidRPr="00DB7156" w:rsidRDefault="00FC67F9" w:rsidP="00DB7156">
      <w:pPr>
        <w:tabs>
          <w:tab w:val="left" w:pos="2520"/>
          <w:tab w:val="left" w:pos="8190"/>
        </w:tabs>
        <w:spacing w:after="0" w:line="240" w:lineRule="auto"/>
        <w:ind w:right="-72"/>
        <w:jc w:val="both"/>
        <w:rPr>
          <w:rFonts w:ascii="Arial" w:hAnsi="Arial" w:cs="Arial"/>
          <w:sz w:val="24"/>
          <w:szCs w:val="24"/>
        </w:rPr>
      </w:pPr>
    </w:p>
    <w:p w14:paraId="22BA4DE7" w14:textId="77777777" w:rsidR="00FC67F9" w:rsidRPr="00DB7156" w:rsidRDefault="00FC67F9" w:rsidP="00DB7156">
      <w:pPr>
        <w:tabs>
          <w:tab w:val="left" w:pos="2520"/>
          <w:tab w:val="left" w:pos="8190"/>
        </w:tabs>
        <w:spacing w:after="0" w:line="240" w:lineRule="auto"/>
        <w:ind w:right="-72"/>
        <w:jc w:val="both"/>
        <w:rPr>
          <w:rFonts w:ascii="Arial" w:hAnsi="Arial" w:cs="Arial"/>
          <w:sz w:val="24"/>
          <w:szCs w:val="24"/>
        </w:rPr>
      </w:pPr>
    </w:p>
    <w:p w14:paraId="22BA4DE8" w14:textId="77777777" w:rsidR="00FC67F9" w:rsidRPr="00DB7156" w:rsidRDefault="00FC67F9" w:rsidP="00DB7156">
      <w:pPr>
        <w:tabs>
          <w:tab w:val="left" w:pos="2520"/>
          <w:tab w:val="left" w:pos="8190"/>
        </w:tabs>
        <w:spacing w:after="0" w:line="240" w:lineRule="auto"/>
        <w:ind w:right="-72"/>
        <w:jc w:val="both"/>
        <w:rPr>
          <w:rFonts w:ascii="Arial" w:hAnsi="Arial" w:cs="Arial"/>
          <w:sz w:val="24"/>
          <w:szCs w:val="24"/>
        </w:rPr>
      </w:pPr>
    </w:p>
    <w:p w14:paraId="22BA4DE9" w14:textId="72F4DB0E" w:rsidR="00FC67F9" w:rsidRPr="00DB7156" w:rsidRDefault="00BA203A" w:rsidP="003E3EF4">
      <w:pPr>
        <w:spacing w:after="0" w:line="240" w:lineRule="auto"/>
        <w:jc w:val="center"/>
        <w:rPr>
          <w:rFonts w:ascii="Arial" w:hAnsi="Arial" w:cs="Arial"/>
          <w:i/>
          <w:sz w:val="36"/>
          <w:szCs w:val="36"/>
        </w:rPr>
      </w:pPr>
      <w:r w:rsidRPr="00DB7156">
        <w:rPr>
          <w:rFonts w:ascii="Arial" w:hAnsi="Arial" w:cs="Arial"/>
          <w:i/>
          <w:sz w:val="36"/>
          <w:szCs w:val="36"/>
        </w:rPr>
        <w:t xml:space="preserve">January </w:t>
      </w:r>
      <w:r w:rsidR="00C725E5" w:rsidRPr="00DB7156">
        <w:rPr>
          <w:rFonts w:ascii="Arial" w:hAnsi="Arial" w:cs="Arial"/>
          <w:i/>
          <w:sz w:val="36"/>
          <w:szCs w:val="36"/>
        </w:rPr>
        <w:t>201</w:t>
      </w:r>
      <w:r w:rsidRPr="00DB7156">
        <w:rPr>
          <w:rFonts w:ascii="Arial" w:hAnsi="Arial" w:cs="Arial"/>
          <w:i/>
          <w:sz w:val="36"/>
          <w:szCs w:val="36"/>
        </w:rPr>
        <w:t>9</w:t>
      </w:r>
    </w:p>
    <w:p w14:paraId="22BA4DEA" w14:textId="77777777" w:rsidR="00FC67F9" w:rsidRPr="00DB7156" w:rsidRDefault="00FC67F9" w:rsidP="00DB7156">
      <w:pPr>
        <w:spacing w:after="0" w:line="240" w:lineRule="auto"/>
        <w:jc w:val="both"/>
        <w:rPr>
          <w:rFonts w:ascii="Arial" w:hAnsi="Arial" w:cs="Arial"/>
          <w:sz w:val="24"/>
          <w:szCs w:val="24"/>
        </w:rPr>
      </w:pPr>
    </w:p>
    <w:p w14:paraId="22BA4DEB" w14:textId="77777777" w:rsidR="00FC67F9" w:rsidRPr="00DB7156" w:rsidRDefault="00FC67F9" w:rsidP="00DB7156">
      <w:pPr>
        <w:spacing w:after="0" w:line="240" w:lineRule="auto"/>
        <w:jc w:val="both"/>
        <w:rPr>
          <w:rFonts w:ascii="Arial" w:hAnsi="Arial" w:cs="Arial"/>
          <w:sz w:val="24"/>
          <w:szCs w:val="24"/>
        </w:rPr>
      </w:pPr>
    </w:p>
    <w:p w14:paraId="22BA4DEC" w14:textId="77777777" w:rsidR="00FC67F9" w:rsidRPr="00DB7156" w:rsidRDefault="00FC67F9" w:rsidP="00DB7156">
      <w:pPr>
        <w:spacing w:after="0" w:line="240" w:lineRule="auto"/>
        <w:jc w:val="both"/>
        <w:rPr>
          <w:rFonts w:ascii="Arial" w:hAnsi="Arial" w:cs="Arial"/>
          <w:sz w:val="24"/>
          <w:szCs w:val="24"/>
        </w:rPr>
        <w:sectPr w:rsidR="00FC67F9" w:rsidRPr="00DB7156" w:rsidSect="007028D3">
          <w:headerReference w:type="default" r:id="rId8"/>
          <w:footerReference w:type="default" r:id="rId9"/>
          <w:type w:val="nextColumn"/>
          <w:pgSz w:w="12240" w:h="15840" w:code="1"/>
          <w:pgMar w:top="1440" w:right="1440" w:bottom="1440" w:left="1440" w:header="720" w:footer="720" w:gutter="0"/>
          <w:pgNumType w:fmt="lowerRoman" w:start="1"/>
          <w:cols w:space="720"/>
        </w:sectPr>
      </w:pPr>
    </w:p>
    <w:p w14:paraId="22BA4DED" w14:textId="77777777" w:rsidR="00FC67F9" w:rsidRPr="00DB7156" w:rsidRDefault="00FC67F9" w:rsidP="00DB7156">
      <w:pPr>
        <w:spacing w:after="0" w:line="240" w:lineRule="auto"/>
        <w:jc w:val="both"/>
        <w:rPr>
          <w:rFonts w:ascii="Arial" w:hAnsi="Arial" w:cs="Arial"/>
          <w:b/>
          <w:color w:val="000080"/>
          <w:sz w:val="24"/>
          <w:szCs w:val="24"/>
        </w:rPr>
      </w:pPr>
      <w:bookmarkStart w:id="1" w:name="_Hlk528175979"/>
    </w:p>
    <w:p w14:paraId="22BA4DEE" w14:textId="26558E9D" w:rsidR="00FC67F9" w:rsidRPr="00DB7156" w:rsidRDefault="00FC67F9" w:rsidP="00DB7156">
      <w:pPr>
        <w:spacing w:after="0" w:line="240" w:lineRule="auto"/>
        <w:jc w:val="both"/>
        <w:rPr>
          <w:rFonts w:ascii="Arial" w:hAnsi="Arial" w:cs="Arial"/>
          <w:b/>
          <w:color w:val="000080"/>
          <w:sz w:val="24"/>
          <w:szCs w:val="24"/>
        </w:rPr>
      </w:pPr>
      <w:r w:rsidRPr="00DB7156">
        <w:rPr>
          <w:rFonts w:ascii="Arial" w:hAnsi="Arial" w:cs="Arial"/>
          <w:b/>
          <w:color w:val="000080"/>
          <w:sz w:val="24"/>
          <w:szCs w:val="24"/>
        </w:rPr>
        <w:t>FORWARD-LOOKING STATEMENT CAUTIONARY NOTE</w:t>
      </w:r>
    </w:p>
    <w:p w14:paraId="22BA4DEF" w14:textId="77777777" w:rsidR="00FC67F9" w:rsidRPr="00DB7156" w:rsidRDefault="00FC67F9" w:rsidP="00DB7156">
      <w:pPr>
        <w:spacing w:after="0" w:line="240" w:lineRule="auto"/>
        <w:jc w:val="both"/>
        <w:rPr>
          <w:rFonts w:ascii="Arial" w:hAnsi="Arial" w:cs="Arial"/>
          <w:iCs/>
          <w:sz w:val="16"/>
          <w:szCs w:val="16"/>
        </w:rPr>
      </w:pPr>
    </w:p>
    <w:p w14:paraId="69552476" w14:textId="5778BA53" w:rsidR="00B43BD4" w:rsidRPr="00676E5E" w:rsidRDefault="00B43BD4" w:rsidP="00DA0354">
      <w:pPr>
        <w:spacing w:after="0" w:line="240" w:lineRule="auto"/>
        <w:jc w:val="both"/>
        <w:rPr>
          <w:rFonts w:ascii="Arial" w:hAnsi="Arial" w:cs="Arial"/>
          <w:sz w:val="24"/>
          <w:szCs w:val="24"/>
        </w:rPr>
      </w:pPr>
      <w:r w:rsidRPr="00676E5E">
        <w:rPr>
          <w:rFonts w:ascii="Arial" w:hAnsi="Arial" w:cs="Arial"/>
          <w:sz w:val="24"/>
          <w:szCs w:val="24"/>
        </w:rPr>
        <w:t>Certain information contained in this report is forward-looking information based on current expectations and plans that involve risks and uncertainties. Forward-looking information includes, among other things, statements concerning environmental cost recovery and other rate actions, current and proposed environmental regulations and related compliance plans and estimated expenditures, projected emissions,</w:t>
      </w:r>
      <w:r w:rsidR="00104A0A">
        <w:rPr>
          <w:rFonts w:ascii="Arial" w:hAnsi="Arial" w:cs="Arial"/>
          <w:sz w:val="24"/>
          <w:szCs w:val="24"/>
        </w:rPr>
        <w:t xml:space="preserve"> population growth,</w:t>
      </w:r>
      <w:r w:rsidRPr="00676E5E">
        <w:rPr>
          <w:rFonts w:ascii="Arial" w:hAnsi="Arial" w:cs="Arial"/>
          <w:sz w:val="24"/>
          <w:szCs w:val="24"/>
        </w:rPr>
        <w:t xml:space="preserve"> planned construction projects, filings with the Georgia Public Service Commission (“PSC”), and Georgia Power’s expected renewable energy capacity. Georgia Power cautions that there are certain factors that can cause actual results to differ materially from the forward-looking information that has been provided. </w:t>
      </w:r>
      <w:r w:rsidRPr="00676E5E">
        <w:rPr>
          <w:rFonts w:ascii="Arial" w:hAnsi="Arial" w:cs="Arial"/>
          <w:iCs/>
          <w:sz w:val="24"/>
          <w:szCs w:val="24"/>
        </w:rPr>
        <w:t>The reader is cautioned not to put undue reliance on this forward-looking information, which is not a guarantee of future performance and is subject to a number of uncertainties and other factors, many of which are outside the control of Georgia Power; accordingly, there can be no assurance that such suggested results will be realized. The following factors, in addition to those discussed in Georgia Power’s Annual Report on Form 10-K for the fiscal year ended December 31, 2017 and Quarterly Report on Form 10-Q for the quarter ended September 30, 2018, and subsequent securities filings, could cause actual results to differ materially from management expectations as suggested by such forward-looking information:</w:t>
      </w:r>
      <w:r w:rsidRPr="00676E5E">
        <w:rPr>
          <w:rFonts w:ascii="Arial" w:hAnsi="Arial" w:cs="Arial"/>
          <w:b/>
          <w:bCs/>
          <w:sz w:val="24"/>
          <w:szCs w:val="24"/>
        </w:rPr>
        <w:t xml:space="preserve"> </w:t>
      </w:r>
      <w:r w:rsidRPr="00676E5E">
        <w:rPr>
          <w:rFonts w:ascii="Arial" w:hAnsi="Arial" w:cs="Arial"/>
          <w:sz w:val="24"/>
          <w:szCs w:val="24"/>
        </w:rPr>
        <w:t>the impact of recent and future federal and state regulatory changes, including environmental laws and regulations, and also changes in tax and other laws and regulations to which Georgia Power is subject, as well as changes in application of existing laws and regulations;</w:t>
      </w:r>
      <w:r w:rsidR="004250D0">
        <w:rPr>
          <w:rFonts w:ascii="Arial" w:hAnsi="Arial" w:cs="Arial"/>
          <w:sz w:val="24"/>
          <w:szCs w:val="24"/>
        </w:rPr>
        <w:t xml:space="preserve"> the extent and timing of costs and liabilities to comply with federal and state laws, regulations, and legal requirements related to coal ash remediation, including amounts for required closure of certain ash impoundments;</w:t>
      </w:r>
      <w:r w:rsidRPr="00676E5E">
        <w:rPr>
          <w:rFonts w:ascii="Arial" w:hAnsi="Arial" w:cs="Arial"/>
          <w:sz w:val="24"/>
          <w:szCs w:val="24"/>
        </w:rPr>
        <w:t xml:space="preserve"> current and future litigation or regulatory investigations, proceedings, or inquiries; varia</w:t>
      </w:r>
      <w:r w:rsidR="004250D0">
        <w:rPr>
          <w:rFonts w:ascii="Arial" w:hAnsi="Arial" w:cs="Arial"/>
          <w:sz w:val="24"/>
          <w:szCs w:val="24"/>
        </w:rPr>
        <w:t>tions in demand for electricity</w:t>
      </w:r>
      <w:r w:rsidRPr="00676E5E">
        <w:rPr>
          <w:rFonts w:ascii="Arial" w:hAnsi="Arial" w:cs="Arial"/>
          <w:sz w:val="24"/>
          <w:szCs w:val="24"/>
        </w:rPr>
        <w:t>; available sources and costs of fuels; the ability to control costs and avoid cost and schedule overruns during the development, construction and operation of facilities; the ability to construct facilities in accordance with the requirements of permits and licenses (including satisfaction of U.S. Nuclear Regulatory Commission requirements), to satisfy any environmental performance standards and the requirements of tax credits and other incentives, and to integrate facilities into the Southern Company system upon completion of construction; advances in technology;</w:t>
      </w:r>
      <w:r w:rsidR="004250D0">
        <w:rPr>
          <w:rFonts w:ascii="Arial" w:hAnsi="Arial" w:cs="Arial"/>
          <w:sz w:val="24"/>
          <w:szCs w:val="24"/>
        </w:rPr>
        <w:t xml:space="preserve"> the ability to constrain operating and maintenance costs;</w:t>
      </w:r>
      <w:r w:rsidRPr="00676E5E">
        <w:rPr>
          <w:rFonts w:ascii="Arial" w:hAnsi="Arial" w:cs="Arial"/>
          <w:sz w:val="24"/>
          <w:szCs w:val="24"/>
        </w:rPr>
        <w:t xml:space="preserve"> state and federal rate regulations and the impact of pending and future rate cases and negotiations, including rate actions relating to fuel and other cost recovery mechanisms; the direct or indirect effect on Georgia Power’s business resulting from cyber intrusion or physical attack and the threat of physical attacks; catastrophic events such as fires, earthquakes, explosions, floods, tornadoes, hurricanes and other storms, droughts, pandemic health events, or other similar occurrences; and the direct or indirect effects on Georgia Power’s business resulting from incidents affecting the U.S. electric grid or operation of generating resources.  </w:t>
      </w:r>
      <w:r w:rsidRPr="00676E5E">
        <w:rPr>
          <w:rFonts w:ascii="Arial" w:hAnsi="Arial" w:cs="Arial"/>
          <w:iCs/>
          <w:sz w:val="24"/>
          <w:szCs w:val="24"/>
        </w:rPr>
        <w:t>Georgia Power expressly disclaims any obligation to update any forward-looking information.</w:t>
      </w:r>
    </w:p>
    <w:bookmarkEnd w:id="1"/>
    <w:p w14:paraId="22BA4DF2" w14:textId="298621F1" w:rsidR="00594351" w:rsidRPr="00DB7156" w:rsidRDefault="00FC67F9" w:rsidP="00DB7156">
      <w:pPr>
        <w:spacing w:after="0" w:line="240" w:lineRule="auto"/>
        <w:jc w:val="both"/>
        <w:rPr>
          <w:rFonts w:ascii="Arial" w:hAnsi="Arial" w:cs="Arial"/>
          <w:b/>
          <w:color w:val="000080"/>
          <w:sz w:val="24"/>
          <w:szCs w:val="24"/>
        </w:rPr>
      </w:pPr>
      <w:r w:rsidRPr="00DB7156">
        <w:rPr>
          <w:rFonts w:ascii="Arial" w:hAnsi="Arial" w:cs="Arial"/>
          <w:iCs/>
          <w:color w:val="000000"/>
          <w:sz w:val="24"/>
          <w:szCs w:val="24"/>
        </w:rPr>
        <w:br w:type="page"/>
      </w:r>
      <w:r w:rsidR="00594351" w:rsidRPr="00DB7156">
        <w:rPr>
          <w:rFonts w:ascii="Arial" w:hAnsi="Arial" w:cs="Arial"/>
          <w:b/>
          <w:color w:val="000080"/>
          <w:sz w:val="24"/>
          <w:szCs w:val="24"/>
        </w:rPr>
        <w:lastRenderedPageBreak/>
        <w:t>ENVIRONMENTAL COMPLIANCE STRATEGY</w:t>
      </w:r>
    </w:p>
    <w:p w14:paraId="22BA4DF3" w14:textId="77777777" w:rsidR="00594351" w:rsidRPr="00DB7156" w:rsidRDefault="00594351" w:rsidP="00DB7156">
      <w:pPr>
        <w:spacing w:after="0" w:line="240" w:lineRule="auto"/>
        <w:ind w:right="-270"/>
        <w:jc w:val="both"/>
        <w:rPr>
          <w:rFonts w:ascii="Arial" w:hAnsi="Arial" w:cs="Arial"/>
          <w:b/>
          <w:color w:val="000080"/>
          <w:sz w:val="24"/>
          <w:szCs w:val="24"/>
        </w:rPr>
      </w:pPr>
      <w:r w:rsidRPr="00DB7156">
        <w:rPr>
          <w:rFonts w:ascii="Arial" w:hAnsi="Arial" w:cs="Arial"/>
          <w:b/>
          <w:color w:val="000080"/>
          <w:sz w:val="24"/>
          <w:szCs w:val="24"/>
        </w:rPr>
        <w:t>TABLE OF CONTENTS</w:t>
      </w:r>
    </w:p>
    <w:p w14:paraId="22BA4DF4" w14:textId="77777777" w:rsidR="00D94100" w:rsidRPr="00DB7156" w:rsidRDefault="00D94100" w:rsidP="00DB7156">
      <w:pPr>
        <w:spacing w:before="120" w:after="0" w:line="240" w:lineRule="auto"/>
        <w:ind w:right="-270"/>
        <w:jc w:val="both"/>
        <w:rPr>
          <w:rFonts w:ascii="Arial" w:hAnsi="Arial" w:cs="Arial"/>
          <w:color w:val="000080"/>
          <w:sz w:val="16"/>
          <w:szCs w:val="16"/>
        </w:rPr>
      </w:pPr>
    </w:p>
    <w:p w14:paraId="40D4B211" w14:textId="0B27B510" w:rsidR="00F04D46" w:rsidRDefault="00117919">
      <w:pPr>
        <w:pStyle w:val="TOC1"/>
        <w:rPr>
          <w:rFonts w:asciiTheme="minorHAnsi" w:eastAsiaTheme="minorEastAsia" w:hAnsiTheme="minorHAnsi" w:cstheme="minorBidi"/>
          <w:noProof/>
        </w:rPr>
      </w:pPr>
      <w:r w:rsidRPr="00465866">
        <w:rPr>
          <w:rFonts w:ascii="Arial" w:hAnsi="Arial" w:cs="Arial"/>
          <w:color w:val="000080"/>
          <w:sz w:val="19"/>
          <w:szCs w:val="19"/>
        </w:rPr>
        <w:fldChar w:fldCharType="begin"/>
      </w:r>
      <w:r w:rsidR="00594351" w:rsidRPr="00465866">
        <w:rPr>
          <w:rFonts w:ascii="Arial" w:hAnsi="Arial" w:cs="Arial"/>
          <w:color w:val="000080"/>
          <w:sz w:val="19"/>
          <w:szCs w:val="19"/>
        </w:rPr>
        <w:instrText xml:space="preserve"> TOC \o "1-3" \h \z \u </w:instrText>
      </w:r>
      <w:r w:rsidRPr="00465866">
        <w:rPr>
          <w:rFonts w:ascii="Arial" w:hAnsi="Arial" w:cs="Arial"/>
          <w:color w:val="000080"/>
          <w:sz w:val="19"/>
          <w:szCs w:val="19"/>
        </w:rPr>
        <w:fldChar w:fldCharType="separate"/>
      </w:r>
      <w:hyperlink w:anchor="_Toc535908122" w:history="1">
        <w:r w:rsidR="00F04D46" w:rsidRPr="00837D90">
          <w:rPr>
            <w:rStyle w:val="Hyperlink"/>
            <w:rFonts w:ascii="Arial" w:hAnsi="Arial" w:cs="Arial"/>
            <w:b/>
            <w:bCs/>
            <w:noProof/>
            <w:kern w:val="28"/>
          </w:rPr>
          <w:t>1.0 Georgia Power Environmental Compliance Strategy and Overview</w:t>
        </w:r>
        <w:r w:rsidR="00F04D46">
          <w:rPr>
            <w:noProof/>
            <w:webHidden/>
          </w:rPr>
          <w:tab/>
        </w:r>
        <w:r w:rsidR="00F04D46">
          <w:rPr>
            <w:noProof/>
            <w:webHidden/>
          </w:rPr>
          <w:fldChar w:fldCharType="begin"/>
        </w:r>
        <w:r w:rsidR="00F04D46">
          <w:rPr>
            <w:noProof/>
            <w:webHidden/>
          </w:rPr>
          <w:instrText xml:space="preserve"> PAGEREF _Toc535908122 \h </w:instrText>
        </w:r>
        <w:r w:rsidR="00F04D46">
          <w:rPr>
            <w:noProof/>
            <w:webHidden/>
          </w:rPr>
        </w:r>
        <w:r w:rsidR="00F04D46">
          <w:rPr>
            <w:noProof/>
            <w:webHidden/>
          </w:rPr>
          <w:fldChar w:fldCharType="separate"/>
        </w:r>
        <w:r w:rsidR="00F04D46">
          <w:rPr>
            <w:noProof/>
            <w:webHidden/>
          </w:rPr>
          <w:t>1</w:t>
        </w:r>
        <w:r w:rsidR="00F04D46">
          <w:rPr>
            <w:noProof/>
            <w:webHidden/>
          </w:rPr>
          <w:fldChar w:fldCharType="end"/>
        </w:r>
      </w:hyperlink>
    </w:p>
    <w:p w14:paraId="3AC00C58" w14:textId="3BC86748" w:rsidR="00F04D46" w:rsidRDefault="00753075">
      <w:pPr>
        <w:pStyle w:val="TOC2"/>
        <w:rPr>
          <w:rFonts w:asciiTheme="minorHAnsi" w:eastAsiaTheme="minorEastAsia" w:hAnsiTheme="minorHAnsi" w:cstheme="minorBidi"/>
          <w:noProof/>
        </w:rPr>
      </w:pPr>
      <w:hyperlink w:anchor="_Toc535908123" w:history="1">
        <w:r w:rsidR="00F04D46" w:rsidRPr="00837D90">
          <w:rPr>
            <w:rStyle w:val="Hyperlink"/>
            <w:rFonts w:ascii="Arial" w:hAnsi="Arial" w:cs="Arial"/>
            <w:b/>
            <w:bCs/>
            <w:noProof/>
          </w:rPr>
          <w:t>1.1</w:t>
        </w:r>
        <w:r w:rsidR="00F04D46">
          <w:rPr>
            <w:rFonts w:asciiTheme="minorHAnsi" w:eastAsiaTheme="minorEastAsia" w:hAnsiTheme="minorHAnsi" w:cstheme="minorBidi"/>
            <w:noProof/>
          </w:rPr>
          <w:tab/>
        </w:r>
        <w:r w:rsidR="00F04D46" w:rsidRPr="00837D90">
          <w:rPr>
            <w:rStyle w:val="Hyperlink"/>
            <w:rFonts w:ascii="Arial" w:hAnsi="Arial" w:cs="Arial"/>
            <w:b/>
            <w:bCs/>
            <w:noProof/>
          </w:rPr>
          <w:t>Notable Regulatory-Related Events</w:t>
        </w:r>
        <w:r w:rsidR="00F04D46">
          <w:rPr>
            <w:noProof/>
            <w:webHidden/>
          </w:rPr>
          <w:tab/>
        </w:r>
        <w:r w:rsidR="00F04D46">
          <w:rPr>
            <w:noProof/>
            <w:webHidden/>
          </w:rPr>
          <w:fldChar w:fldCharType="begin"/>
        </w:r>
        <w:r w:rsidR="00F04D46">
          <w:rPr>
            <w:noProof/>
            <w:webHidden/>
          </w:rPr>
          <w:instrText xml:space="preserve"> PAGEREF _Toc535908123 \h </w:instrText>
        </w:r>
        <w:r w:rsidR="00F04D46">
          <w:rPr>
            <w:noProof/>
            <w:webHidden/>
          </w:rPr>
        </w:r>
        <w:r w:rsidR="00F04D46">
          <w:rPr>
            <w:noProof/>
            <w:webHidden/>
          </w:rPr>
          <w:fldChar w:fldCharType="separate"/>
        </w:r>
        <w:r w:rsidR="00F04D46">
          <w:rPr>
            <w:noProof/>
            <w:webHidden/>
          </w:rPr>
          <w:t>4</w:t>
        </w:r>
        <w:r w:rsidR="00F04D46">
          <w:rPr>
            <w:noProof/>
            <w:webHidden/>
          </w:rPr>
          <w:fldChar w:fldCharType="end"/>
        </w:r>
      </w:hyperlink>
    </w:p>
    <w:p w14:paraId="74A66176" w14:textId="512DF187" w:rsidR="00F04D46" w:rsidRDefault="00753075">
      <w:pPr>
        <w:pStyle w:val="TOC2"/>
        <w:rPr>
          <w:rFonts w:asciiTheme="minorHAnsi" w:eastAsiaTheme="minorEastAsia" w:hAnsiTheme="minorHAnsi" w:cstheme="minorBidi"/>
          <w:noProof/>
        </w:rPr>
      </w:pPr>
      <w:hyperlink w:anchor="_Toc535908124" w:history="1">
        <w:r w:rsidR="00F04D46" w:rsidRPr="00837D90">
          <w:rPr>
            <w:rStyle w:val="Hyperlink"/>
            <w:rFonts w:ascii="Arial" w:hAnsi="Arial" w:cs="Arial"/>
            <w:b/>
            <w:bCs/>
            <w:noProof/>
          </w:rPr>
          <w:t>1.2</w:t>
        </w:r>
        <w:r w:rsidR="00F04D46">
          <w:rPr>
            <w:rFonts w:asciiTheme="minorHAnsi" w:eastAsiaTheme="minorEastAsia" w:hAnsiTheme="minorHAnsi" w:cstheme="minorBidi"/>
            <w:noProof/>
          </w:rPr>
          <w:tab/>
        </w:r>
        <w:r w:rsidR="00F04D46" w:rsidRPr="00837D90">
          <w:rPr>
            <w:rStyle w:val="Hyperlink"/>
            <w:rFonts w:ascii="Arial" w:hAnsi="Arial" w:cs="Arial"/>
            <w:b/>
            <w:bCs/>
            <w:noProof/>
          </w:rPr>
          <w:t>Future Key Environmental Regulatory Events</w:t>
        </w:r>
        <w:r w:rsidR="00F04D46">
          <w:rPr>
            <w:noProof/>
            <w:webHidden/>
          </w:rPr>
          <w:tab/>
        </w:r>
        <w:r w:rsidR="00F04D46">
          <w:rPr>
            <w:noProof/>
            <w:webHidden/>
          </w:rPr>
          <w:fldChar w:fldCharType="begin"/>
        </w:r>
        <w:r w:rsidR="00F04D46">
          <w:rPr>
            <w:noProof/>
            <w:webHidden/>
          </w:rPr>
          <w:instrText xml:space="preserve"> PAGEREF _Toc535908124 \h </w:instrText>
        </w:r>
        <w:r w:rsidR="00F04D46">
          <w:rPr>
            <w:noProof/>
            <w:webHidden/>
          </w:rPr>
        </w:r>
        <w:r w:rsidR="00F04D46">
          <w:rPr>
            <w:noProof/>
            <w:webHidden/>
          </w:rPr>
          <w:fldChar w:fldCharType="separate"/>
        </w:r>
        <w:r w:rsidR="00F04D46">
          <w:rPr>
            <w:noProof/>
            <w:webHidden/>
          </w:rPr>
          <w:t>11</w:t>
        </w:r>
        <w:r w:rsidR="00F04D46">
          <w:rPr>
            <w:noProof/>
            <w:webHidden/>
          </w:rPr>
          <w:fldChar w:fldCharType="end"/>
        </w:r>
      </w:hyperlink>
    </w:p>
    <w:p w14:paraId="2DF5CF60" w14:textId="1E18B4B7" w:rsidR="00F04D46" w:rsidRDefault="00753075">
      <w:pPr>
        <w:pStyle w:val="TOC1"/>
        <w:rPr>
          <w:rFonts w:asciiTheme="minorHAnsi" w:eastAsiaTheme="minorEastAsia" w:hAnsiTheme="minorHAnsi" w:cstheme="minorBidi"/>
          <w:noProof/>
        </w:rPr>
      </w:pPr>
      <w:hyperlink w:anchor="_Toc535908125" w:history="1">
        <w:r w:rsidR="00F04D46" w:rsidRPr="00837D90">
          <w:rPr>
            <w:rStyle w:val="Hyperlink"/>
            <w:rFonts w:ascii="Arial" w:hAnsi="Arial" w:cs="Arial"/>
            <w:b/>
            <w:bCs/>
            <w:noProof/>
            <w:kern w:val="28"/>
          </w:rPr>
          <w:t>2.0 Regulatory, Legislative, and Judicial Review</w:t>
        </w:r>
        <w:r w:rsidR="00F04D46">
          <w:rPr>
            <w:noProof/>
            <w:webHidden/>
          </w:rPr>
          <w:tab/>
        </w:r>
        <w:r w:rsidR="00F04D46">
          <w:rPr>
            <w:noProof/>
            <w:webHidden/>
          </w:rPr>
          <w:fldChar w:fldCharType="begin"/>
        </w:r>
        <w:r w:rsidR="00F04D46">
          <w:rPr>
            <w:noProof/>
            <w:webHidden/>
          </w:rPr>
          <w:instrText xml:space="preserve"> PAGEREF _Toc535908125 \h </w:instrText>
        </w:r>
        <w:r w:rsidR="00F04D46">
          <w:rPr>
            <w:noProof/>
            <w:webHidden/>
          </w:rPr>
        </w:r>
        <w:r w:rsidR="00F04D46">
          <w:rPr>
            <w:noProof/>
            <w:webHidden/>
          </w:rPr>
          <w:fldChar w:fldCharType="separate"/>
        </w:r>
        <w:r w:rsidR="00F04D46">
          <w:rPr>
            <w:noProof/>
            <w:webHidden/>
          </w:rPr>
          <w:t>13</w:t>
        </w:r>
        <w:r w:rsidR="00F04D46">
          <w:rPr>
            <w:noProof/>
            <w:webHidden/>
          </w:rPr>
          <w:fldChar w:fldCharType="end"/>
        </w:r>
      </w:hyperlink>
    </w:p>
    <w:p w14:paraId="4A2151BE" w14:textId="7389BDDC" w:rsidR="00F04D46" w:rsidRDefault="00753075">
      <w:pPr>
        <w:pStyle w:val="TOC2"/>
        <w:rPr>
          <w:rFonts w:asciiTheme="minorHAnsi" w:eastAsiaTheme="minorEastAsia" w:hAnsiTheme="minorHAnsi" w:cstheme="minorBidi"/>
          <w:noProof/>
        </w:rPr>
      </w:pPr>
      <w:hyperlink w:anchor="_Toc535908126" w:history="1">
        <w:r w:rsidR="00F04D46" w:rsidRPr="00837D90">
          <w:rPr>
            <w:rStyle w:val="Hyperlink"/>
            <w:rFonts w:ascii="Arial" w:hAnsi="Arial" w:cs="Arial"/>
            <w:b/>
            <w:bCs/>
            <w:noProof/>
          </w:rPr>
          <w:t>2.1</w:t>
        </w:r>
        <w:r w:rsidR="00F04D46">
          <w:rPr>
            <w:rFonts w:asciiTheme="minorHAnsi" w:eastAsiaTheme="minorEastAsia" w:hAnsiTheme="minorHAnsi" w:cstheme="minorBidi"/>
            <w:noProof/>
          </w:rPr>
          <w:tab/>
        </w:r>
        <w:r w:rsidR="00F04D46" w:rsidRPr="00837D90">
          <w:rPr>
            <w:rStyle w:val="Hyperlink"/>
            <w:rFonts w:ascii="Arial" w:hAnsi="Arial" w:cs="Arial"/>
            <w:b/>
            <w:bCs/>
            <w:noProof/>
          </w:rPr>
          <w:t>Major U.S. Environmental Laws</w:t>
        </w:r>
        <w:r w:rsidR="00F04D46">
          <w:rPr>
            <w:noProof/>
            <w:webHidden/>
          </w:rPr>
          <w:tab/>
        </w:r>
        <w:r w:rsidR="00F04D46">
          <w:rPr>
            <w:noProof/>
            <w:webHidden/>
          </w:rPr>
          <w:fldChar w:fldCharType="begin"/>
        </w:r>
        <w:r w:rsidR="00F04D46">
          <w:rPr>
            <w:noProof/>
            <w:webHidden/>
          </w:rPr>
          <w:instrText xml:space="preserve"> PAGEREF _Toc535908126 \h </w:instrText>
        </w:r>
        <w:r w:rsidR="00F04D46">
          <w:rPr>
            <w:noProof/>
            <w:webHidden/>
          </w:rPr>
        </w:r>
        <w:r w:rsidR="00F04D46">
          <w:rPr>
            <w:noProof/>
            <w:webHidden/>
          </w:rPr>
          <w:fldChar w:fldCharType="separate"/>
        </w:r>
        <w:r w:rsidR="00F04D46">
          <w:rPr>
            <w:noProof/>
            <w:webHidden/>
          </w:rPr>
          <w:t>13</w:t>
        </w:r>
        <w:r w:rsidR="00F04D46">
          <w:rPr>
            <w:noProof/>
            <w:webHidden/>
          </w:rPr>
          <w:fldChar w:fldCharType="end"/>
        </w:r>
      </w:hyperlink>
    </w:p>
    <w:p w14:paraId="7B49C4E1" w14:textId="2B33BD00" w:rsidR="00F04D46" w:rsidRDefault="00753075">
      <w:pPr>
        <w:pStyle w:val="TOC2"/>
        <w:rPr>
          <w:rFonts w:asciiTheme="minorHAnsi" w:eastAsiaTheme="minorEastAsia" w:hAnsiTheme="minorHAnsi" w:cstheme="minorBidi"/>
          <w:noProof/>
        </w:rPr>
      </w:pPr>
      <w:hyperlink w:anchor="_Toc535908127" w:history="1">
        <w:r w:rsidR="00F04D46" w:rsidRPr="00837D90">
          <w:rPr>
            <w:rStyle w:val="Hyperlink"/>
            <w:rFonts w:ascii="Arial" w:hAnsi="Arial" w:cs="Arial"/>
            <w:b/>
            <w:bCs/>
            <w:noProof/>
          </w:rPr>
          <w:t>2.2</w:t>
        </w:r>
        <w:r w:rsidR="00F04D46">
          <w:rPr>
            <w:rFonts w:asciiTheme="minorHAnsi" w:eastAsiaTheme="minorEastAsia" w:hAnsiTheme="minorHAnsi" w:cstheme="minorBidi"/>
            <w:noProof/>
          </w:rPr>
          <w:tab/>
        </w:r>
        <w:r w:rsidR="00F04D46" w:rsidRPr="00837D90">
          <w:rPr>
            <w:rStyle w:val="Hyperlink"/>
            <w:rFonts w:ascii="Arial" w:hAnsi="Arial" w:cs="Arial"/>
            <w:b/>
            <w:bCs/>
            <w:noProof/>
          </w:rPr>
          <w:t>Acid Rain Program</w:t>
        </w:r>
        <w:r w:rsidR="00F04D46">
          <w:rPr>
            <w:noProof/>
            <w:webHidden/>
          </w:rPr>
          <w:tab/>
        </w:r>
        <w:r w:rsidR="00F04D46">
          <w:rPr>
            <w:noProof/>
            <w:webHidden/>
          </w:rPr>
          <w:fldChar w:fldCharType="begin"/>
        </w:r>
        <w:r w:rsidR="00F04D46">
          <w:rPr>
            <w:noProof/>
            <w:webHidden/>
          </w:rPr>
          <w:instrText xml:space="preserve"> PAGEREF _Toc535908127 \h </w:instrText>
        </w:r>
        <w:r w:rsidR="00F04D46">
          <w:rPr>
            <w:noProof/>
            <w:webHidden/>
          </w:rPr>
        </w:r>
        <w:r w:rsidR="00F04D46">
          <w:rPr>
            <w:noProof/>
            <w:webHidden/>
          </w:rPr>
          <w:fldChar w:fldCharType="separate"/>
        </w:r>
        <w:r w:rsidR="00F04D46">
          <w:rPr>
            <w:noProof/>
            <w:webHidden/>
          </w:rPr>
          <w:t>15</w:t>
        </w:r>
        <w:r w:rsidR="00F04D46">
          <w:rPr>
            <w:noProof/>
            <w:webHidden/>
          </w:rPr>
          <w:fldChar w:fldCharType="end"/>
        </w:r>
      </w:hyperlink>
    </w:p>
    <w:p w14:paraId="5812EA4B" w14:textId="040784D8" w:rsidR="00F04D46" w:rsidRDefault="00753075">
      <w:pPr>
        <w:pStyle w:val="TOC2"/>
        <w:rPr>
          <w:rFonts w:asciiTheme="minorHAnsi" w:eastAsiaTheme="minorEastAsia" w:hAnsiTheme="minorHAnsi" w:cstheme="minorBidi"/>
          <w:noProof/>
        </w:rPr>
      </w:pPr>
      <w:hyperlink w:anchor="_Toc535908128" w:history="1">
        <w:r w:rsidR="00F04D46" w:rsidRPr="00837D90">
          <w:rPr>
            <w:rStyle w:val="Hyperlink"/>
            <w:rFonts w:ascii="Arial" w:hAnsi="Arial" w:cs="Arial"/>
            <w:b/>
            <w:bCs/>
            <w:noProof/>
          </w:rPr>
          <w:t>2.3</w:t>
        </w:r>
        <w:r w:rsidR="00F04D46">
          <w:rPr>
            <w:rFonts w:asciiTheme="minorHAnsi" w:eastAsiaTheme="minorEastAsia" w:hAnsiTheme="minorHAnsi" w:cstheme="minorBidi"/>
            <w:noProof/>
          </w:rPr>
          <w:tab/>
        </w:r>
        <w:r w:rsidR="00F04D46" w:rsidRPr="00837D90">
          <w:rPr>
            <w:rStyle w:val="Hyperlink"/>
            <w:rFonts w:ascii="Arial" w:hAnsi="Arial" w:cs="Arial"/>
            <w:b/>
            <w:bCs/>
            <w:noProof/>
          </w:rPr>
          <w:t>National Ambient Air Quality Standards</w:t>
        </w:r>
        <w:r w:rsidR="00F04D46">
          <w:rPr>
            <w:noProof/>
            <w:webHidden/>
          </w:rPr>
          <w:tab/>
        </w:r>
        <w:r w:rsidR="00F04D46">
          <w:rPr>
            <w:noProof/>
            <w:webHidden/>
          </w:rPr>
          <w:fldChar w:fldCharType="begin"/>
        </w:r>
        <w:r w:rsidR="00F04D46">
          <w:rPr>
            <w:noProof/>
            <w:webHidden/>
          </w:rPr>
          <w:instrText xml:space="preserve"> PAGEREF _Toc535908128 \h </w:instrText>
        </w:r>
        <w:r w:rsidR="00F04D46">
          <w:rPr>
            <w:noProof/>
            <w:webHidden/>
          </w:rPr>
        </w:r>
        <w:r w:rsidR="00F04D46">
          <w:rPr>
            <w:noProof/>
            <w:webHidden/>
          </w:rPr>
          <w:fldChar w:fldCharType="separate"/>
        </w:r>
        <w:r w:rsidR="00F04D46">
          <w:rPr>
            <w:noProof/>
            <w:webHidden/>
          </w:rPr>
          <w:t>15</w:t>
        </w:r>
        <w:r w:rsidR="00F04D46">
          <w:rPr>
            <w:noProof/>
            <w:webHidden/>
          </w:rPr>
          <w:fldChar w:fldCharType="end"/>
        </w:r>
      </w:hyperlink>
    </w:p>
    <w:p w14:paraId="68B31124" w14:textId="1F68671C" w:rsidR="00F04D46" w:rsidRDefault="00753075">
      <w:pPr>
        <w:pStyle w:val="TOC2"/>
        <w:rPr>
          <w:rFonts w:asciiTheme="minorHAnsi" w:eastAsiaTheme="minorEastAsia" w:hAnsiTheme="minorHAnsi" w:cstheme="minorBidi"/>
          <w:noProof/>
        </w:rPr>
      </w:pPr>
      <w:hyperlink w:anchor="_Toc535908129" w:history="1">
        <w:r w:rsidR="00F04D46" w:rsidRPr="00837D90">
          <w:rPr>
            <w:rStyle w:val="Hyperlink"/>
            <w:rFonts w:ascii="Arial" w:hAnsi="Arial" w:cs="Arial"/>
            <w:b/>
            <w:bCs/>
            <w:noProof/>
          </w:rPr>
          <w:t>2.4</w:t>
        </w:r>
        <w:r w:rsidR="00F04D46">
          <w:rPr>
            <w:rFonts w:asciiTheme="minorHAnsi" w:eastAsiaTheme="minorEastAsia" w:hAnsiTheme="minorHAnsi" w:cstheme="minorBidi"/>
            <w:noProof/>
          </w:rPr>
          <w:tab/>
        </w:r>
        <w:r w:rsidR="00F04D46" w:rsidRPr="00837D90">
          <w:rPr>
            <w:rStyle w:val="Hyperlink"/>
            <w:rFonts w:ascii="Arial" w:hAnsi="Arial" w:cs="Arial"/>
            <w:b/>
            <w:bCs/>
            <w:noProof/>
          </w:rPr>
          <w:t>Regional NO</w:t>
        </w:r>
        <w:r w:rsidR="00F04D46" w:rsidRPr="00837D90">
          <w:rPr>
            <w:rStyle w:val="Hyperlink"/>
            <w:rFonts w:ascii="Arial" w:hAnsi="Arial" w:cs="Arial"/>
            <w:b/>
            <w:bCs/>
            <w:noProof/>
            <w:vertAlign w:val="subscript"/>
          </w:rPr>
          <w:t>X</w:t>
        </w:r>
        <w:r w:rsidR="00F04D46" w:rsidRPr="00837D90">
          <w:rPr>
            <w:rStyle w:val="Hyperlink"/>
            <w:rFonts w:ascii="Arial" w:hAnsi="Arial" w:cs="Arial"/>
            <w:b/>
            <w:bCs/>
            <w:noProof/>
          </w:rPr>
          <w:t xml:space="preserve"> SIP Call and Budget Trading Program</w:t>
        </w:r>
        <w:r w:rsidR="00F04D46">
          <w:rPr>
            <w:noProof/>
            <w:webHidden/>
          </w:rPr>
          <w:tab/>
        </w:r>
        <w:r w:rsidR="00F04D46">
          <w:rPr>
            <w:noProof/>
            <w:webHidden/>
          </w:rPr>
          <w:fldChar w:fldCharType="begin"/>
        </w:r>
        <w:r w:rsidR="00F04D46">
          <w:rPr>
            <w:noProof/>
            <w:webHidden/>
          </w:rPr>
          <w:instrText xml:space="preserve"> PAGEREF _Toc535908129 \h </w:instrText>
        </w:r>
        <w:r w:rsidR="00F04D46">
          <w:rPr>
            <w:noProof/>
            <w:webHidden/>
          </w:rPr>
        </w:r>
        <w:r w:rsidR="00F04D46">
          <w:rPr>
            <w:noProof/>
            <w:webHidden/>
          </w:rPr>
          <w:fldChar w:fldCharType="separate"/>
        </w:r>
        <w:r w:rsidR="00F04D46">
          <w:rPr>
            <w:noProof/>
            <w:webHidden/>
          </w:rPr>
          <w:t>18</w:t>
        </w:r>
        <w:r w:rsidR="00F04D46">
          <w:rPr>
            <w:noProof/>
            <w:webHidden/>
          </w:rPr>
          <w:fldChar w:fldCharType="end"/>
        </w:r>
      </w:hyperlink>
    </w:p>
    <w:p w14:paraId="38A58060" w14:textId="76EB1E79" w:rsidR="00F04D46" w:rsidRDefault="00753075">
      <w:pPr>
        <w:pStyle w:val="TOC2"/>
        <w:rPr>
          <w:rFonts w:asciiTheme="minorHAnsi" w:eastAsiaTheme="minorEastAsia" w:hAnsiTheme="minorHAnsi" w:cstheme="minorBidi"/>
          <w:noProof/>
        </w:rPr>
      </w:pPr>
      <w:hyperlink w:anchor="_Toc535908130" w:history="1">
        <w:r w:rsidR="00F04D46" w:rsidRPr="00837D90">
          <w:rPr>
            <w:rStyle w:val="Hyperlink"/>
            <w:rFonts w:ascii="Arial" w:hAnsi="Arial" w:cs="Arial"/>
            <w:b/>
            <w:bCs/>
            <w:noProof/>
          </w:rPr>
          <w:t>2.5</w:t>
        </w:r>
        <w:r w:rsidR="00F04D46">
          <w:rPr>
            <w:rFonts w:asciiTheme="minorHAnsi" w:eastAsiaTheme="minorEastAsia" w:hAnsiTheme="minorHAnsi" w:cstheme="minorBidi"/>
            <w:noProof/>
          </w:rPr>
          <w:tab/>
        </w:r>
        <w:r w:rsidR="00F04D46" w:rsidRPr="00837D90">
          <w:rPr>
            <w:rStyle w:val="Hyperlink"/>
            <w:rFonts w:ascii="Arial" w:hAnsi="Arial" w:cs="Arial"/>
            <w:b/>
            <w:bCs/>
            <w:noProof/>
          </w:rPr>
          <w:t>CAIR/CSAPR</w:t>
        </w:r>
        <w:r w:rsidR="00F04D46">
          <w:rPr>
            <w:noProof/>
            <w:webHidden/>
          </w:rPr>
          <w:tab/>
        </w:r>
        <w:r w:rsidR="00F04D46">
          <w:rPr>
            <w:noProof/>
            <w:webHidden/>
          </w:rPr>
          <w:fldChar w:fldCharType="begin"/>
        </w:r>
        <w:r w:rsidR="00F04D46">
          <w:rPr>
            <w:noProof/>
            <w:webHidden/>
          </w:rPr>
          <w:instrText xml:space="preserve"> PAGEREF _Toc535908130 \h </w:instrText>
        </w:r>
        <w:r w:rsidR="00F04D46">
          <w:rPr>
            <w:noProof/>
            <w:webHidden/>
          </w:rPr>
        </w:r>
        <w:r w:rsidR="00F04D46">
          <w:rPr>
            <w:noProof/>
            <w:webHidden/>
          </w:rPr>
          <w:fldChar w:fldCharType="separate"/>
        </w:r>
        <w:r w:rsidR="00F04D46">
          <w:rPr>
            <w:noProof/>
            <w:webHidden/>
          </w:rPr>
          <w:t>19</w:t>
        </w:r>
        <w:r w:rsidR="00F04D46">
          <w:rPr>
            <w:noProof/>
            <w:webHidden/>
          </w:rPr>
          <w:fldChar w:fldCharType="end"/>
        </w:r>
      </w:hyperlink>
    </w:p>
    <w:p w14:paraId="403AA4BD" w14:textId="4A9EE912" w:rsidR="00F04D46" w:rsidRDefault="00753075">
      <w:pPr>
        <w:pStyle w:val="TOC2"/>
        <w:rPr>
          <w:rFonts w:asciiTheme="minorHAnsi" w:eastAsiaTheme="minorEastAsia" w:hAnsiTheme="minorHAnsi" w:cstheme="minorBidi"/>
          <w:noProof/>
        </w:rPr>
      </w:pPr>
      <w:hyperlink w:anchor="_Toc535908131" w:history="1">
        <w:r w:rsidR="00F04D46" w:rsidRPr="00837D90">
          <w:rPr>
            <w:rStyle w:val="Hyperlink"/>
            <w:rFonts w:ascii="Arial" w:hAnsi="Arial" w:cs="Arial"/>
            <w:b/>
            <w:bCs/>
            <w:noProof/>
          </w:rPr>
          <w:t>2.6</w:t>
        </w:r>
        <w:r w:rsidR="00F04D46">
          <w:rPr>
            <w:rFonts w:asciiTheme="minorHAnsi" w:eastAsiaTheme="minorEastAsia" w:hAnsiTheme="minorHAnsi" w:cstheme="minorBidi"/>
            <w:noProof/>
          </w:rPr>
          <w:tab/>
        </w:r>
        <w:r w:rsidR="00F04D46" w:rsidRPr="00837D90">
          <w:rPr>
            <w:rStyle w:val="Hyperlink"/>
            <w:rFonts w:ascii="Arial" w:hAnsi="Arial" w:cs="Arial"/>
            <w:b/>
            <w:bCs/>
            <w:noProof/>
          </w:rPr>
          <w:t>Mercury and Air Toxics Standards and New Source Performance Standards for Coal-Fired EGUs</w:t>
        </w:r>
        <w:r w:rsidR="00F04D46">
          <w:rPr>
            <w:noProof/>
            <w:webHidden/>
          </w:rPr>
          <w:tab/>
        </w:r>
        <w:r w:rsidR="00F04D46">
          <w:rPr>
            <w:noProof/>
            <w:webHidden/>
          </w:rPr>
          <w:fldChar w:fldCharType="begin"/>
        </w:r>
        <w:r w:rsidR="00F04D46">
          <w:rPr>
            <w:noProof/>
            <w:webHidden/>
          </w:rPr>
          <w:instrText xml:space="preserve"> PAGEREF _Toc535908131 \h </w:instrText>
        </w:r>
        <w:r w:rsidR="00F04D46">
          <w:rPr>
            <w:noProof/>
            <w:webHidden/>
          </w:rPr>
        </w:r>
        <w:r w:rsidR="00F04D46">
          <w:rPr>
            <w:noProof/>
            <w:webHidden/>
          </w:rPr>
          <w:fldChar w:fldCharType="separate"/>
        </w:r>
        <w:r w:rsidR="00F04D46">
          <w:rPr>
            <w:noProof/>
            <w:webHidden/>
          </w:rPr>
          <w:t>22</w:t>
        </w:r>
        <w:r w:rsidR="00F04D46">
          <w:rPr>
            <w:noProof/>
            <w:webHidden/>
          </w:rPr>
          <w:fldChar w:fldCharType="end"/>
        </w:r>
      </w:hyperlink>
    </w:p>
    <w:p w14:paraId="24CEB38A" w14:textId="73ECBA5B" w:rsidR="00F04D46" w:rsidRDefault="00753075">
      <w:pPr>
        <w:pStyle w:val="TOC2"/>
        <w:rPr>
          <w:rFonts w:asciiTheme="minorHAnsi" w:eastAsiaTheme="minorEastAsia" w:hAnsiTheme="minorHAnsi" w:cstheme="minorBidi"/>
          <w:noProof/>
        </w:rPr>
      </w:pPr>
      <w:hyperlink w:anchor="_Toc535908132" w:history="1">
        <w:r w:rsidR="00F04D46" w:rsidRPr="00837D90">
          <w:rPr>
            <w:rStyle w:val="Hyperlink"/>
            <w:rFonts w:ascii="Arial" w:hAnsi="Arial" w:cs="Arial"/>
            <w:b/>
            <w:bCs/>
            <w:noProof/>
          </w:rPr>
          <w:t>2.7</w:t>
        </w:r>
        <w:r w:rsidR="00F04D46">
          <w:rPr>
            <w:rFonts w:asciiTheme="minorHAnsi" w:eastAsiaTheme="minorEastAsia" w:hAnsiTheme="minorHAnsi" w:cstheme="minorBidi"/>
            <w:noProof/>
          </w:rPr>
          <w:tab/>
        </w:r>
        <w:r w:rsidR="00F04D46" w:rsidRPr="00837D90">
          <w:rPr>
            <w:rStyle w:val="Hyperlink"/>
            <w:rFonts w:ascii="Arial" w:hAnsi="Arial" w:cs="Arial"/>
            <w:b/>
            <w:bCs/>
            <w:noProof/>
          </w:rPr>
          <w:t>Combustion Turbine NSPS and MACT</w:t>
        </w:r>
        <w:r w:rsidR="00F04D46">
          <w:rPr>
            <w:noProof/>
            <w:webHidden/>
          </w:rPr>
          <w:tab/>
        </w:r>
        <w:r w:rsidR="00F04D46">
          <w:rPr>
            <w:noProof/>
            <w:webHidden/>
          </w:rPr>
          <w:fldChar w:fldCharType="begin"/>
        </w:r>
        <w:r w:rsidR="00F04D46">
          <w:rPr>
            <w:noProof/>
            <w:webHidden/>
          </w:rPr>
          <w:instrText xml:space="preserve"> PAGEREF _Toc535908132 \h </w:instrText>
        </w:r>
        <w:r w:rsidR="00F04D46">
          <w:rPr>
            <w:noProof/>
            <w:webHidden/>
          </w:rPr>
        </w:r>
        <w:r w:rsidR="00F04D46">
          <w:rPr>
            <w:noProof/>
            <w:webHidden/>
          </w:rPr>
          <w:fldChar w:fldCharType="separate"/>
        </w:r>
        <w:r w:rsidR="00F04D46">
          <w:rPr>
            <w:noProof/>
            <w:webHidden/>
          </w:rPr>
          <w:t>25</w:t>
        </w:r>
        <w:r w:rsidR="00F04D46">
          <w:rPr>
            <w:noProof/>
            <w:webHidden/>
          </w:rPr>
          <w:fldChar w:fldCharType="end"/>
        </w:r>
      </w:hyperlink>
    </w:p>
    <w:p w14:paraId="28CA768C" w14:textId="402F3461" w:rsidR="00F04D46" w:rsidRDefault="00753075">
      <w:pPr>
        <w:pStyle w:val="TOC2"/>
        <w:rPr>
          <w:rFonts w:asciiTheme="minorHAnsi" w:eastAsiaTheme="minorEastAsia" w:hAnsiTheme="minorHAnsi" w:cstheme="minorBidi"/>
          <w:noProof/>
        </w:rPr>
      </w:pPr>
      <w:hyperlink w:anchor="_Toc535908133" w:history="1">
        <w:r w:rsidR="00F04D46" w:rsidRPr="00837D90">
          <w:rPr>
            <w:rStyle w:val="Hyperlink"/>
            <w:rFonts w:ascii="Arial" w:hAnsi="Arial" w:cs="Arial"/>
            <w:b/>
            <w:bCs/>
            <w:noProof/>
          </w:rPr>
          <w:t>2.8</w:t>
        </w:r>
        <w:r w:rsidR="00F04D46">
          <w:rPr>
            <w:rFonts w:asciiTheme="minorHAnsi" w:eastAsiaTheme="minorEastAsia" w:hAnsiTheme="minorHAnsi" w:cstheme="minorBidi"/>
            <w:noProof/>
          </w:rPr>
          <w:tab/>
        </w:r>
        <w:r w:rsidR="00F04D46" w:rsidRPr="00837D90">
          <w:rPr>
            <w:rStyle w:val="Hyperlink"/>
            <w:rFonts w:ascii="Arial" w:hAnsi="Arial" w:cs="Arial"/>
            <w:b/>
            <w:bCs/>
            <w:noProof/>
          </w:rPr>
          <w:t>Industrial Boiler MACT</w:t>
        </w:r>
        <w:r w:rsidR="00F04D46">
          <w:rPr>
            <w:noProof/>
            <w:webHidden/>
          </w:rPr>
          <w:tab/>
        </w:r>
        <w:r w:rsidR="00F04D46">
          <w:rPr>
            <w:noProof/>
            <w:webHidden/>
          </w:rPr>
          <w:fldChar w:fldCharType="begin"/>
        </w:r>
        <w:r w:rsidR="00F04D46">
          <w:rPr>
            <w:noProof/>
            <w:webHidden/>
          </w:rPr>
          <w:instrText xml:space="preserve"> PAGEREF _Toc535908133 \h </w:instrText>
        </w:r>
        <w:r w:rsidR="00F04D46">
          <w:rPr>
            <w:noProof/>
            <w:webHidden/>
          </w:rPr>
        </w:r>
        <w:r w:rsidR="00F04D46">
          <w:rPr>
            <w:noProof/>
            <w:webHidden/>
          </w:rPr>
          <w:fldChar w:fldCharType="separate"/>
        </w:r>
        <w:r w:rsidR="00F04D46">
          <w:rPr>
            <w:noProof/>
            <w:webHidden/>
          </w:rPr>
          <w:t>25</w:t>
        </w:r>
        <w:r w:rsidR="00F04D46">
          <w:rPr>
            <w:noProof/>
            <w:webHidden/>
          </w:rPr>
          <w:fldChar w:fldCharType="end"/>
        </w:r>
      </w:hyperlink>
    </w:p>
    <w:p w14:paraId="7A32A249" w14:textId="28AA653B" w:rsidR="00F04D46" w:rsidRDefault="00753075">
      <w:pPr>
        <w:pStyle w:val="TOC2"/>
        <w:rPr>
          <w:rFonts w:asciiTheme="minorHAnsi" w:eastAsiaTheme="minorEastAsia" w:hAnsiTheme="minorHAnsi" w:cstheme="minorBidi"/>
          <w:noProof/>
        </w:rPr>
      </w:pPr>
      <w:hyperlink w:anchor="_Toc535908134" w:history="1">
        <w:r w:rsidR="00F04D46" w:rsidRPr="00837D90">
          <w:rPr>
            <w:rStyle w:val="Hyperlink"/>
            <w:rFonts w:ascii="Arial" w:hAnsi="Arial" w:cs="Arial"/>
            <w:b/>
            <w:bCs/>
            <w:noProof/>
          </w:rPr>
          <w:t>2.9</w:t>
        </w:r>
        <w:r w:rsidR="00F04D46">
          <w:rPr>
            <w:rFonts w:asciiTheme="minorHAnsi" w:eastAsiaTheme="minorEastAsia" w:hAnsiTheme="minorHAnsi" w:cstheme="minorBidi"/>
            <w:noProof/>
          </w:rPr>
          <w:tab/>
        </w:r>
        <w:r w:rsidR="00F04D46" w:rsidRPr="00837D90">
          <w:rPr>
            <w:rStyle w:val="Hyperlink"/>
            <w:rFonts w:ascii="Arial" w:hAnsi="Arial" w:cs="Arial"/>
            <w:b/>
            <w:bCs/>
            <w:noProof/>
          </w:rPr>
          <w:t>Clean Air Visibility Rule</w:t>
        </w:r>
        <w:r w:rsidR="00F04D46">
          <w:rPr>
            <w:noProof/>
            <w:webHidden/>
          </w:rPr>
          <w:tab/>
        </w:r>
        <w:r w:rsidR="00F04D46">
          <w:rPr>
            <w:noProof/>
            <w:webHidden/>
          </w:rPr>
          <w:fldChar w:fldCharType="begin"/>
        </w:r>
        <w:r w:rsidR="00F04D46">
          <w:rPr>
            <w:noProof/>
            <w:webHidden/>
          </w:rPr>
          <w:instrText xml:space="preserve"> PAGEREF _Toc535908134 \h </w:instrText>
        </w:r>
        <w:r w:rsidR="00F04D46">
          <w:rPr>
            <w:noProof/>
            <w:webHidden/>
          </w:rPr>
        </w:r>
        <w:r w:rsidR="00F04D46">
          <w:rPr>
            <w:noProof/>
            <w:webHidden/>
          </w:rPr>
          <w:fldChar w:fldCharType="separate"/>
        </w:r>
        <w:r w:rsidR="00F04D46">
          <w:rPr>
            <w:noProof/>
            <w:webHidden/>
          </w:rPr>
          <w:t>26</w:t>
        </w:r>
        <w:r w:rsidR="00F04D46">
          <w:rPr>
            <w:noProof/>
            <w:webHidden/>
          </w:rPr>
          <w:fldChar w:fldCharType="end"/>
        </w:r>
      </w:hyperlink>
    </w:p>
    <w:p w14:paraId="0388CB07" w14:textId="22B224DA" w:rsidR="00F04D46" w:rsidRDefault="00753075">
      <w:pPr>
        <w:pStyle w:val="TOC2"/>
        <w:rPr>
          <w:rFonts w:asciiTheme="minorHAnsi" w:eastAsiaTheme="minorEastAsia" w:hAnsiTheme="minorHAnsi" w:cstheme="minorBidi"/>
          <w:noProof/>
        </w:rPr>
      </w:pPr>
      <w:hyperlink w:anchor="_Toc535908135" w:history="1">
        <w:r w:rsidR="00F04D46" w:rsidRPr="00837D90">
          <w:rPr>
            <w:rStyle w:val="Hyperlink"/>
            <w:rFonts w:ascii="Arial" w:hAnsi="Arial" w:cs="Arial"/>
            <w:b/>
            <w:bCs/>
            <w:noProof/>
          </w:rPr>
          <w:t>2.10</w:t>
        </w:r>
        <w:r w:rsidR="00F04D46">
          <w:rPr>
            <w:rFonts w:asciiTheme="minorHAnsi" w:eastAsiaTheme="minorEastAsia" w:hAnsiTheme="minorHAnsi" w:cstheme="minorBidi"/>
            <w:noProof/>
          </w:rPr>
          <w:tab/>
        </w:r>
        <w:r w:rsidR="00F04D46" w:rsidRPr="00837D90">
          <w:rPr>
            <w:rStyle w:val="Hyperlink"/>
            <w:rFonts w:ascii="Arial" w:hAnsi="Arial" w:cs="Arial"/>
            <w:b/>
            <w:bCs/>
            <w:noProof/>
          </w:rPr>
          <w:t>Georgia Multipollutant Rule and Georgia SO</w:t>
        </w:r>
        <w:r w:rsidR="00F04D46" w:rsidRPr="00837D90">
          <w:rPr>
            <w:rStyle w:val="Hyperlink"/>
            <w:rFonts w:ascii="Arial" w:hAnsi="Arial" w:cs="Arial"/>
            <w:b/>
            <w:bCs/>
            <w:noProof/>
            <w:vertAlign w:val="subscript"/>
          </w:rPr>
          <w:t>2</w:t>
        </w:r>
        <w:r w:rsidR="00F04D46" w:rsidRPr="00837D90">
          <w:rPr>
            <w:rStyle w:val="Hyperlink"/>
            <w:rFonts w:ascii="Arial" w:hAnsi="Arial" w:cs="Arial"/>
            <w:b/>
            <w:bCs/>
            <w:noProof/>
          </w:rPr>
          <w:t xml:space="preserve"> Emissions Rule</w:t>
        </w:r>
        <w:r w:rsidR="00F04D46">
          <w:rPr>
            <w:noProof/>
            <w:webHidden/>
          </w:rPr>
          <w:tab/>
        </w:r>
        <w:r w:rsidR="00F04D46">
          <w:rPr>
            <w:noProof/>
            <w:webHidden/>
          </w:rPr>
          <w:fldChar w:fldCharType="begin"/>
        </w:r>
        <w:r w:rsidR="00F04D46">
          <w:rPr>
            <w:noProof/>
            <w:webHidden/>
          </w:rPr>
          <w:instrText xml:space="preserve"> PAGEREF _Toc535908135 \h </w:instrText>
        </w:r>
        <w:r w:rsidR="00F04D46">
          <w:rPr>
            <w:noProof/>
            <w:webHidden/>
          </w:rPr>
        </w:r>
        <w:r w:rsidR="00F04D46">
          <w:rPr>
            <w:noProof/>
            <w:webHidden/>
          </w:rPr>
          <w:fldChar w:fldCharType="separate"/>
        </w:r>
        <w:r w:rsidR="00F04D46">
          <w:rPr>
            <w:noProof/>
            <w:webHidden/>
          </w:rPr>
          <w:t>26</w:t>
        </w:r>
        <w:r w:rsidR="00F04D46">
          <w:rPr>
            <w:noProof/>
            <w:webHidden/>
          </w:rPr>
          <w:fldChar w:fldCharType="end"/>
        </w:r>
      </w:hyperlink>
    </w:p>
    <w:p w14:paraId="31E16C70" w14:textId="3851D0AC" w:rsidR="00F04D46" w:rsidRDefault="00753075">
      <w:pPr>
        <w:pStyle w:val="TOC2"/>
        <w:rPr>
          <w:rFonts w:asciiTheme="minorHAnsi" w:eastAsiaTheme="minorEastAsia" w:hAnsiTheme="minorHAnsi" w:cstheme="minorBidi"/>
          <w:noProof/>
        </w:rPr>
      </w:pPr>
      <w:hyperlink w:anchor="_Toc535908136" w:history="1">
        <w:r w:rsidR="00F04D46" w:rsidRPr="00837D90">
          <w:rPr>
            <w:rStyle w:val="Hyperlink"/>
            <w:rFonts w:ascii="Arial" w:hAnsi="Arial" w:cs="Arial"/>
            <w:b/>
            <w:bCs/>
            <w:noProof/>
          </w:rPr>
          <w:t>2.11 Startup, Shutdown and Malfunction SIP Call</w:t>
        </w:r>
        <w:r w:rsidR="00F04D46">
          <w:rPr>
            <w:noProof/>
            <w:webHidden/>
          </w:rPr>
          <w:tab/>
        </w:r>
        <w:r w:rsidR="00F04D46">
          <w:rPr>
            <w:noProof/>
            <w:webHidden/>
          </w:rPr>
          <w:fldChar w:fldCharType="begin"/>
        </w:r>
        <w:r w:rsidR="00F04D46">
          <w:rPr>
            <w:noProof/>
            <w:webHidden/>
          </w:rPr>
          <w:instrText xml:space="preserve"> PAGEREF _Toc535908136 \h </w:instrText>
        </w:r>
        <w:r w:rsidR="00F04D46">
          <w:rPr>
            <w:noProof/>
            <w:webHidden/>
          </w:rPr>
        </w:r>
        <w:r w:rsidR="00F04D46">
          <w:rPr>
            <w:noProof/>
            <w:webHidden/>
          </w:rPr>
          <w:fldChar w:fldCharType="separate"/>
        </w:r>
        <w:r w:rsidR="00F04D46">
          <w:rPr>
            <w:noProof/>
            <w:webHidden/>
          </w:rPr>
          <w:t>27</w:t>
        </w:r>
        <w:r w:rsidR="00F04D46">
          <w:rPr>
            <w:noProof/>
            <w:webHidden/>
          </w:rPr>
          <w:fldChar w:fldCharType="end"/>
        </w:r>
      </w:hyperlink>
    </w:p>
    <w:p w14:paraId="3009D490" w14:textId="7E80445E" w:rsidR="00F04D46" w:rsidRDefault="00753075">
      <w:pPr>
        <w:pStyle w:val="TOC2"/>
        <w:rPr>
          <w:rFonts w:asciiTheme="minorHAnsi" w:eastAsiaTheme="minorEastAsia" w:hAnsiTheme="minorHAnsi" w:cstheme="minorBidi"/>
          <w:noProof/>
        </w:rPr>
      </w:pPr>
      <w:hyperlink w:anchor="_Toc535908137" w:history="1">
        <w:r w:rsidR="00F04D46" w:rsidRPr="00837D90">
          <w:rPr>
            <w:rStyle w:val="Hyperlink"/>
            <w:rFonts w:ascii="Arial" w:hAnsi="Arial" w:cs="Arial"/>
            <w:b/>
            <w:bCs/>
            <w:noProof/>
          </w:rPr>
          <w:t>2.12</w:t>
        </w:r>
        <w:r w:rsidR="00F04D46">
          <w:rPr>
            <w:rFonts w:asciiTheme="minorHAnsi" w:eastAsiaTheme="minorEastAsia" w:hAnsiTheme="minorHAnsi" w:cstheme="minorBidi"/>
            <w:noProof/>
          </w:rPr>
          <w:tab/>
        </w:r>
        <w:r w:rsidR="00F04D46" w:rsidRPr="00837D90">
          <w:rPr>
            <w:rStyle w:val="Hyperlink"/>
            <w:rFonts w:ascii="Arial" w:hAnsi="Arial" w:cs="Arial"/>
            <w:b/>
            <w:bCs/>
            <w:noProof/>
          </w:rPr>
          <w:t>GHG Policies and Emissions</w:t>
        </w:r>
        <w:r w:rsidR="00F04D46">
          <w:rPr>
            <w:noProof/>
            <w:webHidden/>
          </w:rPr>
          <w:tab/>
        </w:r>
        <w:r w:rsidR="00F04D46">
          <w:rPr>
            <w:noProof/>
            <w:webHidden/>
          </w:rPr>
          <w:fldChar w:fldCharType="begin"/>
        </w:r>
        <w:r w:rsidR="00F04D46">
          <w:rPr>
            <w:noProof/>
            <w:webHidden/>
          </w:rPr>
          <w:instrText xml:space="preserve"> PAGEREF _Toc535908137 \h </w:instrText>
        </w:r>
        <w:r w:rsidR="00F04D46">
          <w:rPr>
            <w:noProof/>
            <w:webHidden/>
          </w:rPr>
        </w:r>
        <w:r w:rsidR="00F04D46">
          <w:rPr>
            <w:noProof/>
            <w:webHidden/>
          </w:rPr>
          <w:fldChar w:fldCharType="separate"/>
        </w:r>
        <w:r w:rsidR="00F04D46">
          <w:rPr>
            <w:noProof/>
            <w:webHidden/>
          </w:rPr>
          <w:t>28</w:t>
        </w:r>
        <w:r w:rsidR="00F04D46">
          <w:rPr>
            <w:noProof/>
            <w:webHidden/>
          </w:rPr>
          <w:fldChar w:fldCharType="end"/>
        </w:r>
      </w:hyperlink>
    </w:p>
    <w:p w14:paraId="042C63EB" w14:textId="685BD134" w:rsidR="00F04D46" w:rsidRDefault="00753075">
      <w:pPr>
        <w:pStyle w:val="TOC2"/>
        <w:rPr>
          <w:rFonts w:asciiTheme="minorHAnsi" w:eastAsiaTheme="minorEastAsia" w:hAnsiTheme="minorHAnsi" w:cstheme="minorBidi"/>
          <w:noProof/>
        </w:rPr>
      </w:pPr>
      <w:hyperlink w:anchor="_Toc535908138" w:history="1">
        <w:r w:rsidR="00F04D46" w:rsidRPr="00837D90">
          <w:rPr>
            <w:rStyle w:val="Hyperlink"/>
            <w:rFonts w:ascii="Arial" w:hAnsi="Arial" w:cs="Arial"/>
            <w:b/>
            <w:bCs/>
            <w:noProof/>
          </w:rPr>
          <w:t>2.13</w:t>
        </w:r>
        <w:r w:rsidR="00F04D46">
          <w:rPr>
            <w:rFonts w:asciiTheme="minorHAnsi" w:eastAsiaTheme="minorEastAsia" w:hAnsiTheme="minorHAnsi" w:cstheme="minorBidi"/>
            <w:noProof/>
          </w:rPr>
          <w:tab/>
        </w:r>
        <w:r w:rsidR="00F04D46" w:rsidRPr="00837D90">
          <w:rPr>
            <w:rStyle w:val="Hyperlink"/>
            <w:rFonts w:ascii="Arial" w:hAnsi="Arial" w:cs="Arial"/>
            <w:b/>
            <w:bCs/>
            <w:noProof/>
          </w:rPr>
          <w:t>New Source Review Enforcement</w:t>
        </w:r>
        <w:r w:rsidR="00F04D46">
          <w:rPr>
            <w:noProof/>
            <w:webHidden/>
          </w:rPr>
          <w:tab/>
        </w:r>
        <w:r w:rsidR="00F04D46">
          <w:rPr>
            <w:noProof/>
            <w:webHidden/>
          </w:rPr>
          <w:fldChar w:fldCharType="begin"/>
        </w:r>
        <w:r w:rsidR="00F04D46">
          <w:rPr>
            <w:noProof/>
            <w:webHidden/>
          </w:rPr>
          <w:instrText xml:space="preserve"> PAGEREF _Toc535908138 \h </w:instrText>
        </w:r>
        <w:r w:rsidR="00F04D46">
          <w:rPr>
            <w:noProof/>
            <w:webHidden/>
          </w:rPr>
        </w:r>
        <w:r w:rsidR="00F04D46">
          <w:rPr>
            <w:noProof/>
            <w:webHidden/>
          </w:rPr>
          <w:fldChar w:fldCharType="separate"/>
        </w:r>
        <w:r w:rsidR="00F04D46">
          <w:rPr>
            <w:noProof/>
            <w:webHidden/>
          </w:rPr>
          <w:t>34</w:t>
        </w:r>
        <w:r w:rsidR="00F04D46">
          <w:rPr>
            <w:noProof/>
            <w:webHidden/>
          </w:rPr>
          <w:fldChar w:fldCharType="end"/>
        </w:r>
      </w:hyperlink>
    </w:p>
    <w:p w14:paraId="3601EC6A" w14:textId="227749C7" w:rsidR="00F04D46" w:rsidRDefault="00753075">
      <w:pPr>
        <w:pStyle w:val="TOC2"/>
        <w:rPr>
          <w:rFonts w:asciiTheme="minorHAnsi" w:eastAsiaTheme="minorEastAsia" w:hAnsiTheme="minorHAnsi" w:cstheme="minorBidi"/>
          <w:noProof/>
        </w:rPr>
      </w:pPr>
      <w:hyperlink w:anchor="_Toc535908139" w:history="1">
        <w:r w:rsidR="00F04D46" w:rsidRPr="00837D90">
          <w:rPr>
            <w:rStyle w:val="Hyperlink"/>
            <w:rFonts w:ascii="Arial" w:hAnsi="Arial" w:cs="Arial"/>
            <w:b/>
            <w:bCs/>
            <w:noProof/>
          </w:rPr>
          <w:t>2.14</w:t>
        </w:r>
        <w:r w:rsidR="00F04D46">
          <w:rPr>
            <w:rFonts w:asciiTheme="minorHAnsi" w:eastAsiaTheme="minorEastAsia" w:hAnsiTheme="minorHAnsi" w:cstheme="minorBidi"/>
            <w:noProof/>
          </w:rPr>
          <w:tab/>
        </w:r>
        <w:r w:rsidR="00F04D46" w:rsidRPr="00837D90">
          <w:rPr>
            <w:rStyle w:val="Hyperlink"/>
            <w:rFonts w:ascii="Arial" w:hAnsi="Arial" w:cs="Arial"/>
            <w:b/>
            <w:bCs/>
            <w:noProof/>
          </w:rPr>
          <w:t>316(b) Regulation</w:t>
        </w:r>
        <w:r w:rsidR="00F04D46">
          <w:rPr>
            <w:noProof/>
            <w:webHidden/>
          </w:rPr>
          <w:tab/>
        </w:r>
        <w:r w:rsidR="00F04D46">
          <w:rPr>
            <w:noProof/>
            <w:webHidden/>
          </w:rPr>
          <w:fldChar w:fldCharType="begin"/>
        </w:r>
        <w:r w:rsidR="00F04D46">
          <w:rPr>
            <w:noProof/>
            <w:webHidden/>
          </w:rPr>
          <w:instrText xml:space="preserve"> PAGEREF _Toc535908139 \h </w:instrText>
        </w:r>
        <w:r w:rsidR="00F04D46">
          <w:rPr>
            <w:noProof/>
            <w:webHidden/>
          </w:rPr>
        </w:r>
        <w:r w:rsidR="00F04D46">
          <w:rPr>
            <w:noProof/>
            <w:webHidden/>
          </w:rPr>
          <w:fldChar w:fldCharType="separate"/>
        </w:r>
        <w:r w:rsidR="00F04D46">
          <w:rPr>
            <w:noProof/>
            <w:webHidden/>
          </w:rPr>
          <w:t>35</w:t>
        </w:r>
        <w:r w:rsidR="00F04D46">
          <w:rPr>
            <w:noProof/>
            <w:webHidden/>
          </w:rPr>
          <w:fldChar w:fldCharType="end"/>
        </w:r>
      </w:hyperlink>
    </w:p>
    <w:p w14:paraId="02D76146" w14:textId="38207A6E" w:rsidR="00F04D46" w:rsidRDefault="00753075">
      <w:pPr>
        <w:pStyle w:val="TOC2"/>
        <w:rPr>
          <w:rFonts w:asciiTheme="minorHAnsi" w:eastAsiaTheme="minorEastAsia" w:hAnsiTheme="minorHAnsi" w:cstheme="minorBidi"/>
          <w:noProof/>
        </w:rPr>
      </w:pPr>
      <w:hyperlink w:anchor="_Toc535908140" w:history="1">
        <w:r w:rsidR="00F04D46" w:rsidRPr="00837D90">
          <w:rPr>
            <w:rStyle w:val="Hyperlink"/>
            <w:rFonts w:ascii="Arial" w:hAnsi="Arial" w:cs="Arial"/>
            <w:b/>
            <w:bCs/>
            <w:noProof/>
          </w:rPr>
          <w:t>2.15</w:t>
        </w:r>
        <w:r w:rsidR="00F04D46">
          <w:rPr>
            <w:rFonts w:asciiTheme="minorHAnsi" w:eastAsiaTheme="minorEastAsia" w:hAnsiTheme="minorHAnsi" w:cstheme="minorBidi"/>
            <w:noProof/>
          </w:rPr>
          <w:tab/>
        </w:r>
        <w:r w:rsidR="00F04D46" w:rsidRPr="00837D90">
          <w:rPr>
            <w:rStyle w:val="Hyperlink"/>
            <w:rFonts w:ascii="Arial" w:hAnsi="Arial" w:cs="Arial"/>
            <w:b/>
            <w:noProof/>
            <w:snapToGrid w:val="0"/>
          </w:rPr>
          <w:t>Effluent Limitations Guidelines Revision</w:t>
        </w:r>
        <w:r w:rsidR="00F04D46">
          <w:rPr>
            <w:noProof/>
            <w:webHidden/>
          </w:rPr>
          <w:tab/>
        </w:r>
        <w:r w:rsidR="00F04D46">
          <w:rPr>
            <w:noProof/>
            <w:webHidden/>
          </w:rPr>
          <w:fldChar w:fldCharType="begin"/>
        </w:r>
        <w:r w:rsidR="00F04D46">
          <w:rPr>
            <w:noProof/>
            <w:webHidden/>
          </w:rPr>
          <w:instrText xml:space="preserve"> PAGEREF _Toc535908140 \h </w:instrText>
        </w:r>
        <w:r w:rsidR="00F04D46">
          <w:rPr>
            <w:noProof/>
            <w:webHidden/>
          </w:rPr>
        </w:r>
        <w:r w:rsidR="00F04D46">
          <w:rPr>
            <w:noProof/>
            <w:webHidden/>
          </w:rPr>
          <w:fldChar w:fldCharType="separate"/>
        </w:r>
        <w:r w:rsidR="00F04D46">
          <w:rPr>
            <w:noProof/>
            <w:webHidden/>
          </w:rPr>
          <w:t>36</w:t>
        </w:r>
        <w:r w:rsidR="00F04D46">
          <w:rPr>
            <w:noProof/>
            <w:webHidden/>
          </w:rPr>
          <w:fldChar w:fldCharType="end"/>
        </w:r>
      </w:hyperlink>
    </w:p>
    <w:p w14:paraId="1BBB67D7" w14:textId="4E46E33E" w:rsidR="00F04D46" w:rsidRDefault="00753075">
      <w:pPr>
        <w:pStyle w:val="TOC2"/>
        <w:rPr>
          <w:rFonts w:asciiTheme="minorHAnsi" w:eastAsiaTheme="minorEastAsia" w:hAnsiTheme="minorHAnsi" w:cstheme="minorBidi"/>
          <w:noProof/>
        </w:rPr>
      </w:pPr>
      <w:hyperlink w:anchor="_Toc535908141" w:history="1">
        <w:r w:rsidR="00F04D46" w:rsidRPr="00837D90">
          <w:rPr>
            <w:rStyle w:val="Hyperlink"/>
            <w:rFonts w:ascii="Arial" w:hAnsi="Arial" w:cs="Arial"/>
            <w:b/>
            <w:bCs/>
            <w:noProof/>
          </w:rPr>
          <w:t>2.16</w:t>
        </w:r>
        <w:r w:rsidR="00F04D46">
          <w:rPr>
            <w:rFonts w:asciiTheme="minorHAnsi" w:eastAsiaTheme="minorEastAsia" w:hAnsiTheme="minorHAnsi" w:cstheme="minorBidi"/>
            <w:noProof/>
          </w:rPr>
          <w:tab/>
        </w:r>
        <w:r w:rsidR="00F04D46" w:rsidRPr="00837D90">
          <w:rPr>
            <w:rStyle w:val="Hyperlink"/>
            <w:rFonts w:ascii="Arial" w:hAnsi="Arial" w:cs="Arial"/>
            <w:b/>
            <w:noProof/>
            <w:snapToGrid w:val="0"/>
          </w:rPr>
          <w:t>Water Quality Standards and Total Maximum Daily Load</w:t>
        </w:r>
        <w:r w:rsidR="00F04D46">
          <w:rPr>
            <w:noProof/>
            <w:webHidden/>
          </w:rPr>
          <w:tab/>
        </w:r>
        <w:r w:rsidR="00F04D46">
          <w:rPr>
            <w:noProof/>
            <w:webHidden/>
          </w:rPr>
          <w:fldChar w:fldCharType="begin"/>
        </w:r>
        <w:r w:rsidR="00F04D46">
          <w:rPr>
            <w:noProof/>
            <w:webHidden/>
          </w:rPr>
          <w:instrText xml:space="preserve"> PAGEREF _Toc535908141 \h </w:instrText>
        </w:r>
        <w:r w:rsidR="00F04D46">
          <w:rPr>
            <w:noProof/>
            <w:webHidden/>
          </w:rPr>
        </w:r>
        <w:r w:rsidR="00F04D46">
          <w:rPr>
            <w:noProof/>
            <w:webHidden/>
          </w:rPr>
          <w:fldChar w:fldCharType="separate"/>
        </w:r>
        <w:r w:rsidR="00F04D46">
          <w:rPr>
            <w:noProof/>
            <w:webHidden/>
          </w:rPr>
          <w:t>38</w:t>
        </w:r>
        <w:r w:rsidR="00F04D46">
          <w:rPr>
            <w:noProof/>
            <w:webHidden/>
          </w:rPr>
          <w:fldChar w:fldCharType="end"/>
        </w:r>
      </w:hyperlink>
    </w:p>
    <w:p w14:paraId="7F8B596D" w14:textId="339ACAB1" w:rsidR="00F04D46" w:rsidRDefault="00753075">
      <w:pPr>
        <w:pStyle w:val="TOC2"/>
        <w:rPr>
          <w:rFonts w:asciiTheme="minorHAnsi" w:eastAsiaTheme="minorEastAsia" w:hAnsiTheme="minorHAnsi" w:cstheme="minorBidi"/>
          <w:noProof/>
        </w:rPr>
      </w:pPr>
      <w:hyperlink w:anchor="_Toc535908142" w:history="1">
        <w:r w:rsidR="00F04D46" w:rsidRPr="00837D90">
          <w:rPr>
            <w:rStyle w:val="Hyperlink"/>
            <w:rFonts w:ascii="Arial" w:hAnsi="Arial" w:cs="Arial"/>
            <w:b/>
            <w:bCs/>
            <w:noProof/>
          </w:rPr>
          <w:t>2.17</w:t>
        </w:r>
        <w:r w:rsidR="00F04D46">
          <w:rPr>
            <w:rFonts w:asciiTheme="minorHAnsi" w:eastAsiaTheme="minorEastAsia" w:hAnsiTheme="minorHAnsi" w:cstheme="minorBidi"/>
            <w:noProof/>
          </w:rPr>
          <w:tab/>
        </w:r>
        <w:r w:rsidR="00F04D46" w:rsidRPr="00837D90">
          <w:rPr>
            <w:rStyle w:val="Hyperlink"/>
            <w:rFonts w:ascii="Arial" w:hAnsi="Arial" w:cs="Arial"/>
            <w:b/>
            <w:noProof/>
            <w:snapToGrid w:val="0"/>
          </w:rPr>
          <w:t>Waters of the United States</w:t>
        </w:r>
        <w:r w:rsidR="00F04D46">
          <w:rPr>
            <w:noProof/>
            <w:webHidden/>
          </w:rPr>
          <w:tab/>
        </w:r>
        <w:r w:rsidR="00F04D46">
          <w:rPr>
            <w:noProof/>
            <w:webHidden/>
          </w:rPr>
          <w:fldChar w:fldCharType="begin"/>
        </w:r>
        <w:r w:rsidR="00F04D46">
          <w:rPr>
            <w:noProof/>
            <w:webHidden/>
          </w:rPr>
          <w:instrText xml:space="preserve"> PAGEREF _Toc535908142 \h </w:instrText>
        </w:r>
        <w:r w:rsidR="00F04D46">
          <w:rPr>
            <w:noProof/>
            <w:webHidden/>
          </w:rPr>
        </w:r>
        <w:r w:rsidR="00F04D46">
          <w:rPr>
            <w:noProof/>
            <w:webHidden/>
          </w:rPr>
          <w:fldChar w:fldCharType="separate"/>
        </w:r>
        <w:r w:rsidR="00F04D46">
          <w:rPr>
            <w:noProof/>
            <w:webHidden/>
          </w:rPr>
          <w:t>39</w:t>
        </w:r>
        <w:r w:rsidR="00F04D46">
          <w:rPr>
            <w:noProof/>
            <w:webHidden/>
          </w:rPr>
          <w:fldChar w:fldCharType="end"/>
        </w:r>
      </w:hyperlink>
    </w:p>
    <w:p w14:paraId="1FF2B5E4" w14:textId="6E3FD42F" w:rsidR="00F04D46" w:rsidRDefault="00753075">
      <w:pPr>
        <w:pStyle w:val="TOC2"/>
        <w:rPr>
          <w:rFonts w:asciiTheme="minorHAnsi" w:eastAsiaTheme="minorEastAsia" w:hAnsiTheme="minorHAnsi" w:cstheme="minorBidi"/>
          <w:noProof/>
        </w:rPr>
      </w:pPr>
      <w:hyperlink w:anchor="_Toc535908143" w:history="1">
        <w:r w:rsidR="00F04D46" w:rsidRPr="00837D90">
          <w:rPr>
            <w:rStyle w:val="Hyperlink"/>
            <w:rFonts w:ascii="Arial" w:hAnsi="Arial" w:cs="Arial"/>
            <w:b/>
            <w:bCs/>
            <w:noProof/>
          </w:rPr>
          <w:t>2.18</w:t>
        </w:r>
        <w:r w:rsidR="00F04D46">
          <w:rPr>
            <w:rFonts w:asciiTheme="minorHAnsi" w:eastAsiaTheme="minorEastAsia" w:hAnsiTheme="minorHAnsi" w:cstheme="minorBidi"/>
            <w:noProof/>
          </w:rPr>
          <w:tab/>
        </w:r>
        <w:r w:rsidR="00F04D46" w:rsidRPr="00837D90">
          <w:rPr>
            <w:rStyle w:val="Hyperlink"/>
            <w:rFonts w:ascii="Arial" w:hAnsi="Arial" w:cs="Arial"/>
            <w:b/>
            <w:bCs/>
            <w:noProof/>
          </w:rPr>
          <w:t>Coal Combustion Residuals</w:t>
        </w:r>
        <w:r w:rsidR="00F04D46">
          <w:rPr>
            <w:noProof/>
            <w:webHidden/>
          </w:rPr>
          <w:tab/>
        </w:r>
        <w:r w:rsidR="00F04D46">
          <w:rPr>
            <w:noProof/>
            <w:webHidden/>
          </w:rPr>
          <w:fldChar w:fldCharType="begin"/>
        </w:r>
        <w:r w:rsidR="00F04D46">
          <w:rPr>
            <w:noProof/>
            <w:webHidden/>
          </w:rPr>
          <w:instrText xml:space="preserve"> PAGEREF _Toc535908143 \h </w:instrText>
        </w:r>
        <w:r w:rsidR="00F04D46">
          <w:rPr>
            <w:noProof/>
            <w:webHidden/>
          </w:rPr>
        </w:r>
        <w:r w:rsidR="00F04D46">
          <w:rPr>
            <w:noProof/>
            <w:webHidden/>
          </w:rPr>
          <w:fldChar w:fldCharType="separate"/>
        </w:r>
        <w:r w:rsidR="00F04D46">
          <w:rPr>
            <w:noProof/>
            <w:webHidden/>
          </w:rPr>
          <w:t>41</w:t>
        </w:r>
        <w:r w:rsidR="00F04D46">
          <w:rPr>
            <w:noProof/>
            <w:webHidden/>
          </w:rPr>
          <w:fldChar w:fldCharType="end"/>
        </w:r>
      </w:hyperlink>
    </w:p>
    <w:p w14:paraId="3D38B914" w14:textId="54483719" w:rsidR="00F04D46" w:rsidRDefault="00753075">
      <w:pPr>
        <w:pStyle w:val="TOC2"/>
        <w:rPr>
          <w:rFonts w:asciiTheme="minorHAnsi" w:eastAsiaTheme="minorEastAsia" w:hAnsiTheme="minorHAnsi" w:cstheme="minorBidi"/>
          <w:noProof/>
        </w:rPr>
      </w:pPr>
      <w:hyperlink w:anchor="_Toc535908144" w:history="1">
        <w:r w:rsidR="00F04D46" w:rsidRPr="00837D90">
          <w:rPr>
            <w:rStyle w:val="Hyperlink"/>
            <w:rFonts w:ascii="Arial" w:hAnsi="Arial" w:cs="Arial"/>
            <w:b/>
            <w:bCs/>
            <w:noProof/>
          </w:rPr>
          <w:t>2.19</w:t>
        </w:r>
        <w:r w:rsidR="00F04D46">
          <w:rPr>
            <w:rFonts w:asciiTheme="minorHAnsi" w:eastAsiaTheme="minorEastAsia" w:hAnsiTheme="minorHAnsi" w:cstheme="minorBidi"/>
            <w:noProof/>
          </w:rPr>
          <w:tab/>
        </w:r>
        <w:r w:rsidR="00F04D46" w:rsidRPr="00837D90">
          <w:rPr>
            <w:rStyle w:val="Hyperlink"/>
            <w:rFonts w:ascii="Arial" w:hAnsi="Arial" w:cs="Arial"/>
            <w:b/>
            <w:bCs/>
            <w:noProof/>
          </w:rPr>
          <w:t>Other Considerations</w:t>
        </w:r>
        <w:r w:rsidR="00F04D46">
          <w:rPr>
            <w:noProof/>
            <w:webHidden/>
          </w:rPr>
          <w:tab/>
        </w:r>
        <w:r w:rsidR="00F04D46">
          <w:rPr>
            <w:noProof/>
            <w:webHidden/>
          </w:rPr>
          <w:fldChar w:fldCharType="begin"/>
        </w:r>
        <w:r w:rsidR="00F04D46">
          <w:rPr>
            <w:noProof/>
            <w:webHidden/>
          </w:rPr>
          <w:instrText xml:space="preserve"> PAGEREF _Toc535908144 \h </w:instrText>
        </w:r>
        <w:r w:rsidR="00F04D46">
          <w:rPr>
            <w:noProof/>
            <w:webHidden/>
          </w:rPr>
        </w:r>
        <w:r w:rsidR="00F04D46">
          <w:rPr>
            <w:noProof/>
            <w:webHidden/>
          </w:rPr>
          <w:fldChar w:fldCharType="separate"/>
        </w:r>
        <w:r w:rsidR="00F04D46">
          <w:rPr>
            <w:noProof/>
            <w:webHidden/>
          </w:rPr>
          <w:t>45</w:t>
        </w:r>
        <w:r w:rsidR="00F04D46">
          <w:rPr>
            <w:noProof/>
            <w:webHidden/>
          </w:rPr>
          <w:fldChar w:fldCharType="end"/>
        </w:r>
      </w:hyperlink>
    </w:p>
    <w:p w14:paraId="44211885" w14:textId="6979E7A0" w:rsidR="00F04D46" w:rsidRDefault="00753075">
      <w:pPr>
        <w:pStyle w:val="TOC1"/>
        <w:rPr>
          <w:rFonts w:asciiTheme="minorHAnsi" w:eastAsiaTheme="minorEastAsia" w:hAnsiTheme="minorHAnsi" w:cstheme="minorBidi"/>
          <w:noProof/>
        </w:rPr>
      </w:pPr>
      <w:hyperlink w:anchor="_Toc535908145" w:history="1">
        <w:r w:rsidR="00F04D46" w:rsidRPr="00837D90">
          <w:rPr>
            <w:rStyle w:val="Hyperlink"/>
            <w:rFonts w:ascii="Arial" w:hAnsi="Arial" w:cs="Arial"/>
            <w:b/>
            <w:bCs/>
            <w:noProof/>
            <w:kern w:val="28"/>
          </w:rPr>
          <w:t>3.0 Environmental Strategy</w:t>
        </w:r>
        <w:r w:rsidR="00F04D46">
          <w:rPr>
            <w:noProof/>
            <w:webHidden/>
          </w:rPr>
          <w:tab/>
        </w:r>
        <w:r w:rsidR="00F04D46">
          <w:rPr>
            <w:noProof/>
            <w:webHidden/>
          </w:rPr>
          <w:fldChar w:fldCharType="begin"/>
        </w:r>
        <w:r w:rsidR="00F04D46">
          <w:rPr>
            <w:noProof/>
            <w:webHidden/>
          </w:rPr>
          <w:instrText xml:space="preserve"> PAGEREF _Toc535908145 \h </w:instrText>
        </w:r>
        <w:r w:rsidR="00F04D46">
          <w:rPr>
            <w:noProof/>
            <w:webHidden/>
          </w:rPr>
        </w:r>
        <w:r w:rsidR="00F04D46">
          <w:rPr>
            <w:noProof/>
            <w:webHidden/>
          </w:rPr>
          <w:fldChar w:fldCharType="separate"/>
        </w:r>
        <w:r w:rsidR="00F04D46">
          <w:rPr>
            <w:noProof/>
            <w:webHidden/>
          </w:rPr>
          <w:t>46</w:t>
        </w:r>
        <w:r w:rsidR="00F04D46">
          <w:rPr>
            <w:noProof/>
            <w:webHidden/>
          </w:rPr>
          <w:fldChar w:fldCharType="end"/>
        </w:r>
      </w:hyperlink>
    </w:p>
    <w:p w14:paraId="44B68181" w14:textId="65621734" w:rsidR="00F04D46" w:rsidRDefault="00753075">
      <w:pPr>
        <w:pStyle w:val="TOC2"/>
        <w:rPr>
          <w:rFonts w:asciiTheme="minorHAnsi" w:eastAsiaTheme="minorEastAsia" w:hAnsiTheme="minorHAnsi" w:cstheme="minorBidi"/>
          <w:noProof/>
        </w:rPr>
      </w:pPr>
      <w:hyperlink w:anchor="_Toc535908146" w:history="1">
        <w:r w:rsidR="00F04D46" w:rsidRPr="00837D90">
          <w:rPr>
            <w:rStyle w:val="Hyperlink"/>
            <w:rFonts w:ascii="Arial" w:hAnsi="Arial" w:cs="Arial"/>
            <w:b/>
            <w:bCs/>
            <w:noProof/>
          </w:rPr>
          <w:t>3.1</w:t>
        </w:r>
        <w:r w:rsidR="00F04D46">
          <w:rPr>
            <w:rFonts w:asciiTheme="minorHAnsi" w:eastAsiaTheme="minorEastAsia" w:hAnsiTheme="minorHAnsi" w:cstheme="minorBidi"/>
            <w:noProof/>
          </w:rPr>
          <w:tab/>
        </w:r>
        <w:r w:rsidR="00F04D46" w:rsidRPr="00837D90">
          <w:rPr>
            <w:rStyle w:val="Hyperlink"/>
            <w:rFonts w:ascii="Arial" w:hAnsi="Arial" w:cs="Arial"/>
            <w:b/>
            <w:bCs/>
            <w:noProof/>
          </w:rPr>
          <w:t>Strategy Process</w:t>
        </w:r>
        <w:r w:rsidR="00F04D46">
          <w:rPr>
            <w:noProof/>
            <w:webHidden/>
          </w:rPr>
          <w:tab/>
        </w:r>
        <w:r w:rsidR="00F04D46">
          <w:rPr>
            <w:noProof/>
            <w:webHidden/>
          </w:rPr>
          <w:fldChar w:fldCharType="begin"/>
        </w:r>
        <w:r w:rsidR="00F04D46">
          <w:rPr>
            <w:noProof/>
            <w:webHidden/>
          </w:rPr>
          <w:instrText xml:space="preserve"> PAGEREF _Toc535908146 \h </w:instrText>
        </w:r>
        <w:r w:rsidR="00F04D46">
          <w:rPr>
            <w:noProof/>
            <w:webHidden/>
          </w:rPr>
        </w:r>
        <w:r w:rsidR="00F04D46">
          <w:rPr>
            <w:noProof/>
            <w:webHidden/>
          </w:rPr>
          <w:fldChar w:fldCharType="separate"/>
        </w:r>
        <w:r w:rsidR="00F04D46">
          <w:rPr>
            <w:noProof/>
            <w:webHidden/>
          </w:rPr>
          <w:t>47</w:t>
        </w:r>
        <w:r w:rsidR="00F04D46">
          <w:rPr>
            <w:noProof/>
            <w:webHidden/>
          </w:rPr>
          <w:fldChar w:fldCharType="end"/>
        </w:r>
      </w:hyperlink>
    </w:p>
    <w:p w14:paraId="28930DE1" w14:textId="7433A251" w:rsidR="00F04D46" w:rsidRDefault="00753075">
      <w:pPr>
        <w:pStyle w:val="TOC2"/>
        <w:rPr>
          <w:rFonts w:asciiTheme="minorHAnsi" w:eastAsiaTheme="minorEastAsia" w:hAnsiTheme="minorHAnsi" w:cstheme="minorBidi"/>
          <w:noProof/>
        </w:rPr>
      </w:pPr>
      <w:hyperlink w:anchor="_Toc535908147" w:history="1">
        <w:r w:rsidR="00F04D46" w:rsidRPr="00837D90">
          <w:rPr>
            <w:rStyle w:val="Hyperlink"/>
            <w:rFonts w:ascii="Arial" w:hAnsi="Arial" w:cs="Arial"/>
            <w:b/>
            <w:bCs/>
            <w:noProof/>
          </w:rPr>
          <w:t>3.2</w:t>
        </w:r>
        <w:r w:rsidR="00F04D46">
          <w:rPr>
            <w:rFonts w:asciiTheme="minorHAnsi" w:eastAsiaTheme="minorEastAsia" w:hAnsiTheme="minorHAnsi" w:cstheme="minorBidi"/>
            <w:noProof/>
          </w:rPr>
          <w:tab/>
        </w:r>
        <w:r w:rsidR="00F04D46" w:rsidRPr="00837D90">
          <w:rPr>
            <w:rStyle w:val="Hyperlink"/>
            <w:rFonts w:ascii="Arial" w:hAnsi="Arial" w:cs="Arial"/>
            <w:b/>
            <w:bCs/>
            <w:noProof/>
          </w:rPr>
          <w:t>Strategy Assumptions</w:t>
        </w:r>
        <w:r w:rsidR="00F04D46">
          <w:rPr>
            <w:noProof/>
            <w:webHidden/>
          </w:rPr>
          <w:tab/>
        </w:r>
        <w:r w:rsidR="00F04D46">
          <w:rPr>
            <w:noProof/>
            <w:webHidden/>
          </w:rPr>
          <w:fldChar w:fldCharType="begin"/>
        </w:r>
        <w:r w:rsidR="00F04D46">
          <w:rPr>
            <w:noProof/>
            <w:webHidden/>
          </w:rPr>
          <w:instrText xml:space="preserve"> PAGEREF _Toc535908147 \h </w:instrText>
        </w:r>
        <w:r w:rsidR="00F04D46">
          <w:rPr>
            <w:noProof/>
            <w:webHidden/>
          </w:rPr>
        </w:r>
        <w:r w:rsidR="00F04D46">
          <w:rPr>
            <w:noProof/>
            <w:webHidden/>
          </w:rPr>
          <w:fldChar w:fldCharType="separate"/>
        </w:r>
        <w:r w:rsidR="00F04D46">
          <w:rPr>
            <w:noProof/>
            <w:webHidden/>
          </w:rPr>
          <w:t>51</w:t>
        </w:r>
        <w:r w:rsidR="00F04D46">
          <w:rPr>
            <w:noProof/>
            <w:webHidden/>
          </w:rPr>
          <w:fldChar w:fldCharType="end"/>
        </w:r>
      </w:hyperlink>
    </w:p>
    <w:p w14:paraId="2C882650" w14:textId="6C3FD4FB" w:rsidR="00F04D46" w:rsidRDefault="00753075">
      <w:pPr>
        <w:pStyle w:val="TOC2"/>
        <w:rPr>
          <w:rFonts w:asciiTheme="minorHAnsi" w:eastAsiaTheme="minorEastAsia" w:hAnsiTheme="minorHAnsi" w:cstheme="minorBidi"/>
          <w:noProof/>
        </w:rPr>
      </w:pPr>
      <w:hyperlink w:anchor="_Toc535908148" w:history="1">
        <w:r w:rsidR="00F04D46" w:rsidRPr="00837D90">
          <w:rPr>
            <w:rStyle w:val="Hyperlink"/>
            <w:rFonts w:ascii="Arial" w:hAnsi="Arial" w:cs="Arial"/>
            <w:b/>
            <w:bCs/>
            <w:noProof/>
          </w:rPr>
          <w:t>3.3</w:t>
        </w:r>
        <w:r w:rsidR="00F04D46">
          <w:rPr>
            <w:rFonts w:asciiTheme="minorHAnsi" w:eastAsiaTheme="minorEastAsia" w:hAnsiTheme="minorHAnsi" w:cstheme="minorBidi"/>
            <w:noProof/>
          </w:rPr>
          <w:tab/>
        </w:r>
        <w:r w:rsidR="00F04D46" w:rsidRPr="00837D90">
          <w:rPr>
            <w:rStyle w:val="Hyperlink"/>
            <w:rFonts w:ascii="Arial" w:hAnsi="Arial" w:cs="Arial"/>
            <w:b/>
            <w:bCs/>
            <w:noProof/>
          </w:rPr>
          <w:t>Environmental Compliance Technologies</w:t>
        </w:r>
        <w:r w:rsidR="00F04D46">
          <w:rPr>
            <w:noProof/>
            <w:webHidden/>
          </w:rPr>
          <w:tab/>
        </w:r>
        <w:r w:rsidR="00F04D46">
          <w:rPr>
            <w:noProof/>
            <w:webHidden/>
          </w:rPr>
          <w:fldChar w:fldCharType="begin"/>
        </w:r>
        <w:r w:rsidR="00F04D46">
          <w:rPr>
            <w:noProof/>
            <w:webHidden/>
          </w:rPr>
          <w:instrText xml:space="preserve"> PAGEREF _Toc535908148 \h </w:instrText>
        </w:r>
        <w:r w:rsidR="00F04D46">
          <w:rPr>
            <w:noProof/>
            <w:webHidden/>
          </w:rPr>
        </w:r>
        <w:r w:rsidR="00F04D46">
          <w:rPr>
            <w:noProof/>
            <w:webHidden/>
          </w:rPr>
          <w:fldChar w:fldCharType="separate"/>
        </w:r>
        <w:r w:rsidR="00F04D46">
          <w:rPr>
            <w:noProof/>
            <w:webHidden/>
          </w:rPr>
          <w:t>52</w:t>
        </w:r>
        <w:r w:rsidR="00F04D46">
          <w:rPr>
            <w:noProof/>
            <w:webHidden/>
          </w:rPr>
          <w:fldChar w:fldCharType="end"/>
        </w:r>
      </w:hyperlink>
    </w:p>
    <w:p w14:paraId="7E32A007" w14:textId="3CA9E1AD" w:rsidR="00F04D46" w:rsidRDefault="00753075">
      <w:pPr>
        <w:pStyle w:val="TOC1"/>
        <w:rPr>
          <w:rFonts w:asciiTheme="minorHAnsi" w:eastAsiaTheme="minorEastAsia" w:hAnsiTheme="minorHAnsi" w:cstheme="minorBidi"/>
          <w:noProof/>
        </w:rPr>
      </w:pPr>
      <w:hyperlink w:anchor="_Toc535908149" w:history="1">
        <w:r w:rsidR="00F04D46" w:rsidRPr="00837D90">
          <w:rPr>
            <w:rStyle w:val="Hyperlink"/>
            <w:rFonts w:ascii="Arial" w:hAnsi="Arial" w:cs="Arial"/>
            <w:b/>
            <w:noProof/>
            <w:kern w:val="28"/>
          </w:rPr>
          <w:t>4.0</w:t>
        </w:r>
        <w:r w:rsidR="00F04D46" w:rsidRPr="00837D90">
          <w:rPr>
            <w:rStyle w:val="Hyperlink"/>
            <w:rFonts w:ascii="Arial" w:hAnsi="Arial" w:cs="Arial"/>
            <w:b/>
            <w:bCs/>
            <w:noProof/>
            <w:kern w:val="28"/>
          </w:rPr>
          <w:t xml:space="preserve"> Strategy Results and Financial Summary</w:t>
        </w:r>
        <w:r w:rsidR="00F04D46">
          <w:rPr>
            <w:noProof/>
            <w:webHidden/>
          </w:rPr>
          <w:tab/>
        </w:r>
        <w:r w:rsidR="00F04D46">
          <w:rPr>
            <w:noProof/>
            <w:webHidden/>
          </w:rPr>
          <w:fldChar w:fldCharType="begin"/>
        </w:r>
        <w:r w:rsidR="00F04D46">
          <w:rPr>
            <w:noProof/>
            <w:webHidden/>
          </w:rPr>
          <w:instrText xml:space="preserve"> PAGEREF _Toc535908149 \h </w:instrText>
        </w:r>
        <w:r w:rsidR="00F04D46">
          <w:rPr>
            <w:noProof/>
            <w:webHidden/>
          </w:rPr>
        </w:r>
        <w:r w:rsidR="00F04D46">
          <w:rPr>
            <w:noProof/>
            <w:webHidden/>
          </w:rPr>
          <w:fldChar w:fldCharType="separate"/>
        </w:r>
        <w:r w:rsidR="00F04D46">
          <w:rPr>
            <w:noProof/>
            <w:webHidden/>
          </w:rPr>
          <w:t>54</w:t>
        </w:r>
        <w:r w:rsidR="00F04D46">
          <w:rPr>
            <w:noProof/>
            <w:webHidden/>
          </w:rPr>
          <w:fldChar w:fldCharType="end"/>
        </w:r>
      </w:hyperlink>
    </w:p>
    <w:p w14:paraId="77322BFE" w14:textId="32B8A9DC" w:rsidR="00F04D46" w:rsidRDefault="00753075">
      <w:pPr>
        <w:pStyle w:val="TOC2"/>
        <w:rPr>
          <w:rFonts w:asciiTheme="minorHAnsi" w:eastAsiaTheme="minorEastAsia" w:hAnsiTheme="minorHAnsi" w:cstheme="minorBidi"/>
          <w:noProof/>
        </w:rPr>
      </w:pPr>
      <w:hyperlink w:anchor="_Toc535908150" w:history="1">
        <w:r w:rsidR="00F04D46" w:rsidRPr="00837D90">
          <w:rPr>
            <w:rStyle w:val="Hyperlink"/>
            <w:rFonts w:ascii="Arial" w:hAnsi="Arial" w:cs="Arial"/>
            <w:b/>
            <w:bCs/>
            <w:noProof/>
          </w:rPr>
          <w:t>4.1</w:t>
        </w:r>
        <w:r w:rsidR="00F04D46">
          <w:rPr>
            <w:rFonts w:asciiTheme="minorHAnsi" w:eastAsiaTheme="minorEastAsia" w:hAnsiTheme="minorHAnsi" w:cstheme="minorBidi"/>
            <w:noProof/>
          </w:rPr>
          <w:tab/>
        </w:r>
        <w:r w:rsidR="00F04D46" w:rsidRPr="00837D90">
          <w:rPr>
            <w:rStyle w:val="Hyperlink"/>
            <w:rFonts w:ascii="Arial" w:hAnsi="Arial" w:cs="Arial"/>
            <w:b/>
            <w:bCs/>
            <w:noProof/>
          </w:rPr>
          <w:t>Air Compliance Strategy Review</w:t>
        </w:r>
        <w:r w:rsidR="00F04D46">
          <w:rPr>
            <w:noProof/>
            <w:webHidden/>
          </w:rPr>
          <w:tab/>
        </w:r>
        <w:r w:rsidR="00F04D46">
          <w:rPr>
            <w:noProof/>
            <w:webHidden/>
          </w:rPr>
          <w:fldChar w:fldCharType="begin"/>
        </w:r>
        <w:r w:rsidR="00F04D46">
          <w:rPr>
            <w:noProof/>
            <w:webHidden/>
          </w:rPr>
          <w:instrText xml:space="preserve"> PAGEREF _Toc535908150 \h </w:instrText>
        </w:r>
        <w:r w:rsidR="00F04D46">
          <w:rPr>
            <w:noProof/>
            <w:webHidden/>
          </w:rPr>
        </w:r>
        <w:r w:rsidR="00F04D46">
          <w:rPr>
            <w:noProof/>
            <w:webHidden/>
          </w:rPr>
          <w:fldChar w:fldCharType="separate"/>
        </w:r>
        <w:r w:rsidR="00F04D46">
          <w:rPr>
            <w:noProof/>
            <w:webHidden/>
          </w:rPr>
          <w:t>54</w:t>
        </w:r>
        <w:r w:rsidR="00F04D46">
          <w:rPr>
            <w:noProof/>
            <w:webHidden/>
          </w:rPr>
          <w:fldChar w:fldCharType="end"/>
        </w:r>
      </w:hyperlink>
    </w:p>
    <w:p w14:paraId="5ACEAE6D" w14:textId="2FAAEC58" w:rsidR="00F04D46" w:rsidRDefault="00753075">
      <w:pPr>
        <w:pStyle w:val="TOC3"/>
        <w:rPr>
          <w:rFonts w:asciiTheme="minorHAnsi" w:eastAsiaTheme="minorEastAsia" w:hAnsiTheme="minorHAnsi" w:cstheme="minorBidi"/>
          <w:noProof/>
        </w:rPr>
      </w:pPr>
      <w:hyperlink w:anchor="_Toc535908151" w:history="1">
        <w:r w:rsidR="00F04D46" w:rsidRPr="00837D90">
          <w:rPr>
            <w:rStyle w:val="Hyperlink"/>
            <w:rFonts w:ascii="Arial" w:hAnsi="Arial" w:cs="Arial"/>
            <w:b/>
            <w:bCs/>
            <w:noProof/>
          </w:rPr>
          <w:t>4.1.1</w:t>
        </w:r>
        <w:r w:rsidR="00F04D46">
          <w:rPr>
            <w:rFonts w:asciiTheme="minorHAnsi" w:eastAsiaTheme="minorEastAsia" w:hAnsiTheme="minorHAnsi" w:cstheme="minorBidi"/>
            <w:noProof/>
          </w:rPr>
          <w:tab/>
        </w:r>
        <w:r w:rsidR="00F04D46" w:rsidRPr="00837D90">
          <w:rPr>
            <w:rStyle w:val="Hyperlink"/>
            <w:rFonts w:ascii="Arial" w:hAnsi="Arial" w:cs="Arial"/>
            <w:b/>
            <w:bCs/>
            <w:noProof/>
          </w:rPr>
          <w:t>SO</w:t>
        </w:r>
        <w:r w:rsidR="00F04D46" w:rsidRPr="00837D90">
          <w:rPr>
            <w:rStyle w:val="Hyperlink"/>
            <w:rFonts w:ascii="Arial" w:hAnsi="Arial" w:cs="Arial"/>
            <w:b/>
            <w:bCs/>
            <w:noProof/>
            <w:vertAlign w:val="subscript"/>
          </w:rPr>
          <w:t>2</w:t>
        </w:r>
        <w:r w:rsidR="00F04D46" w:rsidRPr="00837D90">
          <w:rPr>
            <w:rStyle w:val="Hyperlink"/>
            <w:rFonts w:ascii="Arial" w:hAnsi="Arial" w:cs="Arial"/>
            <w:b/>
            <w:bCs/>
            <w:noProof/>
          </w:rPr>
          <w:t xml:space="preserve"> Compliance</w:t>
        </w:r>
        <w:r w:rsidR="00F04D46">
          <w:rPr>
            <w:noProof/>
            <w:webHidden/>
          </w:rPr>
          <w:tab/>
        </w:r>
        <w:r w:rsidR="00F04D46">
          <w:rPr>
            <w:noProof/>
            <w:webHidden/>
          </w:rPr>
          <w:fldChar w:fldCharType="begin"/>
        </w:r>
        <w:r w:rsidR="00F04D46">
          <w:rPr>
            <w:noProof/>
            <w:webHidden/>
          </w:rPr>
          <w:instrText xml:space="preserve"> PAGEREF _Toc535908151 \h </w:instrText>
        </w:r>
        <w:r w:rsidR="00F04D46">
          <w:rPr>
            <w:noProof/>
            <w:webHidden/>
          </w:rPr>
        </w:r>
        <w:r w:rsidR="00F04D46">
          <w:rPr>
            <w:noProof/>
            <w:webHidden/>
          </w:rPr>
          <w:fldChar w:fldCharType="separate"/>
        </w:r>
        <w:r w:rsidR="00F04D46">
          <w:rPr>
            <w:noProof/>
            <w:webHidden/>
          </w:rPr>
          <w:t>56</w:t>
        </w:r>
        <w:r w:rsidR="00F04D46">
          <w:rPr>
            <w:noProof/>
            <w:webHidden/>
          </w:rPr>
          <w:fldChar w:fldCharType="end"/>
        </w:r>
      </w:hyperlink>
    </w:p>
    <w:p w14:paraId="46066EE1" w14:textId="7DE969F2" w:rsidR="00F04D46" w:rsidRDefault="00753075">
      <w:pPr>
        <w:pStyle w:val="TOC3"/>
        <w:rPr>
          <w:rFonts w:asciiTheme="minorHAnsi" w:eastAsiaTheme="minorEastAsia" w:hAnsiTheme="minorHAnsi" w:cstheme="minorBidi"/>
          <w:noProof/>
        </w:rPr>
      </w:pPr>
      <w:hyperlink w:anchor="_Toc535908152" w:history="1">
        <w:r w:rsidR="00F04D46" w:rsidRPr="00837D90">
          <w:rPr>
            <w:rStyle w:val="Hyperlink"/>
            <w:rFonts w:ascii="Arial" w:hAnsi="Arial" w:cs="Arial"/>
            <w:b/>
            <w:bCs/>
            <w:noProof/>
          </w:rPr>
          <w:t>4.1.2</w:t>
        </w:r>
        <w:r w:rsidR="00F04D46">
          <w:rPr>
            <w:rFonts w:asciiTheme="minorHAnsi" w:eastAsiaTheme="minorEastAsia" w:hAnsiTheme="minorHAnsi" w:cstheme="minorBidi"/>
            <w:noProof/>
          </w:rPr>
          <w:tab/>
        </w:r>
        <w:r w:rsidR="00F04D46" w:rsidRPr="00837D90">
          <w:rPr>
            <w:rStyle w:val="Hyperlink"/>
            <w:rFonts w:ascii="Arial" w:hAnsi="Arial" w:cs="Arial"/>
            <w:b/>
            <w:bCs/>
            <w:noProof/>
          </w:rPr>
          <w:t>NO</w:t>
        </w:r>
        <w:r w:rsidR="00F04D46" w:rsidRPr="00837D90">
          <w:rPr>
            <w:rStyle w:val="Hyperlink"/>
            <w:rFonts w:ascii="Arial" w:hAnsi="Arial" w:cs="Arial"/>
            <w:b/>
            <w:bCs/>
            <w:noProof/>
            <w:vertAlign w:val="subscript"/>
          </w:rPr>
          <w:t>X</w:t>
        </w:r>
        <w:r w:rsidR="00F04D46" w:rsidRPr="00837D90">
          <w:rPr>
            <w:rStyle w:val="Hyperlink"/>
            <w:rFonts w:ascii="Arial" w:hAnsi="Arial" w:cs="Arial"/>
            <w:b/>
            <w:bCs/>
            <w:noProof/>
          </w:rPr>
          <w:t xml:space="preserve"> Compliance</w:t>
        </w:r>
        <w:r w:rsidR="00F04D46">
          <w:rPr>
            <w:noProof/>
            <w:webHidden/>
          </w:rPr>
          <w:tab/>
        </w:r>
        <w:r w:rsidR="00F04D46">
          <w:rPr>
            <w:noProof/>
            <w:webHidden/>
          </w:rPr>
          <w:fldChar w:fldCharType="begin"/>
        </w:r>
        <w:r w:rsidR="00F04D46">
          <w:rPr>
            <w:noProof/>
            <w:webHidden/>
          </w:rPr>
          <w:instrText xml:space="preserve"> PAGEREF _Toc535908152 \h </w:instrText>
        </w:r>
        <w:r w:rsidR="00F04D46">
          <w:rPr>
            <w:noProof/>
            <w:webHidden/>
          </w:rPr>
        </w:r>
        <w:r w:rsidR="00F04D46">
          <w:rPr>
            <w:noProof/>
            <w:webHidden/>
          </w:rPr>
          <w:fldChar w:fldCharType="separate"/>
        </w:r>
        <w:r w:rsidR="00F04D46">
          <w:rPr>
            <w:noProof/>
            <w:webHidden/>
          </w:rPr>
          <w:t>57</w:t>
        </w:r>
        <w:r w:rsidR="00F04D46">
          <w:rPr>
            <w:noProof/>
            <w:webHidden/>
          </w:rPr>
          <w:fldChar w:fldCharType="end"/>
        </w:r>
      </w:hyperlink>
    </w:p>
    <w:p w14:paraId="7FD87B10" w14:textId="4456A6BE" w:rsidR="00F04D46" w:rsidRDefault="00753075">
      <w:pPr>
        <w:pStyle w:val="TOC3"/>
        <w:rPr>
          <w:rFonts w:asciiTheme="minorHAnsi" w:eastAsiaTheme="minorEastAsia" w:hAnsiTheme="minorHAnsi" w:cstheme="minorBidi"/>
          <w:noProof/>
        </w:rPr>
      </w:pPr>
      <w:hyperlink w:anchor="_Toc535908153" w:history="1">
        <w:r w:rsidR="00F04D46" w:rsidRPr="00837D90">
          <w:rPr>
            <w:rStyle w:val="Hyperlink"/>
            <w:rFonts w:ascii="Arial" w:hAnsi="Arial" w:cs="Arial"/>
            <w:b/>
            <w:bCs/>
            <w:noProof/>
          </w:rPr>
          <w:t>4.1.3</w:t>
        </w:r>
        <w:r w:rsidR="00F04D46">
          <w:rPr>
            <w:rFonts w:asciiTheme="minorHAnsi" w:eastAsiaTheme="minorEastAsia" w:hAnsiTheme="minorHAnsi" w:cstheme="minorBidi"/>
            <w:noProof/>
          </w:rPr>
          <w:tab/>
        </w:r>
        <w:r w:rsidR="00F04D46" w:rsidRPr="00837D90">
          <w:rPr>
            <w:rStyle w:val="Hyperlink"/>
            <w:rFonts w:ascii="Arial" w:hAnsi="Arial" w:cs="Arial"/>
            <w:b/>
            <w:bCs/>
            <w:noProof/>
          </w:rPr>
          <w:t>Mercury and Air Toxics Standards</w:t>
        </w:r>
        <w:r w:rsidR="00F04D46">
          <w:rPr>
            <w:noProof/>
            <w:webHidden/>
          </w:rPr>
          <w:tab/>
        </w:r>
        <w:r w:rsidR="00F04D46">
          <w:rPr>
            <w:noProof/>
            <w:webHidden/>
          </w:rPr>
          <w:fldChar w:fldCharType="begin"/>
        </w:r>
        <w:r w:rsidR="00F04D46">
          <w:rPr>
            <w:noProof/>
            <w:webHidden/>
          </w:rPr>
          <w:instrText xml:space="preserve"> PAGEREF _Toc535908153 \h </w:instrText>
        </w:r>
        <w:r w:rsidR="00F04D46">
          <w:rPr>
            <w:noProof/>
            <w:webHidden/>
          </w:rPr>
        </w:r>
        <w:r w:rsidR="00F04D46">
          <w:rPr>
            <w:noProof/>
            <w:webHidden/>
          </w:rPr>
          <w:fldChar w:fldCharType="separate"/>
        </w:r>
        <w:r w:rsidR="00F04D46">
          <w:rPr>
            <w:noProof/>
            <w:webHidden/>
          </w:rPr>
          <w:t>59</w:t>
        </w:r>
        <w:r w:rsidR="00F04D46">
          <w:rPr>
            <w:noProof/>
            <w:webHidden/>
          </w:rPr>
          <w:fldChar w:fldCharType="end"/>
        </w:r>
      </w:hyperlink>
    </w:p>
    <w:p w14:paraId="2EF60009" w14:textId="4EEBCB05" w:rsidR="00F04D46" w:rsidRDefault="00753075">
      <w:pPr>
        <w:pStyle w:val="TOC3"/>
        <w:rPr>
          <w:rFonts w:asciiTheme="minorHAnsi" w:eastAsiaTheme="minorEastAsia" w:hAnsiTheme="minorHAnsi" w:cstheme="minorBidi"/>
          <w:noProof/>
        </w:rPr>
      </w:pPr>
      <w:hyperlink w:anchor="_Toc535908154" w:history="1">
        <w:r w:rsidR="00F04D46" w:rsidRPr="00837D90">
          <w:rPr>
            <w:rStyle w:val="Hyperlink"/>
            <w:rFonts w:ascii="Arial" w:hAnsi="Arial" w:cs="Arial"/>
            <w:b/>
            <w:bCs/>
            <w:noProof/>
          </w:rPr>
          <w:t>4.1.4</w:t>
        </w:r>
        <w:r w:rsidR="00F04D46">
          <w:rPr>
            <w:rFonts w:asciiTheme="minorHAnsi" w:eastAsiaTheme="minorEastAsia" w:hAnsiTheme="minorHAnsi" w:cstheme="minorBidi"/>
            <w:noProof/>
          </w:rPr>
          <w:tab/>
        </w:r>
        <w:r w:rsidR="00F04D46" w:rsidRPr="00837D90">
          <w:rPr>
            <w:rStyle w:val="Hyperlink"/>
            <w:rFonts w:ascii="Arial" w:hAnsi="Arial" w:cs="Arial"/>
            <w:b/>
            <w:bCs/>
            <w:noProof/>
          </w:rPr>
          <w:t>Greenhouse Gases</w:t>
        </w:r>
        <w:r w:rsidR="00F04D46">
          <w:rPr>
            <w:noProof/>
            <w:webHidden/>
          </w:rPr>
          <w:tab/>
        </w:r>
        <w:r w:rsidR="00F04D46">
          <w:rPr>
            <w:noProof/>
            <w:webHidden/>
          </w:rPr>
          <w:fldChar w:fldCharType="begin"/>
        </w:r>
        <w:r w:rsidR="00F04D46">
          <w:rPr>
            <w:noProof/>
            <w:webHidden/>
          </w:rPr>
          <w:instrText xml:space="preserve"> PAGEREF _Toc535908154 \h </w:instrText>
        </w:r>
        <w:r w:rsidR="00F04D46">
          <w:rPr>
            <w:noProof/>
            <w:webHidden/>
          </w:rPr>
        </w:r>
        <w:r w:rsidR="00F04D46">
          <w:rPr>
            <w:noProof/>
            <w:webHidden/>
          </w:rPr>
          <w:fldChar w:fldCharType="separate"/>
        </w:r>
        <w:r w:rsidR="00F04D46">
          <w:rPr>
            <w:noProof/>
            <w:webHidden/>
          </w:rPr>
          <w:t>61</w:t>
        </w:r>
        <w:r w:rsidR="00F04D46">
          <w:rPr>
            <w:noProof/>
            <w:webHidden/>
          </w:rPr>
          <w:fldChar w:fldCharType="end"/>
        </w:r>
      </w:hyperlink>
    </w:p>
    <w:p w14:paraId="2E6C306A" w14:textId="64EAFFCD" w:rsidR="00F04D46" w:rsidRDefault="00753075">
      <w:pPr>
        <w:pStyle w:val="TOC2"/>
        <w:rPr>
          <w:rFonts w:asciiTheme="minorHAnsi" w:eastAsiaTheme="minorEastAsia" w:hAnsiTheme="minorHAnsi" w:cstheme="minorBidi"/>
          <w:noProof/>
        </w:rPr>
      </w:pPr>
      <w:hyperlink w:anchor="_Toc535908155" w:history="1">
        <w:r w:rsidR="00F04D46" w:rsidRPr="00837D90">
          <w:rPr>
            <w:rStyle w:val="Hyperlink"/>
            <w:rFonts w:ascii="Arial" w:hAnsi="Arial" w:cs="Arial"/>
            <w:b/>
            <w:bCs/>
            <w:noProof/>
          </w:rPr>
          <w:t>4.2</w:t>
        </w:r>
        <w:r w:rsidR="00F04D46">
          <w:rPr>
            <w:rFonts w:asciiTheme="minorHAnsi" w:eastAsiaTheme="minorEastAsia" w:hAnsiTheme="minorHAnsi" w:cstheme="minorBidi"/>
            <w:noProof/>
          </w:rPr>
          <w:tab/>
        </w:r>
        <w:r w:rsidR="00F04D46" w:rsidRPr="00837D90">
          <w:rPr>
            <w:rStyle w:val="Hyperlink"/>
            <w:rFonts w:ascii="Arial" w:hAnsi="Arial" w:cs="Arial"/>
            <w:b/>
            <w:bCs/>
            <w:noProof/>
          </w:rPr>
          <w:t>Water Compliance Strategy Review</w:t>
        </w:r>
        <w:r w:rsidR="00F04D46">
          <w:rPr>
            <w:noProof/>
            <w:webHidden/>
          </w:rPr>
          <w:tab/>
        </w:r>
        <w:r w:rsidR="00F04D46">
          <w:rPr>
            <w:noProof/>
            <w:webHidden/>
          </w:rPr>
          <w:fldChar w:fldCharType="begin"/>
        </w:r>
        <w:r w:rsidR="00F04D46">
          <w:rPr>
            <w:noProof/>
            <w:webHidden/>
          </w:rPr>
          <w:instrText xml:space="preserve"> PAGEREF _Toc535908155 \h </w:instrText>
        </w:r>
        <w:r w:rsidR="00F04D46">
          <w:rPr>
            <w:noProof/>
            <w:webHidden/>
          </w:rPr>
        </w:r>
        <w:r w:rsidR="00F04D46">
          <w:rPr>
            <w:noProof/>
            <w:webHidden/>
          </w:rPr>
          <w:fldChar w:fldCharType="separate"/>
        </w:r>
        <w:r w:rsidR="00F04D46">
          <w:rPr>
            <w:noProof/>
            <w:webHidden/>
          </w:rPr>
          <w:t>61</w:t>
        </w:r>
        <w:r w:rsidR="00F04D46">
          <w:rPr>
            <w:noProof/>
            <w:webHidden/>
          </w:rPr>
          <w:fldChar w:fldCharType="end"/>
        </w:r>
      </w:hyperlink>
    </w:p>
    <w:p w14:paraId="078A0F81" w14:textId="042C174C" w:rsidR="00F04D46" w:rsidRDefault="00753075">
      <w:pPr>
        <w:pStyle w:val="TOC3"/>
        <w:rPr>
          <w:rFonts w:asciiTheme="minorHAnsi" w:eastAsiaTheme="minorEastAsia" w:hAnsiTheme="minorHAnsi" w:cstheme="minorBidi"/>
          <w:noProof/>
        </w:rPr>
      </w:pPr>
      <w:hyperlink w:anchor="_Toc535908156" w:history="1">
        <w:r w:rsidR="00F04D46" w:rsidRPr="00837D90">
          <w:rPr>
            <w:rStyle w:val="Hyperlink"/>
            <w:rFonts w:ascii="Arial" w:hAnsi="Arial" w:cs="Arial"/>
            <w:b/>
            <w:bCs/>
            <w:noProof/>
          </w:rPr>
          <w:t>4.2.1</w:t>
        </w:r>
        <w:r w:rsidR="00F04D46">
          <w:rPr>
            <w:rFonts w:asciiTheme="minorHAnsi" w:eastAsiaTheme="minorEastAsia" w:hAnsiTheme="minorHAnsi" w:cstheme="minorBidi"/>
            <w:noProof/>
          </w:rPr>
          <w:tab/>
        </w:r>
        <w:r w:rsidR="00F04D46" w:rsidRPr="00837D90">
          <w:rPr>
            <w:rStyle w:val="Hyperlink"/>
            <w:rFonts w:ascii="Arial" w:hAnsi="Arial" w:cs="Arial"/>
            <w:b/>
            <w:bCs/>
            <w:noProof/>
          </w:rPr>
          <w:t>Cooling Water Intake Structures</w:t>
        </w:r>
        <w:r w:rsidR="00F04D46">
          <w:rPr>
            <w:noProof/>
            <w:webHidden/>
          </w:rPr>
          <w:tab/>
        </w:r>
        <w:r w:rsidR="00F04D46">
          <w:rPr>
            <w:noProof/>
            <w:webHidden/>
          </w:rPr>
          <w:fldChar w:fldCharType="begin"/>
        </w:r>
        <w:r w:rsidR="00F04D46">
          <w:rPr>
            <w:noProof/>
            <w:webHidden/>
          </w:rPr>
          <w:instrText xml:space="preserve"> PAGEREF _Toc535908156 \h </w:instrText>
        </w:r>
        <w:r w:rsidR="00F04D46">
          <w:rPr>
            <w:noProof/>
            <w:webHidden/>
          </w:rPr>
        </w:r>
        <w:r w:rsidR="00F04D46">
          <w:rPr>
            <w:noProof/>
            <w:webHidden/>
          </w:rPr>
          <w:fldChar w:fldCharType="separate"/>
        </w:r>
        <w:r w:rsidR="00F04D46">
          <w:rPr>
            <w:noProof/>
            <w:webHidden/>
          </w:rPr>
          <w:t>62</w:t>
        </w:r>
        <w:r w:rsidR="00F04D46">
          <w:rPr>
            <w:noProof/>
            <w:webHidden/>
          </w:rPr>
          <w:fldChar w:fldCharType="end"/>
        </w:r>
      </w:hyperlink>
    </w:p>
    <w:p w14:paraId="568175CB" w14:textId="15C60262" w:rsidR="00F04D46" w:rsidRDefault="00753075">
      <w:pPr>
        <w:pStyle w:val="TOC3"/>
        <w:rPr>
          <w:rFonts w:asciiTheme="minorHAnsi" w:eastAsiaTheme="minorEastAsia" w:hAnsiTheme="minorHAnsi" w:cstheme="minorBidi"/>
          <w:noProof/>
        </w:rPr>
      </w:pPr>
      <w:hyperlink w:anchor="_Toc535908157" w:history="1">
        <w:r w:rsidR="00F04D46" w:rsidRPr="00837D90">
          <w:rPr>
            <w:rStyle w:val="Hyperlink"/>
            <w:rFonts w:ascii="Arial" w:hAnsi="Arial" w:cs="Arial"/>
            <w:b/>
            <w:bCs/>
            <w:noProof/>
          </w:rPr>
          <w:t>4.2.2</w:t>
        </w:r>
        <w:r w:rsidR="00F04D46">
          <w:rPr>
            <w:rFonts w:asciiTheme="minorHAnsi" w:eastAsiaTheme="minorEastAsia" w:hAnsiTheme="minorHAnsi" w:cstheme="minorBidi"/>
            <w:noProof/>
          </w:rPr>
          <w:tab/>
        </w:r>
        <w:r w:rsidR="00F04D46" w:rsidRPr="00837D90">
          <w:rPr>
            <w:rStyle w:val="Hyperlink"/>
            <w:rFonts w:ascii="Arial" w:hAnsi="Arial" w:cs="Arial"/>
            <w:b/>
            <w:bCs/>
            <w:noProof/>
          </w:rPr>
          <w:t>Wastewater Treatment Facilities</w:t>
        </w:r>
        <w:r w:rsidR="00F04D46">
          <w:rPr>
            <w:noProof/>
            <w:webHidden/>
          </w:rPr>
          <w:tab/>
        </w:r>
        <w:r w:rsidR="00F04D46">
          <w:rPr>
            <w:noProof/>
            <w:webHidden/>
          </w:rPr>
          <w:fldChar w:fldCharType="begin"/>
        </w:r>
        <w:r w:rsidR="00F04D46">
          <w:rPr>
            <w:noProof/>
            <w:webHidden/>
          </w:rPr>
          <w:instrText xml:space="preserve"> PAGEREF _Toc535908157 \h </w:instrText>
        </w:r>
        <w:r w:rsidR="00F04D46">
          <w:rPr>
            <w:noProof/>
            <w:webHidden/>
          </w:rPr>
        </w:r>
        <w:r w:rsidR="00F04D46">
          <w:rPr>
            <w:noProof/>
            <w:webHidden/>
          </w:rPr>
          <w:fldChar w:fldCharType="separate"/>
        </w:r>
        <w:r w:rsidR="00F04D46">
          <w:rPr>
            <w:noProof/>
            <w:webHidden/>
          </w:rPr>
          <w:t>62</w:t>
        </w:r>
        <w:r w:rsidR="00F04D46">
          <w:rPr>
            <w:noProof/>
            <w:webHidden/>
          </w:rPr>
          <w:fldChar w:fldCharType="end"/>
        </w:r>
      </w:hyperlink>
    </w:p>
    <w:p w14:paraId="3F90D3D9" w14:textId="32EA3830" w:rsidR="00F04D46" w:rsidRDefault="00753075">
      <w:pPr>
        <w:pStyle w:val="TOC2"/>
        <w:rPr>
          <w:rFonts w:asciiTheme="minorHAnsi" w:eastAsiaTheme="minorEastAsia" w:hAnsiTheme="minorHAnsi" w:cstheme="minorBidi"/>
          <w:noProof/>
        </w:rPr>
      </w:pPr>
      <w:hyperlink w:anchor="_Toc535908158" w:history="1">
        <w:r w:rsidR="00F04D46" w:rsidRPr="00837D90">
          <w:rPr>
            <w:rStyle w:val="Hyperlink"/>
            <w:rFonts w:ascii="Arial" w:hAnsi="Arial" w:cs="Arial"/>
            <w:b/>
            <w:bCs/>
            <w:noProof/>
          </w:rPr>
          <w:t>4.3</w:t>
        </w:r>
        <w:r w:rsidR="00F04D46">
          <w:rPr>
            <w:rFonts w:asciiTheme="minorHAnsi" w:eastAsiaTheme="minorEastAsia" w:hAnsiTheme="minorHAnsi" w:cstheme="minorBidi"/>
            <w:noProof/>
          </w:rPr>
          <w:tab/>
        </w:r>
        <w:r w:rsidR="00F04D46" w:rsidRPr="00837D90">
          <w:rPr>
            <w:rStyle w:val="Hyperlink"/>
            <w:rFonts w:ascii="Arial" w:hAnsi="Arial" w:cs="Arial"/>
            <w:b/>
            <w:bCs/>
            <w:noProof/>
          </w:rPr>
          <w:t>Solid Waste Management Compliance Strategy Review</w:t>
        </w:r>
        <w:r w:rsidR="00F04D46">
          <w:rPr>
            <w:noProof/>
            <w:webHidden/>
          </w:rPr>
          <w:tab/>
        </w:r>
        <w:r w:rsidR="00F04D46">
          <w:rPr>
            <w:noProof/>
            <w:webHidden/>
          </w:rPr>
          <w:fldChar w:fldCharType="begin"/>
        </w:r>
        <w:r w:rsidR="00F04D46">
          <w:rPr>
            <w:noProof/>
            <w:webHidden/>
          </w:rPr>
          <w:instrText xml:space="preserve"> PAGEREF _Toc535908158 \h </w:instrText>
        </w:r>
        <w:r w:rsidR="00F04D46">
          <w:rPr>
            <w:noProof/>
            <w:webHidden/>
          </w:rPr>
        </w:r>
        <w:r w:rsidR="00F04D46">
          <w:rPr>
            <w:noProof/>
            <w:webHidden/>
          </w:rPr>
          <w:fldChar w:fldCharType="separate"/>
        </w:r>
        <w:r w:rsidR="00F04D46">
          <w:rPr>
            <w:noProof/>
            <w:webHidden/>
          </w:rPr>
          <w:t>66</w:t>
        </w:r>
        <w:r w:rsidR="00F04D46">
          <w:rPr>
            <w:noProof/>
            <w:webHidden/>
          </w:rPr>
          <w:fldChar w:fldCharType="end"/>
        </w:r>
      </w:hyperlink>
    </w:p>
    <w:p w14:paraId="321C0346" w14:textId="4CE05121" w:rsidR="00F04D46" w:rsidRDefault="00753075">
      <w:pPr>
        <w:pStyle w:val="TOC2"/>
        <w:rPr>
          <w:rFonts w:asciiTheme="minorHAnsi" w:eastAsiaTheme="minorEastAsia" w:hAnsiTheme="minorHAnsi" w:cstheme="minorBidi"/>
          <w:noProof/>
        </w:rPr>
      </w:pPr>
      <w:hyperlink w:anchor="_Toc535908159" w:history="1">
        <w:r w:rsidR="00F04D46" w:rsidRPr="00837D90">
          <w:rPr>
            <w:rStyle w:val="Hyperlink"/>
            <w:rFonts w:ascii="Arial" w:hAnsi="Arial" w:cs="Arial"/>
            <w:b/>
            <w:bCs/>
            <w:noProof/>
          </w:rPr>
          <w:t>4.4</w:t>
        </w:r>
        <w:r w:rsidR="00F04D46">
          <w:rPr>
            <w:rFonts w:asciiTheme="minorHAnsi" w:eastAsiaTheme="minorEastAsia" w:hAnsiTheme="minorHAnsi" w:cstheme="minorBidi"/>
            <w:noProof/>
          </w:rPr>
          <w:tab/>
        </w:r>
        <w:r w:rsidR="00F04D46" w:rsidRPr="00837D90">
          <w:rPr>
            <w:rStyle w:val="Hyperlink"/>
            <w:rFonts w:ascii="Arial" w:hAnsi="Arial" w:cs="Arial"/>
            <w:b/>
            <w:bCs/>
            <w:noProof/>
          </w:rPr>
          <w:t>Strategy and Schedule</w:t>
        </w:r>
        <w:r w:rsidR="00F04D46">
          <w:rPr>
            <w:noProof/>
            <w:webHidden/>
          </w:rPr>
          <w:tab/>
        </w:r>
        <w:r w:rsidR="00F04D46">
          <w:rPr>
            <w:noProof/>
            <w:webHidden/>
          </w:rPr>
          <w:fldChar w:fldCharType="begin"/>
        </w:r>
        <w:r w:rsidR="00F04D46">
          <w:rPr>
            <w:noProof/>
            <w:webHidden/>
          </w:rPr>
          <w:instrText xml:space="preserve"> PAGEREF _Toc535908159 \h </w:instrText>
        </w:r>
        <w:r w:rsidR="00F04D46">
          <w:rPr>
            <w:noProof/>
            <w:webHidden/>
          </w:rPr>
        </w:r>
        <w:r w:rsidR="00F04D46">
          <w:rPr>
            <w:noProof/>
            <w:webHidden/>
          </w:rPr>
          <w:fldChar w:fldCharType="separate"/>
        </w:r>
        <w:r w:rsidR="00F04D46">
          <w:rPr>
            <w:noProof/>
            <w:webHidden/>
          </w:rPr>
          <w:t>74</w:t>
        </w:r>
        <w:r w:rsidR="00F04D46">
          <w:rPr>
            <w:noProof/>
            <w:webHidden/>
          </w:rPr>
          <w:fldChar w:fldCharType="end"/>
        </w:r>
      </w:hyperlink>
    </w:p>
    <w:p w14:paraId="77B66D4B" w14:textId="7397461D" w:rsidR="00F04D46" w:rsidRDefault="00753075">
      <w:pPr>
        <w:pStyle w:val="TOC2"/>
        <w:rPr>
          <w:rFonts w:asciiTheme="minorHAnsi" w:eastAsiaTheme="minorEastAsia" w:hAnsiTheme="minorHAnsi" w:cstheme="minorBidi"/>
          <w:noProof/>
        </w:rPr>
      </w:pPr>
      <w:hyperlink w:anchor="_Toc535908160" w:history="1">
        <w:r w:rsidR="00F04D46" w:rsidRPr="00837D90">
          <w:rPr>
            <w:rStyle w:val="Hyperlink"/>
            <w:rFonts w:ascii="Arial" w:hAnsi="Arial" w:cs="Arial"/>
            <w:b/>
            <w:bCs/>
            <w:noProof/>
          </w:rPr>
          <w:t>4.5</w:t>
        </w:r>
        <w:r w:rsidR="00F04D46">
          <w:rPr>
            <w:rFonts w:asciiTheme="minorHAnsi" w:eastAsiaTheme="minorEastAsia" w:hAnsiTheme="minorHAnsi" w:cstheme="minorBidi"/>
            <w:noProof/>
          </w:rPr>
          <w:tab/>
        </w:r>
        <w:r w:rsidR="00F04D46" w:rsidRPr="00837D90">
          <w:rPr>
            <w:rStyle w:val="Hyperlink"/>
            <w:rFonts w:ascii="Arial" w:hAnsi="Arial" w:cs="Arial"/>
            <w:b/>
            <w:bCs/>
            <w:noProof/>
          </w:rPr>
          <w:t>Financial Summary</w:t>
        </w:r>
        <w:r w:rsidR="00F04D46">
          <w:rPr>
            <w:noProof/>
            <w:webHidden/>
          </w:rPr>
          <w:tab/>
        </w:r>
        <w:r w:rsidR="00F04D46">
          <w:rPr>
            <w:noProof/>
            <w:webHidden/>
          </w:rPr>
          <w:fldChar w:fldCharType="begin"/>
        </w:r>
        <w:r w:rsidR="00F04D46">
          <w:rPr>
            <w:noProof/>
            <w:webHidden/>
          </w:rPr>
          <w:instrText xml:space="preserve"> PAGEREF _Toc535908160 \h </w:instrText>
        </w:r>
        <w:r w:rsidR="00F04D46">
          <w:rPr>
            <w:noProof/>
            <w:webHidden/>
          </w:rPr>
        </w:r>
        <w:r w:rsidR="00F04D46">
          <w:rPr>
            <w:noProof/>
            <w:webHidden/>
          </w:rPr>
          <w:fldChar w:fldCharType="separate"/>
        </w:r>
        <w:r w:rsidR="00F04D46">
          <w:rPr>
            <w:noProof/>
            <w:webHidden/>
          </w:rPr>
          <w:t>75</w:t>
        </w:r>
        <w:r w:rsidR="00F04D46">
          <w:rPr>
            <w:noProof/>
            <w:webHidden/>
          </w:rPr>
          <w:fldChar w:fldCharType="end"/>
        </w:r>
      </w:hyperlink>
    </w:p>
    <w:p w14:paraId="2C8BC06C" w14:textId="5544AC14" w:rsidR="00F04D46" w:rsidRDefault="00753075">
      <w:pPr>
        <w:pStyle w:val="TOC3"/>
        <w:rPr>
          <w:rFonts w:asciiTheme="minorHAnsi" w:eastAsiaTheme="minorEastAsia" w:hAnsiTheme="minorHAnsi" w:cstheme="minorBidi"/>
          <w:noProof/>
        </w:rPr>
      </w:pPr>
      <w:hyperlink w:anchor="_Toc535908161" w:history="1">
        <w:r w:rsidR="00F04D46" w:rsidRPr="00837D90">
          <w:rPr>
            <w:rStyle w:val="Hyperlink"/>
            <w:rFonts w:ascii="Arial" w:hAnsi="Arial" w:cs="Arial"/>
            <w:b/>
            <w:bCs/>
            <w:noProof/>
          </w:rPr>
          <w:t>4.5.1</w:t>
        </w:r>
        <w:r w:rsidR="00F04D46">
          <w:rPr>
            <w:rFonts w:asciiTheme="minorHAnsi" w:eastAsiaTheme="minorEastAsia" w:hAnsiTheme="minorHAnsi" w:cstheme="minorBidi"/>
            <w:noProof/>
          </w:rPr>
          <w:tab/>
        </w:r>
        <w:r w:rsidR="00F04D46" w:rsidRPr="00837D90">
          <w:rPr>
            <w:rStyle w:val="Hyperlink"/>
            <w:rFonts w:ascii="Arial" w:hAnsi="Arial" w:cs="Arial"/>
            <w:b/>
            <w:bCs/>
            <w:noProof/>
          </w:rPr>
          <w:t>Allowance Strategy</w:t>
        </w:r>
        <w:r w:rsidR="00F04D46">
          <w:rPr>
            <w:noProof/>
            <w:webHidden/>
          </w:rPr>
          <w:tab/>
        </w:r>
        <w:r w:rsidR="00F04D46">
          <w:rPr>
            <w:noProof/>
            <w:webHidden/>
          </w:rPr>
          <w:fldChar w:fldCharType="begin"/>
        </w:r>
        <w:r w:rsidR="00F04D46">
          <w:rPr>
            <w:noProof/>
            <w:webHidden/>
          </w:rPr>
          <w:instrText xml:space="preserve"> PAGEREF _Toc535908161 \h </w:instrText>
        </w:r>
        <w:r w:rsidR="00F04D46">
          <w:rPr>
            <w:noProof/>
            <w:webHidden/>
          </w:rPr>
        </w:r>
        <w:r w:rsidR="00F04D46">
          <w:rPr>
            <w:noProof/>
            <w:webHidden/>
          </w:rPr>
          <w:fldChar w:fldCharType="separate"/>
        </w:r>
        <w:r w:rsidR="00F04D46">
          <w:rPr>
            <w:noProof/>
            <w:webHidden/>
          </w:rPr>
          <w:t>76</w:t>
        </w:r>
        <w:r w:rsidR="00F04D46">
          <w:rPr>
            <w:noProof/>
            <w:webHidden/>
          </w:rPr>
          <w:fldChar w:fldCharType="end"/>
        </w:r>
      </w:hyperlink>
    </w:p>
    <w:p w14:paraId="0861B18D" w14:textId="3B25142C" w:rsidR="00F04D46" w:rsidRDefault="00753075">
      <w:pPr>
        <w:pStyle w:val="TOC3"/>
        <w:rPr>
          <w:rFonts w:asciiTheme="minorHAnsi" w:eastAsiaTheme="minorEastAsia" w:hAnsiTheme="minorHAnsi" w:cstheme="minorBidi"/>
          <w:noProof/>
        </w:rPr>
      </w:pPr>
      <w:hyperlink w:anchor="_Toc535908162" w:history="1">
        <w:r w:rsidR="00F04D46" w:rsidRPr="00837D90">
          <w:rPr>
            <w:rStyle w:val="Hyperlink"/>
            <w:rFonts w:ascii="Arial" w:hAnsi="Arial" w:cs="Arial"/>
            <w:b/>
            <w:bCs/>
            <w:noProof/>
          </w:rPr>
          <w:t>4.5.2</w:t>
        </w:r>
        <w:r w:rsidR="00F04D46">
          <w:rPr>
            <w:rFonts w:asciiTheme="minorHAnsi" w:eastAsiaTheme="minorEastAsia" w:hAnsiTheme="minorHAnsi" w:cstheme="minorBidi"/>
            <w:noProof/>
          </w:rPr>
          <w:tab/>
        </w:r>
        <w:r w:rsidR="00F04D46" w:rsidRPr="00837D90">
          <w:rPr>
            <w:rStyle w:val="Hyperlink"/>
            <w:rFonts w:ascii="Arial" w:hAnsi="Arial" w:cs="Arial"/>
            <w:b/>
            <w:bCs/>
            <w:noProof/>
          </w:rPr>
          <w:t>CCR Asset Retirement Obligations</w:t>
        </w:r>
        <w:r w:rsidR="00F04D46">
          <w:rPr>
            <w:noProof/>
            <w:webHidden/>
          </w:rPr>
          <w:tab/>
        </w:r>
        <w:r w:rsidR="00F04D46">
          <w:rPr>
            <w:noProof/>
            <w:webHidden/>
          </w:rPr>
          <w:fldChar w:fldCharType="begin"/>
        </w:r>
        <w:r w:rsidR="00F04D46">
          <w:rPr>
            <w:noProof/>
            <w:webHidden/>
          </w:rPr>
          <w:instrText xml:space="preserve"> PAGEREF _Toc535908162 \h </w:instrText>
        </w:r>
        <w:r w:rsidR="00F04D46">
          <w:rPr>
            <w:noProof/>
            <w:webHidden/>
          </w:rPr>
        </w:r>
        <w:r w:rsidR="00F04D46">
          <w:rPr>
            <w:noProof/>
            <w:webHidden/>
          </w:rPr>
          <w:fldChar w:fldCharType="separate"/>
        </w:r>
        <w:r w:rsidR="00F04D46">
          <w:rPr>
            <w:noProof/>
            <w:webHidden/>
          </w:rPr>
          <w:t>76</w:t>
        </w:r>
        <w:r w:rsidR="00F04D46">
          <w:rPr>
            <w:noProof/>
            <w:webHidden/>
          </w:rPr>
          <w:fldChar w:fldCharType="end"/>
        </w:r>
      </w:hyperlink>
    </w:p>
    <w:p w14:paraId="26E5182F" w14:textId="2BC968A2" w:rsidR="00F04D46" w:rsidRDefault="00753075">
      <w:pPr>
        <w:pStyle w:val="TOC1"/>
        <w:rPr>
          <w:rFonts w:asciiTheme="minorHAnsi" w:eastAsiaTheme="minorEastAsia" w:hAnsiTheme="minorHAnsi" w:cstheme="minorBidi"/>
          <w:noProof/>
        </w:rPr>
      </w:pPr>
      <w:hyperlink w:anchor="_Toc535908163" w:history="1">
        <w:r w:rsidR="00F04D46" w:rsidRPr="00837D90">
          <w:rPr>
            <w:rStyle w:val="Hyperlink"/>
            <w:rFonts w:ascii="Arial" w:hAnsi="Arial" w:cs="Arial"/>
            <w:b/>
            <w:noProof/>
          </w:rPr>
          <w:t>ECS-APPENDIX A</w:t>
        </w:r>
        <w:r w:rsidR="00F04D46">
          <w:rPr>
            <w:noProof/>
            <w:webHidden/>
          </w:rPr>
          <w:tab/>
        </w:r>
        <w:r w:rsidR="00F04D46">
          <w:rPr>
            <w:noProof/>
            <w:webHidden/>
          </w:rPr>
          <w:fldChar w:fldCharType="begin"/>
        </w:r>
        <w:r w:rsidR="00F04D46">
          <w:rPr>
            <w:noProof/>
            <w:webHidden/>
          </w:rPr>
          <w:instrText xml:space="preserve"> PAGEREF _Toc535908163 \h </w:instrText>
        </w:r>
        <w:r w:rsidR="00F04D46">
          <w:rPr>
            <w:noProof/>
            <w:webHidden/>
          </w:rPr>
        </w:r>
        <w:r w:rsidR="00F04D46">
          <w:rPr>
            <w:noProof/>
            <w:webHidden/>
          </w:rPr>
          <w:fldChar w:fldCharType="separate"/>
        </w:r>
        <w:r w:rsidR="00F04D46">
          <w:rPr>
            <w:noProof/>
            <w:webHidden/>
          </w:rPr>
          <w:t>77</w:t>
        </w:r>
        <w:r w:rsidR="00F04D46">
          <w:rPr>
            <w:noProof/>
            <w:webHidden/>
          </w:rPr>
          <w:fldChar w:fldCharType="end"/>
        </w:r>
      </w:hyperlink>
    </w:p>
    <w:p w14:paraId="3DDD9220" w14:textId="4938644B" w:rsidR="00F04D46" w:rsidRDefault="00753075">
      <w:pPr>
        <w:pStyle w:val="TOC1"/>
        <w:rPr>
          <w:rFonts w:asciiTheme="minorHAnsi" w:eastAsiaTheme="minorEastAsia" w:hAnsiTheme="minorHAnsi" w:cstheme="minorBidi"/>
          <w:noProof/>
        </w:rPr>
      </w:pPr>
      <w:hyperlink w:anchor="_Toc535908164" w:history="1">
        <w:r w:rsidR="00F04D46" w:rsidRPr="00837D90">
          <w:rPr>
            <w:rStyle w:val="Hyperlink"/>
            <w:rFonts w:ascii="Arial" w:hAnsi="Arial" w:cs="Arial"/>
            <w:b/>
            <w:noProof/>
          </w:rPr>
          <w:t>ECS-APPENDIX B</w:t>
        </w:r>
        <w:r w:rsidR="00F04D46">
          <w:rPr>
            <w:noProof/>
            <w:webHidden/>
          </w:rPr>
          <w:tab/>
        </w:r>
        <w:r w:rsidR="00F04D46">
          <w:rPr>
            <w:noProof/>
            <w:webHidden/>
          </w:rPr>
          <w:fldChar w:fldCharType="begin"/>
        </w:r>
        <w:r w:rsidR="00F04D46">
          <w:rPr>
            <w:noProof/>
            <w:webHidden/>
          </w:rPr>
          <w:instrText xml:space="preserve"> PAGEREF _Toc535908164 \h </w:instrText>
        </w:r>
        <w:r w:rsidR="00F04D46">
          <w:rPr>
            <w:noProof/>
            <w:webHidden/>
          </w:rPr>
        </w:r>
        <w:r w:rsidR="00F04D46">
          <w:rPr>
            <w:noProof/>
            <w:webHidden/>
          </w:rPr>
          <w:fldChar w:fldCharType="separate"/>
        </w:r>
        <w:r w:rsidR="00F04D46">
          <w:rPr>
            <w:noProof/>
            <w:webHidden/>
          </w:rPr>
          <w:t>83</w:t>
        </w:r>
        <w:r w:rsidR="00F04D46">
          <w:rPr>
            <w:noProof/>
            <w:webHidden/>
          </w:rPr>
          <w:fldChar w:fldCharType="end"/>
        </w:r>
      </w:hyperlink>
    </w:p>
    <w:p w14:paraId="783BA14D" w14:textId="127D89B2" w:rsidR="00F04D46" w:rsidRDefault="00753075">
      <w:pPr>
        <w:pStyle w:val="TOC1"/>
        <w:rPr>
          <w:rFonts w:asciiTheme="minorHAnsi" w:eastAsiaTheme="minorEastAsia" w:hAnsiTheme="minorHAnsi" w:cstheme="minorBidi"/>
          <w:noProof/>
        </w:rPr>
      </w:pPr>
      <w:hyperlink w:anchor="_Toc535908165" w:history="1">
        <w:r w:rsidR="00F04D46" w:rsidRPr="00837D90">
          <w:rPr>
            <w:rStyle w:val="Hyperlink"/>
            <w:rFonts w:ascii="Arial" w:hAnsi="Arial" w:cs="Arial"/>
            <w:b/>
            <w:noProof/>
          </w:rPr>
          <w:t>ECS-APPENDIX C</w:t>
        </w:r>
        <w:r w:rsidR="00F04D46">
          <w:rPr>
            <w:noProof/>
            <w:webHidden/>
          </w:rPr>
          <w:tab/>
        </w:r>
        <w:r w:rsidR="00F04D46">
          <w:rPr>
            <w:noProof/>
            <w:webHidden/>
          </w:rPr>
          <w:fldChar w:fldCharType="begin"/>
        </w:r>
        <w:r w:rsidR="00F04D46">
          <w:rPr>
            <w:noProof/>
            <w:webHidden/>
          </w:rPr>
          <w:instrText xml:space="preserve"> PAGEREF _Toc535908165 \h </w:instrText>
        </w:r>
        <w:r w:rsidR="00F04D46">
          <w:rPr>
            <w:noProof/>
            <w:webHidden/>
          </w:rPr>
        </w:r>
        <w:r w:rsidR="00F04D46">
          <w:rPr>
            <w:noProof/>
            <w:webHidden/>
          </w:rPr>
          <w:fldChar w:fldCharType="separate"/>
        </w:r>
        <w:r w:rsidR="00F04D46">
          <w:rPr>
            <w:noProof/>
            <w:webHidden/>
          </w:rPr>
          <w:t>96</w:t>
        </w:r>
        <w:r w:rsidR="00F04D46">
          <w:rPr>
            <w:noProof/>
            <w:webHidden/>
          </w:rPr>
          <w:fldChar w:fldCharType="end"/>
        </w:r>
      </w:hyperlink>
    </w:p>
    <w:p w14:paraId="22BA4E16" w14:textId="44BA7985" w:rsidR="0048641B" w:rsidRPr="00D414B9" w:rsidRDefault="00117919" w:rsidP="00DB7156">
      <w:pPr>
        <w:spacing w:after="120" w:line="240" w:lineRule="auto"/>
        <w:ind w:right="-270"/>
        <w:contextualSpacing/>
        <w:jc w:val="both"/>
        <w:outlineLvl w:val="0"/>
        <w:rPr>
          <w:rFonts w:ascii="Arial" w:hAnsi="Arial" w:cs="Arial"/>
          <w:b/>
          <w:sz w:val="19"/>
          <w:szCs w:val="19"/>
        </w:rPr>
      </w:pPr>
      <w:r w:rsidRPr="00465866">
        <w:rPr>
          <w:rFonts w:ascii="Arial" w:hAnsi="Arial" w:cs="Arial"/>
          <w:color w:val="000080"/>
          <w:sz w:val="19"/>
          <w:szCs w:val="19"/>
        </w:rPr>
        <w:fldChar w:fldCharType="end"/>
      </w:r>
    </w:p>
    <w:p w14:paraId="22BA4E17" w14:textId="77777777" w:rsidR="00FC67F9" w:rsidRPr="00DB7156" w:rsidRDefault="00FC67F9" w:rsidP="00DB7156">
      <w:pPr>
        <w:numPr>
          <w:ilvl w:val="0"/>
          <w:numId w:val="2"/>
        </w:numPr>
        <w:tabs>
          <w:tab w:val="left" w:pos="0"/>
          <w:tab w:val="right" w:leader="dot" w:pos="8640"/>
        </w:tabs>
        <w:spacing w:after="0" w:line="240" w:lineRule="auto"/>
        <w:ind w:left="0" w:firstLine="0"/>
        <w:jc w:val="both"/>
        <w:outlineLvl w:val="4"/>
        <w:rPr>
          <w:rFonts w:ascii="Arial" w:hAnsi="Arial" w:cs="Arial"/>
          <w:b/>
          <w:color w:val="000080"/>
        </w:rPr>
        <w:sectPr w:rsidR="00FC67F9" w:rsidRPr="00DB7156" w:rsidSect="007028D3">
          <w:headerReference w:type="even" r:id="rId10"/>
          <w:headerReference w:type="default" r:id="rId11"/>
          <w:footerReference w:type="default" r:id="rId12"/>
          <w:headerReference w:type="first" r:id="rId13"/>
          <w:type w:val="nextColumn"/>
          <w:pgSz w:w="12240" w:h="15840" w:code="1"/>
          <w:pgMar w:top="1440" w:right="1440" w:bottom="1440" w:left="1440" w:header="720" w:footer="720" w:gutter="0"/>
          <w:pgNumType w:fmt="lowerRoman" w:start="1"/>
          <w:cols w:space="720"/>
          <w:docGrid w:linePitch="326"/>
        </w:sectPr>
      </w:pPr>
    </w:p>
    <w:p w14:paraId="22BA4E18" w14:textId="494A6ED7" w:rsidR="00FC67F9" w:rsidRPr="00DB7156" w:rsidRDefault="00FC67F9" w:rsidP="00DB7156">
      <w:pPr>
        <w:keepNext/>
        <w:widowControl w:val="0"/>
        <w:spacing w:after="0" w:line="240" w:lineRule="auto"/>
        <w:ind w:left="90"/>
        <w:outlineLvl w:val="0"/>
        <w:rPr>
          <w:rFonts w:ascii="Arial" w:hAnsi="Arial" w:cs="Arial"/>
          <w:b/>
          <w:bCs/>
          <w:color w:val="000080"/>
          <w:kern w:val="28"/>
          <w:sz w:val="28"/>
          <w:szCs w:val="28"/>
        </w:rPr>
      </w:pPr>
      <w:bookmarkStart w:id="2" w:name="_Toc496107736"/>
      <w:bookmarkStart w:id="3" w:name="_Toc527987324"/>
      <w:bookmarkStart w:id="4" w:name="_Toc527983871"/>
      <w:bookmarkStart w:id="5" w:name="_Toc530487254"/>
      <w:bookmarkStart w:id="6" w:name="_Toc535908122"/>
      <w:r w:rsidRPr="00DB7156">
        <w:rPr>
          <w:rFonts w:ascii="Arial" w:hAnsi="Arial" w:cs="Arial"/>
          <w:b/>
          <w:bCs/>
          <w:color w:val="000080"/>
          <w:kern w:val="28"/>
          <w:sz w:val="28"/>
          <w:szCs w:val="28"/>
        </w:rPr>
        <w:t xml:space="preserve">1.0 </w:t>
      </w:r>
      <w:r w:rsidR="00BA4E09" w:rsidRPr="00DB7156">
        <w:rPr>
          <w:rFonts w:ascii="Arial" w:hAnsi="Arial" w:cs="Arial"/>
          <w:b/>
          <w:bCs/>
          <w:color w:val="000080"/>
          <w:kern w:val="28"/>
          <w:sz w:val="28"/>
          <w:szCs w:val="28"/>
        </w:rPr>
        <w:t>Georgia Power</w:t>
      </w:r>
      <w:r w:rsidRPr="00DB7156">
        <w:rPr>
          <w:rFonts w:ascii="Arial" w:hAnsi="Arial" w:cs="Arial"/>
          <w:b/>
          <w:bCs/>
          <w:color w:val="000080"/>
          <w:kern w:val="28"/>
          <w:sz w:val="28"/>
          <w:szCs w:val="28"/>
        </w:rPr>
        <w:t xml:space="preserve"> Environmental Compliance </w:t>
      </w:r>
      <w:r w:rsidR="00594351" w:rsidRPr="00DB7156">
        <w:rPr>
          <w:rFonts w:ascii="Arial" w:hAnsi="Arial" w:cs="Arial"/>
          <w:b/>
          <w:bCs/>
          <w:color w:val="000080"/>
          <w:kern w:val="28"/>
          <w:sz w:val="28"/>
          <w:szCs w:val="28"/>
        </w:rPr>
        <w:t>S</w:t>
      </w:r>
      <w:r w:rsidRPr="00DB7156">
        <w:rPr>
          <w:rFonts w:ascii="Arial" w:hAnsi="Arial" w:cs="Arial"/>
          <w:b/>
          <w:bCs/>
          <w:color w:val="000080"/>
          <w:kern w:val="28"/>
          <w:sz w:val="28"/>
          <w:szCs w:val="28"/>
        </w:rPr>
        <w:t>trategy and Overview</w:t>
      </w:r>
      <w:bookmarkEnd w:id="2"/>
      <w:bookmarkEnd w:id="3"/>
      <w:bookmarkEnd w:id="4"/>
      <w:bookmarkEnd w:id="5"/>
      <w:bookmarkEnd w:id="6"/>
    </w:p>
    <w:p w14:paraId="22BA4E19" w14:textId="77777777" w:rsidR="00FC67F9" w:rsidRPr="00DB7156" w:rsidRDefault="00FC67F9" w:rsidP="00DB7156">
      <w:pPr>
        <w:autoSpaceDE w:val="0"/>
        <w:autoSpaceDN w:val="0"/>
        <w:adjustRightInd w:val="0"/>
        <w:spacing w:after="0" w:line="240" w:lineRule="auto"/>
        <w:jc w:val="both"/>
        <w:rPr>
          <w:rFonts w:ascii="Arial" w:hAnsi="Arial" w:cs="Arial"/>
          <w:b/>
          <w:bCs/>
          <w:color w:val="000080"/>
          <w:sz w:val="28"/>
          <w:szCs w:val="28"/>
        </w:rPr>
      </w:pPr>
    </w:p>
    <w:p w14:paraId="22BA4E1A" w14:textId="77777777" w:rsidR="00FC67F9" w:rsidRPr="00DB7156" w:rsidRDefault="00FC67F9" w:rsidP="00DB7156">
      <w:pPr>
        <w:autoSpaceDE w:val="0"/>
        <w:autoSpaceDN w:val="0"/>
        <w:adjustRightInd w:val="0"/>
        <w:spacing w:after="0" w:line="240" w:lineRule="auto"/>
        <w:jc w:val="both"/>
        <w:rPr>
          <w:rFonts w:ascii="Arial" w:hAnsi="Arial" w:cs="Arial"/>
          <w:b/>
          <w:bCs/>
          <w:sz w:val="28"/>
          <w:szCs w:val="28"/>
          <w:u w:val="single"/>
        </w:rPr>
      </w:pPr>
      <w:r w:rsidRPr="00DB7156">
        <w:rPr>
          <w:rFonts w:ascii="Arial" w:hAnsi="Arial" w:cs="Arial"/>
          <w:b/>
          <w:bCs/>
          <w:sz w:val="28"/>
          <w:szCs w:val="28"/>
          <w:u w:val="single"/>
        </w:rPr>
        <w:t>Overview</w:t>
      </w:r>
    </w:p>
    <w:p w14:paraId="22BA4E1B" w14:textId="77777777" w:rsidR="00FC67F9" w:rsidRPr="00DB7156" w:rsidRDefault="00FC67F9" w:rsidP="00DB7156">
      <w:pPr>
        <w:autoSpaceDE w:val="0"/>
        <w:autoSpaceDN w:val="0"/>
        <w:adjustRightInd w:val="0"/>
        <w:spacing w:after="0" w:line="240" w:lineRule="auto"/>
        <w:jc w:val="both"/>
        <w:rPr>
          <w:rFonts w:ascii="Arial" w:hAnsi="Arial" w:cs="Arial"/>
          <w:b/>
          <w:bCs/>
          <w:color w:val="000080"/>
          <w:sz w:val="28"/>
          <w:szCs w:val="28"/>
        </w:rPr>
      </w:pPr>
    </w:p>
    <w:p w14:paraId="1F61D2D7" w14:textId="62B74B24" w:rsidR="00FB1C0F" w:rsidRDefault="00FB1C0F" w:rsidP="00FB1C0F">
      <w:pPr>
        <w:pStyle w:val="paragraph"/>
        <w:jc w:val="both"/>
        <w:textAlignment w:val="baseline"/>
      </w:pPr>
      <w:r>
        <w:rPr>
          <w:rStyle w:val="normaltextrun1"/>
          <w:rFonts w:ascii="Arial" w:hAnsi="Arial" w:cs="Arial"/>
        </w:rPr>
        <w:t xml:space="preserve">Georgia Power Company’s (“Georgia Power” or the “Company” or “GPC”) Environmental Compliance Strategy (“ECS”) includes a detailed overview of the applicable current and proposed environmental laws and regulations for its electric generation plants as well as a comprehensive strategy for compliance. The Company’s annual strategy development process considers plant-specific compliance options and evaluates those options based on: technology availability, cost, schedule, impact to </w:t>
      </w:r>
      <w:r w:rsidR="008441B0">
        <w:rPr>
          <w:rStyle w:val="normaltextrun1"/>
          <w:rFonts w:ascii="Arial" w:hAnsi="Arial" w:cs="Arial"/>
        </w:rPr>
        <w:t xml:space="preserve">plant operations, </w:t>
      </w:r>
      <w:r>
        <w:rPr>
          <w:rStyle w:val="normaltextrun1"/>
          <w:rFonts w:ascii="Arial" w:hAnsi="Arial" w:cs="Arial"/>
        </w:rPr>
        <w:t>the environment</w:t>
      </w:r>
      <w:r w:rsidR="00251D97">
        <w:rPr>
          <w:rStyle w:val="normaltextrun1"/>
          <w:rFonts w:ascii="Arial" w:hAnsi="Arial" w:cs="Arial"/>
        </w:rPr>
        <w:t>,</w:t>
      </w:r>
      <w:r>
        <w:rPr>
          <w:rStyle w:val="normaltextrun1"/>
          <w:rFonts w:ascii="Arial" w:hAnsi="Arial" w:cs="Arial"/>
        </w:rPr>
        <w:t xml:space="preserve"> and surrounding communities. This approach provides the necessary flexibility to develop and refine Georgia Power’s environmental compliance strategy in today’s dynamic regulatory compliance environment. The resulting environmental compliance strategy combines the regulatory requirement assumptions with cost-effective and commercially available environmental control applications. </w:t>
      </w:r>
      <w:r>
        <w:rPr>
          <w:rStyle w:val="eop"/>
          <w:rFonts w:ascii="Arial" w:hAnsi="Arial" w:cs="Arial"/>
        </w:rPr>
        <w:t> </w:t>
      </w:r>
    </w:p>
    <w:p w14:paraId="0B92D58D" w14:textId="77777777" w:rsidR="00FB1C0F" w:rsidRDefault="00FB1C0F" w:rsidP="00FB1C0F">
      <w:pPr>
        <w:pStyle w:val="paragraph"/>
        <w:jc w:val="both"/>
        <w:textAlignment w:val="baseline"/>
        <w:rPr>
          <w:rStyle w:val="normaltextrun1"/>
          <w:rFonts w:ascii="Arial" w:hAnsi="Arial" w:cs="Arial"/>
        </w:rPr>
      </w:pPr>
    </w:p>
    <w:p w14:paraId="06E24AF1" w14:textId="1D456DD2" w:rsidR="00FB1C0F" w:rsidRDefault="00FB1C0F" w:rsidP="00FB1C0F">
      <w:pPr>
        <w:pStyle w:val="paragraph"/>
        <w:jc w:val="both"/>
        <w:textAlignment w:val="baseline"/>
      </w:pPr>
      <w:r>
        <w:rPr>
          <w:rStyle w:val="normaltextrun1"/>
          <w:rFonts w:ascii="Arial" w:hAnsi="Arial" w:cs="Arial"/>
        </w:rPr>
        <w:t xml:space="preserve">The information contained in this document includes an overview of applicable environmental laws and regulations, primarily focusing on the Clean Air Act (“CAA”), Clean Water Act (“CWA”), and Resource Conservation and Recovery Act (“RCRA”) (Section 2.0),  as well as a detailed description of the Company’s annual environmental strategy process (Section 3.0), and a comprehensive review of the Company’s current strategy for complying with these requirements (Section 4.0). The remainder of this section summarizes significant, applicable past environmental regulatory requirements and associated compliance strategies enacted by the </w:t>
      </w:r>
      <w:r>
        <w:rPr>
          <w:rStyle w:val="contextualspellingandgrammarerror"/>
          <w:rFonts w:ascii="Arial" w:hAnsi="Arial" w:cs="Arial"/>
        </w:rPr>
        <w:t>Company, and</w:t>
      </w:r>
      <w:r>
        <w:rPr>
          <w:rStyle w:val="normaltextrun1"/>
          <w:rFonts w:ascii="Arial" w:hAnsi="Arial" w:cs="Arial"/>
        </w:rPr>
        <w:t xml:space="preserve"> provides an overview of present environmental rulings and requirements that have been incorporated into the Company’s ECS. </w:t>
      </w:r>
      <w:r>
        <w:rPr>
          <w:rStyle w:val="eop"/>
          <w:rFonts w:ascii="Arial" w:hAnsi="Arial" w:cs="Arial"/>
        </w:rPr>
        <w:t> </w:t>
      </w:r>
    </w:p>
    <w:p w14:paraId="672E6645" w14:textId="77777777" w:rsidR="00FB1C0F" w:rsidRDefault="00FB1C0F" w:rsidP="00FB1C0F">
      <w:pPr>
        <w:pStyle w:val="paragraph"/>
        <w:jc w:val="both"/>
        <w:textAlignment w:val="baseline"/>
        <w:rPr>
          <w:rStyle w:val="normaltextrun1"/>
          <w:rFonts w:ascii="Arial" w:hAnsi="Arial" w:cs="Arial"/>
        </w:rPr>
      </w:pPr>
    </w:p>
    <w:p w14:paraId="3261A1F2" w14:textId="2FF806FB" w:rsidR="00FB1C0F" w:rsidRDefault="00FB1C0F" w:rsidP="00FB1C0F">
      <w:pPr>
        <w:pStyle w:val="paragraph"/>
        <w:jc w:val="both"/>
        <w:textAlignment w:val="baseline"/>
      </w:pPr>
      <w:r>
        <w:rPr>
          <w:rStyle w:val="normaltextrun1"/>
          <w:rFonts w:ascii="Arial" w:hAnsi="Arial" w:cs="Arial"/>
        </w:rPr>
        <w:t xml:space="preserve">Georgia Power completed the initial Clean Air Act Amendments (“CAAA”) strategy in December 1990 and has implemented strategies pertaining to applicable environmental compliance or regulations in subsequent years. The Company’s compliance strategy, including potential unit retirement and replacement decisions, has been most directly impacted by: (i) the final requirements of any new or revised environmental statutes and regulations, (ii) the cost </w:t>
      </w:r>
      <w:r w:rsidR="00251D97">
        <w:rPr>
          <w:rStyle w:val="normaltextrun1"/>
          <w:rFonts w:ascii="Arial" w:hAnsi="Arial" w:cs="Arial"/>
        </w:rPr>
        <w:t xml:space="preserve">and availability </w:t>
      </w:r>
      <w:r>
        <w:rPr>
          <w:rStyle w:val="normaltextrun1"/>
          <w:rFonts w:ascii="Arial" w:hAnsi="Arial" w:cs="Arial"/>
        </w:rPr>
        <w:t xml:space="preserve">of the environmental control technology, (iii) the cost, availability, and existing inventory of emissions allowances, and (iv) the Company’s fuel mix. Through 2017, Georgia Power has invested approximately $5.5 billion in capital projects to comply with applicable environmental </w:t>
      </w:r>
      <w:r w:rsidR="00251D97">
        <w:rPr>
          <w:rStyle w:val="normaltextrun1"/>
          <w:rFonts w:ascii="Arial" w:hAnsi="Arial" w:cs="Arial"/>
        </w:rPr>
        <w:t>regulations</w:t>
      </w:r>
      <w:r>
        <w:rPr>
          <w:rStyle w:val="normaltextrun1"/>
          <w:rFonts w:ascii="Arial" w:hAnsi="Arial" w:cs="Arial"/>
        </w:rPr>
        <w:t>.</w:t>
      </w:r>
      <w:r>
        <w:rPr>
          <w:rStyle w:val="eop"/>
          <w:rFonts w:ascii="Arial" w:hAnsi="Arial" w:cs="Arial"/>
        </w:rPr>
        <w:t> </w:t>
      </w:r>
    </w:p>
    <w:p w14:paraId="478E415E" w14:textId="77777777" w:rsidR="00FB1C0F" w:rsidRDefault="00FB1C0F" w:rsidP="00FB1C0F">
      <w:pPr>
        <w:pStyle w:val="paragraph"/>
        <w:jc w:val="both"/>
        <w:textAlignment w:val="baseline"/>
        <w:rPr>
          <w:rStyle w:val="normaltextrun1"/>
          <w:rFonts w:ascii="Arial" w:hAnsi="Arial" w:cs="Arial"/>
          <w:color w:val="000000"/>
        </w:rPr>
      </w:pPr>
    </w:p>
    <w:p w14:paraId="668E82B3" w14:textId="2EBA93A7" w:rsidR="00FB1C0F" w:rsidRDefault="00FB1C0F" w:rsidP="00FB1C0F">
      <w:pPr>
        <w:pStyle w:val="paragraph"/>
        <w:jc w:val="both"/>
        <w:textAlignment w:val="baseline"/>
      </w:pPr>
      <w:r>
        <w:rPr>
          <w:rStyle w:val="normaltextrun1"/>
          <w:rFonts w:ascii="Arial" w:hAnsi="Arial" w:cs="Arial"/>
          <w:color w:val="000000"/>
        </w:rPr>
        <w:t>Georgia Power has installed numerous environmental controls and/or made associated expenditures necessary to comply with state and federal environmental requirements including Phase II of the 1990 CAA Acid Rain program; National Ambient Air Quality Standards (NAAQS), including the 1-hour and 8-hour ozone standards and the fine particulate matter (“PM”) standards; the regional nitrogen oxides (</w:t>
      </w:r>
      <w:r w:rsidR="0056254B">
        <w:rPr>
          <w:rStyle w:val="normaltextrun1"/>
          <w:rFonts w:ascii="Arial" w:hAnsi="Arial" w:cs="Arial"/>
          <w:color w:val="000000"/>
        </w:rPr>
        <w:t>“</w:t>
      </w:r>
      <w:r>
        <w:rPr>
          <w:rStyle w:val="normaltextrun1"/>
          <w:rFonts w:ascii="Arial" w:hAnsi="Arial" w:cs="Arial"/>
          <w:color w:val="000000"/>
        </w:rPr>
        <w:t>NO</w:t>
      </w:r>
      <w:r>
        <w:rPr>
          <w:rStyle w:val="normaltextrun1"/>
          <w:rFonts w:ascii="Arial" w:hAnsi="Arial" w:cs="Arial"/>
          <w:color w:val="000000"/>
          <w:sz w:val="19"/>
          <w:szCs w:val="19"/>
          <w:vertAlign w:val="subscript"/>
        </w:rPr>
        <w:t>X</w:t>
      </w:r>
      <w:r w:rsidR="0056254B">
        <w:rPr>
          <w:rStyle w:val="normaltextrun1"/>
          <w:rFonts w:ascii="Arial" w:hAnsi="Arial" w:cs="Arial"/>
          <w:color w:val="000000"/>
        </w:rPr>
        <w:t>”)</w:t>
      </w:r>
      <w:r>
        <w:rPr>
          <w:rStyle w:val="normaltextrun1"/>
          <w:rFonts w:ascii="Arial" w:hAnsi="Arial" w:cs="Arial"/>
          <w:color w:val="000000"/>
        </w:rPr>
        <w:t xml:space="preserve"> budget trading program; the Cross-State Air Pollution Rule (“CSAPR”); the Clean Air Visibility Rule (“CAVR”); the Georgia Multipollutant Rule and </w:t>
      </w:r>
      <w:r w:rsidR="00C15DA4">
        <w:rPr>
          <w:rStyle w:val="normaltextrun1"/>
          <w:rFonts w:ascii="Arial" w:hAnsi="Arial" w:cs="Arial"/>
          <w:color w:val="000000"/>
        </w:rPr>
        <w:t xml:space="preserve">companion </w:t>
      </w:r>
      <w:r>
        <w:rPr>
          <w:rStyle w:val="normaltextrun1"/>
          <w:rFonts w:ascii="Arial" w:hAnsi="Arial" w:cs="Arial"/>
          <w:color w:val="000000"/>
        </w:rPr>
        <w:t>Sulfur Dioxide (“SO</w:t>
      </w:r>
      <w:r>
        <w:rPr>
          <w:rStyle w:val="normaltextrun1"/>
          <w:rFonts w:ascii="Arial" w:hAnsi="Arial" w:cs="Arial"/>
          <w:color w:val="000000"/>
          <w:sz w:val="19"/>
          <w:szCs w:val="19"/>
          <w:vertAlign w:val="subscript"/>
        </w:rPr>
        <w:t>2</w:t>
      </w:r>
      <w:r>
        <w:rPr>
          <w:rStyle w:val="normaltextrun1"/>
          <w:rFonts w:ascii="Arial" w:hAnsi="Arial" w:cs="Arial"/>
          <w:color w:val="000000"/>
        </w:rPr>
        <w:t xml:space="preserve">”) Emissions Rule; the Mercury and Air Toxics Standards (“MATS”) Rule; </w:t>
      </w:r>
      <w:r w:rsidR="006B06AE">
        <w:rPr>
          <w:rStyle w:val="normaltextrun1"/>
          <w:rFonts w:ascii="Arial" w:hAnsi="Arial" w:cs="Arial"/>
          <w:color w:val="000000"/>
        </w:rPr>
        <w:t>the</w:t>
      </w:r>
      <w:r w:rsidR="00E46522">
        <w:rPr>
          <w:rStyle w:val="normaltextrun1"/>
          <w:rFonts w:ascii="Arial" w:hAnsi="Arial" w:cs="Arial"/>
          <w:color w:val="000000"/>
        </w:rPr>
        <w:t xml:space="preserve"> CWA </w:t>
      </w:r>
      <w:r w:rsidR="006B06AE">
        <w:rPr>
          <w:rStyle w:val="normaltextrun1"/>
          <w:rFonts w:ascii="Arial" w:hAnsi="Arial" w:cs="Arial"/>
          <w:color w:val="000000"/>
        </w:rPr>
        <w:t xml:space="preserve">Section 316(a) </w:t>
      </w:r>
      <w:r w:rsidR="00E46522">
        <w:rPr>
          <w:rStyle w:val="normaltextrun1"/>
          <w:rFonts w:ascii="Arial" w:hAnsi="Arial" w:cs="Arial"/>
          <w:color w:val="000000"/>
        </w:rPr>
        <w:t>requirements for thermal discharges; CWA’s 1982 Steam Electric Effluent Limitations Guidelines (</w:t>
      </w:r>
      <w:r w:rsidR="0058251A">
        <w:rPr>
          <w:rStyle w:val="normaltextrun1"/>
          <w:rFonts w:ascii="Arial" w:hAnsi="Arial" w:cs="Arial"/>
          <w:color w:val="000000"/>
        </w:rPr>
        <w:t>“</w:t>
      </w:r>
      <w:r w:rsidR="00E46522">
        <w:rPr>
          <w:rStyle w:val="normaltextrun1"/>
          <w:rFonts w:ascii="Arial" w:hAnsi="Arial" w:cs="Arial"/>
          <w:color w:val="000000"/>
        </w:rPr>
        <w:t>ELGs</w:t>
      </w:r>
      <w:r w:rsidR="0058251A">
        <w:rPr>
          <w:rStyle w:val="normaltextrun1"/>
          <w:rFonts w:ascii="Arial" w:hAnsi="Arial" w:cs="Arial"/>
          <w:color w:val="000000"/>
        </w:rPr>
        <w:t>”</w:t>
      </w:r>
      <w:r w:rsidR="00E46522">
        <w:rPr>
          <w:rStyle w:val="normaltextrun1"/>
          <w:rFonts w:ascii="Arial" w:hAnsi="Arial" w:cs="Arial"/>
          <w:color w:val="000000"/>
        </w:rPr>
        <w:t xml:space="preserve">); Georgia Water Quality </w:t>
      </w:r>
      <w:r w:rsidR="00E46522" w:rsidRPr="00AC4DCE">
        <w:rPr>
          <w:rStyle w:val="normaltextrun1"/>
          <w:rFonts w:ascii="Arial" w:hAnsi="Arial" w:cs="Arial"/>
          <w:color w:val="000000"/>
        </w:rPr>
        <w:t>Standards</w:t>
      </w:r>
      <w:r w:rsidR="006B06AE" w:rsidRPr="00AC4DCE">
        <w:rPr>
          <w:rStyle w:val="normaltextrun1"/>
          <w:rFonts w:ascii="Arial" w:hAnsi="Arial" w:cs="Arial"/>
          <w:color w:val="000000"/>
        </w:rPr>
        <w:t>;</w:t>
      </w:r>
      <w:r w:rsidR="00FC1DE3" w:rsidRPr="00AC4DCE">
        <w:rPr>
          <w:rStyle w:val="normaltextrun1"/>
          <w:rFonts w:ascii="Arial" w:hAnsi="Arial" w:cs="Arial"/>
          <w:color w:val="000000"/>
        </w:rPr>
        <w:t xml:space="preserve"> </w:t>
      </w:r>
      <w:r w:rsidR="00C15DA4" w:rsidRPr="00AC4DCE">
        <w:rPr>
          <w:rStyle w:val="normaltextrun1"/>
          <w:rFonts w:ascii="Arial" w:hAnsi="Arial" w:cs="Arial"/>
          <w:color w:val="000000"/>
        </w:rPr>
        <w:t>RCRA</w:t>
      </w:r>
      <w:r w:rsidR="00C80B5E">
        <w:rPr>
          <w:rStyle w:val="normaltextrun1"/>
          <w:rFonts w:ascii="Arial" w:hAnsi="Arial" w:cs="Arial"/>
          <w:color w:val="000000"/>
        </w:rPr>
        <w:t>;</w:t>
      </w:r>
      <w:r w:rsidR="00291A6C" w:rsidRPr="00AC4DCE">
        <w:rPr>
          <w:rStyle w:val="normaltextrun1"/>
          <w:rFonts w:ascii="Arial" w:hAnsi="Arial" w:cs="Arial"/>
          <w:color w:val="000000"/>
        </w:rPr>
        <w:t xml:space="preserve"> and Georgia Rules for Solid Waste Management</w:t>
      </w:r>
      <w:r w:rsidRPr="00AC4DCE">
        <w:rPr>
          <w:rStyle w:val="normaltextrun1"/>
          <w:rFonts w:ascii="Arial" w:hAnsi="Arial" w:cs="Arial"/>
          <w:color w:val="000000"/>
        </w:rPr>
        <w:t>.</w:t>
      </w:r>
      <w:r>
        <w:rPr>
          <w:rStyle w:val="eop"/>
          <w:rFonts w:ascii="Arial" w:hAnsi="Arial" w:cs="Arial"/>
        </w:rPr>
        <w:t> </w:t>
      </w:r>
    </w:p>
    <w:p w14:paraId="290681DB" w14:textId="77777777" w:rsidR="00FB1C0F" w:rsidRDefault="00FB1C0F" w:rsidP="00FB1C0F">
      <w:pPr>
        <w:pStyle w:val="paragraph"/>
        <w:jc w:val="both"/>
        <w:textAlignment w:val="baseline"/>
        <w:rPr>
          <w:rStyle w:val="normaltextrun1"/>
          <w:rFonts w:ascii="Arial" w:hAnsi="Arial" w:cs="Arial"/>
        </w:rPr>
      </w:pPr>
    </w:p>
    <w:p w14:paraId="0438F94D" w14:textId="2DAE36F7" w:rsidR="00FB1C0F" w:rsidRDefault="00FB1C0F" w:rsidP="00FB1C0F">
      <w:pPr>
        <w:pStyle w:val="paragraph"/>
        <w:jc w:val="both"/>
        <w:textAlignment w:val="baseline"/>
      </w:pPr>
      <w:r>
        <w:rPr>
          <w:rStyle w:val="normaltextrun1"/>
          <w:rFonts w:ascii="Arial" w:hAnsi="Arial" w:cs="Arial"/>
        </w:rPr>
        <w:t>From 1990 to 2017, Georgia Power’s environmental compliance strategy and installation of environmental control equipment, to meet the requirements of state and federal regulations, has reduced NO</w:t>
      </w:r>
      <w:r>
        <w:rPr>
          <w:rStyle w:val="normaltextrun1"/>
          <w:rFonts w:ascii="Arial" w:hAnsi="Arial" w:cs="Arial"/>
          <w:sz w:val="19"/>
          <w:szCs w:val="19"/>
          <w:vertAlign w:val="subscript"/>
        </w:rPr>
        <w:t>X</w:t>
      </w:r>
      <w:r>
        <w:rPr>
          <w:rStyle w:val="normaltextrun1"/>
          <w:rFonts w:ascii="Arial" w:hAnsi="Arial" w:cs="Arial"/>
        </w:rPr>
        <w:t xml:space="preserve"> and SO</w:t>
      </w:r>
      <w:r>
        <w:rPr>
          <w:rStyle w:val="normaltextrun1"/>
          <w:rFonts w:ascii="Arial" w:hAnsi="Arial" w:cs="Arial"/>
          <w:sz w:val="19"/>
          <w:szCs w:val="19"/>
          <w:vertAlign w:val="subscript"/>
        </w:rPr>
        <w:t>2</w:t>
      </w:r>
      <w:r>
        <w:rPr>
          <w:rStyle w:val="normaltextrun1"/>
          <w:rFonts w:ascii="Arial" w:hAnsi="Arial" w:cs="Arial"/>
        </w:rPr>
        <w:t xml:space="preserve"> emissions by approximately 93 and 99 percent, respectively (including Georgia Power’s share of Gaston 1-4). </w:t>
      </w:r>
      <w:r>
        <w:rPr>
          <w:rStyle w:val="normaltextrun1"/>
          <w:rFonts w:ascii="Arial" w:hAnsi="Arial" w:cs="Arial"/>
          <w:color w:val="000000"/>
        </w:rPr>
        <w:t xml:space="preserve">The installation and continued operation of baghouses, Selective Catalytic Reduction </w:t>
      </w:r>
      <w:r w:rsidR="00881C0B">
        <w:rPr>
          <w:rStyle w:val="normaltextrun1"/>
          <w:rFonts w:ascii="Arial" w:hAnsi="Arial" w:cs="Arial"/>
          <w:color w:val="000000"/>
        </w:rPr>
        <w:t xml:space="preserve">systems </w:t>
      </w:r>
      <w:r>
        <w:rPr>
          <w:rStyle w:val="normaltextrun1"/>
          <w:rFonts w:ascii="Arial" w:hAnsi="Arial" w:cs="Arial"/>
          <w:color w:val="000000"/>
        </w:rPr>
        <w:t>(</w:t>
      </w:r>
      <w:r w:rsidR="0058251A">
        <w:rPr>
          <w:rStyle w:val="normaltextrun1"/>
          <w:rFonts w:ascii="Arial" w:hAnsi="Arial" w:cs="Arial"/>
          <w:color w:val="000000"/>
        </w:rPr>
        <w:t>“</w:t>
      </w:r>
      <w:r>
        <w:rPr>
          <w:rStyle w:val="normaltextrun1"/>
          <w:rFonts w:ascii="Arial" w:hAnsi="Arial" w:cs="Arial"/>
          <w:color w:val="000000"/>
        </w:rPr>
        <w:t>SCRs</w:t>
      </w:r>
      <w:r w:rsidR="0058251A">
        <w:rPr>
          <w:rStyle w:val="normaltextrun1"/>
          <w:rFonts w:ascii="Arial" w:hAnsi="Arial" w:cs="Arial"/>
          <w:color w:val="000000"/>
        </w:rPr>
        <w:t>”</w:t>
      </w:r>
      <w:r>
        <w:rPr>
          <w:rStyle w:val="normaltextrun1"/>
          <w:rFonts w:ascii="Arial" w:hAnsi="Arial" w:cs="Arial"/>
          <w:color w:val="000000"/>
        </w:rPr>
        <w:t xml:space="preserve">), </w:t>
      </w:r>
      <w:r w:rsidR="00881C0B">
        <w:rPr>
          <w:rStyle w:val="normaltextrun1"/>
          <w:rFonts w:ascii="Arial" w:hAnsi="Arial" w:cs="Arial"/>
          <w:color w:val="000000"/>
        </w:rPr>
        <w:t>flue gas desulfurization (</w:t>
      </w:r>
      <w:r w:rsidR="0058251A">
        <w:rPr>
          <w:rStyle w:val="normaltextrun1"/>
          <w:rFonts w:ascii="Arial" w:hAnsi="Arial" w:cs="Arial"/>
          <w:color w:val="000000"/>
        </w:rPr>
        <w:t>“</w:t>
      </w:r>
      <w:r>
        <w:rPr>
          <w:rStyle w:val="normaltextrun1"/>
          <w:rFonts w:ascii="Arial" w:hAnsi="Arial" w:cs="Arial"/>
          <w:color w:val="000000"/>
        </w:rPr>
        <w:t>FGDs</w:t>
      </w:r>
      <w:r w:rsidR="0058251A">
        <w:rPr>
          <w:rStyle w:val="normaltextrun1"/>
          <w:rFonts w:ascii="Arial" w:hAnsi="Arial" w:cs="Arial"/>
          <w:color w:val="000000"/>
        </w:rPr>
        <w:t>”</w:t>
      </w:r>
      <w:r w:rsidR="00881C0B">
        <w:rPr>
          <w:rStyle w:val="normaltextrun1"/>
          <w:rFonts w:ascii="Arial" w:hAnsi="Arial" w:cs="Arial"/>
          <w:color w:val="000000"/>
        </w:rPr>
        <w:t>)</w:t>
      </w:r>
      <w:r>
        <w:rPr>
          <w:rStyle w:val="normaltextrun1"/>
          <w:rFonts w:ascii="Arial" w:hAnsi="Arial" w:cs="Arial"/>
          <w:color w:val="000000"/>
        </w:rPr>
        <w:t xml:space="preserve">, and other MATS rule related controls have </w:t>
      </w:r>
      <w:r w:rsidR="00881C0B">
        <w:rPr>
          <w:rStyle w:val="normaltextrun1"/>
          <w:rFonts w:ascii="Arial" w:hAnsi="Arial" w:cs="Arial"/>
          <w:color w:val="000000"/>
        </w:rPr>
        <w:t xml:space="preserve">enabled </w:t>
      </w:r>
      <w:r w:rsidR="0022120D">
        <w:rPr>
          <w:rStyle w:val="normaltextrun1"/>
          <w:rFonts w:ascii="Arial" w:hAnsi="Arial" w:cs="Arial"/>
          <w:color w:val="000000"/>
        </w:rPr>
        <w:t>the Company’s</w:t>
      </w:r>
      <w:r>
        <w:rPr>
          <w:rStyle w:val="normaltextrun1"/>
          <w:rFonts w:ascii="Arial" w:hAnsi="Arial" w:cs="Arial"/>
          <w:color w:val="000000"/>
        </w:rPr>
        <w:t xml:space="preserve"> generating fleet to comply with new, more stringent regulations and have reduced Georgia Power’s 2017 mercury emissions by </w:t>
      </w:r>
      <w:r>
        <w:rPr>
          <w:rStyle w:val="normaltextrun1"/>
          <w:rFonts w:ascii="Arial" w:hAnsi="Arial" w:cs="Arial"/>
        </w:rPr>
        <w:t>approximately 95 percent from 2005 levels (including Georgia Power’s share of Gaston 1-4). In addition, in making economic decisions in the best interest of customers, and without state or federal mandates, through 2017, Georgia Power has achieved carbon dioxide (</w:t>
      </w:r>
      <w:r w:rsidR="0058251A">
        <w:rPr>
          <w:rStyle w:val="normaltextrun1"/>
          <w:rFonts w:ascii="Arial" w:hAnsi="Arial" w:cs="Arial"/>
        </w:rPr>
        <w:t>“</w:t>
      </w:r>
      <w:r>
        <w:rPr>
          <w:rStyle w:val="normaltextrun1"/>
          <w:rFonts w:ascii="Arial" w:hAnsi="Arial" w:cs="Arial"/>
        </w:rPr>
        <w:t>CO</w:t>
      </w:r>
      <w:r>
        <w:rPr>
          <w:rStyle w:val="normaltextrun1"/>
          <w:rFonts w:ascii="Arial" w:hAnsi="Arial" w:cs="Arial"/>
          <w:sz w:val="19"/>
          <w:szCs w:val="19"/>
          <w:vertAlign w:val="subscript"/>
        </w:rPr>
        <w:t>2</w:t>
      </w:r>
      <w:r w:rsidR="0058251A">
        <w:rPr>
          <w:rStyle w:val="normaltextrun1"/>
          <w:rFonts w:ascii="Arial" w:hAnsi="Arial" w:cs="Arial"/>
        </w:rPr>
        <w:t>”)</w:t>
      </w:r>
      <w:r>
        <w:rPr>
          <w:rStyle w:val="normaltextrun1"/>
          <w:rFonts w:ascii="Arial" w:hAnsi="Arial" w:cs="Arial"/>
        </w:rPr>
        <w:t xml:space="preserve"> emission reductions of more than 50 percent since 2007.</w:t>
      </w:r>
      <w:r>
        <w:rPr>
          <w:rStyle w:val="eop"/>
          <w:rFonts w:ascii="Arial" w:hAnsi="Arial" w:cs="Arial"/>
        </w:rPr>
        <w:t> </w:t>
      </w:r>
    </w:p>
    <w:p w14:paraId="0417469C" w14:textId="77777777" w:rsidR="00FB1C0F" w:rsidRDefault="00FB1C0F" w:rsidP="00FB1C0F">
      <w:pPr>
        <w:pStyle w:val="paragraph"/>
        <w:jc w:val="both"/>
        <w:textAlignment w:val="baseline"/>
        <w:rPr>
          <w:rStyle w:val="normaltextrun1"/>
          <w:rFonts w:ascii="Arial" w:hAnsi="Arial" w:cs="Arial"/>
          <w:color w:val="000000"/>
        </w:rPr>
      </w:pPr>
    </w:p>
    <w:p w14:paraId="18C0C482" w14:textId="27582B2D" w:rsidR="00FB1C0F" w:rsidRDefault="00FB1C0F" w:rsidP="00DE385C">
      <w:pPr>
        <w:pStyle w:val="paragraph"/>
        <w:tabs>
          <w:tab w:val="left" w:pos="7740"/>
        </w:tabs>
        <w:jc w:val="both"/>
        <w:textAlignment w:val="baseline"/>
      </w:pPr>
      <w:r>
        <w:rPr>
          <w:rStyle w:val="normaltextrun1"/>
          <w:rFonts w:ascii="Arial" w:hAnsi="Arial" w:cs="Arial"/>
          <w:color w:val="000000"/>
        </w:rPr>
        <w:t>Figure 1-1</w:t>
      </w:r>
      <w:r>
        <w:rPr>
          <w:rStyle w:val="normaltextrun1"/>
          <w:rFonts w:ascii="Arial" w:hAnsi="Arial" w:cs="Arial"/>
          <w:color w:val="000000"/>
          <w:sz w:val="19"/>
          <w:szCs w:val="19"/>
          <w:vertAlign w:val="subscript"/>
        </w:rPr>
        <w:t xml:space="preserve"> </w:t>
      </w:r>
      <w:r>
        <w:rPr>
          <w:rStyle w:val="normaltextrun1"/>
          <w:rFonts w:ascii="Arial" w:hAnsi="Arial" w:cs="Arial"/>
          <w:color w:val="000000"/>
        </w:rPr>
        <w:t>summarizes historical and projected changes in emissions, population</w:t>
      </w:r>
      <w:r>
        <w:rPr>
          <w:rStyle w:val="normaltextrun1"/>
          <w:rFonts w:ascii="Arial" w:hAnsi="Arial" w:cs="Arial"/>
        </w:rPr>
        <w:t>, and environmental capital costs (including Georgia Power’s share of Gaston 1-4). Even as Georgia’s population has grown, overall emissions have declined. The historical emissions for SO</w:t>
      </w:r>
      <w:r w:rsidRPr="0058251A">
        <w:rPr>
          <w:rStyle w:val="normaltextrun1"/>
          <w:rFonts w:ascii="Arial" w:hAnsi="Arial" w:cs="Arial"/>
          <w:vertAlign w:val="subscript"/>
        </w:rPr>
        <w:t>2</w:t>
      </w:r>
      <w:r>
        <w:rPr>
          <w:rStyle w:val="normaltextrun1"/>
          <w:rFonts w:ascii="Arial" w:hAnsi="Arial" w:cs="Arial"/>
        </w:rPr>
        <w:t xml:space="preserve"> and NOx are shown back to 1990, while mercury emissions are shown back to 2005. </w:t>
      </w:r>
      <w:r w:rsidR="00881C0B">
        <w:rPr>
          <w:rStyle w:val="normaltextrun1"/>
          <w:rFonts w:ascii="Arial" w:hAnsi="Arial" w:cs="Arial"/>
        </w:rPr>
        <w:t>Future e</w:t>
      </w:r>
      <w:r>
        <w:rPr>
          <w:rStyle w:val="normaltextrun1"/>
          <w:rFonts w:ascii="Arial" w:hAnsi="Arial" w:cs="Arial"/>
        </w:rPr>
        <w:t>missions of SO</w:t>
      </w:r>
      <w:r w:rsidRPr="0058251A">
        <w:rPr>
          <w:rStyle w:val="normaltextrun1"/>
          <w:rFonts w:ascii="Arial" w:hAnsi="Arial" w:cs="Arial"/>
          <w:vertAlign w:val="subscript"/>
        </w:rPr>
        <w:t>2</w:t>
      </w:r>
      <w:r>
        <w:rPr>
          <w:rStyle w:val="normaltextrun1"/>
          <w:rFonts w:ascii="Arial" w:hAnsi="Arial" w:cs="Arial"/>
        </w:rPr>
        <w:t xml:space="preserve"> and NOx are projected using the Aurora model.  Mercury projections are not available from Aurora because there is no allowance program or dispatch cost projected for mercury emissions.</w:t>
      </w:r>
    </w:p>
    <w:p w14:paraId="0BB7A7AA" w14:textId="1FCFD1FF" w:rsidR="00206835" w:rsidRPr="00DB7156" w:rsidRDefault="004205D3" w:rsidP="00DB7156">
      <w:pPr>
        <w:spacing w:after="80" w:line="240" w:lineRule="auto"/>
        <w:jc w:val="both"/>
        <w:rPr>
          <w:rFonts w:ascii="Arial" w:hAnsi="Arial" w:cs="Arial"/>
          <w:sz w:val="24"/>
          <w:szCs w:val="24"/>
        </w:rPr>
      </w:pPr>
      <w:r w:rsidRPr="004205D3">
        <w:rPr>
          <w:rFonts w:ascii="Arial" w:hAnsi="Arial" w:cs="Arial"/>
          <w:noProof/>
          <w:sz w:val="24"/>
          <w:szCs w:val="24"/>
        </w:rPr>
        <w:drawing>
          <wp:inline distT="0" distB="0" distL="0" distR="0" wp14:anchorId="02B7D638" wp14:editId="2DFFF83E">
            <wp:extent cx="5943600" cy="42430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4243070"/>
                    </a:xfrm>
                    <a:prstGeom prst="rect">
                      <a:avLst/>
                    </a:prstGeom>
                  </pic:spPr>
                </pic:pic>
              </a:graphicData>
            </a:graphic>
          </wp:inline>
        </w:drawing>
      </w:r>
    </w:p>
    <w:p w14:paraId="7AFD092A" w14:textId="2443C1C9" w:rsidR="00000E3F" w:rsidRPr="00DB7156" w:rsidRDefault="00000E3F" w:rsidP="00DB7156">
      <w:pPr>
        <w:spacing w:after="80" w:line="240" w:lineRule="auto"/>
        <w:jc w:val="both"/>
        <w:rPr>
          <w:rFonts w:ascii="Arial" w:hAnsi="Arial" w:cs="Arial"/>
          <w:sz w:val="24"/>
          <w:szCs w:val="24"/>
        </w:rPr>
      </w:pPr>
    </w:p>
    <w:p w14:paraId="22BA4E57" w14:textId="2F85372F" w:rsidR="007B250B" w:rsidRPr="00DB7156" w:rsidRDefault="00FC67F9" w:rsidP="00DB7156">
      <w:pPr>
        <w:spacing w:after="0" w:line="240" w:lineRule="auto"/>
        <w:jc w:val="both"/>
        <w:rPr>
          <w:rFonts w:ascii="Arial" w:hAnsi="Arial" w:cs="Arial"/>
          <w:b/>
          <w:bCs/>
          <w:sz w:val="20"/>
          <w:szCs w:val="20"/>
        </w:rPr>
      </w:pPr>
      <w:r w:rsidRPr="00DB7156">
        <w:rPr>
          <w:rFonts w:ascii="Arial" w:hAnsi="Arial" w:cs="Arial"/>
          <w:b/>
          <w:bCs/>
          <w:sz w:val="20"/>
          <w:szCs w:val="20"/>
        </w:rPr>
        <w:t>Figure 1</w:t>
      </w:r>
      <w:r w:rsidRPr="00DB7156">
        <w:rPr>
          <w:rFonts w:ascii="Arial" w:hAnsi="Arial" w:cs="Arial"/>
          <w:b/>
          <w:bCs/>
          <w:sz w:val="20"/>
          <w:szCs w:val="20"/>
        </w:rPr>
        <w:noBreakHyphen/>
      </w:r>
      <w:r w:rsidR="00117919" w:rsidRPr="00DB7156">
        <w:rPr>
          <w:rFonts w:ascii="Arial" w:hAnsi="Arial" w:cs="Arial"/>
          <w:b/>
          <w:bCs/>
          <w:sz w:val="20"/>
          <w:szCs w:val="20"/>
        </w:rPr>
        <w:fldChar w:fldCharType="begin"/>
      </w:r>
      <w:r w:rsidRPr="00DB7156">
        <w:rPr>
          <w:rFonts w:ascii="Arial" w:hAnsi="Arial" w:cs="Arial"/>
          <w:b/>
          <w:bCs/>
          <w:sz w:val="20"/>
          <w:szCs w:val="20"/>
        </w:rPr>
        <w:instrText xml:space="preserve"> SEQ Figure \* ARABIC \s 3 </w:instrText>
      </w:r>
      <w:r w:rsidR="00117919" w:rsidRPr="00DB7156">
        <w:rPr>
          <w:rFonts w:ascii="Arial" w:hAnsi="Arial" w:cs="Arial"/>
          <w:b/>
          <w:bCs/>
          <w:sz w:val="20"/>
          <w:szCs w:val="20"/>
        </w:rPr>
        <w:fldChar w:fldCharType="separate"/>
      </w:r>
      <w:r w:rsidR="00975726">
        <w:rPr>
          <w:rFonts w:ascii="Arial" w:hAnsi="Arial" w:cs="Arial"/>
          <w:b/>
          <w:bCs/>
          <w:noProof/>
          <w:sz w:val="20"/>
          <w:szCs w:val="20"/>
        </w:rPr>
        <w:t>1</w:t>
      </w:r>
      <w:r w:rsidR="00117919" w:rsidRPr="00DB7156">
        <w:rPr>
          <w:rFonts w:ascii="Arial" w:hAnsi="Arial" w:cs="Arial"/>
          <w:b/>
          <w:bCs/>
          <w:sz w:val="20"/>
          <w:szCs w:val="20"/>
        </w:rPr>
        <w:fldChar w:fldCharType="end"/>
      </w:r>
      <w:r w:rsidRPr="00DB7156">
        <w:rPr>
          <w:rFonts w:ascii="Arial" w:hAnsi="Arial" w:cs="Arial"/>
          <w:b/>
          <w:bCs/>
          <w:sz w:val="20"/>
          <w:szCs w:val="20"/>
        </w:rPr>
        <w:t xml:space="preserve">  </w:t>
      </w:r>
      <w:r w:rsidR="00E87DFB" w:rsidRPr="00DB7156">
        <w:rPr>
          <w:rFonts w:ascii="Arial" w:hAnsi="Arial" w:cs="Arial"/>
          <w:b/>
          <w:bCs/>
          <w:sz w:val="20"/>
          <w:szCs w:val="20"/>
        </w:rPr>
        <w:t>Georgia Power</w:t>
      </w:r>
      <w:r w:rsidRPr="00DB7156">
        <w:rPr>
          <w:rFonts w:ascii="Arial" w:hAnsi="Arial" w:cs="Arial"/>
          <w:b/>
          <w:bCs/>
          <w:sz w:val="20"/>
          <w:szCs w:val="20"/>
        </w:rPr>
        <w:t xml:space="preserve"> Emissions and Environmental Capital Expenditures </w:t>
      </w:r>
    </w:p>
    <w:p w14:paraId="22BA4E58" w14:textId="40DABE44" w:rsidR="00FC67F9" w:rsidRPr="00DB7156" w:rsidRDefault="00FC67F9" w:rsidP="00DB7156">
      <w:pPr>
        <w:spacing w:after="0" w:line="240" w:lineRule="auto"/>
        <w:jc w:val="both"/>
        <w:rPr>
          <w:rFonts w:ascii="Arial" w:hAnsi="Arial" w:cs="Arial"/>
          <w:b/>
          <w:bCs/>
          <w:sz w:val="20"/>
          <w:szCs w:val="20"/>
        </w:rPr>
      </w:pPr>
      <w:r w:rsidRPr="00DB7156">
        <w:rPr>
          <w:rFonts w:ascii="Arial" w:hAnsi="Arial" w:cs="Arial"/>
          <w:b/>
          <w:bCs/>
          <w:sz w:val="20"/>
          <w:szCs w:val="20"/>
        </w:rPr>
        <w:t>(</w:t>
      </w:r>
      <w:r w:rsidR="000F62CD" w:rsidRPr="00DB7156">
        <w:rPr>
          <w:rFonts w:ascii="Arial" w:hAnsi="Arial" w:cs="Arial"/>
          <w:b/>
          <w:bCs/>
          <w:sz w:val="20"/>
          <w:szCs w:val="20"/>
        </w:rPr>
        <w:t xml:space="preserve">Actual </w:t>
      </w:r>
      <w:r w:rsidRPr="00DB7156">
        <w:rPr>
          <w:rFonts w:ascii="Arial" w:hAnsi="Arial" w:cs="Arial"/>
          <w:b/>
          <w:bCs/>
          <w:sz w:val="20"/>
          <w:szCs w:val="20"/>
        </w:rPr>
        <w:t>Emission</w:t>
      </w:r>
      <w:r w:rsidR="000F62CD" w:rsidRPr="00DB7156">
        <w:rPr>
          <w:rFonts w:ascii="Arial" w:hAnsi="Arial" w:cs="Arial"/>
          <w:b/>
          <w:bCs/>
          <w:sz w:val="20"/>
          <w:szCs w:val="20"/>
        </w:rPr>
        <w:t xml:space="preserve">s Through </w:t>
      </w:r>
      <w:r w:rsidR="006D00F1" w:rsidRPr="00DB7156">
        <w:rPr>
          <w:rFonts w:ascii="Arial" w:hAnsi="Arial" w:cs="Arial"/>
          <w:b/>
          <w:bCs/>
          <w:sz w:val="20"/>
          <w:szCs w:val="20"/>
        </w:rPr>
        <w:t>2017</w:t>
      </w:r>
      <w:r w:rsidR="000F62CD" w:rsidRPr="00DB7156">
        <w:rPr>
          <w:rFonts w:ascii="Arial" w:hAnsi="Arial" w:cs="Arial"/>
          <w:b/>
          <w:bCs/>
          <w:sz w:val="20"/>
          <w:szCs w:val="20"/>
        </w:rPr>
        <w:t>; Projected</w:t>
      </w:r>
      <w:r w:rsidRPr="00DB7156">
        <w:rPr>
          <w:rFonts w:ascii="Arial" w:hAnsi="Arial" w:cs="Arial"/>
          <w:b/>
          <w:bCs/>
          <w:sz w:val="20"/>
          <w:szCs w:val="20"/>
        </w:rPr>
        <w:t xml:space="preserve"> Estimates based on </w:t>
      </w:r>
      <w:r w:rsidR="000F62CD" w:rsidRPr="00DB7156">
        <w:rPr>
          <w:rFonts w:ascii="Arial" w:hAnsi="Arial" w:cs="Arial"/>
          <w:b/>
          <w:bCs/>
          <w:sz w:val="20"/>
          <w:szCs w:val="20"/>
        </w:rPr>
        <w:t>201</w:t>
      </w:r>
      <w:r w:rsidR="00206835" w:rsidRPr="00DB7156">
        <w:rPr>
          <w:rFonts w:ascii="Arial" w:hAnsi="Arial" w:cs="Arial"/>
          <w:b/>
          <w:bCs/>
          <w:sz w:val="20"/>
          <w:szCs w:val="20"/>
        </w:rPr>
        <w:t>8</w:t>
      </w:r>
      <w:r w:rsidR="000F62CD" w:rsidRPr="00DB7156">
        <w:rPr>
          <w:rFonts w:ascii="Arial" w:hAnsi="Arial" w:cs="Arial"/>
          <w:b/>
          <w:bCs/>
          <w:sz w:val="20"/>
          <w:szCs w:val="20"/>
        </w:rPr>
        <w:t xml:space="preserve"> </w:t>
      </w:r>
      <w:r w:rsidRPr="00DB7156">
        <w:rPr>
          <w:rFonts w:ascii="Arial" w:hAnsi="Arial" w:cs="Arial"/>
          <w:b/>
          <w:bCs/>
          <w:sz w:val="20"/>
          <w:szCs w:val="20"/>
        </w:rPr>
        <w:t>Energy Budget Projections)</w:t>
      </w:r>
    </w:p>
    <w:p w14:paraId="21CF3020" w14:textId="77777777" w:rsidR="00976D31" w:rsidRPr="00DB7156" w:rsidRDefault="00976D31" w:rsidP="00DB7156">
      <w:pPr>
        <w:autoSpaceDE w:val="0"/>
        <w:autoSpaceDN w:val="0"/>
        <w:adjustRightInd w:val="0"/>
        <w:spacing w:after="0" w:line="240" w:lineRule="auto"/>
        <w:jc w:val="both"/>
        <w:rPr>
          <w:rFonts w:ascii="Arial" w:hAnsi="Arial" w:cs="Arial"/>
          <w:color w:val="000000"/>
          <w:sz w:val="24"/>
          <w:szCs w:val="24"/>
        </w:rPr>
      </w:pPr>
    </w:p>
    <w:p w14:paraId="7C522345" w14:textId="10D4A7EF" w:rsidR="00FB1C0F" w:rsidRDefault="00881C0B" w:rsidP="00FB1C0F">
      <w:pPr>
        <w:pStyle w:val="paragraph"/>
        <w:jc w:val="both"/>
        <w:textAlignment w:val="baseline"/>
      </w:pPr>
      <w:bookmarkStart w:id="7" w:name="_Hlk528665576"/>
      <w:r>
        <w:rPr>
          <w:rStyle w:val="normaltextrun1"/>
          <w:rFonts w:ascii="Arial" w:hAnsi="Arial" w:cs="Arial"/>
          <w:color w:val="000000"/>
        </w:rPr>
        <w:t>While</w:t>
      </w:r>
      <w:r w:rsidR="00FB1C0F">
        <w:rPr>
          <w:rStyle w:val="normaltextrun1"/>
          <w:rFonts w:ascii="Arial" w:hAnsi="Arial" w:cs="Arial"/>
          <w:color w:val="000000"/>
        </w:rPr>
        <w:t xml:space="preserve"> investments in emission controls necessary to comply with state and federal clean air requirements</w:t>
      </w:r>
      <w:r>
        <w:rPr>
          <w:rStyle w:val="normaltextrun1"/>
          <w:rFonts w:ascii="Arial" w:hAnsi="Arial" w:cs="Arial"/>
          <w:color w:val="000000"/>
        </w:rPr>
        <w:t xml:space="preserve"> remain a component of this ECS</w:t>
      </w:r>
      <w:r w:rsidR="00FB1C0F">
        <w:rPr>
          <w:rStyle w:val="normaltextrun1"/>
          <w:rFonts w:ascii="Arial" w:hAnsi="Arial" w:cs="Arial"/>
          <w:color w:val="000000"/>
        </w:rPr>
        <w:t xml:space="preserve">, the Company’s strategy also incorporates </w:t>
      </w:r>
      <w:r>
        <w:rPr>
          <w:rStyle w:val="normaltextrun1"/>
          <w:rFonts w:ascii="Arial" w:hAnsi="Arial" w:cs="Arial"/>
          <w:color w:val="000000"/>
        </w:rPr>
        <w:t xml:space="preserve">and focuses on </w:t>
      </w:r>
      <w:r w:rsidR="00FB1C0F">
        <w:rPr>
          <w:rStyle w:val="normaltextrun1"/>
          <w:rFonts w:ascii="Arial" w:hAnsi="Arial" w:cs="Arial"/>
          <w:color w:val="000000"/>
        </w:rPr>
        <w:t>actions to comply with land and water regulatory requirements.</w:t>
      </w:r>
      <w:r w:rsidR="00FB1C0F">
        <w:rPr>
          <w:rStyle w:val="eop"/>
          <w:rFonts w:ascii="Arial" w:hAnsi="Arial" w:cs="Arial"/>
        </w:rPr>
        <w:t> </w:t>
      </w:r>
    </w:p>
    <w:p w14:paraId="72502F82" w14:textId="77777777" w:rsidR="00FB1C0F" w:rsidRDefault="00FB1C0F" w:rsidP="00FB1C0F">
      <w:pPr>
        <w:pStyle w:val="paragraph"/>
        <w:jc w:val="both"/>
        <w:textAlignment w:val="baseline"/>
        <w:rPr>
          <w:rStyle w:val="normaltextrun1"/>
          <w:rFonts w:ascii="Arial" w:hAnsi="Arial" w:cs="Arial"/>
          <w:color w:val="000000"/>
        </w:rPr>
      </w:pPr>
    </w:p>
    <w:p w14:paraId="76201B27" w14:textId="60B66F6B" w:rsidR="00FB1C0F" w:rsidRDefault="00FB1C0F" w:rsidP="00FB1C0F">
      <w:pPr>
        <w:pStyle w:val="paragraph"/>
        <w:jc w:val="both"/>
        <w:textAlignment w:val="baseline"/>
      </w:pPr>
      <w:r>
        <w:rPr>
          <w:rStyle w:val="normaltextrun1"/>
          <w:rFonts w:ascii="Arial" w:hAnsi="Arial" w:cs="Arial"/>
          <w:color w:val="000000"/>
        </w:rPr>
        <w:t xml:space="preserve">Georgia Power has developed a strategy to comply with both the federal and state Coal Combustion Residuals (“CCR”) rules and </w:t>
      </w:r>
      <w:r w:rsidR="00016DB7">
        <w:rPr>
          <w:rStyle w:val="normaltextrun1"/>
          <w:rFonts w:ascii="Arial" w:hAnsi="Arial" w:cs="Arial"/>
          <w:color w:val="000000"/>
        </w:rPr>
        <w:t xml:space="preserve">the federal Steam Electric </w:t>
      </w:r>
      <w:r w:rsidR="00CD2D75">
        <w:rPr>
          <w:rStyle w:val="normaltextrun1"/>
          <w:rFonts w:ascii="Arial" w:hAnsi="Arial" w:cs="Arial"/>
          <w:color w:val="000000"/>
        </w:rPr>
        <w:t>Effluent ELG R</w:t>
      </w:r>
      <w:r>
        <w:rPr>
          <w:rStyle w:val="normaltextrun1"/>
          <w:rFonts w:ascii="Arial" w:hAnsi="Arial" w:cs="Arial"/>
          <w:color w:val="000000"/>
        </w:rPr>
        <w:t xml:space="preserve">ule for its fossil-fuel fired plants. Compliance with these rules necessitates a multifaceted and highly coordinated approach that includes: the installation of dry ash handling equipment and wastewater treatment systems to eliminate coal ash transport water, completing ash pond closures, and </w:t>
      </w:r>
      <w:r w:rsidR="0032616C">
        <w:rPr>
          <w:rStyle w:val="normaltextrun1"/>
          <w:rFonts w:ascii="Arial" w:hAnsi="Arial" w:cs="Arial"/>
          <w:color w:val="000000"/>
        </w:rPr>
        <w:t xml:space="preserve">wastewater treatment systems to </w:t>
      </w:r>
      <w:r>
        <w:rPr>
          <w:rStyle w:val="normaltextrun1"/>
          <w:rFonts w:ascii="Arial" w:hAnsi="Arial" w:cs="Arial"/>
          <w:color w:val="000000"/>
        </w:rPr>
        <w:t>replac</w:t>
      </w:r>
      <w:r w:rsidR="0032616C">
        <w:rPr>
          <w:rStyle w:val="normaltextrun1"/>
          <w:rFonts w:ascii="Arial" w:hAnsi="Arial" w:cs="Arial"/>
          <w:color w:val="000000"/>
        </w:rPr>
        <w:t>e</w:t>
      </w:r>
      <w:r>
        <w:rPr>
          <w:rStyle w:val="normaltextrun1"/>
          <w:rFonts w:ascii="Arial" w:hAnsi="Arial" w:cs="Arial"/>
          <w:color w:val="000000"/>
        </w:rPr>
        <w:t xml:space="preserve"> the treatment function of the ash ponds for all waste streams, including low-volume wastewater, and FGD wastewater. </w:t>
      </w:r>
      <w:r>
        <w:rPr>
          <w:rStyle w:val="eop"/>
          <w:rFonts w:ascii="Arial" w:hAnsi="Arial" w:cs="Arial"/>
        </w:rPr>
        <w:t> </w:t>
      </w:r>
    </w:p>
    <w:p w14:paraId="494D4C51" w14:textId="77777777" w:rsidR="00FB1C0F" w:rsidRDefault="00FB1C0F" w:rsidP="00FB1C0F">
      <w:pPr>
        <w:pStyle w:val="paragraph"/>
        <w:jc w:val="both"/>
        <w:textAlignment w:val="baseline"/>
        <w:rPr>
          <w:rStyle w:val="normaltextrun1"/>
          <w:rFonts w:ascii="Arial" w:hAnsi="Arial" w:cs="Arial"/>
          <w:color w:val="000000"/>
        </w:rPr>
      </w:pPr>
    </w:p>
    <w:p w14:paraId="48BEA892" w14:textId="1032DC7C" w:rsidR="00FB1C0F" w:rsidRDefault="00FB1C0F" w:rsidP="00FB1C0F">
      <w:pPr>
        <w:pStyle w:val="paragraph"/>
        <w:jc w:val="both"/>
        <w:textAlignment w:val="baseline"/>
      </w:pPr>
      <w:r>
        <w:rPr>
          <w:rStyle w:val="normaltextrun1"/>
          <w:rFonts w:ascii="Arial" w:hAnsi="Arial" w:cs="Arial"/>
          <w:color w:val="000000"/>
        </w:rPr>
        <w:t xml:space="preserve">The Company has made significant progress toward effectuating this compliance strategy. This includes the design, construction, and operation of dry ash management systems and CCR wastewater management systems. </w:t>
      </w:r>
      <w:r w:rsidR="00EF657E">
        <w:rPr>
          <w:rStyle w:val="normaltextrun1"/>
          <w:rFonts w:ascii="Arial" w:hAnsi="Arial" w:cs="Arial"/>
          <w:color w:val="000000"/>
        </w:rPr>
        <w:t>In addition, considerable progress has been made toward compliance with state and federal rules regulating closure of ash ponds at the Company’s coal-fired plants. In response to these reguations, t</w:t>
      </w:r>
      <w:r>
        <w:rPr>
          <w:rStyle w:val="normaltextrun1"/>
          <w:rFonts w:ascii="Arial" w:hAnsi="Arial" w:cs="Arial"/>
          <w:color w:val="000000"/>
        </w:rPr>
        <w:t xml:space="preserve">he Company is closing all 29 ash ponds located at 11 facilities across the state by removing the ash from 19 ponds located adjacent to lakes or rivers and closing the remaining 10 ponds in place using advanced engineering methods designed to enhance the protection of groundwater, improve closure stability, and minimize future maintenance of the unit. </w:t>
      </w:r>
      <w:r w:rsidR="004311B2">
        <w:rPr>
          <w:rStyle w:val="normaltextrun1"/>
          <w:rFonts w:ascii="Arial" w:hAnsi="Arial" w:cs="Arial"/>
          <w:color w:val="000000"/>
        </w:rPr>
        <w:t xml:space="preserve">This includes progress on requirements by the Georgia Environmental Protection Division (EPD) to pursue required permits to be issued by EPD for each facility. </w:t>
      </w:r>
      <w:r>
        <w:rPr>
          <w:rStyle w:val="normaltextrun1"/>
          <w:rFonts w:ascii="Arial" w:hAnsi="Arial" w:cs="Arial"/>
          <w:color w:val="000000"/>
        </w:rPr>
        <w:t>Finally, the Company is evaluating FGD wastewater treatment technology performance across a variety of operational conditions to ensure the future technology investment can meet the required discharge limitations</w:t>
      </w:r>
      <w:r w:rsidR="00CD2D75">
        <w:rPr>
          <w:rStyle w:val="normaltextrun1"/>
          <w:rFonts w:ascii="Arial" w:hAnsi="Arial" w:cs="Arial"/>
          <w:color w:val="000000"/>
        </w:rPr>
        <w:t xml:space="preserve"> mandated under the ELG R</w:t>
      </w:r>
      <w:r w:rsidR="004311B2">
        <w:rPr>
          <w:rStyle w:val="normaltextrun1"/>
          <w:rFonts w:ascii="Arial" w:hAnsi="Arial" w:cs="Arial"/>
          <w:color w:val="000000"/>
        </w:rPr>
        <w:t>ule</w:t>
      </w:r>
      <w:r>
        <w:rPr>
          <w:rStyle w:val="normaltextrun1"/>
          <w:rFonts w:ascii="Arial" w:hAnsi="Arial" w:cs="Arial"/>
          <w:color w:val="000000"/>
        </w:rPr>
        <w:t>.</w:t>
      </w:r>
      <w:r>
        <w:rPr>
          <w:rStyle w:val="eop"/>
          <w:rFonts w:ascii="Arial" w:hAnsi="Arial" w:cs="Arial"/>
        </w:rPr>
        <w:t> </w:t>
      </w:r>
    </w:p>
    <w:p w14:paraId="7AF2FDF8" w14:textId="77777777" w:rsidR="00FB1C0F" w:rsidRDefault="00FB1C0F" w:rsidP="00FB1C0F">
      <w:pPr>
        <w:pStyle w:val="paragraph"/>
        <w:jc w:val="both"/>
        <w:textAlignment w:val="baseline"/>
        <w:rPr>
          <w:rStyle w:val="normaltextrun1"/>
          <w:rFonts w:ascii="Arial" w:hAnsi="Arial" w:cs="Arial"/>
          <w:color w:val="000000"/>
        </w:rPr>
      </w:pPr>
    </w:p>
    <w:p w14:paraId="5555B730" w14:textId="35759572" w:rsidR="00FB1C0F" w:rsidRDefault="00FB1C0F" w:rsidP="00FB1C0F">
      <w:pPr>
        <w:pStyle w:val="paragraph"/>
        <w:jc w:val="both"/>
        <w:textAlignment w:val="baseline"/>
      </w:pPr>
      <w:r>
        <w:rPr>
          <w:rStyle w:val="normaltextrun1"/>
          <w:rFonts w:ascii="Arial" w:hAnsi="Arial" w:cs="Arial"/>
          <w:color w:val="000000"/>
        </w:rPr>
        <w:t>The remainder of this document describes the applicable environmental regulations for which the Company must comply, the environmental strategy process, and details of the specific environmental compliance strategy the Company must undertake in order to comply with these new and existing regulations.</w:t>
      </w:r>
      <w:r>
        <w:rPr>
          <w:rStyle w:val="eop"/>
          <w:rFonts w:ascii="Arial" w:hAnsi="Arial" w:cs="Arial"/>
        </w:rPr>
        <w:t> </w:t>
      </w:r>
    </w:p>
    <w:bookmarkEnd w:id="7"/>
    <w:p w14:paraId="2741B2F7" w14:textId="626FC5AF" w:rsidR="002E43CF" w:rsidRPr="00DB7156" w:rsidRDefault="002E43CF" w:rsidP="0094570F">
      <w:pPr>
        <w:spacing w:after="80" w:line="240" w:lineRule="auto"/>
        <w:jc w:val="both"/>
        <w:rPr>
          <w:rFonts w:ascii="Arial" w:hAnsi="Arial" w:cs="Arial"/>
          <w:b/>
          <w:bCs/>
          <w:sz w:val="20"/>
          <w:szCs w:val="20"/>
        </w:rPr>
      </w:pPr>
    </w:p>
    <w:p w14:paraId="74FFAB01" w14:textId="5A44FF5B" w:rsidR="002E43CF" w:rsidRPr="00DB7156" w:rsidRDefault="002E43CF" w:rsidP="00DB7156">
      <w:pPr>
        <w:tabs>
          <w:tab w:val="left" w:pos="180"/>
        </w:tabs>
        <w:spacing w:after="0" w:line="240" w:lineRule="auto"/>
        <w:jc w:val="both"/>
        <w:rPr>
          <w:rFonts w:ascii="Arial" w:hAnsi="Arial" w:cs="Arial"/>
          <w:b/>
          <w:bCs/>
          <w:sz w:val="20"/>
          <w:szCs w:val="20"/>
        </w:rPr>
      </w:pPr>
    </w:p>
    <w:p w14:paraId="22BA4E76" w14:textId="3B30C14D" w:rsidR="00562DEB" w:rsidRPr="00DB7156" w:rsidRDefault="00305EB6" w:rsidP="00DB7156">
      <w:pPr>
        <w:autoSpaceDE w:val="0"/>
        <w:autoSpaceDN w:val="0"/>
        <w:adjustRightInd w:val="0"/>
        <w:spacing w:after="0" w:line="240" w:lineRule="auto"/>
        <w:jc w:val="both"/>
        <w:outlineLvl w:val="1"/>
        <w:rPr>
          <w:rFonts w:ascii="Arial" w:hAnsi="Arial" w:cs="Arial"/>
          <w:sz w:val="24"/>
          <w:szCs w:val="24"/>
        </w:rPr>
      </w:pPr>
      <w:bookmarkStart w:id="8" w:name="_Toc496107737"/>
      <w:bookmarkStart w:id="9" w:name="_Toc527987325"/>
      <w:bookmarkStart w:id="10" w:name="_Toc527983872"/>
      <w:bookmarkStart w:id="11" w:name="_Toc530487255"/>
      <w:bookmarkStart w:id="12" w:name="_Toc535908123"/>
      <w:r w:rsidRPr="00DB7156">
        <w:rPr>
          <w:rFonts w:ascii="Arial" w:hAnsi="Arial" w:cs="Arial"/>
          <w:b/>
          <w:bCs/>
          <w:color w:val="000080"/>
          <w:sz w:val="24"/>
          <w:szCs w:val="24"/>
        </w:rPr>
        <w:t>1.1</w:t>
      </w:r>
      <w:r w:rsidRPr="00DB7156">
        <w:rPr>
          <w:rFonts w:ascii="Arial" w:hAnsi="Arial" w:cs="Arial"/>
          <w:b/>
          <w:bCs/>
          <w:color w:val="000080"/>
          <w:sz w:val="24"/>
          <w:szCs w:val="24"/>
        </w:rPr>
        <w:tab/>
      </w:r>
      <w:r w:rsidR="002C7304" w:rsidRPr="00DB7156">
        <w:rPr>
          <w:rFonts w:ascii="Arial" w:hAnsi="Arial" w:cs="Arial"/>
          <w:b/>
          <w:bCs/>
          <w:color w:val="000080"/>
          <w:sz w:val="24"/>
          <w:szCs w:val="24"/>
        </w:rPr>
        <w:t>Notable Regulatory-</w:t>
      </w:r>
      <w:r w:rsidR="00857B90" w:rsidRPr="00DB7156">
        <w:rPr>
          <w:rFonts w:ascii="Arial" w:hAnsi="Arial" w:cs="Arial"/>
          <w:b/>
          <w:bCs/>
          <w:color w:val="000080"/>
          <w:sz w:val="24"/>
          <w:szCs w:val="24"/>
        </w:rPr>
        <w:t>Related Events</w:t>
      </w:r>
      <w:bookmarkEnd w:id="8"/>
      <w:bookmarkEnd w:id="9"/>
      <w:bookmarkEnd w:id="10"/>
      <w:bookmarkEnd w:id="11"/>
      <w:bookmarkEnd w:id="12"/>
    </w:p>
    <w:p w14:paraId="22BA4E77" w14:textId="77777777" w:rsidR="00FC67F9" w:rsidRPr="00DB7156" w:rsidRDefault="00FC67F9" w:rsidP="00DB7156">
      <w:pPr>
        <w:autoSpaceDE w:val="0"/>
        <w:autoSpaceDN w:val="0"/>
        <w:adjustRightInd w:val="0"/>
        <w:spacing w:after="0" w:line="240" w:lineRule="auto"/>
        <w:jc w:val="both"/>
        <w:rPr>
          <w:rFonts w:ascii="Arial" w:hAnsi="Arial" w:cs="Arial"/>
          <w:b/>
          <w:bCs/>
          <w:color w:val="000080"/>
          <w:sz w:val="28"/>
          <w:szCs w:val="28"/>
        </w:rPr>
      </w:pPr>
    </w:p>
    <w:p w14:paraId="22BA4E78" w14:textId="00F049A4" w:rsidR="00FC67F9" w:rsidRPr="00785E44" w:rsidRDefault="00FC67F9" w:rsidP="00DB7156">
      <w:pPr>
        <w:autoSpaceDE w:val="0"/>
        <w:autoSpaceDN w:val="0"/>
        <w:adjustRightInd w:val="0"/>
        <w:spacing w:after="0" w:line="240" w:lineRule="auto"/>
        <w:jc w:val="both"/>
        <w:rPr>
          <w:rFonts w:ascii="Arial" w:hAnsi="Arial" w:cs="Arial"/>
          <w:sz w:val="24"/>
          <w:szCs w:val="24"/>
        </w:rPr>
      </w:pPr>
      <w:r w:rsidRPr="00785E44">
        <w:rPr>
          <w:rFonts w:ascii="Arial" w:hAnsi="Arial" w:cs="Arial"/>
          <w:sz w:val="24"/>
          <w:szCs w:val="24"/>
        </w:rPr>
        <w:t xml:space="preserve">The following is a list of notable </w:t>
      </w:r>
      <w:r w:rsidR="003E24CC" w:rsidRPr="00785E44">
        <w:rPr>
          <w:rFonts w:ascii="Arial" w:hAnsi="Arial" w:cs="Arial"/>
          <w:sz w:val="24"/>
          <w:szCs w:val="24"/>
        </w:rPr>
        <w:t xml:space="preserve">environmental </w:t>
      </w:r>
      <w:r w:rsidRPr="00785E44">
        <w:rPr>
          <w:rFonts w:ascii="Arial" w:hAnsi="Arial" w:cs="Arial"/>
          <w:sz w:val="24"/>
          <w:szCs w:val="24"/>
        </w:rPr>
        <w:t xml:space="preserve">regulatory events over the past </w:t>
      </w:r>
      <w:r w:rsidR="003F2B7C" w:rsidRPr="00785E44">
        <w:rPr>
          <w:rFonts w:ascii="Arial" w:hAnsi="Arial" w:cs="Arial"/>
          <w:sz w:val="24"/>
          <w:szCs w:val="24"/>
        </w:rPr>
        <w:t xml:space="preserve">several </w:t>
      </w:r>
      <w:r w:rsidRPr="00785E44">
        <w:rPr>
          <w:rFonts w:ascii="Arial" w:hAnsi="Arial" w:cs="Arial"/>
          <w:sz w:val="24"/>
          <w:szCs w:val="24"/>
        </w:rPr>
        <w:t>years</w:t>
      </w:r>
      <w:r w:rsidR="007A428A" w:rsidRPr="00785E44">
        <w:rPr>
          <w:rFonts w:ascii="Arial" w:hAnsi="Arial" w:cs="Arial"/>
          <w:sz w:val="24"/>
          <w:szCs w:val="24"/>
        </w:rPr>
        <w:t>.</w:t>
      </w:r>
      <w:r w:rsidRPr="00785E44">
        <w:rPr>
          <w:rFonts w:ascii="Arial" w:hAnsi="Arial" w:cs="Arial"/>
          <w:sz w:val="24"/>
          <w:szCs w:val="24"/>
        </w:rPr>
        <w:t xml:space="preserve"> </w:t>
      </w:r>
    </w:p>
    <w:p w14:paraId="22BA4E81" w14:textId="77777777" w:rsidR="00D763FD" w:rsidRPr="00785E44" w:rsidRDefault="00D763FD" w:rsidP="00DB7156">
      <w:pPr>
        <w:pStyle w:val="ListParagraph"/>
        <w:jc w:val="both"/>
        <w:rPr>
          <w:rFonts w:ascii="Arial" w:hAnsi="Arial" w:cs="Arial"/>
        </w:rPr>
      </w:pPr>
    </w:p>
    <w:p w14:paraId="22BA4E82" w14:textId="5F0879A6" w:rsidR="000F032F"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January 2009</w:t>
      </w:r>
      <w:r w:rsidRPr="00785E44">
        <w:rPr>
          <w:rFonts w:ascii="Arial" w:hAnsi="Arial" w:cs="Arial"/>
          <w:sz w:val="24"/>
          <w:szCs w:val="24"/>
        </w:rPr>
        <w:t xml:space="preserve"> </w:t>
      </w:r>
      <w:r w:rsidR="00BD334B" w:rsidRPr="00785E44">
        <w:rPr>
          <w:rFonts w:ascii="Arial" w:hAnsi="Arial" w:cs="Arial"/>
          <w:sz w:val="24"/>
          <w:szCs w:val="24"/>
        </w:rPr>
        <w:t>–</w:t>
      </w:r>
      <w:r w:rsidRPr="00785E44">
        <w:rPr>
          <w:rFonts w:ascii="Arial" w:hAnsi="Arial" w:cs="Arial"/>
          <w:sz w:val="24"/>
          <w:szCs w:val="24"/>
        </w:rPr>
        <w:t xml:space="preserve"> Georgia </w:t>
      </w:r>
      <w:r w:rsidR="00C24898" w:rsidRPr="00785E44">
        <w:rPr>
          <w:rFonts w:ascii="Arial" w:hAnsi="Arial" w:cs="Arial"/>
          <w:sz w:val="24"/>
          <w:szCs w:val="24"/>
        </w:rPr>
        <w:t>Environmental Protection Division (</w:t>
      </w:r>
      <w:r w:rsidR="00A219EC" w:rsidRPr="00785E44">
        <w:rPr>
          <w:rFonts w:ascii="Arial" w:hAnsi="Arial" w:cs="Arial"/>
          <w:sz w:val="24"/>
          <w:szCs w:val="24"/>
        </w:rPr>
        <w:t>“</w:t>
      </w:r>
      <w:r w:rsidR="00C24898" w:rsidRPr="00785E44">
        <w:rPr>
          <w:rFonts w:ascii="Arial" w:hAnsi="Arial" w:cs="Arial"/>
          <w:sz w:val="24"/>
          <w:szCs w:val="24"/>
        </w:rPr>
        <w:t>EPD</w:t>
      </w:r>
      <w:r w:rsidR="00A219EC" w:rsidRPr="00785E44">
        <w:rPr>
          <w:rFonts w:ascii="Arial" w:hAnsi="Arial" w:cs="Arial"/>
          <w:sz w:val="24"/>
          <w:szCs w:val="24"/>
        </w:rPr>
        <w:t>”</w:t>
      </w:r>
      <w:r w:rsidR="00C24898" w:rsidRPr="00785E44">
        <w:rPr>
          <w:rFonts w:ascii="Arial" w:hAnsi="Arial" w:cs="Arial"/>
          <w:sz w:val="24"/>
          <w:szCs w:val="24"/>
        </w:rPr>
        <w:t>)</w:t>
      </w:r>
      <w:r w:rsidRPr="00785E44">
        <w:rPr>
          <w:rFonts w:ascii="Arial" w:hAnsi="Arial" w:cs="Arial"/>
          <w:sz w:val="24"/>
          <w:szCs w:val="24"/>
        </w:rPr>
        <w:t xml:space="preserve"> finalizes the Georgia Rule for </w:t>
      </w:r>
      <w:bookmarkStart w:id="13" w:name="OLE_LINK1"/>
      <w:bookmarkStart w:id="14" w:name="OLE_LINK2"/>
      <w:r w:rsidRPr="00785E44">
        <w:rPr>
          <w:rFonts w:ascii="Arial" w:hAnsi="Arial" w:cs="Arial"/>
          <w:sz w:val="24"/>
          <w:szCs w:val="24"/>
        </w:rPr>
        <w:t>SO</w:t>
      </w:r>
      <w:r w:rsidRPr="00785E44">
        <w:rPr>
          <w:rFonts w:ascii="Arial" w:hAnsi="Arial" w:cs="Arial"/>
          <w:sz w:val="24"/>
          <w:szCs w:val="24"/>
          <w:vertAlign w:val="subscript"/>
        </w:rPr>
        <w:t>2</w:t>
      </w:r>
      <w:r w:rsidRPr="00785E44">
        <w:rPr>
          <w:rFonts w:ascii="Arial" w:hAnsi="Arial" w:cs="Arial"/>
          <w:sz w:val="24"/>
          <w:szCs w:val="24"/>
        </w:rPr>
        <w:t xml:space="preserve"> Emissions from Electric Utility Steam Generating Units</w:t>
      </w:r>
      <w:bookmarkEnd w:id="13"/>
      <w:bookmarkEnd w:id="14"/>
      <w:r w:rsidR="000E52A1" w:rsidRPr="00785E44">
        <w:rPr>
          <w:rFonts w:ascii="Arial" w:hAnsi="Arial" w:cs="Arial"/>
          <w:sz w:val="24"/>
          <w:szCs w:val="24"/>
        </w:rPr>
        <w:t xml:space="preserve"> (</w:t>
      </w:r>
      <w:r w:rsidR="00A219EC" w:rsidRPr="00785E44">
        <w:rPr>
          <w:rFonts w:ascii="Arial" w:hAnsi="Arial" w:cs="Arial"/>
          <w:sz w:val="24"/>
          <w:szCs w:val="24"/>
        </w:rPr>
        <w:t>“</w:t>
      </w:r>
      <w:r w:rsidR="000E52A1" w:rsidRPr="00785E44">
        <w:rPr>
          <w:rFonts w:ascii="Arial" w:hAnsi="Arial" w:cs="Arial"/>
          <w:sz w:val="24"/>
          <w:szCs w:val="24"/>
        </w:rPr>
        <w:t>Georgia SO</w:t>
      </w:r>
      <w:r w:rsidR="000E52A1" w:rsidRPr="00785E44">
        <w:rPr>
          <w:rFonts w:ascii="Arial" w:hAnsi="Arial" w:cs="Arial"/>
          <w:sz w:val="24"/>
          <w:szCs w:val="24"/>
          <w:vertAlign w:val="subscript"/>
        </w:rPr>
        <w:t>2</w:t>
      </w:r>
      <w:r w:rsidR="000E52A1" w:rsidRPr="00785E44">
        <w:rPr>
          <w:rFonts w:ascii="Arial" w:hAnsi="Arial" w:cs="Arial"/>
          <w:sz w:val="24"/>
          <w:szCs w:val="24"/>
        </w:rPr>
        <w:t xml:space="preserve"> Emissions Rule</w:t>
      </w:r>
      <w:r w:rsidR="00A219EC" w:rsidRPr="00785E44">
        <w:rPr>
          <w:rFonts w:ascii="Arial" w:hAnsi="Arial" w:cs="Arial"/>
          <w:sz w:val="24"/>
          <w:szCs w:val="24"/>
        </w:rPr>
        <w:t>”</w:t>
      </w:r>
      <w:r w:rsidR="000E52A1" w:rsidRPr="00785E44">
        <w:rPr>
          <w:rFonts w:ascii="Arial" w:hAnsi="Arial" w:cs="Arial"/>
          <w:sz w:val="24"/>
          <w:szCs w:val="24"/>
        </w:rPr>
        <w:t>)</w:t>
      </w:r>
      <w:r w:rsidRPr="00785E44">
        <w:rPr>
          <w:rFonts w:ascii="Arial" w:hAnsi="Arial" w:cs="Arial"/>
          <w:sz w:val="24"/>
          <w:szCs w:val="24"/>
        </w:rPr>
        <w:t>.</w:t>
      </w:r>
    </w:p>
    <w:p w14:paraId="22BA4E83" w14:textId="77777777" w:rsidR="00FC67F9" w:rsidRPr="00785E44" w:rsidRDefault="00FC67F9" w:rsidP="00DB7156">
      <w:pPr>
        <w:autoSpaceDE w:val="0"/>
        <w:autoSpaceDN w:val="0"/>
        <w:adjustRightInd w:val="0"/>
        <w:spacing w:after="0" w:line="240" w:lineRule="auto"/>
        <w:jc w:val="both"/>
        <w:rPr>
          <w:rFonts w:ascii="Arial" w:hAnsi="Arial" w:cs="Arial"/>
          <w:sz w:val="24"/>
          <w:szCs w:val="24"/>
        </w:rPr>
      </w:pPr>
    </w:p>
    <w:p w14:paraId="22BA4E84" w14:textId="6A6442F1" w:rsidR="00FC67F9"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bCs/>
          <w:sz w:val="24"/>
          <w:szCs w:val="24"/>
        </w:rPr>
        <w:t xml:space="preserve">October 2009 </w:t>
      </w:r>
      <w:r w:rsidRPr="00785E44">
        <w:rPr>
          <w:rFonts w:ascii="Arial" w:hAnsi="Arial" w:cs="Arial"/>
          <w:sz w:val="24"/>
          <w:szCs w:val="24"/>
        </w:rPr>
        <w:t xml:space="preserve">– </w:t>
      </w:r>
      <w:r w:rsidR="00C24898" w:rsidRPr="00785E44">
        <w:rPr>
          <w:rFonts w:ascii="Arial" w:hAnsi="Arial" w:cs="Arial"/>
          <w:sz w:val="24"/>
          <w:szCs w:val="24"/>
        </w:rPr>
        <w:t>U.S. Environmental Protection Agency (</w:t>
      </w:r>
      <w:r w:rsidR="00A219EC" w:rsidRPr="00785E44">
        <w:rPr>
          <w:rFonts w:ascii="Arial" w:hAnsi="Arial" w:cs="Arial"/>
          <w:sz w:val="24"/>
          <w:szCs w:val="24"/>
        </w:rPr>
        <w:t>“</w:t>
      </w:r>
      <w:r w:rsidRPr="00785E44">
        <w:rPr>
          <w:rFonts w:ascii="Arial" w:hAnsi="Arial" w:cs="Arial"/>
          <w:sz w:val="24"/>
          <w:szCs w:val="24"/>
        </w:rPr>
        <w:t>EPA</w:t>
      </w:r>
      <w:r w:rsidR="00A219EC" w:rsidRPr="00785E44">
        <w:rPr>
          <w:rFonts w:ascii="Arial" w:hAnsi="Arial" w:cs="Arial"/>
          <w:sz w:val="24"/>
          <w:szCs w:val="24"/>
        </w:rPr>
        <w:t>”</w:t>
      </w:r>
      <w:r w:rsidR="00C24898" w:rsidRPr="00785E44">
        <w:rPr>
          <w:rFonts w:ascii="Arial" w:hAnsi="Arial" w:cs="Arial"/>
          <w:sz w:val="24"/>
          <w:szCs w:val="24"/>
        </w:rPr>
        <w:t>)</w:t>
      </w:r>
      <w:r w:rsidRPr="00785E44">
        <w:rPr>
          <w:rFonts w:ascii="Arial" w:hAnsi="Arial" w:cs="Arial"/>
          <w:sz w:val="24"/>
          <w:szCs w:val="24"/>
        </w:rPr>
        <w:t xml:space="preserve"> finalizes </w:t>
      </w:r>
      <w:r w:rsidR="00F92375" w:rsidRPr="00785E44">
        <w:rPr>
          <w:rFonts w:ascii="Arial" w:hAnsi="Arial" w:cs="Arial"/>
          <w:sz w:val="24"/>
          <w:szCs w:val="24"/>
        </w:rPr>
        <w:t xml:space="preserve">initial </w:t>
      </w:r>
      <w:r w:rsidRPr="00785E44">
        <w:rPr>
          <w:rFonts w:ascii="Arial" w:hAnsi="Arial" w:cs="Arial"/>
          <w:sz w:val="24"/>
          <w:szCs w:val="24"/>
        </w:rPr>
        <w:t>designations for 2006 24-hour fine particulate matter standard.</w:t>
      </w:r>
    </w:p>
    <w:p w14:paraId="22BA4E85" w14:textId="77777777" w:rsidR="00FC67F9" w:rsidRPr="00785E44" w:rsidRDefault="00FC67F9" w:rsidP="00DB7156">
      <w:pPr>
        <w:spacing w:after="0" w:line="240" w:lineRule="auto"/>
        <w:ind w:left="720"/>
        <w:jc w:val="both"/>
        <w:rPr>
          <w:rFonts w:ascii="Arial" w:hAnsi="Arial" w:cs="Arial"/>
          <w:sz w:val="24"/>
          <w:szCs w:val="24"/>
        </w:rPr>
      </w:pPr>
    </w:p>
    <w:p w14:paraId="22BA4E86" w14:textId="2A31071F" w:rsidR="00FC67F9"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bCs/>
          <w:sz w:val="24"/>
          <w:szCs w:val="24"/>
        </w:rPr>
        <w:t xml:space="preserve">December 2009 </w:t>
      </w:r>
      <w:r w:rsidRPr="00785E44">
        <w:rPr>
          <w:rFonts w:ascii="Arial" w:hAnsi="Arial" w:cs="Arial"/>
          <w:sz w:val="24"/>
          <w:szCs w:val="24"/>
        </w:rPr>
        <w:t xml:space="preserve">– EPA issues an “endangerment finding” for motor vehicles which formally determines that six greenhouse gases </w:t>
      </w:r>
      <w:r w:rsidR="00A219EC" w:rsidRPr="00785E44">
        <w:rPr>
          <w:rFonts w:ascii="Arial" w:hAnsi="Arial" w:cs="Arial"/>
          <w:sz w:val="24"/>
          <w:szCs w:val="24"/>
        </w:rPr>
        <w:t xml:space="preserve">(“GHGs”) </w:t>
      </w:r>
      <w:r w:rsidRPr="00785E44">
        <w:rPr>
          <w:rFonts w:ascii="Arial" w:hAnsi="Arial" w:cs="Arial"/>
          <w:sz w:val="24"/>
          <w:szCs w:val="24"/>
        </w:rPr>
        <w:t>taken in combination endanger both the public health and public welfare.</w:t>
      </w:r>
    </w:p>
    <w:p w14:paraId="22BA4E87" w14:textId="77777777" w:rsidR="00FC67F9" w:rsidRPr="00785E44" w:rsidRDefault="00FC67F9" w:rsidP="00DB7156">
      <w:pPr>
        <w:spacing w:after="0" w:line="240" w:lineRule="auto"/>
        <w:ind w:left="720"/>
        <w:jc w:val="both"/>
        <w:rPr>
          <w:rFonts w:ascii="Arial" w:hAnsi="Arial" w:cs="Arial"/>
          <w:sz w:val="24"/>
          <w:szCs w:val="24"/>
        </w:rPr>
      </w:pPr>
    </w:p>
    <w:p w14:paraId="22BA4E88" w14:textId="1987CD95" w:rsidR="00FC67F9"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January 2010 – </w:t>
      </w:r>
      <w:r w:rsidR="00CC0716" w:rsidRPr="00785E44">
        <w:rPr>
          <w:rFonts w:ascii="Arial" w:hAnsi="Arial" w:cs="Arial"/>
          <w:sz w:val="24"/>
          <w:szCs w:val="24"/>
        </w:rPr>
        <w:t xml:space="preserve">EPA revises the </w:t>
      </w:r>
      <w:r w:rsidR="00C24898" w:rsidRPr="00785E44">
        <w:rPr>
          <w:rFonts w:ascii="Arial" w:hAnsi="Arial" w:cs="Arial"/>
          <w:sz w:val="24"/>
          <w:szCs w:val="24"/>
        </w:rPr>
        <w:t>Nitrogen Dioxide (</w:t>
      </w:r>
      <w:r w:rsidR="00725C5B" w:rsidRPr="00785E44">
        <w:rPr>
          <w:rFonts w:ascii="Arial" w:hAnsi="Arial" w:cs="Arial"/>
          <w:sz w:val="24"/>
          <w:szCs w:val="24"/>
        </w:rPr>
        <w:t>“</w:t>
      </w:r>
      <w:r w:rsidR="00CC0716" w:rsidRPr="00785E44">
        <w:rPr>
          <w:rFonts w:ascii="Arial" w:hAnsi="Arial" w:cs="Arial"/>
          <w:sz w:val="24"/>
          <w:szCs w:val="24"/>
        </w:rPr>
        <w:t>NO</w:t>
      </w:r>
      <w:r w:rsidR="00CC0716" w:rsidRPr="00785E44">
        <w:rPr>
          <w:rFonts w:ascii="Arial" w:hAnsi="Arial" w:cs="Arial"/>
          <w:sz w:val="24"/>
          <w:szCs w:val="24"/>
          <w:vertAlign w:val="subscript"/>
        </w:rPr>
        <w:t>2</w:t>
      </w:r>
      <w:r w:rsidR="00725C5B" w:rsidRPr="00785E44">
        <w:rPr>
          <w:rFonts w:ascii="Arial" w:hAnsi="Arial" w:cs="Arial"/>
          <w:sz w:val="24"/>
          <w:szCs w:val="24"/>
        </w:rPr>
        <w:t>”)</w:t>
      </w:r>
      <w:r w:rsidR="00C24898" w:rsidRPr="00785E44">
        <w:rPr>
          <w:rFonts w:ascii="Arial" w:hAnsi="Arial" w:cs="Arial"/>
          <w:sz w:val="24"/>
          <w:szCs w:val="24"/>
        </w:rPr>
        <w:t xml:space="preserve"> </w:t>
      </w:r>
      <w:r w:rsidR="00CC0716" w:rsidRPr="00785E44">
        <w:rPr>
          <w:rFonts w:ascii="Arial" w:hAnsi="Arial" w:cs="Arial"/>
          <w:sz w:val="24"/>
          <w:szCs w:val="24"/>
        </w:rPr>
        <w:t xml:space="preserve">NAAQS to include a new 1-hour standard at 100 </w:t>
      </w:r>
      <w:r w:rsidR="005B6800" w:rsidRPr="00785E44">
        <w:rPr>
          <w:rFonts w:ascii="Arial" w:hAnsi="Arial" w:cs="Arial"/>
          <w:sz w:val="24"/>
          <w:szCs w:val="24"/>
        </w:rPr>
        <w:t>parts per billion (</w:t>
      </w:r>
      <w:r w:rsidR="00A219EC" w:rsidRPr="00785E44">
        <w:rPr>
          <w:rFonts w:ascii="Arial" w:hAnsi="Arial" w:cs="Arial"/>
          <w:sz w:val="24"/>
          <w:szCs w:val="24"/>
        </w:rPr>
        <w:t>“</w:t>
      </w:r>
      <w:r w:rsidR="00CC0716" w:rsidRPr="00785E44">
        <w:rPr>
          <w:rFonts w:ascii="Arial" w:hAnsi="Arial" w:cs="Arial"/>
          <w:sz w:val="24"/>
          <w:szCs w:val="24"/>
        </w:rPr>
        <w:t>ppb</w:t>
      </w:r>
      <w:r w:rsidR="00A219EC" w:rsidRPr="00785E44">
        <w:rPr>
          <w:rFonts w:ascii="Arial" w:hAnsi="Arial" w:cs="Arial"/>
          <w:sz w:val="24"/>
          <w:szCs w:val="24"/>
        </w:rPr>
        <w:t>”</w:t>
      </w:r>
      <w:r w:rsidR="005B6800" w:rsidRPr="00785E44">
        <w:rPr>
          <w:rFonts w:ascii="Arial" w:hAnsi="Arial" w:cs="Arial"/>
          <w:sz w:val="24"/>
          <w:szCs w:val="24"/>
        </w:rPr>
        <w:t>)</w:t>
      </w:r>
      <w:r w:rsidRPr="00785E44">
        <w:rPr>
          <w:rFonts w:ascii="Arial" w:hAnsi="Arial" w:cs="Arial"/>
          <w:sz w:val="24"/>
          <w:szCs w:val="24"/>
        </w:rPr>
        <w:t>.</w:t>
      </w:r>
    </w:p>
    <w:p w14:paraId="22BA4E89" w14:textId="77777777" w:rsidR="00FC67F9" w:rsidRPr="00785E44" w:rsidRDefault="00FC67F9" w:rsidP="00DB7156">
      <w:pPr>
        <w:spacing w:after="0" w:line="240" w:lineRule="auto"/>
        <w:ind w:left="720"/>
        <w:jc w:val="both"/>
        <w:rPr>
          <w:rFonts w:ascii="Arial" w:hAnsi="Arial" w:cs="Arial"/>
          <w:sz w:val="24"/>
          <w:szCs w:val="24"/>
        </w:rPr>
      </w:pPr>
    </w:p>
    <w:p w14:paraId="22BA4E8C" w14:textId="54BD9C24" w:rsidR="00FC67F9"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May 2010 </w:t>
      </w:r>
      <w:r w:rsidRPr="00785E44">
        <w:rPr>
          <w:rFonts w:ascii="Arial" w:hAnsi="Arial" w:cs="Arial"/>
          <w:sz w:val="24"/>
          <w:szCs w:val="24"/>
        </w:rPr>
        <w:t xml:space="preserve">– EPA releases Tailoring Rule that applies to </w:t>
      </w:r>
      <w:r w:rsidR="00A56788" w:rsidRPr="00785E44">
        <w:rPr>
          <w:rFonts w:ascii="Arial" w:hAnsi="Arial" w:cs="Arial"/>
          <w:sz w:val="24"/>
          <w:szCs w:val="24"/>
        </w:rPr>
        <w:t xml:space="preserve">stationary source air permitting for </w:t>
      </w:r>
      <w:r w:rsidRPr="00785E44">
        <w:rPr>
          <w:rFonts w:ascii="Arial" w:hAnsi="Arial" w:cs="Arial"/>
          <w:sz w:val="24"/>
          <w:szCs w:val="24"/>
        </w:rPr>
        <w:t>CO</w:t>
      </w:r>
      <w:r w:rsidRPr="00785E44">
        <w:rPr>
          <w:rFonts w:ascii="Arial" w:hAnsi="Arial" w:cs="Arial"/>
          <w:sz w:val="24"/>
          <w:szCs w:val="24"/>
          <w:vertAlign w:val="subscript"/>
        </w:rPr>
        <w:t>2</w:t>
      </w:r>
      <w:r w:rsidRPr="00785E44">
        <w:rPr>
          <w:rFonts w:ascii="Arial" w:hAnsi="Arial" w:cs="Arial"/>
          <w:sz w:val="24"/>
          <w:szCs w:val="24"/>
        </w:rPr>
        <w:t xml:space="preserve"> and other GHGs.</w:t>
      </w:r>
    </w:p>
    <w:p w14:paraId="22BA4E8D" w14:textId="77777777" w:rsidR="00FC67F9" w:rsidRPr="00785E44" w:rsidRDefault="00FC67F9" w:rsidP="00DB7156">
      <w:pPr>
        <w:spacing w:after="0" w:line="240" w:lineRule="auto"/>
        <w:ind w:left="720"/>
        <w:jc w:val="both"/>
        <w:rPr>
          <w:rFonts w:ascii="Arial" w:hAnsi="Arial" w:cs="Arial"/>
          <w:sz w:val="24"/>
          <w:szCs w:val="24"/>
        </w:rPr>
      </w:pPr>
    </w:p>
    <w:p w14:paraId="22BA4E8E" w14:textId="2F4315E0" w:rsidR="00FC67F9"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June 2010 – </w:t>
      </w:r>
      <w:r w:rsidR="00CC0716" w:rsidRPr="00785E44">
        <w:rPr>
          <w:rFonts w:ascii="Arial" w:hAnsi="Arial" w:cs="Arial"/>
          <w:sz w:val="24"/>
          <w:szCs w:val="24"/>
        </w:rPr>
        <w:t>EPA revises the SO</w:t>
      </w:r>
      <w:r w:rsidR="00CC0716" w:rsidRPr="00785E44">
        <w:rPr>
          <w:rFonts w:ascii="Arial" w:hAnsi="Arial" w:cs="Arial"/>
          <w:sz w:val="24"/>
          <w:szCs w:val="24"/>
          <w:vertAlign w:val="subscript"/>
        </w:rPr>
        <w:t>2</w:t>
      </w:r>
      <w:r w:rsidR="00CC0716" w:rsidRPr="00785E44">
        <w:rPr>
          <w:rFonts w:ascii="Arial" w:hAnsi="Arial" w:cs="Arial"/>
          <w:sz w:val="24"/>
          <w:szCs w:val="24"/>
        </w:rPr>
        <w:t xml:space="preserve"> NAAQS to include a new 1-hour standard at 75 ppb</w:t>
      </w:r>
      <w:r w:rsidRPr="00785E44">
        <w:rPr>
          <w:rFonts w:ascii="Arial" w:hAnsi="Arial" w:cs="Arial"/>
          <w:sz w:val="24"/>
          <w:szCs w:val="24"/>
        </w:rPr>
        <w:t>.</w:t>
      </w:r>
    </w:p>
    <w:p w14:paraId="22BA4E8F" w14:textId="77777777" w:rsidR="00FC67F9" w:rsidRPr="00785E44" w:rsidRDefault="00FC67F9" w:rsidP="00DB7156">
      <w:pPr>
        <w:spacing w:after="0" w:line="240" w:lineRule="auto"/>
        <w:ind w:left="720"/>
        <w:jc w:val="both"/>
        <w:rPr>
          <w:rFonts w:ascii="Arial" w:hAnsi="Arial" w:cs="Arial"/>
          <w:sz w:val="24"/>
          <w:szCs w:val="24"/>
        </w:rPr>
      </w:pPr>
    </w:p>
    <w:p w14:paraId="22BA4E90" w14:textId="682F98AC" w:rsidR="00FC67F9"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February 2011</w:t>
      </w:r>
      <w:r w:rsidRPr="00785E44">
        <w:rPr>
          <w:rFonts w:ascii="Arial" w:hAnsi="Arial" w:cs="Arial"/>
          <w:sz w:val="24"/>
          <w:szCs w:val="24"/>
        </w:rPr>
        <w:t xml:space="preserve"> – EPA finalizes </w:t>
      </w:r>
      <w:r w:rsidR="00010D9D" w:rsidRPr="00785E44">
        <w:rPr>
          <w:rFonts w:ascii="Arial" w:hAnsi="Arial" w:cs="Arial"/>
          <w:sz w:val="24"/>
          <w:szCs w:val="24"/>
        </w:rPr>
        <w:t>Maximum Achievable Control Technology (</w:t>
      </w:r>
      <w:r w:rsidR="00725C5B" w:rsidRPr="00785E44">
        <w:rPr>
          <w:rFonts w:ascii="Arial" w:hAnsi="Arial" w:cs="Arial"/>
          <w:sz w:val="24"/>
          <w:szCs w:val="24"/>
        </w:rPr>
        <w:t>“</w:t>
      </w:r>
      <w:r w:rsidRPr="00785E44">
        <w:rPr>
          <w:rFonts w:ascii="Arial" w:hAnsi="Arial" w:cs="Arial"/>
          <w:sz w:val="24"/>
          <w:szCs w:val="24"/>
        </w:rPr>
        <w:t>MACT</w:t>
      </w:r>
      <w:r w:rsidR="00725C5B" w:rsidRPr="00785E44">
        <w:rPr>
          <w:rFonts w:ascii="Arial" w:hAnsi="Arial" w:cs="Arial"/>
          <w:sz w:val="24"/>
          <w:szCs w:val="24"/>
        </w:rPr>
        <w:t>”</w:t>
      </w:r>
      <w:r w:rsidR="00010D9D" w:rsidRPr="00785E44">
        <w:rPr>
          <w:rFonts w:ascii="Arial" w:hAnsi="Arial" w:cs="Arial"/>
          <w:sz w:val="24"/>
          <w:szCs w:val="24"/>
        </w:rPr>
        <w:t>)</w:t>
      </w:r>
      <w:r w:rsidRPr="00785E44">
        <w:rPr>
          <w:rFonts w:ascii="Arial" w:hAnsi="Arial" w:cs="Arial"/>
          <w:sz w:val="24"/>
          <w:szCs w:val="24"/>
        </w:rPr>
        <w:t xml:space="preserve"> rule for Industrial Boilers.</w:t>
      </w:r>
    </w:p>
    <w:p w14:paraId="22BA4E91" w14:textId="77777777" w:rsidR="00FC67F9" w:rsidRPr="00785E44" w:rsidRDefault="00FC67F9" w:rsidP="00DB7156">
      <w:pPr>
        <w:spacing w:after="0" w:line="240" w:lineRule="auto"/>
        <w:ind w:left="720"/>
        <w:jc w:val="both"/>
        <w:rPr>
          <w:rFonts w:ascii="Arial" w:hAnsi="Arial" w:cs="Arial"/>
          <w:sz w:val="24"/>
          <w:szCs w:val="24"/>
        </w:rPr>
      </w:pPr>
    </w:p>
    <w:p w14:paraId="22BA4E94" w14:textId="5DF3C3D0" w:rsidR="00E8571D"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July 2011</w:t>
      </w:r>
      <w:r w:rsidRPr="00785E44">
        <w:rPr>
          <w:rFonts w:ascii="Arial" w:hAnsi="Arial" w:cs="Arial"/>
          <w:sz w:val="24"/>
          <w:szCs w:val="24"/>
        </w:rPr>
        <w:t xml:space="preserve"> – EPA releases final </w:t>
      </w:r>
      <w:r w:rsidR="006803A2" w:rsidRPr="00785E44">
        <w:rPr>
          <w:rFonts w:ascii="Arial" w:hAnsi="Arial" w:cs="Arial"/>
          <w:sz w:val="24"/>
          <w:szCs w:val="24"/>
        </w:rPr>
        <w:t>CSAPR</w:t>
      </w:r>
      <w:r w:rsidR="00725C5B" w:rsidRPr="00785E44">
        <w:rPr>
          <w:rFonts w:ascii="Arial" w:hAnsi="Arial" w:cs="Arial"/>
          <w:sz w:val="24"/>
          <w:szCs w:val="24"/>
        </w:rPr>
        <w:t>.</w:t>
      </w:r>
    </w:p>
    <w:p w14:paraId="22BA4E95" w14:textId="77777777" w:rsidR="00541B03" w:rsidRPr="00785E44" w:rsidRDefault="00541B03" w:rsidP="00DB7156">
      <w:pPr>
        <w:pStyle w:val="ListParagraph"/>
        <w:jc w:val="both"/>
        <w:rPr>
          <w:rFonts w:ascii="Arial" w:hAnsi="Arial" w:cs="Arial"/>
          <w:b/>
        </w:rPr>
      </w:pPr>
    </w:p>
    <w:p w14:paraId="22BA4E96" w14:textId="30AC5872" w:rsidR="00E8571D"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December 2011</w:t>
      </w:r>
      <w:r w:rsidRPr="00785E44">
        <w:rPr>
          <w:rFonts w:ascii="Arial" w:hAnsi="Arial" w:cs="Arial"/>
          <w:sz w:val="24"/>
          <w:szCs w:val="24"/>
        </w:rPr>
        <w:t xml:space="preserve"> – </w:t>
      </w:r>
      <w:r w:rsidR="003E24CC" w:rsidRPr="00785E44">
        <w:rPr>
          <w:rFonts w:ascii="Arial" w:hAnsi="Arial" w:cs="Arial"/>
          <w:sz w:val="24"/>
          <w:szCs w:val="24"/>
        </w:rPr>
        <w:t xml:space="preserve">Upon challenge by industry and states, </w:t>
      </w:r>
      <w:r w:rsidRPr="00785E44">
        <w:rPr>
          <w:rFonts w:ascii="Arial" w:hAnsi="Arial" w:cs="Arial"/>
          <w:sz w:val="24"/>
          <w:szCs w:val="24"/>
        </w:rPr>
        <w:t xml:space="preserve">D.C. Circuit Court stays CSAPR and orders EPA to continue administering </w:t>
      </w:r>
      <w:r w:rsidR="005B6800" w:rsidRPr="00785E44">
        <w:rPr>
          <w:rFonts w:ascii="Arial" w:hAnsi="Arial" w:cs="Arial"/>
          <w:sz w:val="24"/>
          <w:szCs w:val="24"/>
        </w:rPr>
        <w:t>Clean Air Interstate Rule (</w:t>
      </w:r>
      <w:r w:rsidR="00725C5B" w:rsidRPr="00785E44">
        <w:rPr>
          <w:rFonts w:ascii="Arial" w:hAnsi="Arial" w:cs="Arial"/>
          <w:sz w:val="24"/>
          <w:szCs w:val="24"/>
        </w:rPr>
        <w:t>“</w:t>
      </w:r>
      <w:r w:rsidRPr="00785E44">
        <w:rPr>
          <w:rFonts w:ascii="Arial" w:hAnsi="Arial" w:cs="Arial"/>
          <w:sz w:val="24"/>
          <w:szCs w:val="24"/>
        </w:rPr>
        <w:t>CAIR</w:t>
      </w:r>
      <w:r w:rsidR="00725C5B" w:rsidRPr="00785E44">
        <w:rPr>
          <w:rFonts w:ascii="Arial" w:hAnsi="Arial" w:cs="Arial"/>
          <w:sz w:val="24"/>
          <w:szCs w:val="24"/>
        </w:rPr>
        <w:t>”</w:t>
      </w:r>
      <w:r w:rsidR="005B6800" w:rsidRPr="00785E44">
        <w:rPr>
          <w:rFonts w:ascii="Arial" w:hAnsi="Arial" w:cs="Arial"/>
          <w:sz w:val="24"/>
          <w:szCs w:val="24"/>
        </w:rPr>
        <w:t>)</w:t>
      </w:r>
      <w:r w:rsidRPr="00785E44">
        <w:rPr>
          <w:rFonts w:ascii="Arial" w:hAnsi="Arial" w:cs="Arial"/>
          <w:sz w:val="24"/>
          <w:szCs w:val="24"/>
        </w:rPr>
        <w:t xml:space="preserve"> pending judicial review.</w:t>
      </w:r>
      <w:r w:rsidR="00927754" w:rsidRPr="00785E44">
        <w:rPr>
          <w:rFonts w:ascii="Arial" w:hAnsi="Arial" w:cs="Arial"/>
          <w:sz w:val="24"/>
          <w:szCs w:val="24"/>
        </w:rPr>
        <w:t xml:space="preserve"> The decision is challenged at the U.S. Supreme Court.</w:t>
      </w:r>
    </w:p>
    <w:p w14:paraId="22BA4E97" w14:textId="77777777" w:rsidR="00541B03" w:rsidRPr="00785E44" w:rsidRDefault="00541B03" w:rsidP="00DB7156">
      <w:pPr>
        <w:pStyle w:val="ListParagraph"/>
        <w:jc w:val="both"/>
        <w:rPr>
          <w:rFonts w:ascii="Arial" w:hAnsi="Arial" w:cs="Arial"/>
        </w:rPr>
      </w:pPr>
    </w:p>
    <w:p w14:paraId="22BA4E98" w14:textId="74A8E079" w:rsidR="00E8571D" w:rsidRPr="00785E44" w:rsidRDefault="00555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December 2011</w:t>
      </w:r>
      <w:r w:rsidRPr="00785E44">
        <w:rPr>
          <w:rFonts w:ascii="Arial" w:hAnsi="Arial" w:cs="Arial"/>
          <w:sz w:val="24"/>
          <w:szCs w:val="24"/>
        </w:rPr>
        <w:t xml:space="preserve"> – EPA </w:t>
      </w:r>
      <w:r w:rsidR="00D940D4" w:rsidRPr="00785E44">
        <w:rPr>
          <w:rFonts w:ascii="Arial" w:hAnsi="Arial" w:cs="Arial"/>
          <w:sz w:val="24"/>
          <w:szCs w:val="24"/>
        </w:rPr>
        <w:t>releases</w:t>
      </w:r>
      <w:r w:rsidRPr="00785E44">
        <w:rPr>
          <w:rFonts w:ascii="Arial" w:hAnsi="Arial" w:cs="Arial"/>
          <w:sz w:val="24"/>
          <w:szCs w:val="24"/>
        </w:rPr>
        <w:t xml:space="preserve"> the final MATS Rule</w:t>
      </w:r>
      <w:r w:rsidR="00725C5B" w:rsidRPr="00785E44">
        <w:rPr>
          <w:rFonts w:ascii="Arial" w:hAnsi="Arial" w:cs="Arial"/>
          <w:sz w:val="24"/>
          <w:szCs w:val="24"/>
        </w:rPr>
        <w:t>.</w:t>
      </w:r>
    </w:p>
    <w:p w14:paraId="22BA4E9D" w14:textId="77777777" w:rsidR="00A31851" w:rsidRPr="00785E44" w:rsidRDefault="00A31851" w:rsidP="00DB7156">
      <w:pPr>
        <w:pStyle w:val="ListParagraph"/>
        <w:jc w:val="both"/>
        <w:rPr>
          <w:rFonts w:ascii="Arial" w:hAnsi="Arial" w:cs="Arial"/>
        </w:rPr>
      </w:pPr>
    </w:p>
    <w:p w14:paraId="22BA4E9E" w14:textId="21CEF41D" w:rsidR="000252FA" w:rsidRPr="00785E44" w:rsidRDefault="006D2DDC"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August 2012</w:t>
      </w:r>
      <w:r w:rsidR="005F08E3" w:rsidRPr="00785E44">
        <w:rPr>
          <w:rFonts w:ascii="Arial" w:hAnsi="Arial" w:cs="Arial"/>
          <w:sz w:val="24"/>
          <w:szCs w:val="24"/>
        </w:rPr>
        <w:t xml:space="preserve"> </w:t>
      </w:r>
      <w:r w:rsidR="00BD334B" w:rsidRPr="00785E44">
        <w:rPr>
          <w:rFonts w:ascii="Arial" w:hAnsi="Arial" w:cs="Arial"/>
          <w:sz w:val="24"/>
          <w:szCs w:val="24"/>
        </w:rPr>
        <w:t>–</w:t>
      </w:r>
      <w:r w:rsidRPr="00785E44">
        <w:rPr>
          <w:rFonts w:ascii="Arial" w:hAnsi="Arial" w:cs="Arial"/>
          <w:sz w:val="24"/>
          <w:szCs w:val="24"/>
        </w:rPr>
        <w:t xml:space="preserve"> D.C. Circuit Court vacates CSAPR and remands the proceeding back to EPA</w:t>
      </w:r>
      <w:r w:rsidR="00A31851" w:rsidRPr="00785E44">
        <w:rPr>
          <w:rFonts w:ascii="Arial" w:hAnsi="Arial" w:cs="Arial"/>
          <w:sz w:val="24"/>
          <w:szCs w:val="24"/>
        </w:rPr>
        <w:t>, requiring the Agency to continue administering CAIR pending a lawful replacement</w:t>
      </w:r>
      <w:r w:rsidRPr="00785E44">
        <w:rPr>
          <w:rFonts w:ascii="Arial" w:hAnsi="Arial" w:cs="Arial"/>
          <w:sz w:val="24"/>
          <w:szCs w:val="24"/>
        </w:rPr>
        <w:t xml:space="preserve">.  </w:t>
      </w:r>
    </w:p>
    <w:p w14:paraId="22BA4E9F" w14:textId="77777777" w:rsidR="000252FA" w:rsidRPr="00785E44" w:rsidRDefault="000252FA" w:rsidP="00DB7156">
      <w:pPr>
        <w:pStyle w:val="ListParagraph"/>
        <w:jc w:val="both"/>
        <w:rPr>
          <w:rFonts w:ascii="Arial" w:hAnsi="Arial" w:cs="Arial"/>
          <w:b/>
        </w:rPr>
      </w:pPr>
    </w:p>
    <w:p w14:paraId="22BA4EA0" w14:textId="42143230" w:rsidR="00A31851" w:rsidRPr="00785E44" w:rsidRDefault="00A31851"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August 2012</w:t>
      </w:r>
      <w:r w:rsidRPr="00785E44">
        <w:rPr>
          <w:rFonts w:ascii="Arial" w:hAnsi="Arial" w:cs="Arial"/>
          <w:sz w:val="24"/>
          <w:szCs w:val="24"/>
        </w:rPr>
        <w:t xml:space="preserve"> – EPA </w:t>
      </w:r>
      <w:r w:rsidR="000919A6" w:rsidRPr="00785E44">
        <w:rPr>
          <w:rFonts w:ascii="Arial" w:hAnsi="Arial" w:cs="Arial"/>
          <w:sz w:val="24"/>
          <w:szCs w:val="24"/>
        </w:rPr>
        <w:t>delays</w:t>
      </w:r>
      <w:r w:rsidRPr="00785E44">
        <w:rPr>
          <w:rFonts w:ascii="Arial" w:hAnsi="Arial" w:cs="Arial"/>
          <w:sz w:val="24"/>
          <w:szCs w:val="24"/>
        </w:rPr>
        <w:t xml:space="preserve"> implementation of SO</w:t>
      </w:r>
      <w:r w:rsidRPr="00785E44">
        <w:rPr>
          <w:rFonts w:ascii="Arial" w:hAnsi="Arial" w:cs="Arial"/>
          <w:sz w:val="24"/>
          <w:szCs w:val="24"/>
          <w:vertAlign w:val="subscript"/>
        </w:rPr>
        <w:t>2</w:t>
      </w:r>
      <w:r w:rsidRPr="00785E44">
        <w:rPr>
          <w:rFonts w:ascii="Arial" w:hAnsi="Arial" w:cs="Arial"/>
          <w:sz w:val="24"/>
          <w:szCs w:val="24"/>
        </w:rPr>
        <w:t xml:space="preserve"> NAAQS until 2013.  </w:t>
      </w:r>
    </w:p>
    <w:p w14:paraId="22BA4EA1" w14:textId="77777777" w:rsidR="00A31851" w:rsidRPr="00785E44" w:rsidRDefault="00A31851" w:rsidP="00DB7156">
      <w:pPr>
        <w:pStyle w:val="ListParagraph"/>
        <w:jc w:val="both"/>
        <w:rPr>
          <w:rFonts w:ascii="Arial" w:hAnsi="Arial" w:cs="Arial"/>
          <w:b/>
        </w:rPr>
      </w:pPr>
    </w:p>
    <w:p w14:paraId="22BA4EA2" w14:textId="61FB74E2" w:rsidR="00451081" w:rsidRPr="00785E44" w:rsidRDefault="00451081"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December 2012</w:t>
      </w:r>
      <w:r w:rsidRPr="00785E44">
        <w:rPr>
          <w:rFonts w:ascii="Arial" w:hAnsi="Arial" w:cs="Arial"/>
          <w:sz w:val="24"/>
          <w:szCs w:val="24"/>
        </w:rPr>
        <w:t xml:space="preserve"> – </w:t>
      </w:r>
      <w:r w:rsidR="00CC0716" w:rsidRPr="00785E44">
        <w:rPr>
          <w:rFonts w:ascii="Arial" w:hAnsi="Arial" w:cs="Arial"/>
          <w:sz w:val="24"/>
          <w:szCs w:val="24"/>
        </w:rPr>
        <w:t xml:space="preserve">EPA revises the </w:t>
      </w:r>
      <w:r w:rsidR="006803A2" w:rsidRPr="00785E44">
        <w:rPr>
          <w:rFonts w:ascii="Arial" w:hAnsi="Arial" w:cs="Arial"/>
          <w:sz w:val="24"/>
          <w:szCs w:val="24"/>
        </w:rPr>
        <w:t>fine particulate matter (</w:t>
      </w:r>
      <w:r w:rsidR="001F2597">
        <w:rPr>
          <w:rFonts w:ascii="Arial" w:hAnsi="Arial" w:cs="Arial"/>
          <w:sz w:val="24"/>
          <w:szCs w:val="24"/>
        </w:rPr>
        <w:t>“</w:t>
      </w:r>
      <w:r w:rsidR="00CC0716" w:rsidRPr="00785E44">
        <w:rPr>
          <w:rFonts w:ascii="Arial" w:hAnsi="Arial" w:cs="Arial"/>
          <w:sz w:val="24"/>
          <w:szCs w:val="24"/>
        </w:rPr>
        <w:t>PM</w:t>
      </w:r>
      <w:r w:rsidR="00CC0716" w:rsidRPr="00785E44">
        <w:rPr>
          <w:rFonts w:ascii="Arial" w:hAnsi="Arial" w:cs="Arial"/>
          <w:sz w:val="24"/>
          <w:szCs w:val="24"/>
          <w:vertAlign w:val="subscript"/>
        </w:rPr>
        <w:t>2.5</w:t>
      </w:r>
      <w:r w:rsidR="001F2597">
        <w:rPr>
          <w:rFonts w:ascii="Arial" w:hAnsi="Arial" w:cs="Arial"/>
          <w:sz w:val="24"/>
          <w:szCs w:val="24"/>
        </w:rPr>
        <w:t>”)</w:t>
      </w:r>
      <w:r w:rsidR="00CC0716" w:rsidRPr="00785E44">
        <w:rPr>
          <w:rFonts w:ascii="Arial" w:hAnsi="Arial" w:cs="Arial"/>
          <w:sz w:val="24"/>
          <w:szCs w:val="24"/>
        </w:rPr>
        <w:t xml:space="preserve"> NAAQS</w:t>
      </w:r>
      <w:r w:rsidR="00425E20" w:rsidRPr="00785E44">
        <w:rPr>
          <w:rFonts w:ascii="Arial" w:hAnsi="Arial" w:cs="Arial"/>
          <w:sz w:val="24"/>
          <w:szCs w:val="24"/>
        </w:rPr>
        <w:t>, lowering the 1997 annual standard</w:t>
      </w:r>
      <w:r w:rsidR="00CC0716" w:rsidRPr="00785E44">
        <w:rPr>
          <w:rFonts w:ascii="Arial" w:hAnsi="Arial" w:cs="Arial"/>
          <w:sz w:val="24"/>
          <w:szCs w:val="24"/>
        </w:rPr>
        <w:t xml:space="preserve"> to 12 </w:t>
      </w:r>
      <w:r w:rsidR="00725C5B" w:rsidRPr="00785E44">
        <w:rPr>
          <w:rFonts w:ascii="Arial" w:hAnsi="Arial" w:cs="Arial"/>
          <w:sz w:val="24"/>
          <w:szCs w:val="24"/>
        </w:rPr>
        <w:t>micrograms per cubic meter (</w:t>
      </w:r>
      <w:r w:rsidR="00CC0716" w:rsidRPr="00785E44">
        <w:rPr>
          <w:rFonts w:ascii="Arial" w:hAnsi="Arial" w:cs="Arial"/>
          <w:sz w:val="24"/>
          <w:szCs w:val="24"/>
        </w:rPr>
        <w:t>µg/m</w:t>
      </w:r>
      <w:r w:rsidR="00CC0716" w:rsidRPr="00785E44">
        <w:rPr>
          <w:rFonts w:ascii="Arial" w:hAnsi="Arial" w:cs="Arial"/>
          <w:sz w:val="24"/>
          <w:szCs w:val="24"/>
          <w:vertAlign w:val="superscript"/>
        </w:rPr>
        <w:t>3</w:t>
      </w:r>
      <w:r w:rsidR="00725C5B" w:rsidRPr="00785E44">
        <w:rPr>
          <w:rFonts w:ascii="Arial" w:hAnsi="Arial" w:cs="Arial"/>
          <w:sz w:val="24"/>
          <w:szCs w:val="24"/>
        </w:rPr>
        <w:t>).</w:t>
      </w:r>
    </w:p>
    <w:p w14:paraId="22BA4EA3" w14:textId="77777777" w:rsidR="00562DEB" w:rsidRPr="00785E44" w:rsidRDefault="00562DEB" w:rsidP="00DB7156">
      <w:pPr>
        <w:pStyle w:val="ListParagraph"/>
        <w:jc w:val="both"/>
        <w:rPr>
          <w:rFonts w:ascii="Arial" w:hAnsi="Arial" w:cs="Arial"/>
        </w:rPr>
      </w:pPr>
    </w:p>
    <w:p w14:paraId="22BA4EA4" w14:textId="77777777" w:rsidR="002C7304" w:rsidRPr="00785E44" w:rsidRDefault="002C7304"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December 2012</w:t>
      </w:r>
      <w:r w:rsidRPr="00785E44">
        <w:rPr>
          <w:rFonts w:ascii="Arial" w:hAnsi="Arial" w:cs="Arial"/>
          <w:sz w:val="24"/>
          <w:szCs w:val="24"/>
        </w:rPr>
        <w:t xml:space="preserve"> – EPA finalizes a revised Industrial Boiler MACT rule.</w:t>
      </w:r>
    </w:p>
    <w:p w14:paraId="22BA4EA5" w14:textId="77777777" w:rsidR="00305EB6" w:rsidRPr="00785E44" w:rsidRDefault="00305EB6" w:rsidP="00DB7156">
      <w:pPr>
        <w:pStyle w:val="ListParagraph"/>
        <w:jc w:val="both"/>
        <w:rPr>
          <w:rFonts w:ascii="Arial" w:hAnsi="Arial" w:cs="Arial"/>
        </w:rPr>
      </w:pPr>
    </w:p>
    <w:p w14:paraId="22BA4EA9" w14:textId="658E6556" w:rsidR="00BF0708" w:rsidRPr="00785E44" w:rsidRDefault="00BF070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2013</w:t>
      </w:r>
      <w:r w:rsidRPr="00785E44">
        <w:rPr>
          <w:rFonts w:ascii="Arial" w:hAnsi="Arial" w:cs="Arial"/>
          <w:sz w:val="24"/>
          <w:szCs w:val="24"/>
        </w:rPr>
        <w:t xml:space="preserve"> – EPA signs final MATS reconsideration rule for new sources.  </w:t>
      </w:r>
    </w:p>
    <w:p w14:paraId="22BA4EAA" w14:textId="77777777" w:rsidR="00BF0708" w:rsidRPr="00785E44" w:rsidRDefault="00BF0708" w:rsidP="00DB7156">
      <w:pPr>
        <w:pStyle w:val="ListParagraph"/>
        <w:jc w:val="both"/>
        <w:rPr>
          <w:rFonts w:ascii="Arial" w:hAnsi="Arial" w:cs="Arial"/>
        </w:rPr>
      </w:pPr>
    </w:p>
    <w:p w14:paraId="22BA4EAD" w14:textId="65BA410D" w:rsidR="005B6080" w:rsidRPr="00785E44" w:rsidRDefault="00A5678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April 2013 – </w:t>
      </w:r>
      <w:r w:rsidRPr="00785E44">
        <w:rPr>
          <w:rFonts w:ascii="Arial" w:hAnsi="Arial" w:cs="Arial"/>
          <w:sz w:val="24"/>
          <w:szCs w:val="24"/>
        </w:rPr>
        <w:t xml:space="preserve">Georgia EPD announces revisions to the Georgia Multipollutant Rule and </w:t>
      </w:r>
      <w:r w:rsidR="00725C5B" w:rsidRPr="00785E44">
        <w:rPr>
          <w:rFonts w:ascii="Arial" w:hAnsi="Arial" w:cs="Arial"/>
          <w:sz w:val="24"/>
          <w:szCs w:val="24"/>
        </w:rPr>
        <w:t xml:space="preserve">Georgia </w:t>
      </w:r>
      <w:r w:rsidRPr="00785E44">
        <w:rPr>
          <w:rFonts w:ascii="Arial" w:hAnsi="Arial" w:cs="Arial"/>
          <w:sz w:val="24"/>
          <w:szCs w:val="24"/>
        </w:rPr>
        <w:t>SO</w:t>
      </w:r>
      <w:r w:rsidRPr="00785E44">
        <w:rPr>
          <w:rFonts w:ascii="Arial" w:hAnsi="Arial" w:cs="Arial"/>
          <w:sz w:val="24"/>
          <w:szCs w:val="24"/>
          <w:vertAlign w:val="subscript"/>
        </w:rPr>
        <w:t>2</w:t>
      </w:r>
      <w:r w:rsidRPr="00785E44">
        <w:rPr>
          <w:rFonts w:ascii="Arial" w:hAnsi="Arial" w:cs="Arial"/>
          <w:sz w:val="24"/>
          <w:szCs w:val="24"/>
        </w:rPr>
        <w:t xml:space="preserve"> Emissions Rule.</w:t>
      </w:r>
    </w:p>
    <w:p w14:paraId="22BA4EAE" w14:textId="77777777" w:rsidR="005B6080" w:rsidRPr="00785E44" w:rsidRDefault="005B6080" w:rsidP="00DB7156">
      <w:pPr>
        <w:autoSpaceDE w:val="0"/>
        <w:autoSpaceDN w:val="0"/>
        <w:adjustRightInd w:val="0"/>
        <w:spacing w:after="0" w:line="240" w:lineRule="auto"/>
        <w:ind w:left="720"/>
        <w:jc w:val="both"/>
        <w:rPr>
          <w:rFonts w:ascii="Arial" w:hAnsi="Arial" w:cs="Arial"/>
          <w:sz w:val="24"/>
          <w:szCs w:val="24"/>
        </w:rPr>
      </w:pPr>
    </w:p>
    <w:p w14:paraId="22BA4EB1" w14:textId="45662FC2" w:rsidR="005B6080" w:rsidRPr="00785E44" w:rsidRDefault="005B6080"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July 2013</w:t>
      </w:r>
      <w:r w:rsidRPr="00785E44">
        <w:rPr>
          <w:rFonts w:ascii="Arial" w:hAnsi="Arial" w:cs="Arial"/>
          <w:sz w:val="24"/>
          <w:szCs w:val="24"/>
        </w:rPr>
        <w:t xml:space="preserve"> – </w:t>
      </w:r>
      <w:r w:rsidR="00F92375" w:rsidRPr="00785E44">
        <w:rPr>
          <w:rFonts w:ascii="Arial" w:hAnsi="Arial" w:cs="Arial"/>
          <w:sz w:val="24"/>
          <w:szCs w:val="24"/>
        </w:rPr>
        <w:t xml:space="preserve">EPA finalizes initial designations for the </w:t>
      </w:r>
      <w:r w:rsidR="000C52FB" w:rsidRPr="00785E44">
        <w:rPr>
          <w:rFonts w:ascii="Arial" w:hAnsi="Arial" w:cs="Arial"/>
          <w:sz w:val="24"/>
          <w:szCs w:val="24"/>
        </w:rPr>
        <w:t>2010</w:t>
      </w:r>
      <w:r w:rsidR="00F92375" w:rsidRPr="00785E44">
        <w:rPr>
          <w:rFonts w:ascii="Arial" w:hAnsi="Arial" w:cs="Arial"/>
          <w:sz w:val="24"/>
          <w:szCs w:val="24"/>
        </w:rPr>
        <w:t xml:space="preserve"> SO</w:t>
      </w:r>
      <w:r w:rsidR="00F92375" w:rsidRPr="00785E44">
        <w:rPr>
          <w:rFonts w:ascii="Arial" w:hAnsi="Arial" w:cs="Arial"/>
          <w:sz w:val="24"/>
          <w:szCs w:val="24"/>
          <w:vertAlign w:val="subscript"/>
        </w:rPr>
        <w:t>2</w:t>
      </w:r>
      <w:r w:rsidR="00F92375" w:rsidRPr="00785E44">
        <w:rPr>
          <w:rFonts w:ascii="Arial" w:hAnsi="Arial" w:cs="Arial"/>
          <w:sz w:val="24"/>
          <w:szCs w:val="24"/>
        </w:rPr>
        <w:t xml:space="preserve"> NAAQS</w:t>
      </w:r>
      <w:r w:rsidR="00194019" w:rsidRPr="00785E44">
        <w:rPr>
          <w:rFonts w:ascii="Arial" w:hAnsi="Arial" w:cs="Arial"/>
          <w:sz w:val="24"/>
          <w:szCs w:val="24"/>
        </w:rPr>
        <w:t xml:space="preserve"> for certain areas</w:t>
      </w:r>
      <w:r w:rsidR="000C52FB" w:rsidRPr="00785E44">
        <w:rPr>
          <w:rFonts w:ascii="Arial" w:hAnsi="Arial" w:cs="Arial"/>
          <w:sz w:val="24"/>
          <w:szCs w:val="24"/>
        </w:rPr>
        <w:t xml:space="preserve"> of the country in the first of four rounds of designations</w:t>
      </w:r>
      <w:r w:rsidRPr="00785E44">
        <w:rPr>
          <w:rFonts w:ascii="Arial" w:hAnsi="Arial" w:cs="Arial"/>
          <w:sz w:val="24"/>
          <w:szCs w:val="24"/>
        </w:rPr>
        <w:t>.</w:t>
      </w:r>
    </w:p>
    <w:p w14:paraId="7C6CAD16" w14:textId="77777777" w:rsidR="00927754" w:rsidRPr="00785E44" w:rsidRDefault="00927754" w:rsidP="00DB7156">
      <w:pPr>
        <w:pStyle w:val="ListParagraph"/>
        <w:jc w:val="both"/>
        <w:rPr>
          <w:rFonts w:ascii="Arial" w:hAnsi="Arial" w:cs="Arial"/>
        </w:rPr>
      </w:pPr>
    </w:p>
    <w:p w14:paraId="1738E317" w14:textId="5BEDC995" w:rsidR="00927754" w:rsidRPr="00785E44" w:rsidRDefault="00927754"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April 2014</w:t>
      </w:r>
      <w:r w:rsidRPr="00785E44">
        <w:rPr>
          <w:rFonts w:ascii="Arial" w:hAnsi="Arial" w:cs="Arial"/>
          <w:sz w:val="24"/>
          <w:szCs w:val="24"/>
        </w:rPr>
        <w:t xml:space="preserve"> – The U.S. Supreme Court </w:t>
      </w:r>
      <w:r w:rsidR="000215AC" w:rsidRPr="00785E44">
        <w:rPr>
          <w:rFonts w:ascii="Arial" w:hAnsi="Arial" w:cs="Arial"/>
          <w:sz w:val="24"/>
          <w:szCs w:val="24"/>
        </w:rPr>
        <w:t>reverse</w:t>
      </w:r>
      <w:r w:rsidR="00C52FEF" w:rsidRPr="00785E44">
        <w:rPr>
          <w:rFonts w:ascii="Arial" w:hAnsi="Arial" w:cs="Arial"/>
          <w:sz w:val="24"/>
          <w:szCs w:val="24"/>
        </w:rPr>
        <w:t>s</w:t>
      </w:r>
      <w:r w:rsidR="000215AC" w:rsidRPr="00785E44">
        <w:rPr>
          <w:rFonts w:ascii="Arial" w:hAnsi="Arial" w:cs="Arial"/>
          <w:sz w:val="24"/>
          <w:szCs w:val="24"/>
        </w:rPr>
        <w:t xml:space="preserve"> the ruling vacating CSAPR and remands to the D.C. Circuit</w:t>
      </w:r>
      <w:r w:rsidR="003652A6" w:rsidRPr="00785E44">
        <w:rPr>
          <w:rFonts w:ascii="Arial" w:hAnsi="Arial" w:cs="Arial"/>
          <w:sz w:val="24"/>
          <w:szCs w:val="24"/>
        </w:rPr>
        <w:t xml:space="preserve"> Court</w:t>
      </w:r>
      <w:r w:rsidR="000215AC" w:rsidRPr="00785E44">
        <w:rPr>
          <w:rFonts w:ascii="Arial" w:hAnsi="Arial" w:cs="Arial"/>
          <w:sz w:val="24"/>
          <w:szCs w:val="24"/>
        </w:rPr>
        <w:t>.</w:t>
      </w:r>
    </w:p>
    <w:p w14:paraId="22BA4EB2" w14:textId="77777777" w:rsidR="0038357D" w:rsidRPr="00785E44" w:rsidRDefault="0038357D" w:rsidP="00DB7156">
      <w:pPr>
        <w:pStyle w:val="ListParagraph"/>
        <w:jc w:val="both"/>
        <w:rPr>
          <w:rFonts w:ascii="Arial" w:hAnsi="Arial" w:cs="Arial"/>
        </w:rPr>
      </w:pPr>
    </w:p>
    <w:p w14:paraId="22BA4EBB" w14:textId="5EA1DD4C" w:rsidR="00F60E4E" w:rsidRPr="00785E44" w:rsidRDefault="001A56B7"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August </w:t>
      </w:r>
      <w:r w:rsidR="00F60E4E" w:rsidRPr="00785E44">
        <w:rPr>
          <w:rFonts w:ascii="Arial" w:hAnsi="Arial" w:cs="Arial"/>
          <w:b/>
          <w:sz w:val="24"/>
          <w:szCs w:val="24"/>
        </w:rPr>
        <w:t>2014</w:t>
      </w:r>
      <w:r w:rsidR="00F60E4E" w:rsidRPr="00785E44">
        <w:rPr>
          <w:rFonts w:ascii="Arial" w:hAnsi="Arial" w:cs="Arial"/>
          <w:sz w:val="24"/>
          <w:szCs w:val="24"/>
        </w:rPr>
        <w:t xml:space="preserve"> – EPA </w:t>
      </w:r>
      <w:r w:rsidRPr="00785E44">
        <w:rPr>
          <w:rFonts w:ascii="Arial" w:hAnsi="Arial" w:cs="Arial"/>
          <w:sz w:val="24"/>
          <w:szCs w:val="24"/>
        </w:rPr>
        <w:t>publishe</w:t>
      </w:r>
      <w:r w:rsidR="00C52FEF" w:rsidRPr="00785E44">
        <w:rPr>
          <w:rFonts w:ascii="Arial" w:hAnsi="Arial" w:cs="Arial"/>
          <w:sz w:val="24"/>
          <w:szCs w:val="24"/>
        </w:rPr>
        <w:t>s</w:t>
      </w:r>
      <w:r w:rsidRPr="00785E44">
        <w:rPr>
          <w:rFonts w:ascii="Arial" w:hAnsi="Arial" w:cs="Arial"/>
          <w:sz w:val="24"/>
          <w:szCs w:val="24"/>
        </w:rPr>
        <w:t xml:space="preserve"> </w:t>
      </w:r>
      <w:r w:rsidR="00F60E4E" w:rsidRPr="00785E44">
        <w:rPr>
          <w:rFonts w:ascii="Arial" w:hAnsi="Arial" w:cs="Arial"/>
          <w:sz w:val="24"/>
          <w:szCs w:val="24"/>
        </w:rPr>
        <w:t>the final 316(b) rule for cooling water intakes</w:t>
      </w:r>
      <w:r w:rsidR="00D47721" w:rsidRPr="00785E44">
        <w:rPr>
          <w:rFonts w:ascii="Arial" w:hAnsi="Arial" w:cs="Arial"/>
          <w:sz w:val="24"/>
          <w:szCs w:val="24"/>
        </w:rPr>
        <w:t>.</w:t>
      </w:r>
    </w:p>
    <w:p w14:paraId="22BA4EBC" w14:textId="77777777" w:rsidR="00AB7ECE" w:rsidRPr="00785E44" w:rsidRDefault="00AB7ECE" w:rsidP="00DB7156">
      <w:pPr>
        <w:pStyle w:val="ListParagraph"/>
        <w:jc w:val="both"/>
        <w:rPr>
          <w:rFonts w:ascii="Arial" w:hAnsi="Arial" w:cs="Arial"/>
        </w:rPr>
      </w:pPr>
    </w:p>
    <w:p w14:paraId="22BA4EBF" w14:textId="77777777" w:rsidR="00460F86" w:rsidRPr="00785E44" w:rsidRDefault="00460F86"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June 2014</w:t>
      </w:r>
      <w:r w:rsidRPr="00785E44">
        <w:rPr>
          <w:rFonts w:ascii="Arial" w:hAnsi="Arial" w:cs="Arial"/>
          <w:sz w:val="24"/>
          <w:szCs w:val="24"/>
        </w:rPr>
        <w:t xml:space="preserve"> – U.S. Supreme Court vacates EPA’s GHG Tailoring Rule</w:t>
      </w:r>
      <w:r w:rsidR="00D47721" w:rsidRPr="00785E44">
        <w:rPr>
          <w:rFonts w:ascii="Arial" w:hAnsi="Arial" w:cs="Arial"/>
          <w:sz w:val="24"/>
          <w:szCs w:val="24"/>
        </w:rPr>
        <w:t>.</w:t>
      </w:r>
      <w:r w:rsidRPr="00785E44">
        <w:rPr>
          <w:rFonts w:ascii="Arial" w:hAnsi="Arial" w:cs="Arial"/>
          <w:sz w:val="24"/>
          <w:szCs w:val="24"/>
        </w:rPr>
        <w:t xml:space="preserve"> </w:t>
      </w:r>
    </w:p>
    <w:p w14:paraId="68B3BC75" w14:textId="77777777" w:rsidR="00C665D2" w:rsidRPr="00785E44" w:rsidRDefault="00C665D2" w:rsidP="00DB7156">
      <w:pPr>
        <w:pStyle w:val="ListParagraph"/>
        <w:jc w:val="both"/>
        <w:rPr>
          <w:rFonts w:ascii="Arial" w:hAnsi="Arial" w:cs="Arial"/>
        </w:rPr>
      </w:pPr>
    </w:p>
    <w:p w14:paraId="10C59034" w14:textId="16B8D2D9" w:rsidR="00CD6E38" w:rsidRPr="00785E44" w:rsidRDefault="00CD6E3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October 2014</w:t>
      </w:r>
      <w:r w:rsidRPr="00785E44">
        <w:rPr>
          <w:rFonts w:ascii="Arial" w:hAnsi="Arial" w:cs="Arial"/>
          <w:sz w:val="24"/>
          <w:szCs w:val="24"/>
        </w:rPr>
        <w:t xml:space="preserve"> – D.C. Circuit</w:t>
      </w:r>
      <w:r w:rsidR="006626D0" w:rsidRPr="00785E44">
        <w:rPr>
          <w:rFonts w:ascii="Arial" w:hAnsi="Arial" w:cs="Arial"/>
          <w:sz w:val="24"/>
          <w:szCs w:val="24"/>
        </w:rPr>
        <w:t xml:space="preserve"> Court</w:t>
      </w:r>
      <w:r w:rsidRPr="00785E44">
        <w:rPr>
          <w:rFonts w:ascii="Arial" w:hAnsi="Arial" w:cs="Arial"/>
          <w:sz w:val="24"/>
          <w:szCs w:val="24"/>
        </w:rPr>
        <w:t xml:space="preserve"> </w:t>
      </w:r>
      <w:r w:rsidR="00B04FB8" w:rsidRPr="00785E44">
        <w:rPr>
          <w:rFonts w:ascii="Arial" w:hAnsi="Arial" w:cs="Arial"/>
          <w:sz w:val="24"/>
          <w:szCs w:val="24"/>
        </w:rPr>
        <w:t xml:space="preserve">lifts the </w:t>
      </w:r>
      <w:r w:rsidRPr="00785E44">
        <w:rPr>
          <w:rFonts w:ascii="Arial" w:hAnsi="Arial" w:cs="Arial"/>
          <w:sz w:val="24"/>
          <w:szCs w:val="24"/>
        </w:rPr>
        <w:t xml:space="preserve">CSAPR </w:t>
      </w:r>
      <w:r w:rsidR="006803A2" w:rsidRPr="00785E44">
        <w:rPr>
          <w:rFonts w:ascii="Arial" w:hAnsi="Arial" w:cs="Arial"/>
          <w:sz w:val="24"/>
          <w:szCs w:val="24"/>
        </w:rPr>
        <w:t xml:space="preserve">stay </w:t>
      </w:r>
      <w:r w:rsidRPr="00785E44">
        <w:rPr>
          <w:rFonts w:ascii="Arial" w:hAnsi="Arial" w:cs="Arial"/>
          <w:sz w:val="24"/>
          <w:szCs w:val="24"/>
        </w:rPr>
        <w:t>and toll</w:t>
      </w:r>
      <w:r w:rsidR="006803A2" w:rsidRPr="00785E44">
        <w:rPr>
          <w:rFonts w:ascii="Arial" w:hAnsi="Arial" w:cs="Arial"/>
          <w:sz w:val="24"/>
          <w:szCs w:val="24"/>
        </w:rPr>
        <w:t>s</w:t>
      </w:r>
      <w:r w:rsidRPr="00785E44">
        <w:rPr>
          <w:rFonts w:ascii="Arial" w:hAnsi="Arial" w:cs="Arial"/>
          <w:sz w:val="24"/>
          <w:szCs w:val="24"/>
        </w:rPr>
        <w:t xml:space="preserve"> compliance deadlines three years.</w:t>
      </w:r>
    </w:p>
    <w:p w14:paraId="4128EB67" w14:textId="0861FB0E" w:rsidR="00996ABF" w:rsidRPr="00785E44" w:rsidRDefault="00996ABF" w:rsidP="00DB7156">
      <w:pPr>
        <w:autoSpaceDE w:val="0"/>
        <w:autoSpaceDN w:val="0"/>
        <w:adjustRightInd w:val="0"/>
        <w:spacing w:after="0" w:line="240" w:lineRule="auto"/>
        <w:ind w:left="720"/>
        <w:jc w:val="both"/>
        <w:rPr>
          <w:rFonts w:ascii="Arial" w:hAnsi="Arial" w:cs="Arial"/>
          <w:sz w:val="24"/>
          <w:szCs w:val="24"/>
        </w:rPr>
      </w:pPr>
    </w:p>
    <w:p w14:paraId="5FA49A0B" w14:textId="02B39810" w:rsidR="00CD6E38" w:rsidRPr="00785E44" w:rsidRDefault="00996ABF" w:rsidP="00DB7156">
      <w:pPr>
        <w:pStyle w:val="ListParagraph"/>
        <w:numPr>
          <w:ilvl w:val="0"/>
          <w:numId w:val="15"/>
        </w:numPr>
        <w:autoSpaceDE w:val="0"/>
        <w:autoSpaceDN w:val="0"/>
        <w:adjustRightInd w:val="0"/>
        <w:jc w:val="both"/>
        <w:rPr>
          <w:rFonts w:ascii="Arial" w:hAnsi="Arial" w:cs="Arial"/>
        </w:rPr>
      </w:pPr>
      <w:r w:rsidRPr="00785E44">
        <w:rPr>
          <w:rFonts w:ascii="Arial" w:hAnsi="Arial" w:cs="Arial"/>
          <w:b/>
        </w:rPr>
        <w:t>November 2014</w:t>
      </w:r>
      <w:r w:rsidRPr="00785E44">
        <w:rPr>
          <w:rFonts w:ascii="Arial" w:hAnsi="Arial" w:cs="Arial"/>
        </w:rPr>
        <w:t xml:space="preserve"> – EPA sign</w:t>
      </w:r>
      <w:r w:rsidR="00C52FEF" w:rsidRPr="00785E44">
        <w:rPr>
          <w:rFonts w:ascii="Arial" w:hAnsi="Arial" w:cs="Arial"/>
        </w:rPr>
        <w:t>s</w:t>
      </w:r>
      <w:r w:rsidRPr="00785E44">
        <w:rPr>
          <w:rFonts w:ascii="Arial" w:hAnsi="Arial" w:cs="Arial"/>
        </w:rPr>
        <w:t xml:space="preserve"> the MATS Final Startup/Shutdown Reconsideration Rule.</w:t>
      </w:r>
    </w:p>
    <w:p w14:paraId="079A9D6D" w14:textId="77777777" w:rsidR="001F658B" w:rsidRPr="00785E44" w:rsidRDefault="001F658B" w:rsidP="00DB7156">
      <w:pPr>
        <w:pStyle w:val="ListParagraph"/>
        <w:autoSpaceDE w:val="0"/>
        <w:autoSpaceDN w:val="0"/>
        <w:adjustRightInd w:val="0"/>
        <w:jc w:val="both"/>
        <w:rPr>
          <w:rFonts w:ascii="Arial" w:hAnsi="Arial" w:cs="Arial"/>
        </w:rPr>
      </w:pPr>
    </w:p>
    <w:p w14:paraId="4A115668" w14:textId="7FCDBFFF" w:rsidR="00996ABF" w:rsidRPr="00785E44" w:rsidRDefault="00996ABF"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January 2015</w:t>
      </w:r>
      <w:r w:rsidRPr="00785E44">
        <w:rPr>
          <w:rFonts w:ascii="Arial" w:hAnsi="Arial" w:cs="Arial"/>
          <w:sz w:val="24"/>
          <w:szCs w:val="24"/>
        </w:rPr>
        <w:t xml:space="preserve"> – EPA issues I</w:t>
      </w:r>
      <w:r w:rsidR="00670F28" w:rsidRPr="00785E44">
        <w:rPr>
          <w:rFonts w:ascii="Arial" w:hAnsi="Arial" w:cs="Arial"/>
          <w:sz w:val="24"/>
          <w:szCs w:val="24"/>
        </w:rPr>
        <w:t xml:space="preserve">ndustrial </w:t>
      </w:r>
      <w:r w:rsidRPr="00785E44">
        <w:rPr>
          <w:rFonts w:ascii="Arial" w:hAnsi="Arial" w:cs="Arial"/>
          <w:sz w:val="24"/>
          <w:szCs w:val="24"/>
        </w:rPr>
        <w:t>B</w:t>
      </w:r>
      <w:r w:rsidR="00670F28" w:rsidRPr="00785E44">
        <w:rPr>
          <w:rFonts w:ascii="Arial" w:hAnsi="Arial" w:cs="Arial"/>
          <w:sz w:val="24"/>
          <w:szCs w:val="24"/>
        </w:rPr>
        <w:t>oiler (</w:t>
      </w:r>
      <w:r w:rsidR="00725C5B" w:rsidRPr="00785E44">
        <w:rPr>
          <w:rFonts w:ascii="Arial" w:hAnsi="Arial" w:cs="Arial"/>
          <w:sz w:val="24"/>
          <w:szCs w:val="24"/>
        </w:rPr>
        <w:t>“</w:t>
      </w:r>
      <w:r w:rsidR="00670F28" w:rsidRPr="00785E44">
        <w:rPr>
          <w:rFonts w:ascii="Arial" w:hAnsi="Arial" w:cs="Arial"/>
          <w:sz w:val="24"/>
          <w:szCs w:val="24"/>
        </w:rPr>
        <w:t>IB</w:t>
      </w:r>
      <w:r w:rsidR="00725C5B" w:rsidRPr="00785E44">
        <w:rPr>
          <w:rFonts w:ascii="Arial" w:hAnsi="Arial" w:cs="Arial"/>
          <w:sz w:val="24"/>
          <w:szCs w:val="24"/>
        </w:rPr>
        <w:t>”</w:t>
      </w:r>
      <w:r w:rsidR="00670F28" w:rsidRPr="00785E44">
        <w:rPr>
          <w:rFonts w:ascii="Arial" w:hAnsi="Arial" w:cs="Arial"/>
          <w:sz w:val="24"/>
          <w:szCs w:val="24"/>
        </w:rPr>
        <w:t>)</w:t>
      </w:r>
      <w:r w:rsidRPr="00785E44">
        <w:rPr>
          <w:rFonts w:ascii="Arial" w:hAnsi="Arial" w:cs="Arial"/>
          <w:sz w:val="24"/>
          <w:szCs w:val="24"/>
        </w:rPr>
        <w:t xml:space="preserve"> MACT Reconsideration proposal</w:t>
      </w:r>
      <w:r w:rsidR="00FE4F36" w:rsidRPr="00785E44">
        <w:rPr>
          <w:rFonts w:ascii="Arial" w:hAnsi="Arial" w:cs="Arial"/>
          <w:sz w:val="24"/>
          <w:szCs w:val="24"/>
        </w:rPr>
        <w:t xml:space="preserve"> for major and area sources</w:t>
      </w:r>
      <w:r w:rsidR="00055593" w:rsidRPr="00785E44">
        <w:rPr>
          <w:rFonts w:ascii="Arial" w:hAnsi="Arial" w:cs="Arial"/>
          <w:sz w:val="24"/>
          <w:szCs w:val="24"/>
        </w:rPr>
        <w:t>.</w:t>
      </w:r>
    </w:p>
    <w:p w14:paraId="1E5BC0D3" w14:textId="77777777" w:rsidR="00CD6E38" w:rsidRPr="00785E44" w:rsidRDefault="00CD6E38" w:rsidP="00DB7156">
      <w:pPr>
        <w:pStyle w:val="ListParagraph"/>
        <w:jc w:val="both"/>
        <w:rPr>
          <w:rFonts w:ascii="Arial" w:hAnsi="Arial" w:cs="Arial"/>
          <w:b/>
        </w:rPr>
      </w:pPr>
    </w:p>
    <w:p w14:paraId="410123A9" w14:textId="49D0A871" w:rsidR="00CD6E38" w:rsidRPr="00785E44" w:rsidRDefault="00CD6E3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2015</w:t>
      </w:r>
      <w:r w:rsidRPr="00785E44">
        <w:rPr>
          <w:rFonts w:ascii="Arial" w:hAnsi="Arial" w:cs="Arial"/>
          <w:sz w:val="24"/>
          <w:szCs w:val="24"/>
        </w:rPr>
        <w:t xml:space="preserve"> – EPA </w:t>
      </w:r>
      <w:r w:rsidR="00F92375" w:rsidRPr="00785E44">
        <w:rPr>
          <w:rFonts w:ascii="Arial" w:hAnsi="Arial" w:cs="Arial"/>
          <w:sz w:val="24"/>
          <w:szCs w:val="24"/>
        </w:rPr>
        <w:t>finalizes initial designations for 2012 a</w:t>
      </w:r>
      <w:r w:rsidRPr="00785E44">
        <w:rPr>
          <w:rFonts w:ascii="Arial" w:hAnsi="Arial" w:cs="Arial"/>
          <w:sz w:val="24"/>
          <w:szCs w:val="24"/>
        </w:rPr>
        <w:t>nnual PM</w:t>
      </w:r>
      <w:r w:rsidRPr="00785E44">
        <w:rPr>
          <w:rFonts w:ascii="Arial" w:hAnsi="Arial" w:cs="Arial"/>
          <w:sz w:val="24"/>
          <w:szCs w:val="24"/>
          <w:vertAlign w:val="subscript"/>
        </w:rPr>
        <w:t>2.5</w:t>
      </w:r>
      <w:r w:rsidRPr="00785E44">
        <w:rPr>
          <w:rFonts w:ascii="Arial" w:hAnsi="Arial" w:cs="Arial"/>
          <w:sz w:val="24"/>
          <w:szCs w:val="24"/>
        </w:rPr>
        <w:t xml:space="preserve"> </w:t>
      </w:r>
      <w:r w:rsidR="00E56FAF" w:rsidRPr="00785E44">
        <w:rPr>
          <w:rFonts w:ascii="Arial" w:hAnsi="Arial" w:cs="Arial"/>
          <w:sz w:val="24"/>
          <w:szCs w:val="24"/>
        </w:rPr>
        <w:t>standard</w:t>
      </w:r>
      <w:r w:rsidR="006803A2" w:rsidRPr="00785E44">
        <w:rPr>
          <w:rFonts w:ascii="Arial" w:hAnsi="Arial" w:cs="Arial"/>
          <w:sz w:val="24"/>
          <w:szCs w:val="24"/>
        </w:rPr>
        <w:t>,</w:t>
      </w:r>
      <w:r w:rsidRPr="00785E44">
        <w:rPr>
          <w:rFonts w:ascii="Arial" w:hAnsi="Arial" w:cs="Arial"/>
          <w:sz w:val="24"/>
          <w:szCs w:val="24"/>
        </w:rPr>
        <w:t xml:space="preserve"> </w:t>
      </w:r>
      <w:r w:rsidR="00806D0A" w:rsidRPr="00785E44">
        <w:rPr>
          <w:rFonts w:ascii="Arial" w:hAnsi="Arial" w:cs="Arial"/>
          <w:sz w:val="24"/>
          <w:szCs w:val="24"/>
        </w:rPr>
        <w:t xml:space="preserve">but </w:t>
      </w:r>
      <w:r w:rsidR="00F92375" w:rsidRPr="00785E44">
        <w:rPr>
          <w:rFonts w:ascii="Arial" w:hAnsi="Arial" w:cs="Arial"/>
          <w:sz w:val="24"/>
          <w:szCs w:val="24"/>
        </w:rPr>
        <w:t xml:space="preserve">defers </w:t>
      </w:r>
      <w:r w:rsidR="00806D0A" w:rsidRPr="00785E44">
        <w:rPr>
          <w:rFonts w:ascii="Arial" w:hAnsi="Arial" w:cs="Arial"/>
          <w:sz w:val="24"/>
          <w:szCs w:val="24"/>
        </w:rPr>
        <w:t>designations for</w:t>
      </w:r>
      <w:r w:rsidRPr="00785E44">
        <w:rPr>
          <w:rFonts w:ascii="Arial" w:hAnsi="Arial" w:cs="Arial"/>
          <w:sz w:val="24"/>
          <w:szCs w:val="24"/>
        </w:rPr>
        <w:t xml:space="preserve"> certain areas of Georgia and Florida.</w:t>
      </w:r>
    </w:p>
    <w:p w14:paraId="63124A9C" w14:textId="77777777" w:rsidR="00E24B1D" w:rsidRPr="00785E44" w:rsidRDefault="00E24B1D" w:rsidP="00DB7156">
      <w:pPr>
        <w:pStyle w:val="ListParagraph"/>
        <w:jc w:val="both"/>
        <w:rPr>
          <w:rFonts w:ascii="Arial" w:hAnsi="Arial" w:cs="Arial"/>
        </w:rPr>
      </w:pPr>
    </w:p>
    <w:p w14:paraId="65EA2820" w14:textId="5C417ADE" w:rsidR="00E24B1D" w:rsidRPr="00785E44" w:rsidRDefault="00E24B1D"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2015</w:t>
      </w:r>
      <w:r w:rsidRPr="00785E44">
        <w:rPr>
          <w:rFonts w:ascii="Arial" w:hAnsi="Arial" w:cs="Arial"/>
          <w:sz w:val="24"/>
          <w:szCs w:val="24"/>
        </w:rPr>
        <w:t xml:space="preserve"> -  EPA </w:t>
      </w:r>
      <w:r w:rsidR="00F92375" w:rsidRPr="00785E44">
        <w:rPr>
          <w:rFonts w:ascii="Arial" w:hAnsi="Arial" w:cs="Arial"/>
          <w:sz w:val="24"/>
          <w:szCs w:val="24"/>
        </w:rPr>
        <w:t xml:space="preserve">enters </w:t>
      </w:r>
      <w:r w:rsidRPr="00785E44">
        <w:rPr>
          <w:rFonts w:ascii="Arial" w:hAnsi="Arial" w:cs="Arial"/>
          <w:sz w:val="24"/>
          <w:szCs w:val="24"/>
        </w:rPr>
        <w:t xml:space="preserve">into a Consent Decree to finalize designations for the 2010 </w:t>
      </w:r>
      <w:r w:rsidR="00806D0A" w:rsidRPr="00785E44">
        <w:rPr>
          <w:rFonts w:ascii="Arial" w:hAnsi="Arial" w:cs="Arial"/>
          <w:sz w:val="24"/>
          <w:szCs w:val="24"/>
        </w:rPr>
        <w:t xml:space="preserve">1-hour </w:t>
      </w:r>
      <w:r w:rsidRPr="00785E44">
        <w:rPr>
          <w:rFonts w:ascii="Arial" w:hAnsi="Arial" w:cs="Arial"/>
          <w:sz w:val="24"/>
          <w:szCs w:val="24"/>
        </w:rPr>
        <w:t>SO</w:t>
      </w:r>
      <w:r w:rsidRPr="00785E44">
        <w:rPr>
          <w:rFonts w:ascii="Arial" w:hAnsi="Arial" w:cs="Arial"/>
          <w:sz w:val="24"/>
          <w:szCs w:val="24"/>
          <w:vertAlign w:val="subscript"/>
        </w:rPr>
        <w:t>2</w:t>
      </w:r>
      <w:r w:rsidRPr="00785E44">
        <w:rPr>
          <w:rFonts w:ascii="Arial" w:hAnsi="Arial" w:cs="Arial"/>
          <w:sz w:val="24"/>
          <w:szCs w:val="24"/>
        </w:rPr>
        <w:t xml:space="preserve"> NAAQS.</w:t>
      </w:r>
    </w:p>
    <w:p w14:paraId="2C1B277E" w14:textId="77777777" w:rsidR="00D17490" w:rsidRPr="00785E44" w:rsidRDefault="00D17490" w:rsidP="00DB7156">
      <w:pPr>
        <w:pStyle w:val="ListParagraph"/>
        <w:jc w:val="both"/>
        <w:rPr>
          <w:rFonts w:ascii="Arial" w:hAnsi="Arial" w:cs="Arial"/>
        </w:rPr>
      </w:pPr>
    </w:p>
    <w:p w14:paraId="71DC50F8" w14:textId="7AC23AE3" w:rsidR="00D17490" w:rsidRPr="00785E44" w:rsidRDefault="00D17490"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2015</w:t>
      </w:r>
      <w:r w:rsidRPr="00785E44">
        <w:rPr>
          <w:rFonts w:ascii="Arial" w:hAnsi="Arial" w:cs="Arial"/>
          <w:sz w:val="24"/>
          <w:szCs w:val="24"/>
        </w:rPr>
        <w:t xml:space="preserve"> – EPA publishe</w:t>
      </w:r>
      <w:r w:rsidR="00D50BDA" w:rsidRPr="00785E44">
        <w:rPr>
          <w:rFonts w:ascii="Arial" w:hAnsi="Arial" w:cs="Arial"/>
          <w:sz w:val="24"/>
          <w:szCs w:val="24"/>
        </w:rPr>
        <w:t>s</w:t>
      </w:r>
      <w:r w:rsidRPr="00785E44">
        <w:rPr>
          <w:rFonts w:ascii="Arial" w:hAnsi="Arial" w:cs="Arial"/>
          <w:sz w:val="24"/>
          <w:szCs w:val="24"/>
        </w:rPr>
        <w:t xml:space="preserve"> the final implementation rule for the 2008 </w:t>
      </w:r>
      <w:r w:rsidR="00725C5B" w:rsidRPr="00785E44">
        <w:rPr>
          <w:rFonts w:ascii="Arial" w:hAnsi="Arial" w:cs="Arial"/>
          <w:sz w:val="24"/>
          <w:szCs w:val="24"/>
        </w:rPr>
        <w:t>o</w:t>
      </w:r>
      <w:r w:rsidRPr="00785E44">
        <w:rPr>
          <w:rFonts w:ascii="Arial" w:hAnsi="Arial" w:cs="Arial"/>
          <w:sz w:val="24"/>
          <w:szCs w:val="24"/>
        </w:rPr>
        <w:t>zone NAAQS.</w:t>
      </w:r>
    </w:p>
    <w:p w14:paraId="63C1EF65" w14:textId="77777777" w:rsidR="00CD6E38" w:rsidRPr="00785E44" w:rsidRDefault="00CD6E38" w:rsidP="00DB7156">
      <w:pPr>
        <w:pStyle w:val="ListParagraph"/>
        <w:jc w:val="both"/>
        <w:rPr>
          <w:rFonts w:ascii="Arial" w:hAnsi="Arial" w:cs="Arial"/>
          <w:b/>
        </w:rPr>
      </w:pPr>
    </w:p>
    <w:p w14:paraId="2209F034" w14:textId="679148AB" w:rsidR="00CD6E38" w:rsidRPr="00785E44" w:rsidRDefault="00CD6E3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April 2015</w:t>
      </w:r>
      <w:r w:rsidRPr="00785E44">
        <w:rPr>
          <w:rFonts w:ascii="Arial" w:hAnsi="Arial" w:cs="Arial"/>
          <w:sz w:val="24"/>
          <w:szCs w:val="24"/>
        </w:rPr>
        <w:t xml:space="preserve"> – EPA sign</w:t>
      </w:r>
      <w:r w:rsidR="00C52FEF" w:rsidRPr="00785E44">
        <w:rPr>
          <w:rFonts w:ascii="Arial" w:hAnsi="Arial" w:cs="Arial"/>
          <w:sz w:val="24"/>
          <w:szCs w:val="24"/>
        </w:rPr>
        <w:t>s</w:t>
      </w:r>
      <w:r w:rsidRPr="00785E44">
        <w:rPr>
          <w:rFonts w:ascii="Arial" w:hAnsi="Arial" w:cs="Arial"/>
          <w:sz w:val="24"/>
          <w:szCs w:val="24"/>
        </w:rPr>
        <w:t xml:space="preserve"> and release</w:t>
      </w:r>
      <w:r w:rsidR="00C52FEF" w:rsidRPr="00785E44">
        <w:rPr>
          <w:rFonts w:ascii="Arial" w:hAnsi="Arial" w:cs="Arial"/>
          <w:sz w:val="24"/>
          <w:szCs w:val="24"/>
        </w:rPr>
        <w:t>s</w:t>
      </w:r>
      <w:r w:rsidRPr="00785E44">
        <w:rPr>
          <w:rFonts w:ascii="Arial" w:hAnsi="Arial" w:cs="Arial"/>
          <w:sz w:val="24"/>
          <w:szCs w:val="24"/>
        </w:rPr>
        <w:t xml:space="preserve"> the final </w:t>
      </w:r>
      <w:r w:rsidR="0052371C" w:rsidRPr="00785E44">
        <w:rPr>
          <w:rFonts w:ascii="Arial" w:hAnsi="Arial" w:cs="Arial"/>
          <w:sz w:val="24"/>
          <w:szCs w:val="24"/>
        </w:rPr>
        <w:t>CCR</w:t>
      </w:r>
      <w:r w:rsidRPr="00785E44">
        <w:rPr>
          <w:rFonts w:ascii="Arial" w:hAnsi="Arial" w:cs="Arial"/>
          <w:sz w:val="24"/>
          <w:szCs w:val="24"/>
        </w:rPr>
        <w:t xml:space="preserve"> rule regulating </w:t>
      </w:r>
      <w:r w:rsidR="0052371C" w:rsidRPr="00785E44">
        <w:rPr>
          <w:rFonts w:ascii="Arial" w:hAnsi="Arial" w:cs="Arial"/>
          <w:sz w:val="24"/>
          <w:szCs w:val="24"/>
        </w:rPr>
        <w:t>CCR</w:t>
      </w:r>
      <w:r w:rsidRPr="00785E44">
        <w:rPr>
          <w:rFonts w:ascii="Arial" w:hAnsi="Arial" w:cs="Arial"/>
          <w:sz w:val="24"/>
          <w:szCs w:val="24"/>
        </w:rPr>
        <w:t xml:space="preserve"> as a non-hazardous waste under subtitle D of RCRA.</w:t>
      </w:r>
    </w:p>
    <w:p w14:paraId="7250ADB0" w14:textId="77777777" w:rsidR="00CD6E38" w:rsidRPr="00785E44" w:rsidRDefault="00CD6E38" w:rsidP="00DB7156">
      <w:pPr>
        <w:pStyle w:val="ListParagraph"/>
        <w:jc w:val="both"/>
        <w:rPr>
          <w:rFonts w:ascii="Arial" w:hAnsi="Arial" w:cs="Arial"/>
        </w:rPr>
      </w:pPr>
    </w:p>
    <w:p w14:paraId="1C243EFD" w14:textId="46A30E3D" w:rsidR="00CD6E38" w:rsidRPr="00785E44" w:rsidRDefault="00CD6E3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May 2015</w:t>
      </w:r>
      <w:r w:rsidRPr="00785E44">
        <w:rPr>
          <w:rFonts w:ascii="Arial" w:hAnsi="Arial" w:cs="Arial"/>
          <w:sz w:val="24"/>
          <w:szCs w:val="24"/>
        </w:rPr>
        <w:t xml:space="preserve"> – EPA finalize</w:t>
      </w:r>
      <w:r w:rsidR="00C52FEF" w:rsidRPr="00785E44">
        <w:rPr>
          <w:rFonts w:ascii="Arial" w:hAnsi="Arial" w:cs="Arial"/>
          <w:sz w:val="24"/>
          <w:szCs w:val="24"/>
        </w:rPr>
        <w:t>s</w:t>
      </w:r>
      <w:r w:rsidRPr="00785E44">
        <w:rPr>
          <w:rFonts w:ascii="Arial" w:hAnsi="Arial" w:cs="Arial"/>
          <w:sz w:val="24"/>
          <w:szCs w:val="24"/>
        </w:rPr>
        <w:t xml:space="preserve"> S</w:t>
      </w:r>
      <w:r w:rsidR="0052371C" w:rsidRPr="00785E44">
        <w:rPr>
          <w:rFonts w:ascii="Arial" w:hAnsi="Arial" w:cs="Arial"/>
          <w:sz w:val="24"/>
          <w:szCs w:val="24"/>
        </w:rPr>
        <w:t xml:space="preserve">tartup </w:t>
      </w:r>
      <w:r w:rsidRPr="00785E44">
        <w:rPr>
          <w:rFonts w:ascii="Arial" w:hAnsi="Arial" w:cs="Arial"/>
          <w:sz w:val="24"/>
          <w:szCs w:val="24"/>
        </w:rPr>
        <w:t>S</w:t>
      </w:r>
      <w:r w:rsidR="0052371C" w:rsidRPr="00785E44">
        <w:rPr>
          <w:rFonts w:ascii="Arial" w:hAnsi="Arial" w:cs="Arial"/>
          <w:sz w:val="24"/>
          <w:szCs w:val="24"/>
        </w:rPr>
        <w:t xml:space="preserve">hutdown </w:t>
      </w:r>
      <w:r w:rsidRPr="00785E44">
        <w:rPr>
          <w:rFonts w:ascii="Arial" w:hAnsi="Arial" w:cs="Arial"/>
          <w:sz w:val="24"/>
          <w:szCs w:val="24"/>
        </w:rPr>
        <w:t>M</w:t>
      </w:r>
      <w:r w:rsidR="0052371C" w:rsidRPr="00785E44">
        <w:rPr>
          <w:rFonts w:ascii="Arial" w:hAnsi="Arial" w:cs="Arial"/>
          <w:sz w:val="24"/>
          <w:szCs w:val="24"/>
        </w:rPr>
        <w:t>alfunction</w:t>
      </w:r>
      <w:r w:rsidRPr="00785E44">
        <w:rPr>
          <w:rFonts w:ascii="Arial" w:hAnsi="Arial" w:cs="Arial"/>
          <w:sz w:val="24"/>
          <w:szCs w:val="24"/>
        </w:rPr>
        <w:t xml:space="preserve"> </w:t>
      </w:r>
      <w:r w:rsidR="0052371C" w:rsidRPr="00785E44">
        <w:rPr>
          <w:rFonts w:ascii="Arial" w:hAnsi="Arial" w:cs="Arial"/>
          <w:sz w:val="24"/>
          <w:szCs w:val="24"/>
        </w:rPr>
        <w:t>(</w:t>
      </w:r>
      <w:r w:rsidR="0058251A">
        <w:rPr>
          <w:rFonts w:ascii="Arial" w:hAnsi="Arial" w:cs="Arial"/>
          <w:sz w:val="24"/>
          <w:szCs w:val="24"/>
        </w:rPr>
        <w:t>“</w:t>
      </w:r>
      <w:r w:rsidR="0052371C" w:rsidRPr="00785E44">
        <w:rPr>
          <w:rFonts w:ascii="Arial" w:hAnsi="Arial" w:cs="Arial"/>
          <w:sz w:val="24"/>
          <w:szCs w:val="24"/>
        </w:rPr>
        <w:t>SSM</w:t>
      </w:r>
      <w:r w:rsidR="0058251A">
        <w:rPr>
          <w:rFonts w:ascii="Arial" w:hAnsi="Arial" w:cs="Arial"/>
          <w:sz w:val="24"/>
          <w:szCs w:val="24"/>
        </w:rPr>
        <w:t>”</w:t>
      </w:r>
      <w:r w:rsidR="0052371C" w:rsidRPr="00785E44">
        <w:rPr>
          <w:rFonts w:ascii="Arial" w:hAnsi="Arial" w:cs="Arial"/>
          <w:sz w:val="24"/>
          <w:szCs w:val="24"/>
        </w:rPr>
        <w:t xml:space="preserve">) </w:t>
      </w:r>
      <w:r w:rsidRPr="00785E44">
        <w:rPr>
          <w:rFonts w:ascii="Arial" w:hAnsi="Arial" w:cs="Arial"/>
          <w:sz w:val="24"/>
          <w:szCs w:val="24"/>
        </w:rPr>
        <w:t>S</w:t>
      </w:r>
      <w:r w:rsidR="0052371C" w:rsidRPr="00785E44">
        <w:rPr>
          <w:rFonts w:ascii="Arial" w:hAnsi="Arial" w:cs="Arial"/>
          <w:sz w:val="24"/>
          <w:szCs w:val="24"/>
        </w:rPr>
        <w:t xml:space="preserve">tate </w:t>
      </w:r>
      <w:r w:rsidRPr="00785E44">
        <w:rPr>
          <w:rFonts w:ascii="Arial" w:hAnsi="Arial" w:cs="Arial"/>
          <w:sz w:val="24"/>
          <w:szCs w:val="24"/>
        </w:rPr>
        <w:t>I</w:t>
      </w:r>
      <w:r w:rsidR="0052371C" w:rsidRPr="00785E44">
        <w:rPr>
          <w:rFonts w:ascii="Arial" w:hAnsi="Arial" w:cs="Arial"/>
          <w:sz w:val="24"/>
          <w:szCs w:val="24"/>
        </w:rPr>
        <w:t xml:space="preserve">mplementation </w:t>
      </w:r>
      <w:r w:rsidRPr="00785E44">
        <w:rPr>
          <w:rFonts w:ascii="Arial" w:hAnsi="Arial" w:cs="Arial"/>
          <w:sz w:val="24"/>
          <w:szCs w:val="24"/>
        </w:rPr>
        <w:t>P</w:t>
      </w:r>
      <w:r w:rsidR="0052371C" w:rsidRPr="00785E44">
        <w:rPr>
          <w:rFonts w:ascii="Arial" w:hAnsi="Arial" w:cs="Arial"/>
          <w:sz w:val="24"/>
          <w:szCs w:val="24"/>
        </w:rPr>
        <w:t>lan (</w:t>
      </w:r>
      <w:r w:rsidR="0058251A">
        <w:rPr>
          <w:rFonts w:ascii="Arial" w:hAnsi="Arial" w:cs="Arial"/>
          <w:sz w:val="24"/>
          <w:szCs w:val="24"/>
        </w:rPr>
        <w:t>“</w:t>
      </w:r>
      <w:r w:rsidR="0052371C" w:rsidRPr="00785E44">
        <w:rPr>
          <w:rFonts w:ascii="Arial" w:hAnsi="Arial" w:cs="Arial"/>
          <w:sz w:val="24"/>
          <w:szCs w:val="24"/>
        </w:rPr>
        <w:t>SIP</w:t>
      </w:r>
      <w:r w:rsidR="0058251A">
        <w:rPr>
          <w:rFonts w:ascii="Arial" w:hAnsi="Arial" w:cs="Arial"/>
          <w:sz w:val="24"/>
          <w:szCs w:val="24"/>
        </w:rPr>
        <w:t>”</w:t>
      </w:r>
      <w:r w:rsidR="0052371C" w:rsidRPr="00785E44">
        <w:rPr>
          <w:rFonts w:ascii="Arial" w:hAnsi="Arial" w:cs="Arial"/>
          <w:sz w:val="24"/>
          <w:szCs w:val="24"/>
        </w:rPr>
        <w:t>)</w:t>
      </w:r>
      <w:r w:rsidRPr="00785E44">
        <w:rPr>
          <w:rFonts w:ascii="Arial" w:hAnsi="Arial" w:cs="Arial"/>
          <w:sz w:val="24"/>
          <w:szCs w:val="24"/>
        </w:rPr>
        <w:t xml:space="preserve"> call.</w:t>
      </w:r>
    </w:p>
    <w:p w14:paraId="359121BD" w14:textId="77777777" w:rsidR="00CD6E38" w:rsidRPr="00785E44" w:rsidRDefault="00CD6E38" w:rsidP="00DB7156">
      <w:pPr>
        <w:pStyle w:val="ListParagraph"/>
        <w:jc w:val="both"/>
        <w:rPr>
          <w:rFonts w:ascii="Arial" w:hAnsi="Arial" w:cs="Arial"/>
          <w:b/>
        </w:rPr>
      </w:pPr>
    </w:p>
    <w:p w14:paraId="1BC8217C" w14:textId="1A9D9A8E" w:rsidR="00CD6E38" w:rsidRPr="00785E44" w:rsidRDefault="00CD6E3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June 2015</w:t>
      </w:r>
      <w:r w:rsidRPr="00785E44">
        <w:rPr>
          <w:rFonts w:ascii="Arial" w:hAnsi="Arial" w:cs="Arial"/>
          <w:sz w:val="24"/>
          <w:szCs w:val="24"/>
        </w:rPr>
        <w:t xml:space="preserve"> – EPA issues final rule revising the definition of “Waters of the United States”</w:t>
      </w:r>
      <w:r w:rsidR="006803A2" w:rsidRPr="00785E44">
        <w:rPr>
          <w:rFonts w:ascii="Arial" w:hAnsi="Arial" w:cs="Arial"/>
          <w:sz w:val="24"/>
          <w:szCs w:val="24"/>
        </w:rPr>
        <w:t xml:space="preserve"> (</w:t>
      </w:r>
      <w:r w:rsidR="0058251A">
        <w:rPr>
          <w:rFonts w:ascii="Arial" w:hAnsi="Arial" w:cs="Arial"/>
          <w:sz w:val="24"/>
          <w:szCs w:val="24"/>
        </w:rPr>
        <w:t>“</w:t>
      </w:r>
      <w:r w:rsidR="006803A2" w:rsidRPr="00785E44">
        <w:rPr>
          <w:rFonts w:ascii="Arial" w:hAnsi="Arial" w:cs="Arial"/>
          <w:sz w:val="24"/>
          <w:szCs w:val="24"/>
        </w:rPr>
        <w:t>WOTUS</w:t>
      </w:r>
      <w:r w:rsidR="0058251A">
        <w:rPr>
          <w:rFonts w:ascii="Arial" w:hAnsi="Arial" w:cs="Arial"/>
          <w:sz w:val="24"/>
          <w:szCs w:val="24"/>
        </w:rPr>
        <w:t>”</w:t>
      </w:r>
      <w:r w:rsidR="006803A2" w:rsidRPr="00785E44">
        <w:rPr>
          <w:rFonts w:ascii="Arial" w:hAnsi="Arial" w:cs="Arial"/>
          <w:sz w:val="24"/>
          <w:szCs w:val="24"/>
        </w:rPr>
        <w:t>)</w:t>
      </w:r>
      <w:r w:rsidRPr="00785E44">
        <w:rPr>
          <w:rFonts w:ascii="Arial" w:hAnsi="Arial" w:cs="Arial"/>
          <w:sz w:val="24"/>
          <w:szCs w:val="24"/>
        </w:rPr>
        <w:t>.</w:t>
      </w:r>
    </w:p>
    <w:p w14:paraId="6975966B" w14:textId="77777777" w:rsidR="009172A5" w:rsidRPr="00785E44" w:rsidRDefault="009172A5" w:rsidP="00DB7156">
      <w:pPr>
        <w:pStyle w:val="ListParagraph"/>
        <w:jc w:val="both"/>
        <w:rPr>
          <w:rFonts w:ascii="Arial" w:hAnsi="Arial" w:cs="Arial"/>
        </w:rPr>
      </w:pPr>
    </w:p>
    <w:p w14:paraId="05E2D0EC" w14:textId="5BD918F3" w:rsidR="009172A5" w:rsidRPr="00785E44" w:rsidRDefault="009172A5"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June 2015</w:t>
      </w:r>
      <w:r w:rsidRPr="00785E44">
        <w:rPr>
          <w:rFonts w:ascii="Arial" w:hAnsi="Arial" w:cs="Arial"/>
          <w:sz w:val="24"/>
          <w:szCs w:val="24"/>
        </w:rPr>
        <w:t xml:space="preserve"> – U.S. Supreme Court rule</w:t>
      </w:r>
      <w:r w:rsidR="00C52FEF" w:rsidRPr="00785E44">
        <w:rPr>
          <w:rFonts w:ascii="Arial" w:hAnsi="Arial" w:cs="Arial"/>
          <w:sz w:val="24"/>
          <w:szCs w:val="24"/>
        </w:rPr>
        <w:t>s</w:t>
      </w:r>
      <w:r w:rsidRPr="00785E44">
        <w:rPr>
          <w:rFonts w:ascii="Arial" w:hAnsi="Arial" w:cs="Arial"/>
          <w:sz w:val="24"/>
          <w:szCs w:val="24"/>
        </w:rPr>
        <w:t xml:space="preserve"> EPA should have considered costs when deciding to regulate electric utilities under the MATS </w:t>
      </w:r>
      <w:r w:rsidR="00C24898" w:rsidRPr="00785E44">
        <w:rPr>
          <w:rFonts w:ascii="Arial" w:hAnsi="Arial" w:cs="Arial"/>
          <w:sz w:val="24"/>
          <w:szCs w:val="24"/>
        </w:rPr>
        <w:t>R</w:t>
      </w:r>
      <w:r w:rsidRPr="00785E44">
        <w:rPr>
          <w:rFonts w:ascii="Arial" w:hAnsi="Arial" w:cs="Arial"/>
          <w:sz w:val="24"/>
          <w:szCs w:val="24"/>
        </w:rPr>
        <w:t>ule and remand</w:t>
      </w:r>
      <w:r w:rsidR="00C52FEF" w:rsidRPr="00785E44">
        <w:rPr>
          <w:rFonts w:ascii="Arial" w:hAnsi="Arial" w:cs="Arial"/>
          <w:sz w:val="24"/>
          <w:szCs w:val="24"/>
        </w:rPr>
        <w:t>s</w:t>
      </w:r>
      <w:r w:rsidRPr="00785E44">
        <w:rPr>
          <w:rFonts w:ascii="Arial" w:hAnsi="Arial" w:cs="Arial"/>
          <w:sz w:val="24"/>
          <w:szCs w:val="24"/>
        </w:rPr>
        <w:t xml:space="preserve"> the case back to the D.C. Circuit Court.</w:t>
      </w:r>
    </w:p>
    <w:p w14:paraId="2CE36397" w14:textId="77777777" w:rsidR="00EF4B05" w:rsidRPr="00785E44" w:rsidRDefault="00EF4B05" w:rsidP="00DB7156">
      <w:pPr>
        <w:pStyle w:val="ListParagraph"/>
        <w:jc w:val="both"/>
        <w:rPr>
          <w:rFonts w:ascii="Arial" w:hAnsi="Arial" w:cs="Arial"/>
        </w:rPr>
      </w:pPr>
    </w:p>
    <w:p w14:paraId="324C1C38" w14:textId="1889F64D" w:rsidR="00EF4B05" w:rsidRPr="00785E44" w:rsidRDefault="00EF4B05"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July 2015</w:t>
      </w:r>
      <w:r w:rsidR="00BD334B" w:rsidRPr="00785E44">
        <w:rPr>
          <w:rFonts w:ascii="Arial" w:hAnsi="Arial" w:cs="Arial"/>
          <w:b/>
          <w:sz w:val="24"/>
          <w:szCs w:val="24"/>
        </w:rPr>
        <w:t xml:space="preserve"> </w:t>
      </w:r>
      <w:r w:rsidR="00BD334B" w:rsidRPr="00785E44">
        <w:rPr>
          <w:rFonts w:ascii="Arial" w:hAnsi="Arial" w:cs="Arial"/>
          <w:sz w:val="24"/>
          <w:szCs w:val="24"/>
        </w:rPr>
        <w:t>–</w:t>
      </w:r>
      <w:r w:rsidRPr="00785E44">
        <w:rPr>
          <w:rFonts w:ascii="Arial" w:hAnsi="Arial" w:cs="Arial"/>
          <w:sz w:val="24"/>
          <w:szCs w:val="24"/>
        </w:rPr>
        <w:t xml:space="preserve"> D.C. Circuit </w:t>
      </w:r>
      <w:r w:rsidR="006626D0" w:rsidRPr="00785E44">
        <w:rPr>
          <w:rFonts w:ascii="Arial" w:hAnsi="Arial" w:cs="Arial"/>
          <w:sz w:val="24"/>
          <w:szCs w:val="24"/>
        </w:rPr>
        <w:t xml:space="preserve">Court </w:t>
      </w:r>
      <w:r w:rsidRPr="00785E44">
        <w:rPr>
          <w:rFonts w:ascii="Arial" w:hAnsi="Arial" w:cs="Arial"/>
          <w:sz w:val="24"/>
          <w:szCs w:val="24"/>
        </w:rPr>
        <w:t xml:space="preserve">remands CSAPR </w:t>
      </w:r>
      <w:r w:rsidR="000215AC" w:rsidRPr="00785E44">
        <w:rPr>
          <w:rFonts w:ascii="Arial" w:hAnsi="Arial" w:cs="Arial"/>
          <w:sz w:val="24"/>
          <w:szCs w:val="24"/>
        </w:rPr>
        <w:t xml:space="preserve">to EPA to reconsider </w:t>
      </w:r>
      <w:r w:rsidRPr="00785E44">
        <w:rPr>
          <w:rFonts w:ascii="Arial" w:hAnsi="Arial" w:cs="Arial"/>
          <w:sz w:val="24"/>
          <w:szCs w:val="24"/>
        </w:rPr>
        <w:t>Phase 2 SO</w:t>
      </w:r>
      <w:r w:rsidRPr="00785E44">
        <w:rPr>
          <w:rFonts w:ascii="Arial" w:hAnsi="Arial" w:cs="Arial"/>
          <w:sz w:val="24"/>
          <w:szCs w:val="24"/>
          <w:vertAlign w:val="subscript"/>
        </w:rPr>
        <w:t>2</w:t>
      </w:r>
      <w:r w:rsidRPr="00785E44">
        <w:rPr>
          <w:rFonts w:ascii="Arial" w:hAnsi="Arial" w:cs="Arial"/>
          <w:sz w:val="24"/>
          <w:szCs w:val="24"/>
        </w:rPr>
        <w:t xml:space="preserve"> emission budgets </w:t>
      </w:r>
      <w:r w:rsidR="005A1422" w:rsidRPr="00785E44">
        <w:rPr>
          <w:rFonts w:ascii="Arial" w:hAnsi="Arial" w:cs="Arial"/>
          <w:sz w:val="24"/>
          <w:szCs w:val="24"/>
        </w:rPr>
        <w:t xml:space="preserve">for several states, including </w:t>
      </w:r>
      <w:r w:rsidRPr="00785E44">
        <w:rPr>
          <w:rFonts w:ascii="Arial" w:hAnsi="Arial" w:cs="Arial"/>
          <w:sz w:val="24"/>
          <w:szCs w:val="24"/>
        </w:rPr>
        <w:t>Georgia</w:t>
      </w:r>
      <w:r w:rsidR="003E2BF5" w:rsidRPr="00785E44">
        <w:rPr>
          <w:rFonts w:ascii="Arial" w:hAnsi="Arial" w:cs="Arial"/>
          <w:sz w:val="24"/>
          <w:szCs w:val="24"/>
        </w:rPr>
        <w:t>.</w:t>
      </w:r>
      <w:r w:rsidRPr="00785E44">
        <w:rPr>
          <w:rFonts w:ascii="Arial" w:hAnsi="Arial" w:cs="Arial"/>
          <w:sz w:val="24"/>
          <w:szCs w:val="24"/>
        </w:rPr>
        <w:t xml:space="preserve"> </w:t>
      </w:r>
    </w:p>
    <w:p w14:paraId="67B95302" w14:textId="77777777" w:rsidR="00CD6E38" w:rsidRPr="00785E44" w:rsidRDefault="00CD6E38" w:rsidP="00DB7156">
      <w:pPr>
        <w:pStyle w:val="ListParagraph"/>
        <w:jc w:val="both"/>
        <w:rPr>
          <w:rFonts w:ascii="Arial" w:hAnsi="Arial" w:cs="Arial"/>
          <w:b/>
        </w:rPr>
      </w:pPr>
    </w:p>
    <w:p w14:paraId="4BB26013" w14:textId="4778C0A3" w:rsidR="00CD6E38" w:rsidRPr="00785E44" w:rsidRDefault="00362F25"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August</w:t>
      </w:r>
      <w:r w:rsidR="00CD6E38" w:rsidRPr="00785E44">
        <w:rPr>
          <w:rFonts w:ascii="Arial" w:hAnsi="Arial" w:cs="Arial"/>
          <w:b/>
          <w:sz w:val="24"/>
          <w:szCs w:val="24"/>
        </w:rPr>
        <w:t xml:space="preserve"> 2015</w:t>
      </w:r>
      <w:r w:rsidR="00CD6E38" w:rsidRPr="00785E44">
        <w:rPr>
          <w:rFonts w:ascii="Arial" w:hAnsi="Arial" w:cs="Arial"/>
          <w:sz w:val="24"/>
          <w:szCs w:val="24"/>
        </w:rPr>
        <w:t xml:space="preserve"> – EPA finalizes GHG standards for new, modified and reconstructed</w:t>
      </w:r>
      <w:r w:rsidR="006803A2" w:rsidRPr="00785E44">
        <w:rPr>
          <w:rFonts w:ascii="Arial" w:hAnsi="Arial" w:cs="Arial"/>
          <w:sz w:val="24"/>
          <w:szCs w:val="24"/>
        </w:rPr>
        <w:t xml:space="preserve"> sources</w:t>
      </w:r>
      <w:r w:rsidR="00CD6E38" w:rsidRPr="00785E44">
        <w:rPr>
          <w:rFonts w:ascii="Arial" w:hAnsi="Arial" w:cs="Arial"/>
          <w:sz w:val="24"/>
          <w:szCs w:val="24"/>
        </w:rPr>
        <w:t xml:space="preserve">, and </w:t>
      </w:r>
      <w:r w:rsidR="00D50BDA" w:rsidRPr="00785E44">
        <w:rPr>
          <w:rFonts w:ascii="Arial" w:hAnsi="Arial" w:cs="Arial"/>
          <w:sz w:val="24"/>
          <w:szCs w:val="24"/>
        </w:rPr>
        <w:t xml:space="preserve">guidelines </w:t>
      </w:r>
      <w:r w:rsidR="006803A2" w:rsidRPr="00785E44">
        <w:rPr>
          <w:rFonts w:ascii="Arial" w:hAnsi="Arial" w:cs="Arial"/>
          <w:sz w:val="24"/>
          <w:szCs w:val="24"/>
        </w:rPr>
        <w:t xml:space="preserve">for </w:t>
      </w:r>
      <w:r w:rsidR="00CD6E38" w:rsidRPr="00785E44">
        <w:rPr>
          <w:rFonts w:ascii="Arial" w:hAnsi="Arial" w:cs="Arial"/>
          <w:sz w:val="24"/>
          <w:szCs w:val="24"/>
        </w:rPr>
        <w:t>existing sources</w:t>
      </w:r>
      <w:r w:rsidR="006803A2" w:rsidRPr="00785E44">
        <w:rPr>
          <w:rFonts w:ascii="Arial" w:hAnsi="Arial" w:cs="Arial"/>
          <w:sz w:val="24"/>
          <w:szCs w:val="24"/>
        </w:rPr>
        <w:t>, known as the</w:t>
      </w:r>
      <w:r w:rsidR="003F2B7C" w:rsidRPr="00785E44">
        <w:rPr>
          <w:rFonts w:ascii="Arial" w:hAnsi="Arial" w:cs="Arial"/>
          <w:sz w:val="24"/>
          <w:szCs w:val="24"/>
        </w:rPr>
        <w:t xml:space="preserve"> Clean Power Plan</w:t>
      </w:r>
      <w:r w:rsidR="006803A2" w:rsidRPr="00785E44">
        <w:rPr>
          <w:rFonts w:ascii="Arial" w:hAnsi="Arial" w:cs="Arial"/>
          <w:sz w:val="24"/>
          <w:szCs w:val="24"/>
        </w:rPr>
        <w:t xml:space="preserve"> (</w:t>
      </w:r>
      <w:r w:rsidR="0058251A">
        <w:rPr>
          <w:rFonts w:ascii="Arial" w:hAnsi="Arial" w:cs="Arial"/>
          <w:sz w:val="24"/>
          <w:szCs w:val="24"/>
        </w:rPr>
        <w:t>“</w:t>
      </w:r>
      <w:r w:rsidR="006803A2" w:rsidRPr="00785E44">
        <w:rPr>
          <w:rFonts w:ascii="Arial" w:hAnsi="Arial" w:cs="Arial"/>
          <w:sz w:val="24"/>
          <w:szCs w:val="24"/>
        </w:rPr>
        <w:t>CPP</w:t>
      </w:r>
      <w:r w:rsidR="0058251A">
        <w:rPr>
          <w:rFonts w:ascii="Arial" w:hAnsi="Arial" w:cs="Arial"/>
          <w:sz w:val="24"/>
          <w:szCs w:val="24"/>
        </w:rPr>
        <w:t>”</w:t>
      </w:r>
      <w:r w:rsidR="003F2B7C" w:rsidRPr="00785E44">
        <w:rPr>
          <w:rFonts w:ascii="Arial" w:hAnsi="Arial" w:cs="Arial"/>
          <w:sz w:val="24"/>
          <w:szCs w:val="24"/>
        </w:rPr>
        <w:t>)</w:t>
      </w:r>
      <w:r w:rsidR="00CD6E38" w:rsidRPr="00785E44">
        <w:rPr>
          <w:rFonts w:ascii="Arial" w:hAnsi="Arial" w:cs="Arial"/>
          <w:sz w:val="24"/>
          <w:szCs w:val="24"/>
        </w:rPr>
        <w:t xml:space="preserve">. </w:t>
      </w:r>
      <w:r w:rsidR="00B96E44" w:rsidRPr="00785E44">
        <w:rPr>
          <w:rFonts w:ascii="Arial" w:hAnsi="Arial" w:cs="Arial"/>
          <w:sz w:val="24"/>
          <w:szCs w:val="24"/>
        </w:rPr>
        <w:t xml:space="preserve"> </w:t>
      </w:r>
      <w:r w:rsidR="00CD6E38" w:rsidRPr="00785E44">
        <w:rPr>
          <w:rFonts w:ascii="Arial" w:hAnsi="Arial" w:cs="Arial"/>
          <w:sz w:val="24"/>
          <w:szCs w:val="24"/>
        </w:rPr>
        <w:t>EPA also issue</w:t>
      </w:r>
      <w:r w:rsidR="00D50BDA" w:rsidRPr="00785E44">
        <w:rPr>
          <w:rFonts w:ascii="Arial" w:hAnsi="Arial" w:cs="Arial"/>
          <w:sz w:val="24"/>
          <w:szCs w:val="24"/>
        </w:rPr>
        <w:t>s</w:t>
      </w:r>
      <w:r w:rsidR="00CD6E38" w:rsidRPr="00785E44">
        <w:rPr>
          <w:rFonts w:ascii="Arial" w:hAnsi="Arial" w:cs="Arial"/>
          <w:sz w:val="24"/>
          <w:szCs w:val="24"/>
        </w:rPr>
        <w:t xml:space="preserve"> a proposed federal plan for implementing the existing source standards.</w:t>
      </w:r>
    </w:p>
    <w:p w14:paraId="6F2BBED8" w14:textId="77777777" w:rsidR="005C1094" w:rsidRPr="00785E44" w:rsidRDefault="005C1094" w:rsidP="00DB7156">
      <w:pPr>
        <w:pStyle w:val="ListParagraph"/>
        <w:jc w:val="both"/>
        <w:rPr>
          <w:rFonts w:ascii="Arial" w:hAnsi="Arial" w:cs="Arial"/>
        </w:rPr>
      </w:pPr>
    </w:p>
    <w:p w14:paraId="674F7AED" w14:textId="0DF9C998" w:rsidR="005C1094" w:rsidRPr="00785E44" w:rsidRDefault="005C1094"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August 2015</w:t>
      </w:r>
      <w:r w:rsidRPr="00785E44">
        <w:rPr>
          <w:rFonts w:ascii="Arial" w:hAnsi="Arial" w:cs="Arial"/>
          <w:sz w:val="24"/>
          <w:szCs w:val="24"/>
        </w:rPr>
        <w:t xml:space="preserve"> – EPA finalizes SO</w:t>
      </w:r>
      <w:r w:rsidRPr="00785E44">
        <w:rPr>
          <w:rFonts w:ascii="Arial" w:hAnsi="Arial" w:cs="Arial"/>
          <w:sz w:val="24"/>
          <w:szCs w:val="24"/>
          <w:vertAlign w:val="subscript"/>
        </w:rPr>
        <w:t>2</w:t>
      </w:r>
      <w:r w:rsidRPr="00785E44">
        <w:rPr>
          <w:rFonts w:ascii="Arial" w:hAnsi="Arial" w:cs="Arial"/>
          <w:sz w:val="24"/>
          <w:szCs w:val="24"/>
        </w:rPr>
        <w:t xml:space="preserve"> Data Requirements Rule</w:t>
      </w:r>
      <w:r w:rsidR="00806D0A" w:rsidRPr="00785E44">
        <w:rPr>
          <w:rFonts w:ascii="Arial" w:hAnsi="Arial" w:cs="Arial"/>
          <w:sz w:val="24"/>
          <w:szCs w:val="24"/>
        </w:rPr>
        <w:t xml:space="preserve"> requiring states to characterize air quality, either through air quality monitoring or modeling, for areas around large sources of SO</w:t>
      </w:r>
      <w:r w:rsidR="00806D0A" w:rsidRPr="00785E44">
        <w:rPr>
          <w:rFonts w:ascii="Arial" w:hAnsi="Arial" w:cs="Arial"/>
          <w:sz w:val="24"/>
          <w:szCs w:val="24"/>
          <w:vertAlign w:val="subscript"/>
        </w:rPr>
        <w:t>2</w:t>
      </w:r>
      <w:r w:rsidR="00201A6A" w:rsidRPr="00785E44">
        <w:rPr>
          <w:rFonts w:ascii="Arial" w:hAnsi="Arial" w:cs="Arial"/>
          <w:sz w:val="24"/>
          <w:szCs w:val="24"/>
        </w:rPr>
        <w:t>.</w:t>
      </w:r>
    </w:p>
    <w:p w14:paraId="24A7EE5F" w14:textId="77777777" w:rsidR="00531983" w:rsidRPr="00785E44" w:rsidRDefault="00531983" w:rsidP="00DB7156">
      <w:pPr>
        <w:pStyle w:val="ListParagraph"/>
        <w:jc w:val="both"/>
        <w:rPr>
          <w:rFonts w:ascii="Arial" w:hAnsi="Arial" w:cs="Arial"/>
          <w:b/>
        </w:rPr>
      </w:pPr>
    </w:p>
    <w:p w14:paraId="060A1C52" w14:textId="1233F4FC" w:rsidR="005C1094" w:rsidRPr="00785E44" w:rsidRDefault="00531983"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August 2015</w:t>
      </w:r>
      <w:r w:rsidRPr="00785E44">
        <w:rPr>
          <w:rFonts w:ascii="Arial" w:hAnsi="Arial" w:cs="Arial"/>
          <w:sz w:val="24"/>
          <w:szCs w:val="24"/>
        </w:rPr>
        <w:t xml:space="preserve"> – EPA publishe</w:t>
      </w:r>
      <w:r w:rsidR="00D50BDA" w:rsidRPr="00785E44">
        <w:rPr>
          <w:rFonts w:ascii="Arial" w:hAnsi="Arial" w:cs="Arial"/>
          <w:sz w:val="24"/>
          <w:szCs w:val="24"/>
        </w:rPr>
        <w:t>s</w:t>
      </w:r>
      <w:r w:rsidRPr="00785E44">
        <w:rPr>
          <w:rFonts w:ascii="Arial" w:hAnsi="Arial" w:cs="Arial"/>
          <w:sz w:val="24"/>
          <w:szCs w:val="24"/>
        </w:rPr>
        <w:t xml:space="preserve"> revised federal water quality standards</w:t>
      </w:r>
      <w:r w:rsidR="008401F4" w:rsidRPr="00785E44">
        <w:rPr>
          <w:rFonts w:ascii="Arial" w:hAnsi="Arial" w:cs="Arial"/>
          <w:sz w:val="24"/>
          <w:szCs w:val="24"/>
        </w:rPr>
        <w:t xml:space="preserve"> (</w:t>
      </w:r>
      <w:r w:rsidR="0058251A">
        <w:rPr>
          <w:rFonts w:ascii="Arial" w:hAnsi="Arial" w:cs="Arial"/>
          <w:sz w:val="24"/>
          <w:szCs w:val="24"/>
        </w:rPr>
        <w:t>“</w:t>
      </w:r>
      <w:r w:rsidR="008401F4" w:rsidRPr="00785E44">
        <w:rPr>
          <w:rFonts w:ascii="Arial" w:hAnsi="Arial" w:cs="Arial"/>
          <w:sz w:val="24"/>
          <w:szCs w:val="24"/>
        </w:rPr>
        <w:t>WQS</w:t>
      </w:r>
      <w:r w:rsidR="0058251A">
        <w:rPr>
          <w:rFonts w:ascii="Arial" w:hAnsi="Arial" w:cs="Arial"/>
          <w:sz w:val="24"/>
          <w:szCs w:val="24"/>
        </w:rPr>
        <w:t>”</w:t>
      </w:r>
      <w:r w:rsidR="008401F4" w:rsidRPr="00785E44">
        <w:rPr>
          <w:rFonts w:ascii="Arial" w:hAnsi="Arial" w:cs="Arial"/>
          <w:sz w:val="24"/>
          <w:szCs w:val="24"/>
        </w:rPr>
        <w:t>)</w:t>
      </w:r>
      <w:r w:rsidR="00201A6A" w:rsidRPr="00785E44">
        <w:rPr>
          <w:rFonts w:ascii="Arial" w:hAnsi="Arial" w:cs="Arial"/>
          <w:sz w:val="24"/>
          <w:szCs w:val="24"/>
        </w:rPr>
        <w:t>.</w:t>
      </w:r>
    </w:p>
    <w:p w14:paraId="1C85947E" w14:textId="77777777" w:rsidR="008F7DC1" w:rsidRPr="00785E44" w:rsidRDefault="008F7DC1" w:rsidP="00DB7156">
      <w:pPr>
        <w:pStyle w:val="ListParagraph"/>
        <w:jc w:val="both"/>
        <w:rPr>
          <w:rFonts w:ascii="Arial" w:hAnsi="Arial" w:cs="Arial"/>
        </w:rPr>
      </w:pPr>
    </w:p>
    <w:p w14:paraId="41D63D58" w14:textId="77777777" w:rsidR="00C45683" w:rsidRPr="00785E44" w:rsidRDefault="00C45683"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October 2015</w:t>
      </w:r>
      <w:r w:rsidRPr="00785E44">
        <w:rPr>
          <w:rFonts w:ascii="Arial" w:hAnsi="Arial" w:cs="Arial"/>
          <w:sz w:val="24"/>
          <w:szCs w:val="24"/>
        </w:rPr>
        <w:t xml:space="preserve"> – EPA revises the ozone NAAQS, lowering the 8-hour standard to 70 ppb.</w:t>
      </w:r>
    </w:p>
    <w:p w14:paraId="52FC2B17" w14:textId="77777777" w:rsidR="00C45683" w:rsidRPr="00785E44" w:rsidRDefault="00C45683" w:rsidP="00DB7156">
      <w:pPr>
        <w:pStyle w:val="ListParagraph"/>
        <w:jc w:val="both"/>
        <w:rPr>
          <w:rFonts w:ascii="Arial" w:hAnsi="Arial" w:cs="Arial"/>
        </w:rPr>
      </w:pPr>
    </w:p>
    <w:p w14:paraId="2F0DEE31" w14:textId="77777777" w:rsidR="00C45683" w:rsidRPr="00785E44" w:rsidRDefault="00C45683"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October 2015</w:t>
      </w:r>
      <w:r w:rsidRPr="00785E44">
        <w:rPr>
          <w:rFonts w:ascii="Arial" w:hAnsi="Arial" w:cs="Arial"/>
          <w:sz w:val="24"/>
          <w:szCs w:val="24"/>
        </w:rPr>
        <w:t xml:space="preserve"> – Sixth Circuit Court issues a nationwide stay of the WOTUS rule, pending final decision of appropriate court jurisdiction.</w:t>
      </w:r>
    </w:p>
    <w:p w14:paraId="03EDDE8E" w14:textId="77777777" w:rsidR="00C45683" w:rsidRPr="00785E44" w:rsidRDefault="00C45683" w:rsidP="00DB7156">
      <w:pPr>
        <w:autoSpaceDE w:val="0"/>
        <w:autoSpaceDN w:val="0"/>
        <w:adjustRightInd w:val="0"/>
        <w:spacing w:after="0" w:line="240" w:lineRule="auto"/>
        <w:ind w:left="720"/>
        <w:jc w:val="both"/>
        <w:rPr>
          <w:rFonts w:ascii="Arial" w:hAnsi="Arial" w:cs="Arial"/>
          <w:sz w:val="24"/>
          <w:szCs w:val="24"/>
        </w:rPr>
      </w:pPr>
    </w:p>
    <w:p w14:paraId="05CC5AE0" w14:textId="654C8411" w:rsidR="008F7DC1" w:rsidRPr="00785E44" w:rsidRDefault="00492212"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November </w:t>
      </w:r>
      <w:r w:rsidR="008F7DC1" w:rsidRPr="00785E44">
        <w:rPr>
          <w:rFonts w:ascii="Arial" w:hAnsi="Arial" w:cs="Arial"/>
          <w:b/>
          <w:sz w:val="24"/>
          <w:szCs w:val="24"/>
        </w:rPr>
        <w:t>2015</w:t>
      </w:r>
      <w:r w:rsidR="008F7DC1" w:rsidRPr="00785E44">
        <w:rPr>
          <w:rFonts w:ascii="Arial" w:hAnsi="Arial" w:cs="Arial"/>
          <w:sz w:val="24"/>
          <w:szCs w:val="24"/>
        </w:rPr>
        <w:t xml:space="preserve"> – EPA </w:t>
      </w:r>
      <w:r w:rsidRPr="00785E44">
        <w:rPr>
          <w:rFonts w:ascii="Arial" w:hAnsi="Arial" w:cs="Arial"/>
          <w:sz w:val="24"/>
          <w:szCs w:val="24"/>
        </w:rPr>
        <w:t xml:space="preserve">issues </w:t>
      </w:r>
      <w:r w:rsidR="00806D0A" w:rsidRPr="00785E44">
        <w:rPr>
          <w:rFonts w:ascii="Arial" w:hAnsi="Arial" w:cs="Arial"/>
          <w:sz w:val="24"/>
          <w:szCs w:val="24"/>
        </w:rPr>
        <w:t xml:space="preserve">a revision </w:t>
      </w:r>
      <w:r w:rsidR="004F7E66" w:rsidRPr="00785E44">
        <w:rPr>
          <w:rFonts w:ascii="Arial" w:hAnsi="Arial" w:cs="Arial"/>
          <w:sz w:val="24"/>
          <w:szCs w:val="24"/>
        </w:rPr>
        <w:t>to Steam</w:t>
      </w:r>
      <w:r w:rsidR="008F7DC1" w:rsidRPr="00785E44">
        <w:rPr>
          <w:rFonts w:ascii="Arial" w:hAnsi="Arial" w:cs="Arial"/>
          <w:sz w:val="24"/>
          <w:szCs w:val="24"/>
        </w:rPr>
        <w:t xml:space="preserve"> </w:t>
      </w:r>
      <w:r w:rsidR="005D4ECC" w:rsidRPr="00785E44">
        <w:rPr>
          <w:rFonts w:ascii="Arial" w:hAnsi="Arial" w:cs="Arial"/>
          <w:sz w:val="24"/>
          <w:szCs w:val="24"/>
        </w:rPr>
        <w:t>E</w:t>
      </w:r>
      <w:r w:rsidR="008F7DC1" w:rsidRPr="00785E44">
        <w:rPr>
          <w:rFonts w:ascii="Arial" w:hAnsi="Arial" w:cs="Arial"/>
          <w:sz w:val="24"/>
          <w:szCs w:val="24"/>
        </w:rPr>
        <w:t xml:space="preserve">lectric </w:t>
      </w:r>
      <w:r w:rsidR="00015F1E" w:rsidRPr="00785E44">
        <w:rPr>
          <w:rFonts w:ascii="Arial" w:hAnsi="Arial" w:cs="Arial"/>
          <w:sz w:val="24"/>
          <w:szCs w:val="24"/>
        </w:rPr>
        <w:t xml:space="preserve">ELG </w:t>
      </w:r>
      <w:r w:rsidR="00CD2D75">
        <w:rPr>
          <w:rFonts w:ascii="Arial" w:hAnsi="Arial" w:cs="Arial"/>
          <w:sz w:val="24"/>
          <w:szCs w:val="24"/>
        </w:rPr>
        <w:t>R</w:t>
      </w:r>
      <w:r w:rsidR="008F7DC1" w:rsidRPr="00785E44">
        <w:rPr>
          <w:rFonts w:ascii="Arial" w:hAnsi="Arial" w:cs="Arial"/>
          <w:sz w:val="24"/>
          <w:szCs w:val="24"/>
        </w:rPr>
        <w:t>ule for wastewater discharges</w:t>
      </w:r>
      <w:r w:rsidR="0080144F" w:rsidRPr="00785E44">
        <w:rPr>
          <w:rFonts w:ascii="Arial" w:hAnsi="Arial" w:cs="Arial"/>
          <w:sz w:val="24"/>
          <w:szCs w:val="24"/>
        </w:rPr>
        <w:t xml:space="preserve"> </w:t>
      </w:r>
      <w:r w:rsidR="003F59D2">
        <w:rPr>
          <w:rFonts w:ascii="Arial" w:hAnsi="Arial" w:cs="Arial"/>
          <w:sz w:val="24"/>
          <w:szCs w:val="24"/>
        </w:rPr>
        <w:t>from new and</w:t>
      </w:r>
      <w:r w:rsidR="003F59D2" w:rsidRPr="00785E44">
        <w:rPr>
          <w:rFonts w:ascii="Arial" w:hAnsi="Arial" w:cs="Arial"/>
          <w:sz w:val="24"/>
          <w:szCs w:val="24"/>
        </w:rPr>
        <w:t xml:space="preserve"> </w:t>
      </w:r>
      <w:r w:rsidR="0080144F" w:rsidRPr="00785E44">
        <w:rPr>
          <w:rFonts w:ascii="Arial" w:hAnsi="Arial" w:cs="Arial"/>
          <w:sz w:val="24"/>
          <w:szCs w:val="24"/>
        </w:rPr>
        <w:t>existing coal-fired power plants</w:t>
      </w:r>
      <w:r w:rsidR="00201A6A" w:rsidRPr="00785E44">
        <w:rPr>
          <w:rFonts w:ascii="Arial" w:hAnsi="Arial" w:cs="Arial"/>
          <w:sz w:val="24"/>
          <w:szCs w:val="24"/>
        </w:rPr>
        <w:t>.</w:t>
      </w:r>
    </w:p>
    <w:p w14:paraId="75CCAC4E" w14:textId="0AE76D34" w:rsidR="00C7612C" w:rsidRPr="00785E44" w:rsidRDefault="00C7612C" w:rsidP="00DB7156">
      <w:pPr>
        <w:pStyle w:val="ListParagraph"/>
        <w:jc w:val="both"/>
        <w:rPr>
          <w:rFonts w:ascii="Arial" w:hAnsi="Arial" w:cs="Arial"/>
        </w:rPr>
      </w:pPr>
    </w:p>
    <w:p w14:paraId="017EBAB0" w14:textId="52968844" w:rsidR="00C7612C" w:rsidRPr="00785E44" w:rsidRDefault="00C7612C"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November 2015</w:t>
      </w:r>
      <w:r w:rsidRPr="00785E44">
        <w:rPr>
          <w:rFonts w:ascii="Arial" w:hAnsi="Arial" w:cs="Arial"/>
          <w:sz w:val="24"/>
          <w:szCs w:val="24"/>
        </w:rPr>
        <w:t xml:space="preserve"> – EPA finalizes IB MACT</w:t>
      </w:r>
      <w:r w:rsidR="00FE4F36" w:rsidRPr="00785E44">
        <w:rPr>
          <w:rFonts w:ascii="Arial" w:hAnsi="Arial" w:cs="Arial"/>
          <w:sz w:val="24"/>
          <w:szCs w:val="24"/>
        </w:rPr>
        <w:t xml:space="preserve"> </w:t>
      </w:r>
      <w:r w:rsidR="00C502C9" w:rsidRPr="00785E44">
        <w:rPr>
          <w:rFonts w:ascii="Arial" w:hAnsi="Arial" w:cs="Arial"/>
          <w:sz w:val="24"/>
          <w:szCs w:val="24"/>
        </w:rPr>
        <w:t xml:space="preserve">Reconsideration </w:t>
      </w:r>
      <w:r w:rsidR="00FE4F36" w:rsidRPr="00785E44">
        <w:rPr>
          <w:rFonts w:ascii="Arial" w:hAnsi="Arial" w:cs="Arial"/>
          <w:sz w:val="24"/>
          <w:szCs w:val="24"/>
        </w:rPr>
        <w:t>for major sources</w:t>
      </w:r>
      <w:r w:rsidR="00015F1E" w:rsidRPr="00785E44">
        <w:rPr>
          <w:rFonts w:ascii="Arial" w:hAnsi="Arial" w:cs="Arial"/>
          <w:sz w:val="24"/>
          <w:szCs w:val="24"/>
        </w:rPr>
        <w:t>.</w:t>
      </w:r>
    </w:p>
    <w:p w14:paraId="07D8C8D7" w14:textId="77777777" w:rsidR="00881A80" w:rsidRPr="00785E44" w:rsidRDefault="00881A80" w:rsidP="00DB7156">
      <w:pPr>
        <w:pStyle w:val="ListParagraph"/>
        <w:jc w:val="both"/>
        <w:rPr>
          <w:rFonts w:ascii="Arial" w:hAnsi="Arial" w:cs="Arial"/>
        </w:rPr>
      </w:pPr>
    </w:p>
    <w:p w14:paraId="0F086290" w14:textId="4809183E" w:rsidR="002662E4" w:rsidRPr="00785E44" w:rsidRDefault="00507165"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December 2015</w:t>
      </w:r>
      <w:r w:rsidRPr="00785E44">
        <w:rPr>
          <w:rFonts w:ascii="Arial" w:hAnsi="Arial" w:cs="Arial"/>
          <w:sz w:val="24"/>
          <w:szCs w:val="24"/>
        </w:rPr>
        <w:t xml:space="preserve"> – EPA proposes supplemental appropriate and necessary finding for MATS.</w:t>
      </w:r>
      <w:r w:rsidR="008401F4" w:rsidRPr="00785E44">
        <w:rPr>
          <w:rFonts w:ascii="Arial" w:hAnsi="Arial" w:cs="Arial"/>
          <w:sz w:val="24"/>
          <w:szCs w:val="24"/>
        </w:rPr>
        <w:t xml:space="preserve"> </w:t>
      </w:r>
      <w:r w:rsidRPr="00785E44">
        <w:rPr>
          <w:rFonts w:ascii="Arial" w:hAnsi="Arial" w:cs="Arial"/>
          <w:sz w:val="24"/>
          <w:szCs w:val="24"/>
        </w:rPr>
        <w:t xml:space="preserve">D.C. Circuit </w:t>
      </w:r>
      <w:r w:rsidR="003652A6" w:rsidRPr="00785E44">
        <w:rPr>
          <w:rFonts w:ascii="Arial" w:hAnsi="Arial" w:cs="Arial"/>
          <w:sz w:val="24"/>
          <w:szCs w:val="24"/>
        </w:rPr>
        <w:t xml:space="preserve">Court </w:t>
      </w:r>
      <w:r w:rsidRPr="00785E44">
        <w:rPr>
          <w:rFonts w:ascii="Arial" w:hAnsi="Arial" w:cs="Arial"/>
          <w:sz w:val="24"/>
          <w:szCs w:val="24"/>
        </w:rPr>
        <w:t xml:space="preserve">remands MATS </w:t>
      </w:r>
      <w:r w:rsidR="005B6800" w:rsidRPr="00785E44">
        <w:rPr>
          <w:rFonts w:ascii="Arial" w:hAnsi="Arial" w:cs="Arial"/>
          <w:sz w:val="24"/>
          <w:szCs w:val="24"/>
        </w:rPr>
        <w:t>R</w:t>
      </w:r>
      <w:r w:rsidRPr="00785E44">
        <w:rPr>
          <w:rFonts w:ascii="Arial" w:hAnsi="Arial" w:cs="Arial"/>
          <w:sz w:val="24"/>
          <w:szCs w:val="24"/>
        </w:rPr>
        <w:t>ule to EPA without vacatur</w:t>
      </w:r>
      <w:r w:rsidR="000215AC" w:rsidRPr="00785E44">
        <w:rPr>
          <w:rFonts w:ascii="Arial" w:hAnsi="Arial" w:cs="Arial"/>
          <w:sz w:val="24"/>
          <w:szCs w:val="24"/>
        </w:rPr>
        <w:t xml:space="preserve"> to consider cost</w:t>
      </w:r>
      <w:r w:rsidRPr="00785E44">
        <w:rPr>
          <w:rFonts w:ascii="Arial" w:hAnsi="Arial" w:cs="Arial"/>
          <w:sz w:val="24"/>
          <w:szCs w:val="24"/>
        </w:rPr>
        <w:t>.</w:t>
      </w:r>
    </w:p>
    <w:p w14:paraId="12C5969D" w14:textId="77777777" w:rsidR="006719A7" w:rsidRPr="00785E44" w:rsidRDefault="006719A7" w:rsidP="00DB7156">
      <w:pPr>
        <w:pStyle w:val="ListParagraph"/>
        <w:jc w:val="both"/>
        <w:rPr>
          <w:rFonts w:ascii="Arial" w:hAnsi="Arial" w:cs="Arial"/>
        </w:rPr>
      </w:pPr>
    </w:p>
    <w:p w14:paraId="6122CC66" w14:textId="754A6962" w:rsidR="002662E4" w:rsidRPr="00785E44" w:rsidRDefault="002662E4" w:rsidP="00DB7156">
      <w:pPr>
        <w:pStyle w:val="ListParagraph"/>
        <w:numPr>
          <w:ilvl w:val="0"/>
          <w:numId w:val="2"/>
        </w:numPr>
        <w:jc w:val="both"/>
        <w:rPr>
          <w:rFonts w:ascii="Arial" w:hAnsi="Arial" w:cs="Arial"/>
          <w:b/>
        </w:rPr>
      </w:pPr>
      <w:r w:rsidRPr="00785E44">
        <w:rPr>
          <w:rFonts w:ascii="Arial" w:hAnsi="Arial" w:cs="Arial"/>
          <w:b/>
        </w:rPr>
        <w:t xml:space="preserve">January 2016 </w:t>
      </w:r>
      <w:r w:rsidRPr="00785E44">
        <w:rPr>
          <w:rFonts w:ascii="Arial" w:hAnsi="Arial" w:cs="Arial"/>
        </w:rPr>
        <w:t xml:space="preserve">– D.C. Circuit </w:t>
      </w:r>
      <w:r w:rsidR="006626D0" w:rsidRPr="00785E44">
        <w:rPr>
          <w:rFonts w:ascii="Arial" w:hAnsi="Arial" w:cs="Arial"/>
        </w:rPr>
        <w:t xml:space="preserve">Court </w:t>
      </w:r>
      <w:r w:rsidRPr="00785E44">
        <w:rPr>
          <w:rFonts w:ascii="Arial" w:hAnsi="Arial" w:cs="Arial"/>
        </w:rPr>
        <w:t>denie</w:t>
      </w:r>
      <w:r w:rsidR="00C52FEF" w:rsidRPr="00785E44">
        <w:rPr>
          <w:rFonts w:ascii="Arial" w:hAnsi="Arial" w:cs="Arial"/>
        </w:rPr>
        <w:t>s</w:t>
      </w:r>
      <w:r w:rsidRPr="00785E44">
        <w:rPr>
          <w:rFonts w:ascii="Arial" w:hAnsi="Arial" w:cs="Arial"/>
        </w:rPr>
        <w:t xml:space="preserve"> requests to stay the </w:t>
      </w:r>
      <w:r w:rsidR="001C5326" w:rsidRPr="00785E44">
        <w:rPr>
          <w:rFonts w:ascii="Arial" w:hAnsi="Arial" w:cs="Arial"/>
        </w:rPr>
        <w:t>CPP</w:t>
      </w:r>
      <w:r w:rsidRPr="00785E44">
        <w:rPr>
          <w:rFonts w:ascii="Arial" w:hAnsi="Arial" w:cs="Arial"/>
        </w:rPr>
        <w:t>, but grant</w:t>
      </w:r>
      <w:r w:rsidR="00C52FEF" w:rsidRPr="00785E44">
        <w:rPr>
          <w:rFonts w:ascii="Arial" w:hAnsi="Arial" w:cs="Arial"/>
        </w:rPr>
        <w:t>s</w:t>
      </w:r>
      <w:r w:rsidRPr="00785E44">
        <w:rPr>
          <w:rFonts w:ascii="Arial" w:hAnsi="Arial" w:cs="Arial"/>
        </w:rPr>
        <w:t xml:space="preserve"> an </w:t>
      </w:r>
      <w:r w:rsidR="00F02CF4" w:rsidRPr="00785E44">
        <w:rPr>
          <w:rFonts w:ascii="Arial" w:hAnsi="Arial" w:cs="Arial"/>
        </w:rPr>
        <w:t xml:space="preserve">expedited </w:t>
      </w:r>
      <w:r w:rsidRPr="00785E44">
        <w:rPr>
          <w:rFonts w:ascii="Arial" w:hAnsi="Arial" w:cs="Arial"/>
        </w:rPr>
        <w:t>schedule for hearing the case.</w:t>
      </w:r>
    </w:p>
    <w:p w14:paraId="767A73E0" w14:textId="77777777" w:rsidR="00E856E1" w:rsidRPr="00785E44" w:rsidRDefault="00E856E1" w:rsidP="00DB7156">
      <w:pPr>
        <w:pStyle w:val="ListParagraph"/>
        <w:jc w:val="both"/>
        <w:rPr>
          <w:rFonts w:ascii="Arial" w:hAnsi="Arial" w:cs="Arial"/>
          <w:b/>
        </w:rPr>
      </w:pPr>
    </w:p>
    <w:p w14:paraId="76364598" w14:textId="22BBD2E8" w:rsidR="00E856E1" w:rsidRPr="00785E44" w:rsidRDefault="00E856E1" w:rsidP="00DB7156">
      <w:pPr>
        <w:pStyle w:val="ListParagraph"/>
        <w:numPr>
          <w:ilvl w:val="0"/>
          <w:numId w:val="2"/>
        </w:numPr>
        <w:jc w:val="both"/>
        <w:rPr>
          <w:rFonts w:ascii="Arial" w:hAnsi="Arial" w:cs="Arial"/>
          <w:b/>
        </w:rPr>
      </w:pPr>
      <w:r w:rsidRPr="00785E44">
        <w:rPr>
          <w:rFonts w:ascii="Arial" w:hAnsi="Arial" w:cs="Arial"/>
          <w:b/>
        </w:rPr>
        <w:t xml:space="preserve">February 2016 </w:t>
      </w:r>
      <w:r w:rsidRPr="00785E44">
        <w:rPr>
          <w:rFonts w:ascii="Arial" w:hAnsi="Arial" w:cs="Arial"/>
        </w:rPr>
        <w:t>– U.S. Supreme Court grants requests to stay the CPP.</w:t>
      </w:r>
    </w:p>
    <w:p w14:paraId="2F119A07" w14:textId="77777777" w:rsidR="00D340D3" w:rsidRPr="00785E44" w:rsidRDefault="00D340D3" w:rsidP="00DB7156">
      <w:pPr>
        <w:pStyle w:val="ListParagraph"/>
        <w:jc w:val="both"/>
        <w:rPr>
          <w:rFonts w:ascii="Arial" w:hAnsi="Arial" w:cs="Arial"/>
          <w:b/>
        </w:rPr>
      </w:pPr>
    </w:p>
    <w:p w14:paraId="7780D61E" w14:textId="7656980E" w:rsidR="00C34170" w:rsidRPr="00785E44" w:rsidRDefault="00C34170" w:rsidP="00DB7156">
      <w:pPr>
        <w:pStyle w:val="ListParagraph"/>
        <w:numPr>
          <w:ilvl w:val="0"/>
          <w:numId w:val="2"/>
        </w:numPr>
        <w:jc w:val="both"/>
        <w:rPr>
          <w:rFonts w:ascii="Arial" w:hAnsi="Arial" w:cs="Arial"/>
          <w:b/>
        </w:rPr>
      </w:pPr>
      <w:r w:rsidRPr="00785E44">
        <w:rPr>
          <w:rFonts w:ascii="Arial" w:hAnsi="Arial" w:cs="Arial"/>
          <w:b/>
        </w:rPr>
        <w:t>February 2016</w:t>
      </w:r>
      <w:r w:rsidRPr="00785E44">
        <w:rPr>
          <w:rFonts w:ascii="Arial" w:hAnsi="Arial" w:cs="Arial"/>
        </w:rPr>
        <w:t xml:space="preserve"> – EPA </w:t>
      </w:r>
      <w:r w:rsidR="000919A6" w:rsidRPr="00785E44">
        <w:rPr>
          <w:rFonts w:ascii="Arial" w:hAnsi="Arial" w:cs="Arial"/>
        </w:rPr>
        <w:t xml:space="preserve">redesignates </w:t>
      </w:r>
      <w:r w:rsidRPr="00785E44">
        <w:rPr>
          <w:rFonts w:ascii="Arial" w:hAnsi="Arial" w:cs="Arial"/>
        </w:rPr>
        <w:t>the Atlanta area to attainment of the 1997 annual PM</w:t>
      </w:r>
      <w:r w:rsidRPr="00785E44">
        <w:rPr>
          <w:rFonts w:ascii="Arial" w:hAnsi="Arial" w:cs="Arial"/>
          <w:vertAlign w:val="subscript"/>
        </w:rPr>
        <w:t>2.5</w:t>
      </w:r>
      <w:r w:rsidRPr="00785E44">
        <w:rPr>
          <w:rFonts w:ascii="Arial" w:hAnsi="Arial" w:cs="Arial"/>
        </w:rPr>
        <w:t xml:space="preserve"> NAAQS.</w:t>
      </w:r>
    </w:p>
    <w:p w14:paraId="7FE1583E" w14:textId="77777777" w:rsidR="00C34170" w:rsidRPr="00785E44" w:rsidRDefault="00C34170" w:rsidP="00DB7156">
      <w:pPr>
        <w:pStyle w:val="ListParagraph"/>
        <w:jc w:val="both"/>
        <w:rPr>
          <w:rFonts w:ascii="Arial" w:hAnsi="Arial" w:cs="Arial"/>
          <w:b/>
        </w:rPr>
      </w:pPr>
    </w:p>
    <w:p w14:paraId="2B046903" w14:textId="0A764D51" w:rsidR="00D340D3" w:rsidRPr="00785E44" w:rsidRDefault="00D340D3" w:rsidP="00DB7156">
      <w:pPr>
        <w:pStyle w:val="ListParagraph"/>
        <w:numPr>
          <w:ilvl w:val="0"/>
          <w:numId w:val="2"/>
        </w:numPr>
        <w:jc w:val="both"/>
        <w:rPr>
          <w:rFonts w:ascii="Arial" w:hAnsi="Arial" w:cs="Arial"/>
          <w:b/>
        </w:rPr>
      </w:pPr>
      <w:r w:rsidRPr="00785E44">
        <w:rPr>
          <w:rFonts w:ascii="Arial" w:hAnsi="Arial" w:cs="Arial"/>
          <w:b/>
        </w:rPr>
        <w:t>April 2016</w:t>
      </w:r>
      <w:r w:rsidRPr="00785E44">
        <w:rPr>
          <w:rFonts w:ascii="Arial" w:hAnsi="Arial" w:cs="Arial"/>
        </w:rPr>
        <w:t xml:space="preserve"> – EPA finalizes MATS Technical Corrections rule.</w:t>
      </w:r>
    </w:p>
    <w:p w14:paraId="7B075BB0" w14:textId="77777777" w:rsidR="00D340D3" w:rsidRPr="00785E44" w:rsidRDefault="00D340D3" w:rsidP="00DB7156">
      <w:pPr>
        <w:pStyle w:val="ListParagraph"/>
        <w:jc w:val="both"/>
        <w:rPr>
          <w:rFonts w:ascii="Arial" w:hAnsi="Arial" w:cs="Arial"/>
          <w:b/>
        </w:rPr>
      </w:pPr>
    </w:p>
    <w:p w14:paraId="046E35E1" w14:textId="7DAE1E46" w:rsidR="00D340D3" w:rsidRPr="00785E44" w:rsidRDefault="00D340D3" w:rsidP="00DB7156">
      <w:pPr>
        <w:pStyle w:val="ListParagraph"/>
        <w:numPr>
          <w:ilvl w:val="0"/>
          <w:numId w:val="2"/>
        </w:numPr>
        <w:jc w:val="both"/>
        <w:rPr>
          <w:rFonts w:ascii="Arial" w:hAnsi="Arial" w:cs="Arial"/>
          <w:b/>
        </w:rPr>
      </w:pPr>
      <w:r w:rsidRPr="00785E44">
        <w:rPr>
          <w:rFonts w:ascii="Arial" w:hAnsi="Arial" w:cs="Arial"/>
          <w:b/>
        </w:rPr>
        <w:t>April 2016</w:t>
      </w:r>
      <w:r w:rsidRPr="00785E44">
        <w:rPr>
          <w:rFonts w:ascii="Arial" w:hAnsi="Arial" w:cs="Arial"/>
        </w:rPr>
        <w:t xml:space="preserve"> – EPA finalizes MATS supplemental “appropriate and necessary” finding addressing cost.</w:t>
      </w:r>
    </w:p>
    <w:p w14:paraId="52EB37F5" w14:textId="166F4D44" w:rsidR="001A36B7" w:rsidRPr="00785E44" w:rsidRDefault="001A36B7" w:rsidP="00DB7156">
      <w:pPr>
        <w:pStyle w:val="ListParagraph"/>
        <w:jc w:val="both"/>
        <w:rPr>
          <w:rFonts w:ascii="Arial" w:hAnsi="Arial" w:cs="Arial"/>
          <w:b/>
        </w:rPr>
      </w:pPr>
    </w:p>
    <w:p w14:paraId="1A96D311" w14:textId="795FDE8F" w:rsidR="00E856E1" w:rsidRPr="00785E44" w:rsidRDefault="00E856E1" w:rsidP="00DB7156">
      <w:pPr>
        <w:pStyle w:val="ListParagraph"/>
        <w:numPr>
          <w:ilvl w:val="0"/>
          <w:numId w:val="2"/>
        </w:numPr>
        <w:jc w:val="both"/>
        <w:rPr>
          <w:rFonts w:ascii="Arial" w:hAnsi="Arial" w:cs="Arial"/>
          <w:b/>
        </w:rPr>
      </w:pPr>
      <w:r w:rsidRPr="00785E44">
        <w:rPr>
          <w:rFonts w:ascii="Arial" w:hAnsi="Arial" w:cs="Arial"/>
          <w:b/>
        </w:rPr>
        <w:t xml:space="preserve">June 2016 </w:t>
      </w:r>
      <w:r w:rsidRPr="00785E44">
        <w:rPr>
          <w:rFonts w:ascii="Arial" w:hAnsi="Arial" w:cs="Arial"/>
        </w:rPr>
        <w:t xml:space="preserve">– EPA proposes the Clean Energy </w:t>
      </w:r>
      <w:r w:rsidR="00365F31" w:rsidRPr="00785E44">
        <w:rPr>
          <w:rFonts w:ascii="Arial" w:hAnsi="Arial" w:cs="Arial"/>
        </w:rPr>
        <w:t>Incentive</w:t>
      </w:r>
      <w:r w:rsidRPr="00785E44">
        <w:rPr>
          <w:rFonts w:ascii="Arial" w:hAnsi="Arial" w:cs="Arial"/>
        </w:rPr>
        <w:t xml:space="preserve"> Program (</w:t>
      </w:r>
      <w:r w:rsidR="0058251A">
        <w:rPr>
          <w:rFonts w:ascii="Arial" w:hAnsi="Arial" w:cs="Arial"/>
        </w:rPr>
        <w:t>“</w:t>
      </w:r>
      <w:r w:rsidRPr="00785E44">
        <w:rPr>
          <w:rFonts w:ascii="Arial" w:hAnsi="Arial" w:cs="Arial"/>
        </w:rPr>
        <w:t>CEIP</w:t>
      </w:r>
      <w:r w:rsidR="0058251A">
        <w:rPr>
          <w:rFonts w:ascii="Arial" w:hAnsi="Arial" w:cs="Arial"/>
        </w:rPr>
        <w:t>”</w:t>
      </w:r>
      <w:r w:rsidR="008401F4" w:rsidRPr="00785E44">
        <w:rPr>
          <w:rFonts w:ascii="Arial" w:hAnsi="Arial" w:cs="Arial"/>
        </w:rPr>
        <w:t>)</w:t>
      </w:r>
      <w:r w:rsidR="006719A7" w:rsidRPr="00785E44">
        <w:rPr>
          <w:rFonts w:ascii="Arial" w:hAnsi="Arial" w:cs="Arial"/>
        </w:rPr>
        <w:t>, a voluntary, early action program associated with the CPP</w:t>
      </w:r>
      <w:r w:rsidRPr="00785E44">
        <w:rPr>
          <w:rFonts w:ascii="Arial" w:hAnsi="Arial" w:cs="Arial"/>
        </w:rPr>
        <w:t>.</w:t>
      </w:r>
    </w:p>
    <w:p w14:paraId="3A3F0D75" w14:textId="4D803272" w:rsidR="00825FE8" w:rsidRPr="00785E44" w:rsidRDefault="00825FE8" w:rsidP="00DB7156">
      <w:pPr>
        <w:pStyle w:val="ListParagraph"/>
        <w:jc w:val="both"/>
        <w:rPr>
          <w:rFonts w:ascii="Arial" w:hAnsi="Arial" w:cs="Arial"/>
          <w:b/>
        </w:rPr>
      </w:pPr>
    </w:p>
    <w:p w14:paraId="30BE27E4" w14:textId="30DC5D03" w:rsidR="0032442C" w:rsidRPr="00785E44" w:rsidRDefault="0032442C" w:rsidP="00DB7156">
      <w:pPr>
        <w:pStyle w:val="ListParagraph"/>
        <w:numPr>
          <w:ilvl w:val="0"/>
          <w:numId w:val="2"/>
        </w:numPr>
        <w:jc w:val="both"/>
        <w:rPr>
          <w:rFonts w:ascii="Arial" w:hAnsi="Arial" w:cs="Arial"/>
        </w:rPr>
      </w:pPr>
      <w:r w:rsidRPr="00785E44">
        <w:rPr>
          <w:rFonts w:ascii="Arial" w:hAnsi="Arial" w:cs="Arial"/>
          <w:b/>
        </w:rPr>
        <w:t xml:space="preserve">July 2016 – </w:t>
      </w:r>
      <w:r w:rsidRPr="00785E44">
        <w:rPr>
          <w:rFonts w:ascii="Arial" w:hAnsi="Arial" w:cs="Arial"/>
        </w:rPr>
        <w:t xml:space="preserve">EPA </w:t>
      </w:r>
      <w:r w:rsidR="002769D4" w:rsidRPr="00785E44">
        <w:rPr>
          <w:rFonts w:ascii="Arial" w:hAnsi="Arial" w:cs="Arial"/>
        </w:rPr>
        <w:t xml:space="preserve">completes </w:t>
      </w:r>
      <w:r w:rsidR="000C52FB" w:rsidRPr="00785E44">
        <w:rPr>
          <w:rFonts w:ascii="Arial" w:hAnsi="Arial" w:cs="Arial"/>
        </w:rPr>
        <w:t xml:space="preserve">the </w:t>
      </w:r>
      <w:r w:rsidR="000B0AAC" w:rsidRPr="00785E44">
        <w:rPr>
          <w:rFonts w:ascii="Arial" w:hAnsi="Arial" w:cs="Arial"/>
        </w:rPr>
        <w:t>second</w:t>
      </w:r>
      <w:r w:rsidR="002769D4" w:rsidRPr="00785E44">
        <w:rPr>
          <w:rFonts w:ascii="Arial" w:hAnsi="Arial" w:cs="Arial"/>
        </w:rPr>
        <w:t xml:space="preserve"> round of</w:t>
      </w:r>
      <w:r w:rsidR="00662AC9" w:rsidRPr="00785E44">
        <w:rPr>
          <w:rFonts w:ascii="Arial" w:hAnsi="Arial" w:cs="Arial"/>
        </w:rPr>
        <w:t xml:space="preserve"> designations for the </w:t>
      </w:r>
      <w:r w:rsidR="000C52FB" w:rsidRPr="00785E44">
        <w:rPr>
          <w:rFonts w:ascii="Arial" w:hAnsi="Arial" w:cs="Arial"/>
        </w:rPr>
        <w:t>2010</w:t>
      </w:r>
      <w:r w:rsidR="00662AC9" w:rsidRPr="00785E44">
        <w:rPr>
          <w:rFonts w:ascii="Arial" w:hAnsi="Arial" w:cs="Arial"/>
        </w:rPr>
        <w:t xml:space="preserve"> SO</w:t>
      </w:r>
      <w:r w:rsidR="00662AC9" w:rsidRPr="00785E44">
        <w:rPr>
          <w:rFonts w:ascii="Arial" w:hAnsi="Arial" w:cs="Arial"/>
          <w:vertAlign w:val="subscript"/>
        </w:rPr>
        <w:t>2</w:t>
      </w:r>
      <w:r w:rsidR="00662AC9" w:rsidRPr="00785E44">
        <w:rPr>
          <w:rFonts w:ascii="Arial" w:hAnsi="Arial" w:cs="Arial"/>
        </w:rPr>
        <w:t xml:space="preserve"> NAAQS</w:t>
      </w:r>
      <w:r w:rsidR="000C52FB" w:rsidRPr="00785E44">
        <w:rPr>
          <w:rFonts w:ascii="Arial" w:hAnsi="Arial" w:cs="Arial"/>
        </w:rPr>
        <w:t xml:space="preserve"> for additional areas of the country</w:t>
      </w:r>
      <w:r w:rsidRPr="00785E44">
        <w:rPr>
          <w:rFonts w:ascii="Arial" w:hAnsi="Arial" w:cs="Arial"/>
        </w:rPr>
        <w:t>.</w:t>
      </w:r>
    </w:p>
    <w:p w14:paraId="1B506035" w14:textId="77777777" w:rsidR="002361C5" w:rsidRPr="00785E44" w:rsidRDefault="002361C5" w:rsidP="00DB7156">
      <w:pPr>
        <w:pStyle w:val="ListParagraph"/>
        <w:jc w:val="both"/>
        <w:rPr>
          <w:rFonts w:ascii="Arial" w:hAnsi="Arial" w:cs="Arial"/>
        </w:rPr>
      </w:pPr>
    </w:p>
    <w:p w14:paraId="4F9EF732" w14:textId="5EC19E73" w:rsidR="002361C5" w:rsidRPr="00785E44" w:rsidRDefault="002361C5" w:rsidP="00DB7156">
      <w:pPr>
        <w:pStyle w:val="ListParagraph"/>
        <w:numPr>
          <w:ilvl w:val="0"/>
          <w:numId w:val="2"/>
        </w:numPr>
        <w:jc w:val="both"/>
        <w:rPr>
          <w:rFonts w:ascii="Arial" w:hAnsi="Arial" w:cs="Arial"/>
        </w:rPr>
      </w:pPr>
      <w:r w:rsidRPr="00785E44">
        <w:rPr>
          <w:rFonts w:ascii="Arial" w:hAnsi="Arial" w:cs="Arial"/>
          <w:b/>
        </w:rPr>
        <w:t>July 2016</w:t>
      </w:r>
      <w:r w:rsidRPr="00785E44">
        <w:rPr>
          <w:rFonts w:ascii="Arial" w:hAnsi="Arial" w:cs="Arial"/>
        </w:rPr>
        <w:t xml:space="preserve"> – EPA revise</w:t>
      </w:r>
      <w:r w:rsidR="00D50BDA" w:rsidRPr="00785E44">
        <w:rPr>
          <w:rFonts w:ascii="Arial" w:hAnsi="Arial" w:cs="Arial"/>
        </w:rPr>
        <w:t>s</w:t>
      </w:r>
      <w:r w:rsidRPr="00785E44">
        <w:rPr>
          <w:rFonts w:ascii="Arial" w:hAnsi="Arial" w:cs="Arial"/>
        </w:rPr>
        <w:t xml:space="preserve"> the selenium aquatic life water quality criteria</w:t>
      </w:r>
      <w:r w:rsidR="006A391A" w:rsidRPr="00785E44">
        <w:rPr>
          <w:rFonts w:ascii="Arial" w:hAnsi="Arial" w:cs="Arial"/>
        </w:rPr>
        <w:t xml:space="preserve">. </w:t>
      </w:r>
    </w:p>
    <w:p w14:paraId="29047574" w14:textId="77777777" w:rsidR="00B64BFD" w:rsidRPr="00785E44" w:rsidRDefault="00B64BFD" w:rsidP="00DB7156">
      <w:pPr>
        <w:pStyle w:val="ListParagraph"/>
        <w:jc w:val="both"/>
        <w:rPr>
          <w:rFonts w:ascii="Arial" w:hAnsi="Arial" w:cs="Arial"/>
        </w:rPr>
      </w:pPr>
    </w:p>
    <w:p w14:paraId="7E309657" w14:textId="25F31F7C" w:rsidR="00B64BFD" w:rsidRPr="00785E44" w:rsidRDefault="00B64BFD" w:rsidP="00DB7156">
      <w:pPr>
        <w:pStyle w:val="ListParagraph"/>
        <w:numPr>
          <w:ilvl w:val="0"/>
          <w:numId w:val="2"/>
        </w:numPr>
        <w:jc w:val="both"/>
        <w:rPr>
          <w:rFonts w:ascii="Arial" w:hAnsi="Arial" w:cs="Arial"/>
        </w:rPr>
      </w:pPr>
      <w:r w:rsidRPr="00785E44">
        <w:rPr>
          <w:rFonts w:ascii="Arial" w:hAnsi="Arial" w:cs="Arial"/>
          <w:b/>
        </w:rPr>
        <w:t>August 2016</w:t>
      </w:r>
      <w:r w:rsidRPr="00785E44">
        <w:rPr>
          <w:rFonts w:ascii="Arial" w:hAnsi="Arial" w:cs="Arial"/>
        </w:rPr>
        <w:t xml:space="preserve"> – EPA publishe</w:t>
      </w:r>
      <w:r w:rsidR="003874F5" w:rsidRPr="00785E44">
        <w:rPr>
          <w:rFonts w:ascii="Arial" w:hAnsi="Arial" w:cs="Arial"/>
        </w:rPr>
        <w:t xml:space="preserve">s </w:t>
      </w:r>
      <w:r w:rsidRPr="00785E44">
        <w:rPr>
          <w:rFonts w:ascii="Arial" w:hAnsi="Arial" w:cs="Arial"/>
        </w:rPr>
        <w:t xml:space="preserve">the </w:t>
      </w:r>
      <w:r w:rsidR="003874F5" w:rsidRPr="00785E44">
        <w:rPr>
          <w:rFonts w:ascii="Arial" w:hAnsi="Arial" w:cs="Arial"/>
        </w:rPr>
        <w:t xml:space="preserve">final </w:t>
      </w:r>
      <w:r w:rsidRPr="00785E44">
        <w:rPr>
          <w:rFonts w:ascii="Arial" w:hAnsi="Arial" w:cs="Arial"/>
        </w:rPr>
        <w:t>CCR Extension Rule</w:t>
      </w:r>
      <w:r w:rsidR="00C52FEF" w:rsidRPr="00785E44">
        <w:rPr>
          <w:rFonts w:ascii="Arial" w:hAnsi="Arial" w:cs="Arial"/>
        </w:rPr>
        <w:t xml:space="preserve"> </w:t>
      </w:r>
      <w:r w:rsidR="006626D0" w:rsidRPr="00785E44">
        <w:rPr>
          <w:rFonts w:ascii="Arial" w:hAnsi="Arial" w:cs="Arial"/>
          <w:lang w:val="en"/>
        </w:rPr>
        <w:t>for certain inactive CCR surface impoundments</w:t>
      </w:r>
      <w:r w:rsidR="006D00F1" w:rsidRPr="00785E44">
        <w:rPr>
          <w:rFonts w:ascii="Arial" w:hAnsi="Arial" w:cs="Arial"/>
          <w:lang w:val="en"/>
        </w:rPr>
        <w:t>.</w:t>
      </w:r>
    </w:p>
    <w:p w14:paraId="105E8CC8" w14:textId="77777777" w:rsidR="001D6AD5" w:rsidRPr="00785E44" w:rsidRDefault="001D6AD5" w:rsidP="00DB7156">
      <w:pPr>
        <w:pStyle w:val="ListParagraph"/>
        <w:jc w:val="both"/>
        <w:rPr>
          <w:rFonts w:ascii="Arial" w:hAnsi="Arial" w:cs="Arial"/>
        </w:rPr>
      </w:pPr>
    </w:p>
    <w:p w14:paraId="1D1FB3DF" w14:textId="1F0CAA8F" w:rsidR="002147C4" w:rsidRPr="00785E44" w:rsidRDefault="002147C4" w:rsidP="00DB7156">
      <w:pPr>
        <w:pStyle w:val="ListParagraph"/>
        <w:numPr>
          <w:ilvl w:val="0"/>
          <w:numId w:val="2"/>
        </w:numPr>
        <w:jc w:val="both"/>
        <w:rPr>
          <w:rFonts w:ascii="Arial" w:hAnsi="Arial" w:cs="Arial"/>
        </w:rPr>
      </w:pPr>
      <w:r w:rsidRPr="00785E44">
        <w:rPr>
          <w:rFonts w:ascii="Arial" w:hAnsi="Arial" w:cs="Arial"/>
          <w:b/>
        </w:rPr>
        <w:t>September 2016</w:t>
      </w:r>
      <w:r w:rsidRPr="00785E44">
        <w:rPr>
          <w:rFonts w:ascii="Arial" w:hAnsi="Arial" w:cs="Arial"/>
        </w:rPr>
        <w:t xml:space="preserve"> – EPA finalizes CSAPR </w:t>
      </w:r>
      <w:r w:rsidR="00D50BDA" w:rsidRPr="00785E44">
        <w:rPr>
          <w:rFonts w:ascii="Arial" w:hAnsi="Arial" w:cs="Arial"/>
        </w:rPr>
        <w:t>Update Rule to address</w:t>
      </w:r>
      <w:r w:rsidRPr="00785E44">
        <w:rPr>
          <w:rFonts w:ascii="Arial" w:hAnsi="Arial" w:cs="Arial"/>
        </w:rPr>
        <w:t xml:space="preserve"> the 2008 ozone NAAQS.</w:t>
      </w:r>
    </w:p>
    <w:p w14:paraId="5C1E4C51" w14:textId="77777777" w:rsidR="001A7437" w:rsidRPr="00785E44" w:rsidRDefault="001A7437" w:rsidP="00DB7156">
      <w:pPr>
        <w:pStyle w:val="ListParagraph"/>
        <w:jc w:val="both"/>
        <w:rPr>
          <w:rFonts w:ascii="Arial" w:hAnsi="Arial" w:cs="Arial"/>
        </w:rPr>
      </w:pPr>
    </w:p>
    <w:p w14:paraId="1DC6B775" w14:textId="7041DC9D" w:rsidR="00BE52E8" w:rsidRPr="00785E44" w:rsidRDefault="00114D42" w:rsidP="00DB7156">
      <w:pPr>
        <w:pStyle w:val="ListParagraph"/>
        <w:numPr>
          <w:ilvl w:val="0"/>
          <w:numId w:val="2"/>
        </w:numPr>
        <w:jc w:val="both"/>
        <w:rPr>
          <w:rFonts w:ascii="Arial" w:hAnsi="Arial" w:cs="Arial"/>
        </w:rPr>
      </w:pPr>
      <w:r w:rsidRPr="00785E44">
        <w:rPr>
          <w:rFonts w:ascii="Arial" w:hAnsi="Arial" w:cs="Arial"/>
          <w:b/>
        </w:rPr>
        <w:t xml:space="preserve">October 2016 </w:t>
      </w:r>
      <w:r w:rsidRPr="00785E44">
        <w:rPr>
          <w:rFonts w:ascii="Arial" w:hAnsi="Arial" w:cs="Arial"/>
        </w:rPr>
        <w:t xml:space="preserve">– EPA proposes </w:t>
      </w:r>
      <w:r w:rsidR="004C18AB" w:rsidRPr="00785E44">
        <w:rPr>
          <w:rFonts w:ascii="Arial" w:hAnsi="Arial" w:cs="Arial"/>
        </w:rPr>
        <w:t>to revise its major source permitting rules after vac</w:t>
      </w:r>
      <w:r w:rsidR="00B04FB8" w:rsidRPr="00785E44">
        <w:rPr>
          <w:rFonts w:ascii="Arial" w:hAnsi="Arial" w:cs="Arial"/>
        </w:rPr>
        <w:t>a</w:t>
      </w:r>
      <w:r w:rsidR="004C18AB" w:rsidRPr="00785E44">
        <w:rPr>
          <w:rFonts w:ascii="Arial" w:hAnsi="Arial" w:cs="Arial"/>
        </w:rPr>
        <w:t>tur of Tailoring Rule to no longer require permits solely due to GHG emissions</w:t>
      </w:r>
      <w:r w:rsidR="008401F4" w:rsidRPr="00785E44">
        <w:rPr>
          <w:rFonts w:ascii="Arial" w:hAnsi="Arial" w:cs="Arial"/>
        </w:rPr>
        <w:t>.</w:t>
      </w:r>
    </w:p>
    <w:p w14:paraId="0B43969E" w14:textId="77777777" w:rsidR="008401F4" w:rsidRPr="00785E44" w:rsidRDefault="008401F4" w:rsidP="00DB7156">
      <w:pPr>
        <w:pStyle w:val="ListParagraph"/>
        <w:jc w:val="both"/>
        <w:rPr>
          <w:rFonts w:ascii="Arial" w:hAnsi="Arial" w:cs="Arial"/>
        </w:rPr>
      </w:pPr>
    </w:p>
    <w:p w14:paraId="703FB595" w14:textId="041E4F07" w:rsidR="008401F4" w:rsidRPr="00785E44" w:rsidRDefault="00365F31" w:rsidP="00DB7156">
      <w:pPr>
        <w:pStyle w:val="ListParagraph"/>
        <w:numPr>
          <w:ilvl w:val="0"/>
          <w:numId w:val="2"/>
        </w:numPr>
        <w:jc w:val="both"/>
        <w:rPr>
          <w:rFonts w:ascii="Arial" w:hAnsi="Arial" w:cs="Arial"/>
        </w:rPr>
      </w:pPr>
      <w:r w:rsidRPr="00785E44">
        <w:rPr>
          <w:rFonts w:ascii="Arial" w:hAnsi="Arial" w:cs="Arial"/>
          <w:b/>
        </w:rPr>
        <w:t>October 2016</w:t>
      </w:r>
      <w:r w:rsidR="005B6800" w:rsidRPr="00785E44">
        <w:rPr>
          <w:rFonts w:ascii="Arial" w:hAnsi="Arial" w:cs="Arial"/>
        </w:rPr>
        <w:t xml:space="preserve"> – Georgia</w:t>
      </w:r>
      <w:r w:rsidR="00424259" w:rsidRPr="00785E44">
        <w:rPr>
          <w:rFonts w:ascii="Arial" w:hAnsi="Arial" w:cs="Arial"/>
        </w:rPr>
        <w:t xml:space="preserve"> EPD recommends designations</w:t>
      </w:r>
      <w:r w:rsidR="006719A7" w:rsidRPr="00785E44">
        <w:rPr>
          <w:rFonts w:ascii="Arial" w:hAnsi="Arial" w:cs="Arial"/>
        </w:rPr>
        <w:t xml:space="preserve"> for the state of Georgia</w:t>
      </w:r>
      <w:r w:rsidR="00424259" w:rsidRPr="00785E44">
        <w:rPr>
          <w:rFonts w:ascii="Arial" w:hAnsi="Arial" w:cs="Arial"/>
        </w:rPr>
        <w:t xml:space="preserve"> for the 2015 ozone NAAQS.</w:t>
      </w:r>
    </w:p>
    <w:p w14:paraId="705436B4" w14:textId="30FED5D4" w:rsidR="00424259" w:rsidRPr="00785E44" w:rsidRDefault="00424259" w:rsidP="00DB7156">
      <w:pPr>
        <w:pStyle w:val="ListParagraph"/>
        <w:jc w:val="both"/>
        <w:rPr>
          <w:rFonts w:ascii="Arial" w:hAnsi="Arial" w:cs="Arial"/>
          <w:b/>
        </w:rPr>
      </w:pPr>
    </w:p>
    <w:p w14:paraId="164BA0DC" w14:textId="44142EC3" w:rsidR="001D6AD5" w:rsidRPr="00785E44" w:rsidRDefault="001D6AD5" w:rsidP="00DB7156">
      <w:pPr>
        <w:pStyle w:val="ListParagraph"/>
        <w:numPr>
          <w:ilvl w:val="0"/>
          <w:numId w:val="2"/>
        </w:numPr>
        <w:jc w:val="both"/>
        <w:rPr>
          <w:rFonts w:ascii="Arial" w:hAnsi="Arial" w:cs="Arial"/>
          <w:b/>
        </w:rPr>
      </w:pPr>
      <w:r w:rsidRPr="00785E44">
        <w:rPr>
          <w:rFonts w:ascii="Arial" w:hAnsi="Arial" w:cs="Arial"/>
          <w:b/>
        </w:rPr>
        <w:t xml:space="preserve">November 2016 </w:t>
      </w:r>
      <w:r w:rsidR="005B6800" w:rsidRPr="00785E44">
        <w:rPr>
          <w:rFonts w:ascii="Arial" w:hAnsi="Arial" w:cs="Arial"/>
        </w:rPr>
        <w:t xml:space="preserve">– Georgia </w:t>
      </w:r>
      <w:r w:rsidRPr="00785E44">
        <w:rPr>
          <w:rFonts w:ascii="Arial" w:hAnsi="Arial" w:cs="Arial"/>
        </w:rPr>
        <w:t>EPD submits revised SIP to EPA in response to the SSM SIP call</w:t>
      </w:r>
      <w:r w:rsidR="00104349" w:rsidRPr="00785E44">
        <w:rPr>
          <w:rFonts w:ascii="Arial" w:hAnsi="Arial" w:cs="Arial"/>
        </w:rPr>
        <w:t>.</w:t>
      </w:r>
      <w:r w:rsidRPr="00785E44">
        <w:rPr>
          <w:rFonts w:ascii="Arial" w:hAnsi="Arial" w:cs="Arial"/>
        </w:rPr>
        <w:t xml:space="preserve"> </w:t>
      </w:r>
    </w:p>
    <w:p w14:paraId="3BFAE600" w14:textId="77777777" w:rsidR="001A7437" w:rsidRPr="00785E44" w:rsidRDefault="001A7437" w:rsidP="00DB7156">
      <w:pPr>
        <w:pStyle w:val="ListParagraph"/>
        <w:jc w:val="both"/>
        <w:rPr>
          <w:rFonts w:ascii="Arial" w:hAnsi="Arial" w:cs="Arial"/>
          <w:b/>
        </w:rPr>
      </w:pPr>
    </w:p>
    <w:p w14:paraId="684092AE" w14:textId="104B1F69" w:rsidR="00EC559D" w:rsidRPr="00785E44" w:rsidRDefault="00EC559D" w:rsidP="00DB7156">
      <w:pPr>
        <w:pStyle w:val="ListParagraph"/>
        <w:numPr>
          <w:ilvl w:val="0"/>
          <w:numId w:val="2"/>
        </w:numPr>
        <w:jc w:val="both"/>
        <w:rPr>
          <w:rFonts w:ascii="Arial" w:hAnsi="Arial" w:cs="Arial"/>
          <w:b/>
        </w:rPr>
      </w:pPr>
      <w:bookmarkStart w:id="15" w:name="_Hlk534802055"/>
      <w:r w:rsidRPr="00785E44">
        <w:rPr>
          <w:rFonts w:ascii="Arial" w:hAnsi="Arial" w:cs="Arial"/>
          <w:b/>
        </w:rPr>
        <w:t>November 2016</w:t>
      </w:r>
      <w:r w:rsidR="00B105E4" w:rsidRPr="00785E44">
        <w:rPr>
          <w:rFonts w:ascii="Arial" w:hAnsi="Arial" w:cs="Arial"/>
          <w:b/>
        </w:rPr>
        <w:t xml:space="preserve"> </w:t>
      </w:r>
      <w:r w:rsidR="005B6800" w:rsidRPr="00785E44">
        <w:rPr>
          <w:rFonts w:ascii="Arial" w:hAnsi="Arial" w:cs="Arial"/>
        </w:rPr>
        <w:t>–</w:t>
      </w:r>
      <w:r w:rsidR="00FA6B5F" w:rsidRPr="00785E44">
        <w:rPr>
          <w:rFonts w:ascii="Arial" w:hAnsi="Arial" w:cs="Arial"/>
        </w:rPr>
        <w:t>A</w:t>
      </w:r>
      <w:r w:rsidR="005F571F" w:rsidRPr="00785E44">
        <w:rPr>
          <w:rFonts w:ascii="Arial" w:hAnsi="Arial" w:cs="Arial"/>
        </w:rPr>
        <w:t>mend</w:t>
      </w:r>
      <w:r w:rsidR="00963458" w:rsidRPr="00785E44">
        <w:rPr>
          <w:rFonts w:ascii="Arial" w:hAnsi="Arial" w:cs="Arial"/>
        </w:rPr>
        <w:t>ments to</w:t>
      </w:r>
      <w:r w:rsidR="005F571F" w:rsidRPr="00785E44">
        <w:rPr>
          <w:rFonts w:ascii="Arial" w:hAnsi="Arial" w:cs="Arial"/>
        </w:rPr>
        <w:t xml:space="preserve"> </w:t>
      </w:r>
      <w:r w:rsidR="005B6800" w:rsidRPr="00785E44">
        <w:rPr>
          <w:rFonts w:ascii="Arial" w:hAnsi="Arial" w:cs="Arial"/>
        </w:rPr>
        <w:t xml:space="preserve">Georgia </w:t>
      </w:r>
      <w:r w:rsidR="005F571F" w:rsidRPr="00785E44">
        <w:rPr>
          <w:rFonts w:ascii="Arial" w:hAnsi="Arial" w:cs="Arial"/>
        </w:rPr>
        <w:t xml:space="preserve">Solid Waste Management </w:t>
      </w:r>
      <w:r w:rsidR="00963458" w:rsidRPr="00785E44">
        <w:rPr>
          <w:rFonts w:ascii="Arial" w:hAnsi="Arial" w:cs="Arial"/>
        </w:rPr>
        <w:t xml:space="preserve">rules that include </w:t>
      </w:r>
      <w:r w:rsidR="009E1919" w:rsidRPr="00785E44">
        <w:rPr>
          <w:rFonts w:ascii="Arial" w:hAnsi="Arial" w:cs="Arial"/>
        </w:rPr>
        <w:t xml:space="preserve">more stringent </w:t>
      </w:r>
      <w:r w:rsidR="00963458" w:rsidRPr="00785E44">
        <w:rPr>
          <w:rFonts w:ascii="Arial" w:hAnsi="Arial" w:cs="Arial"/>
        </w:rPr>
        <w:t xml:space="preserve">requirements for </w:t>
      </w:r>
      <w:r w:rsidR="00F15BB6" w:rsidRPr="00785E44">
        <w:rPr>
          <w:rFonts w:ascii="Arial" w:hAnsi="Arial" w:cs="Arial"/>
        </w:rPr>
        <w:t>CCR surface impoundments and landfills</w:t>
      </w:r>
      <w:r w:rsidR="00B60F0B" w:rsidRPr="00785E44">
        <w:rPr>
          <w:rFonts w:ascii="Arial" w:hAnsi="Arial" w:cs="Arial"/>
        </w:rPr>
        <w:t xml:space="preserve"> (the “</w:t>
      </w:r>
      <w:r w:rsidR="00C52FEF" w:rsidRPr="00785E44">
        <w:rPr>
          <w:rFonts w:ascii="Arial" w:hAnsi="Arial" w:cs="Arial"/>
        </w:rPr>
        <w:t>Georgia CCR Rule</w:t>
      </w:r>
      <w:r w:rsidR="00B60F0B" w:rsidRPr="00785E44">
        <w:rPr>
          <w:rFonts w:ascii="Arial" w:hAnsi="Arial" w:cs="Arial"/>
        </w:rPr>
        <w:t>”)</w:t>
      </w:r>
      <w:r w:rsidR="00FA6B5F" w:rsidRPr="00785E44">
        <w:rPr>
          <w:rFonts w:ascii="Arial" w:hAnsi="Arial" w:cs="Arial"/>
        </w:rPr>
        <w:t xml:space="preserve"> become effective.</w:t>
      </w:r>
    </w:p>
    <w:bookmarkEnd w:id="15"/>
    <w:p w14:paraId="66CD8BD2" w14:textId="77777777" w:rsidR="00963458" w:rsidRPr="00785E44" w:rsidRDefault="00963458" w:rsidP="00DB7156">
      <w:pPr>
        <w:pStyle w:val="ListParagraph"/>
        <w:jc w:val="both"/>
        <w:rPr>
          <w:rFonts w:ascii="Arial" w:hAnsi="Arial" w:cs="Arial"/>
          <w:b/>
        </w:rPr>
      </w:pPr>
    </w:p>
    <w:p w14:paraId="4658690B" w14:textId="6CA907C1" w:rsidR="00EF0D80" w:rsidRPr="00EF0D80" w:rsidRDefault="00EC559D" w:rsidP="00EF0D80">
      <w:pPr>
        <w:pStyle w:val="ListParagraph"/>
        <w:numPr>
          <w:ilvl w:val="0"/>
          <w:numId w:val="2"/>
        </w:numPr>
        <w:jc w:val="both"/>
      </w:pPr>
      <w:r w:rsidRPr="00785E44">
        <w:rPr>
          <w:rFonts w:ascii="Arial" w:hAnsi="Arial" w:cs="Arial"/>
          <w:b/>
        </w:rPr>
        <w:t>December</w:t>
      </w:r>
      <w:r w:rsidR="00963458" w:rsidRPr="00785E44">
        <w:rPr>
          <w:rFonts w:ascii="Arial" w:hAnsi="Arial" w:cs="Arial"/>
          <w:b/>
        </w:rPr>
        <w:t xml:space="preserve"> </w:t>
      </w:r>
      <w:r w:rsidRPr="00785E44">
        <w:rPr>
          <w:rFonts w:ascii="Arial" w:hAnsi="Arial" w:cs="Arial"/>
          <w:b/>
        </w:rPr>
        <w:t xml:space="preserve">2016 </w:t>
      </w:r>
      <w:r w:rsidR="00B105E4" w:rsidRPr="00785E44">
        <w:rPr>
          <w:rFonts w:ascii="Arial" w:hAnsi="Arial" w:cs="Arial"/>
        </w:rPr>
        <w:t xml:space="preserve">– </w:t>
      </w:r>
      <w:r w:rsidR="001A7437" w:rsidRPr="00785E44">
        <w:rPr>
          <w:rFonts w:ascii="Arial" w:hAnsi="Arial" w:cs="Arial"/>
        </w:rPr>
        <w:t>T</w:t>
      </w:r>
      <w:r w:rsidRPr="00785E44">
        <w:rPr>
          <w:rFonts w:ascii="Arial" w:hAnsi="Arial" w:cs="Arial"/>
        </w:rPr>
        <w:t>he Water Infrast</w:t>
      </w:r>
      <w:r w:rsidR="00825FE8" w:rsidRPr="00785E44">
        <w:rPr>
          <w:rFonts w:ascii="Arial" w:hAnsi="Arial" w:cs="Arial"/>
        </w:rPr>
        <w:t>r</w:t>
      </w:r>
      <w:r w:rsidRPr="00785E44">
        <w:rPr>
          <w:rFonts w:ascii="Arial" w:hAnsi="Arial" w:cs="Arial"/>
        </w:rPr>
        <w:t>ucture Improvements for the Nation (</w:t>
      </w:r>
      <w:r w:rsidR="00EC58BA" w:rsidRPr="00785E44">
        <w:rPr>
          <w:rFonts w:ascii="Arial" w:hAnsi="Arial" w:cs="Arial"/>
        </w:rPr>
        <w:t>“</w:t>
      </w:r>
      <w:r w:rsidRPr="00785E44">
        <w:rPr>
          <w:rFonts w:ascii="Arial" w:hAnsi="Arial" w:cs="Arial"/>
        </w:rPr>
        <w:t>WI</w:t>
      </w:r>
      <w:r w:rsidR="0057711D" w:rsidRPr="00785E44">
        <w:rPr>
          <w:rFonts w:ascii="Arial" w:hAnsi="Arial" w:cs="Arial"/>
        </w:rPr>
        <w:t>I</w:t>
      </w:r>
      <w:r w:rsidRPr="00785E44" w:rsidDel="0057711D">
        <w:rPr>
          <w:rFonts w:ascii="Arial" w:hAnsi="Arial" w:cs="Arial"/>
        </w:rPr>
        <w:t>N</w:t>
      </w:r>
      <w:r w:rsidR="00EC58BA" w:rsidRPr="00785E44">
        <w:rPr>
          <w:rFonts w:ascii="Arial" w:hAnsi="Arial" w:cs="Arial"/>
        </w:rPr>
        <w:t>”</w:t>
      </w:r>
      <w:r w:rsidR="006719A7" w:rsidRPr="00785E44">
        <w:rPr>
          <w:rFonts w:ascii="Arial" w:hAnsi="Arial" w:cs="Arial"/>
        </w:rPr>
        <w:t>)</w:t>
      </w:r>
      <w:r w:rsidRPr="00785E44">
        <w:rPr>
          <w:rFonts w:ascii="Arial" w:hAnsi="Arial" w:cs="Arial"/>
        </w:rPr>
        <w:t xml:space="preserve"> Act </w:t>
      </w:r>
      <w:r w:rsidR="001A7437" w:rsidRPr="00785E44">
        <w:rPr>
          <w:rFonts w:ascii="Arial" w:hAnsi="Arial" w:cs="Arial"/>
        </w:rPr>
        <w:t xml:space="preserve">was signed </w:t>
      </w:r>
      <w:r w:rsidRPr="00785E44">
        <w:rPr>
          <w:rFonts w:ascii="Arial" w:hAnsi="Arial" w:cs="Arial"/>
        </w:rPr>
        <w:t>into law</w:t>
      </w:r>
      <w:r w:rsidR="00C52FEF" w:rsidRPr="00785E44">
        <w:rPr>
          <w:rFonts w:ascii="Arial" w:hAnsi="Arial" w:cs="Arial"/>
        </w:rPr>
        <w:t>, allowing states to implement the CCR Rule through state permitting</w:t>
      </w:r>
      <w:r w:rsidRPr="00785E44">
        <w:rPr>
          <w:rFonts w:ascii="Arial" w:hAnsi="Arial" w:cs="Arial"/>
        </w:rPr>
        <w:t>.</w:t>
      </w:r>
    </w:p>
    <w:p w14:paraId="2B9B79B7" w14:textId="30677DD8" w:rsidR="00EF0D80" w:rsidRPr="00785E44" w:rsidRDefault="00EF0D80" w:rsidP="00EF0D80">
      <w:pPr>
        <w:spacing w:after="0" w:line="240" w:lineRule="auto"/>
        <w:jc w:val="both"/>
      </w:pPr>
    </w:p>
    <w:p w14:paraId="63D0CB24" w14:textId="23A048F2" w:rsidR="0062083A" w:rsidRPr="00785E44" w:rsidRDefault="0062083A" w:rsidP="00DB7156">
      <w:pPr>
        <w:pStyle w:val="ListParagraph"/>
        <w:numPr>
          <w:ilvl w:val="0"/>
          <w:numId w:val="2"/>
        </w:numPr>
        <w:jc w:val="both"/>
        <w:rPr>
          <w:rFonts w:ascii="Arial" w:hAnsi="Arial" w:cs="Arial"/>
          <w:b/>
        </w:rPr>
      </w:pPr>
      <w:r w:rsidRPr="00785E44">
        <w:rPr>
          <w:rFonts w:ascii="Arial" w:hAnsi="Arial" w:cs="Arial"/>
          <w:b/>
        </w:rPr>
        <w:t xml:space="preserve">January 2017 </w:t>
      </w:r>
      <w:r w:rsidRPr="00785E44">
        <w:rPr>
          <w:rFonts w:ascii="Arial" w:hAnsi="Arial" w:cs="Arial"/>
        </w:rPr>
        <w:t>–</w:t>
      </w:r>
      <w:r w:rsidRPr="00785E44">
        <w:rPr>
          <w:rFonts w:ascii="Arial" w:hAnsi="Arial" w:cs="Arial"/>
          <w:b/>
        </w:rPr>
        <w:t xml:space="preserve"> </w:t>
      </w:r>
      <w:r w:rsidRPr="00785E44">
        <w:rPr>
          <w:rFonts w:ascii="Arial" w:hAnsi="Arial" w:cs="Arial"/>
        </w:rPr>
        <w:t xml:space="preserve">EPA </w:t>
      </w:r>
      <w:r w:rsidR="0084373D" w:rsidRPr="00785E44">
        <w:rPr>
          <w:rFonts w:ascii="Arial" w:hAnsi="Arial" w:cs="Arial"/>
        </w:rPr>
        <w:t xml:space="preserve">revises </w:t>
      </w:r>
      <w:r w:rsidR="001A7437" w:rsidRPr="00785E44">
        <w:rPr>
          <w:rFonts w:ascii="Arial" w:hAnsi="Arial" w:cs="Arial"/>
        </w:rPr>
        <w:t>CAVR</w:t>
      </w:r>
      <w:r w:rsidR="0084373D" w:rsidRPr="00785E44">
        <w:rPr>
          <w:rFonts w:ascii="Arial" w:hAnsi="Arial" w:cs="Arial"/>
        </w:rPr>
        <w:t xml:space="preserve"> to update state planning requirements for the 10-year period ending in 2028.</w:t>
      </w:r>
    </w:p>
    <w:p w14:paraId="05ADC62C" w14:textId="22D18027" w:rsidR="0062083A" w:rsidRPr="00785E44" w:rsidRDefault="0062083A" w:rsidP="00DB7156">
      <w:pPr>
        <w:pStyle w:val="ListParagraph"/>
        <w:jc w:val="both"/>
        <w:rPr>
          <w:rFonts w:ascii="Arial" w:hAnsi="Arial" w:cs="Arial"/>
          <w:b/>
        </w:rPr>
      </w:pPr>
    </w:p>
    <w:p w14:paraId="4AE00FA7" w14:textId="294107BF" w:rsidR="00D340D3" w:rsidRPr="00785E44" w:rsidRDefault="00D340D3" w:rsidP="00DB7156">
      <w:pPr>
        <w:pStyle w:val="ListParagraph"/>
        <w:numPr>
          <w:ilvl w:val="0"/>
          <w:numId w:val="2"/>
        </w:numPr>
        <w:jc w:val="both"/>
        <w:rPr>
          <w:rFonts w:ascii="Arial" w:hAnsi="Arial" w:cs="Arial"/>
          <w:b/>
        </w:rPr>
      </w:pPr>
      <w:r w:rsidRPr="00785E44">
        <w:rPr>
          <w:rFonts w:ascii="Arial" w:hAnsi="Arial" w:cs="Arial"/>
          <w:b/>
        </w:rPr>
        <w:t>March 2017</w:t>
      </w:r>
      <w:r w:rsidRPr="00785E44">
        <w:rPr>
          <w:rFonts w:ascii="Arial" w:hAnsi="Arial" w:cs="Arial"/>
        </w:rPr>
        <w:t xml:space="preserve"> – D.C. Circuit Court </w:t>
      </w:r>
      <w:r w:rsidR="0084373D" w:rsidRPr="00785E44">
        <w:rPr>
          <w:rFonts w:ascii="Arial" w:hAnsi="Arial" w:cs="Arial"/>
        </w:rPr>
        <w:t>orders</w:t>
      </w:r>
      <w:r w:rsidRPr="00785E44">
        <w:rPr>
          <w:rFonts w:ascii="Arial" w:hAnsi="Arial" w:cs="Arial"/>
        </w:rPr>
        <w:t xml:space="preserve"> EPA to complete Risk and Technology Review</w:t>
      </w:r>
      <w:r w:rsidR="000215AC" w:rsidRPr="00785E44">
        <w:rPr>
          <w:rFonts w:ascii="Arial" w:hAnsi="Arial" w:cs="Arial"/>
        </w:rPr>
        <w:t>s</w:t>
      </w:r>
      <w:r w:rsidRPr="00785E44">
        <w:rPr>
          <w:rFonts w:ascii="Arial" w:hAnsi="Arial" w:cs="Arial"/>
        </w:rPr>
        <w:t xml:space="preserve"> (</w:t>
      </w:r>
      <w:r w:rsidR="00EC58BA" w:rsidRPr="00785E44">
        <w:rPr>
          <w:rFonts w:ascii="Arial" w:hAnsi="Arial" w:cs="Arial"/>
        </w:rPr>
        <w:t>“</w:t>
      </w:r>
      <w:r w:rsidRPr="00785E44">
        <w:rPr>
          <w:rFonts w:ascii="Arial" w:hAnsi="Arial" w:cs="Arial"/>
        </w:rPr>
        <w:t>RTR</w:t>
      </w:r>
      <w:r w:rsidR="00EC58BA" w:rsidRPr="00785E44">
        <w:rPr>
          <w:rFonts w:ascii="Arial" w:hAnsi="Arial" w:cs="Arial"/>
        </w:rPr>
        <w:t>”</w:t>
      </w:r>
      <w:r w:rsidRPr="00785E44">
        <w:rPr>
          <w:rFonts w:ascii="Arial" w:hAnsi="Arial" w:cs="Arial"/>
        </w:rPr>
        <w:t xml:space="preserve">) </w:t>
      </w:r>
      <w:r w:rsidR="001459E2" w:rsidRPr="00785E44">
        <w:rPr>
          <w:rFonts w:ascii="Arial" w:hAnsi="Arial" w:cs="Arial"/>
        </w:rPr>
        <w:t xml:space="preserve">for certain </w:t>
      </w:r>
      <w:r w:rsidR="001A7437" w:rsidRPr="00785E44">
        <w:rPr>
          <w:rFonts w:ascii="Arial" w:hAnsi="Arial" w:cs="Arial"/>
        </w:rPr>
        <w:t>MACT rules</w:t>
      </w:r>
      <w:r w:rsidRPr="00785E44">
        <w:rPr>
          <w:rFonts w:ascii="Arial" w:hAnsi="Arial" w:cs="Arial"/>
        </w:rPr>
        <w:t xml:space="preserve"> within 3 years, including </w:t>
      </w:r>
      <w:r w:rsidR="001459E2" w:rsidRPr="00785E44">
        <w:rPr>
          <w:rFonts w:ascii="Arial" w:hAnsi="Arial" w:cs="Arial"/>
        </w:rPr>
        <w:t>the Combustion Turbine MACT</w:t>
      </w:r>
      <w:r w:rsidR="009A2B19" w:rsidRPr="00785E44">
        <w:rPr>
          <w:rFonts w:ascii="Arial" w:hAnsi="Arial" w:cs="Arial"/>
        </w:rPr>
        <w:t>.</w:t>
      </w:r>
    </w:p>
    <w:p w14:paraId="461ECB8D" w14:textId="77777777" w:rsidR="00D340D3" w:rsidRPr="00785E44" w:rsidRDefault="00D340D3" w:rsidP="00DB7156">
      <w:pPr>
        <w:pStyle w:val="ListParagraph"/>
        <w:jc w:val="both"/>
        <w:rPr>
          <w:rFonts w:ascii="Arial" w:hAnsi="Arial" w:cs="Arial"/>
          <w:b/>
        </w:rPr>
      </w:pPr>
    </w:p>
    <w:p w14:paraId="3929B5B8" w14:textId="1818143C" w:rsidR="00405005" w:rsidRPr="00785E44" w:rsidRDefault="00405005" w:rsidP="00DB7156">
      <w:pPr>
        <w:pStyle w:val="ListParagraph"/>
        <w:numPr>
          <w:ilvl w:val="0"/>
          <w:numId w:val="2"/>
        </w:numPr>
        <w:jc w:val="both"/>
        <w:rPr>
          <w:rFonts w:ascii="Arial" w:hAnsi="Arial" w:cs="Arial"/>
          <w:b/>
        </w:rPr>
      </w:pPr>
      <w:r w:rsidRPr="00785E44">
        <w:rPr>
          <w:rFonts w:ascii="Arial" w:hAnsi="Arial" w:cs="Arial"/>
          <w:b/>
        </w:rPr>
        <w:t xml:space="preserve">April 2017 </w:t>
      </w:r>
      <w:r w:rsidRPr="00785E44">
        <w:rPr>
          <w:rFonts w:ascii="Arial" w:hAnsi="Arial" w:cs="Arial"/>
        </w:rPr>
        <w:t>–</w:t>
      </w:r>
      <w:r w:rsidRPr="00785E44">
        <w:rPr>
          <w:rFonts w:ascii="Arial" w:hAnsi="Arial" w:cs="Arial"/>
          <w:b/>
        </w:rPr>
        <w:t xml:space="preserve"> </w:t>
      </w:r>
      <w:r w:rsidR="00906DC4" w:rsidRPr="00785E44">
        <w:rPr>
          <w:rFonts w:ascii="Arial" w:hAnsi="Arial" w:cs="Arial"/>
        </w:rPr>
        <w:t>EPA withdraws the following pr</w:t>
      </w:r>
      <w:r w:rsidR="005852C4" w:rsidRPr="00785E44">
        <w:rPr>
          <w:rFonts w:ascii="Arial" w:hAnsi="Arial" w:cs="Arial"/>
        </w:rPr>
        <w:t>op</w:t>
      </w:r>
      <w:r w:rsidR="00906DC4" w:rsidRPr="00785E44">
        <w:rPr>
          <w:rFonts w:ascii="Arial" w:hAnsi="Arial" w:cs="Arial"/>
        </w:rPr>
        <w:t>osed rules: CPP Federal Plan, CPP Model Trading Rules, Amendment to the 111(d) Framework regulations, and CEIP.</w:t>
      </w:r>
    </w:p>
    <w:p w14:paraId="5BBF6E5B" w14:textId="77777777" w:rsidR="0031454B" w:rsidRPr="00785E44" w:rsidRDefault="0031454B" w:rsidP="00DB7156">
      <w:pPr>
        <w:pStyle w:val="ListParagraph"/>
        <w:jc w:val="both"/>
        <w:rPr>
          <w:rFonts w:ascii="Arial" w:hAnsi="Arial" w:cs="Arial"/>
          <w:b/>
        </w:rPr>
      </w:pPr>
    </w:p>
    <w:p w14:paraId="7D74DD09" w14:textId="4B4B717C" w:rsidR="0031454B" w:rsidRPr="00785E44" w:rsidRDefault="0031454B" w:rsidP="00DB7156">
      <w:pPr>
        <w:pStyle w:val="ListParagraph"/>
        <w:numPr>
          <w:ilvl w:val="0"/>
          <w:numId w:val="2"/>
        </w:numPr>
        <w:jc w:val="both"/>
        <w:rPr>
          <w:rFonts w:ascii="Arial" w:hAnsi="Arial" w:cs="Arial"/>
        </w:rPr>
      </w:pPr>
      <w:r w:rsidRPr="00785E44">
        <w:rPr>
          <w:rFonts w:ascii="Arial" w:hAnsi="Arial" w:cs="Arial"/>
          <w:b/>
        </w:rPr>
        <w:t>April 2017</w:t>
      </w:r>
      <w:r w:rsidR="00EC58BA" w:rsidRPr="00785E44">
        <w:rPr>
          <w:rFonts w:ascii="Arial" w:hAnsi="Arial" w:cs="Arial"/>
          <w:b/>
        </w:rPr>
        <w:t xml:space="preserve"> </w:t>
      </w:r>
      <w:r w:rsidR="00EC58BA" w:rsidRPr="00785E44">
        <w:rPr>
          <w:rFonts w:ascii="Arial" w:hAnsi="Arial" w:cs="Arial"/>
        </w:rPr>
        <w:t>–</w:t>
      </w:r>
      <w:r w:rsidR="00EC58BA" w:rsidRPr="00785E44">
        <w:rPr>
          <w:rFonts w:ascii="Arial" w:hAnsi="Arial" w:cs="Arial"/>
          <w:b/>
        </w:rPr>
        <w:t xml:space="preserve"> </w:t>
      </w:r>
      <w:r w:rsidRPr="00785E44">
        <w:rPr>
          <w:rFonts w:ascii="Arial" w:hAnsi="Arial" w:cs="Arial"/>
        </w:rPr>
        <w:t xml:space="preserve">EPA </w:t>
      </w:r>
      <w:r w:rsidR="009422DB" w:rsidRPr="00785E44">
        <w:rPr>
          <w:rFonts w:ascii="Arial" w:hAnsi="Arial" w:cs="Arial"/>
        </w:rPr>
        <w:t>announces</w:t>
      </w:r>
      <w:r w:rsidR="003456E0" w:rsidRPr="00785E44">
        <w:rPr>
          <w:rFonts w:ascii="Arial" w:hAnsi="Arial" w:cs="Arial"/>
        </w:rPr>
        <w:t xml:space="preserve"> reconsideration </w:t>
      </w:r>
      <w:r w:rsidR="00C52FEF" w:rsidRPr="00785E44">
        <w:rPr>
          <w:rFonts w:ascii="Arial" w:hAnsi="Arial" w:cs="Arial"/>
        </w:rPr>
        <w:t xml:space="preserve">and administrative stay </w:t>
      </w:r>
      <w:r w:rsidR="00CD2D75">
        <w:rPr>
          <w:rFonts w:ascii="Arial" w:hAnsi="Arial" w:cs="Arial"/>
        </w:rPr>
        <w:t>of the ELG R</w:t>
      </w:r>
      <w:r w:rsidR="003456E0" w:rsidRPr="00785E44">
        <w:rPr>
          <w:rFonts w:ascii="Arial" w:hAnsi="Arial" w:cs="Arial"/>
        </w:rPr>
        <w:t>ule.</w:t>
      </w:r>
    </w:p>
    <w:p w14:paraId="5BA138F7" w14:textId="3ED3F6FE" w:rsidR="003456E0" w:rsidRPr="00785E44" w:rsidRDefault="003456E0" w:rsidP="00DB7156">
      <w:pPr>
        <w:pStyle w:val="ListParagraph"/>
        <w:jc w:val="both"/>
        <w:rPr>
          <w:rFonts w:ascii="Arial" w:hAnsi="Arial" w:cs="Arial"/>
          <w:b/>
        </w:rPr>
      </w:pPr>
    </w:p>
    <w:p w14:paraId="74F00294" w14:textId="47219D69" w:rsidR="003456E0" w:rsidRPr="00785E44" w:rsidRDefault="003456E0" w:rsidP="00DB7156">
      <w:pPr>
        <w:pStyle w:val="ListParagraph"/>
        <w:numPr>
          <w:ilvl w:val="0"/>
          <w:numId w:val="2"/>
        </w:numPr>
        <w:jc w:val="both"/>
        <w:rPr>
          <w:rFonts w:ascii="Arial" w:hAnsi="Arial" w:cs="Arial"/>
        </w:rPr>
      </w:pPr>
      <w:r w:rsidRPr="00785E44">
        <w:rPr>
          <w:rFonts w:ascii="Arial" w:hAnsi="Arial" w:cs="Arial"/>
          <w:b/>
        </w:rPr>
        <w:t xml:space="preserve">June 2017 </w:t>
      </w:r>
      <w:r w:rsidR="00EC58BA" w:rsidRPr="00785E44">
        <w:rPr>
          <w:rFonts w:ascii="Arial" w:hAnsi="Arial" w:cs="Arial"/>
        </w:rPr>
        <w:t>–</w:t>
      </w:r>
      <w:r w:rsidR="00EC58BA" w:rsidRPr="00785E44">
        <w:rPr>
          <w:rFonts w:ascii="Arial" w:hAnsi="Arial" w:cs="Arial"/>
          <w:b/>
        </w:rPr>
        <w:t xml:space="preserve"> </w:t>
      </w:r>
      <w:r w:rsidRPr="00785E44">
        <w:rPr>
          <w:rFonts w:ascii="Arial" w:hAnsi="Arial" w:cs="Arial"/>
        </w:rPr>
        <w:t>EPA propose</w:t>
      </w:r>
      <w:r w:rsidR="009422DB" w:rsidRPr="00785E44">
        <w:rPr>
          <w:rFonts w:ascii="Arial" w:hAnsi="Arial" w:cs="Arial"/>
        </w:rPr>
        <w:t>s</w:t>
      </w:r>
      <w:r w:rsidRPr="00785E44">
        <w:rPr>
          <w:rFonts w:ascii="Arial" w:hAnsi="Arial" w:cs="Arial"/>
        </w:rPr>
        <w:t xml:space="preserve"> </w:t>
      </w:r>
      <w:r w:rsidR="00756D6C" w:rsidRPr="00785E44">
        <w:rPr>
          <w:rFonts w:ascii="Arial" w:hAnsi="Arial" w:cs="Arial"/>
        </w:rPr>
        <w:t xml:space="preserve">a </w:t>
      </w:r>
      <w:r w:rsidRPr="00785E44">
        <w:rPr>
          <w:rFonts w:ascii="Arial" w:hAnsi="Arial" w:cs="Arial"/>
        </w:rPr>
        <w:t xml:space="preserve">rule postponing the </w:t>
      </w:r>
      <w:r w:rsidR="00756D6C" w:rsidRPr="00785E44">
        <w:rPr>
          <w:rFonts w:ascii="Arial" w:hAnsi="Arial" w:cs="Arial"/>
        </w:rPr>
        <w:t xml:space="preserve">applicability dates </w:t>
      </w:r>
      <w:r w:rsidR="001A56B7" w:rsidRPr="00785E44">
        <w:rPr>
          <w:rFonts w:ascii="Arial" w:hAnsi="Arial" w:cs="Arial"/>
        </w:rPr>
        <w:t xml:space="preserve">for </w:t>
      </w:r>
      <w:r w:rsidR="001A7437" w:rsidRPr="00785E44">
        <w:rPr>
          <w:rFonts w:ascii="Arial" w:hAnsi="Arial" w:cs="Arial"/>
        </w:rPr>
        <w:t>Best Available Technology (</w:t>
      </w:r>
      <w:r w:rsidR="0058251A">
        <w:rPr>
          <w:rFonts w:ascii="Arial" w:hAnsi="Arial" w:cs="Arial"/>
        </w:rPr>
        <w:t>“</w:t>
      </w:r>
      <w:r w:rsidRPr="00785E44">
        <w:rPr>
          <w:rFonts w:ascii="Arial" w:hAnsi="Arial" w:cs="Arial"/>
        </w:rPr>
        <w:t>BAT</w:t>
      </w:r>
      <w:r w:rsidR="0058251A">
        <w:rPr>
          <w:rFonts w:ascii="Arial" w:hAnsi="Arial" w:cs="Arial"/>
        </w:rPr>
        <w:t>”</w:t>
      </w:r>
      <w:r w:rsidR="001A7437" w:rsidRPr="00785E44">
        <w:rPr>
          <w:rFonts w:ascii="Arial" w:hAnsi="Arial" w:cs="Arial"/>
        </w:rPr>
        <w:t>)</w:t>
      </w:r>
      <w:r w:rsidRPr="00785E44">
        <w:rPr>
          <w:rFonts w:ascii="Arial" w:hAnsi="Arial" w:cs="Arial"/>
        </w:rPr>
        <w:t xml:space="preserve"> limits and pretreatment standards for the ELG</w:t>
      </w:r>
      <w:r w:rsidR="00CD2D75">
        <w:rPr>
          <w:rFonts w:ascii="Arial" w:hAnsi="Arial" w:cs="Arial"/>
        </w:rPr>
        <w:t xml:space="preserve"> R</w:t>
      </w:r>
      <w:r w:rsidR="00535341" w:rsidRPr="00785E44">
        <w:rPr>
          <w:rFonts w:ascii="Arial" w:hAnsi="Arial" w:cs="Arial"/>
        </w:rPr>
        <w:t>ule</w:t>
      </w:r>
      <w:r w:rsidR="004102EA" w:rsidRPr="00785E44">
        <w:rPr>
          <w:rFonts w:ascii="Arial" w:hAnsi="Arial" w:cs="Arial"/>
        </w:rPr>
        <w:t>.</w:t>
      </w:r>
    </w:p>
    <w:p w14:paraId="764BCD9A" w14:textId="0582E448" w:rsidR="00405005" w:rsidRPr="00785E44" w:rsidRDefault="00405005" w:rsidP="00DB7156">
      <w:pPr>
        <w:pStyle w:val="ListParagraph"/>
        <w:jc w:val="both"/>
        <w:rPr>
          <w:rFonts w:ascii="Arial" w:hAnsi="Arial" w:cs="Arial"/>
          <w:b/>
        </w:rPr>
      </w:pPr>
    </w:p>
    <w:p w14:paraId="3D4535EA" w14:textId="0A015161" w:rsidR="00BE52E8" w:rsidRPr="00785E44" w:rsidRDefault="00BE52E8" w:rsidP="00DB7156">
      <w:pPr>
        <w:pStyle w:val="ListParagraph"/>
        <w:numPr>
          <w:ilvl w:val="0"/>
          <w:numId w:val="2"/>
        </w:numPr>
        <w:jc w:val="both"/>
        <w:rPr>
          <w:rFonts w:ascii="Arial" w:hAnsi="Arial" w:cs="Arial"/>
          <w:b/>
        </w:rPr>
      </w:pPr>
      <w:r w:rsidRPr="00785E44">
        <w:rPr>
          <w:rFonts w:ascii="Arial" w:hAnsi="Arial" w:cs="Arial"/>
          <w:b/>
        </w:rPr>
        <w:t>June 2017</w:t>
      </w:r>
      <w:r w:rsidRPr="00785E44">
        <w:rPr>
          <w:rFonts w:ascii="Arial" w:hAnsi="Arial" w:cs="Arial"/>
        </w:rPr>
        <w:t xml:space="preserve"> – EPA </w:t>
      </w:r>
      <w:r w:rsidR="001459E2" w:rsidRPr="00785E44">
        <w:rPr>
          <w:rFonts w:ascii="Arial" w:hAnsi="Arial" w:cs="Arial"/>
        </w:rPr>
        <w:t>redesignates</w:t>
      </w:r>
      <w:r w:rsidRPr="00785E44">
        <w:rPr>
          <w:rFonts w:ascii="Arial" w:hAnsi="Arial" w:cs="Arial"/>
        </w:rPr>
        <w:t xml:space="preserve"> Atlanta area to attainment of the 2008 ozone NAAQS.</w:t>
      </w:r>
    </w:p>
    <w:p w14:paraId="280C1DAB" w14:textId="77777777" w:rsidR="00B70D6C" w:rsidRPr="00785E44" w:rsidRDefault="00B70D6C" w:rsidP="00DB7156">
      <w:pPr>
        <w:pStyle w:val="ListParagraph"/>
        <w:jc w:val="both"/>
        <w:rPr>
          <w:rFonts w:ascii="Arial" w:hAnsi="Arial" w:cs="Arial"/>
          <w:b/>
        </w:rPr>
      </w:pPr>
    </w:p>
    <w:p w14:paraId="7FCC064B" w14:textId="1E749416" w:rsidR="00B70D6C" w:rsidRPr="00785E44" w:rsidRDefault="00B70D6C" w:rsidP="00DB7156">
      <w:pPr>
        <w:pStyle w:val="ListParagraph"/>
        <w:numPr>
          <w:ilvl w:val="0"/>
          <w:numId w:val="2"/>
        </w:numPr>
        <w:jc w:val="both"/>
        <w:rPr>
          <w:rFonts w:ascii="Arial" w:hAnsi="Arial" w:cs="Arial"/>
          <w:b/>
        </w:rPr>
      </w:pPr>
      <w:r w:rsidRPr="00785E44">
        <w:rPr>
          <w:rFonts w:ascii="Arial" w:hAnsi="Arial" w:cs="Arial"/>
          <w:b/>
        </w:rPr>
        <w:t xml:space="preserve">July 2017 </w:t>
      </w:r>
      <w:r w:rsidR="00EC58BA" w:rsidRPr="00785E44">
        <w:rPr>
          <w:rFonts w:ascii="Arial" w:hAnsi="Arial" w:cs="Arial"/>
        </w:rPr>
        <w:t>–</w:t>
      </w:r>
      <w:r w:rsidR="00EC58BA" w:rsidRPr="00785E44">
        <w:rPr>
          <w:rFonts w:ascii="Arial" w:hAnsi="Arial" w:cs="Arial"/>
          <w:b/>
        </w:rPr>
        <w:t xml:space="preserve"> </w:t>
      </w:r>
      <w:r w:rsidRPr="00785E44">
        <w:rPr>
          <w:rFonts w:ascii="Arial" w:hAnsi="Arial" w:cs="Arial"/>
        </w:rPr>
        <w:t>EPA propose</w:t>
      </w:r>
      <w:r w:rsidR="006719A7" w:rsidRPr="00785E44">
        <w:rPr>
          <w:rFonts w:ascii="Arial" w:hAnsi="Arial" w:cs="Arial"/>
        </w:rPr>
        <w:t>s</w:t>
      </w:r>
      <w:r w:rsidRPr="00785E44">
        <w:rPr>
          <w:rFonts w:ascii="Arial" w:hAnsi="Arial" w:cs="Arial"/>
        </w:rPr>
        <w:t xml:space="preserve"> to retain the current primary NO</w:t>
      </w:r>
      <w:r w:rsidRPr="00785E44">
        <w:rPr>
          <w:rFonts w:ascii="Arial" w:hAnsi="Arial" w:cs="Arial"/>
          <w:vertAlign w:val="subscript"/>
        </w:rPr>
        <w:t>2</w:t>
      </w:r>
      <w:r w:rsidRPr="00785E44">
        <w:rPr>
          <w:rFonts w:ascii="Arial" w:hAnsi="Arial" w:cs="Arial"/>
        </w:rPr>
        <w:t xml:space="preserve"> </w:t>
      </w:r>
      <w:r w:rsidR="005D4680" w:rsidRPr="00785E44">
        <w:rPr>
          <w:rFonts w:ascii="Arial" w:hAnsi="Arial" w:cs="Arial"/>
        </w:rPr>
        <w:t>NAAQS</w:t>
      </w:r>
      <w:r w:rsidRPr="00785E44">
        <w:rPr>
          <w:rFonts w:ascii="Arial" w:hAnsi="Arial" w:cs="Arial"/>
        </w:rPr>
        <w:t>, without revision.</w:t>
      </w:r>
    </w:p>
    <w:p w14:paraId="6043EA69" w14:textId="77777777" w:rsidR="00114D42" w:rsidRPr="00785E44" w:rsidRDefault="00114D42" w:rsidP="00DB7156">
      <w:pPr>
        <w:pStyle w:val="ListParagraph"/>
        <w:jc w:val="both"/>
        <w:rPr>
          <w:rFonts w:ascii="Arial" w:hAnsi="Arial" w:cs="Arial"/>
          <w:b/>
        </w:rPr>
      </w:pPr>
    </w:p>
    <w:p w14:paraId="2ECE3644" w14:textId="68398920" w:rsidR="004B00EC" w:rsidRPr="00785E44" w:rsidRDefault="004B00EC" w:rsidP="00DB7156">
      <w:pPr>
        <w:pStyle w:val="ListParagraph"/>
        <w:numPr>
          <w:ilvl w:val="0"/>
          <w:numId w:val="2"/>
        </w:numPr>
        <w:jc w:val="both"/>
        <w:rPr>
          <w:rFonts w:ascii="Arial" w:hAnsi="Arial" w:cs="Arial"/>
          <w:b/>
        </w:rPr>
      </w:pPr>
      <w:r w:rsidRPr="00785E44">
        <w:rPr>
          <w:rFonts w:ascii="Arial" w:hAnsi="Arial" w:cs="Arial"/>
          <w:b/>
        </w:rPr>
        <w:t xml:space="preserve">July 2017 </w:t>
      </w:r>
      <w:r w:rsidRPr="00785E44">
        <w:rPr>
          <w:rFonts w:ascii="Arial" w:hAnsi="Arial" w:cs="Arial"/>
        </w:rPr>
        <w:t>–</w:t>
      </w:r>
      <w:r w:rsidRPr="00785E44">
        <w:rPr>
          <w:rFonts w:ascii="Arial" w:hAnsi="Arial" w:cs="Arial"/>
          <w:b/>
        </w:rPr>
        <w:t xml:space="preserve"> </w:t>
      </w:r>
      <w:r w:rsidR="00B105E4" w:rsidRPr="00785E44">
        <w:rPr>
          <w:rFonts w:ascii="Arial" w:hAnsi="Arial" w:cs="Arial"/>
        </w:rPr>
        <w:t xml:space="preserve">Georgia </w:t>
      </w:r>
      <w:r w:rsidRPr="00785E44">
        <w:rPr>
          <w:rFonts w:ascii="Arial" w:hAnsi="Arial" w:cs="Arial"/>
        </w:rPr>
        <w:t>EPD submits revised SIP to EPA</w:t>
      </w:r>
      <w:r w:rsidR="00AA3F71" w:rsidRPr="00785E44">
        <w:rPr>
          <w:rFonts w:ascii="Arial" w:hAnsi="Arial" w:cs="Arial"/>
        </w:rPr>
        <w:t xml:space="preserve"> to </w:t>
      </w:r>
      <w:r w:rsidR="003A0961" w:rsidRPr="00785E44">
        <w:rPr>
          <w:rFonts w:ascii="Arial" w:hAnsi="Arial" w:cs="Arial"/>
        </w:rPr>
        <w:t xml:space="preserve">replace CAIR with </w:t>
      </w:r>
      <w:r w:rsidR="00AA3F71" w:rsidRPr="00785E44">
        <w:rPr>
          <w:rFonts w:ascii="Arial" w:hAnsi="Arial" w:cs="Arial"/>
        </w:rPr>
        <w:t>CSAPR trading programs</w:t>
      </w:r>
      <w:r w:rsidR="003A0961" w:rsidRPr="00785E44">
        <w:rPr>
          <w:rFonts w:ascii="Arial" w:hAnsi="Arial" w:cs="Arial"/>
        </w:rPr>
        <w:t>, including remanded</w:t>
      </w:r>
      <w:r w:rsidR="00AA3F71" w:rsidRPr="00785E44">
        <w:rPr>
          <w:rFonts w:ascii="Arial" w:hAnsi="Arial" w:cs="Arial"/>
        </w:rPr>
        <w:t xml:space="preserve"> Phase 2 SO</w:t>
      </w:r>
      <w:r w:rsidR="00AA3F71" w:rsidRPr="00785E44">
        <w:rPr>
          <w:rFonts w:ascii="Arial" w:hAnsi="Arial" w:cs="Arial"/>
          <w:vertAlign w:val="subscript"/>
        </w:rPr>
        <w:t>2</w:t>
      </w:r>
      <w:r w:rsidR="00AA3F71" w:rsidRPr="00785E44">
        <w:rPr>
          <w:rFonts w:ascii="Arial" w:hAnsi="Arial" w:cs="Arial"/>
        </w:rPr>
        <w:t xml:space="preserve"> budgets</w:t>
      </w:r>
      <w:r w:rsidR="001A7437" w:rsidRPr="00785E44">
        <w:rPr>
          <w:rFonts w:ascii="Arial" w:hAnsi="Arial" w:cs="Arial"/>
        </w:rPr>
        <w:t>.</w:t>
      </w:r>
    </w:p>
    <w:p w14:paraId="57494B61" w14:textId="77777777" w:rsidR="00841C94" w:rsidRPr="00785E44" w:rsidRDefault="00841C94" w:rsidP="00DB7156">
      <w:pPr>
        <w:pStyle w:val="ListParagraph"/>
        <w:jc w:val="both"/>
        <w:rPr>
          <w:rFonts w:ascii="Arial" w:hAnsi="Arial" w:cs="Arial"/>
          <w:b/>
        </w:rPr>
      </w:pPr>
    </w:p>
    <w:p w14:paraId="54843DEE" w14:textId="39F3DD6B" w:rsidR="00397044" w:rsidRPr="00785E44" w:rsidRDefault="00397044" w:rsidP="00DB7156">
      <w:pPr>
        <w:pStyle w:val="ListParagraph"/>
        <w:numPr>
          <w:ilvl w:val="0"/>
          <w:numId w:val="2"/>
        </w:numPr>
        <w:jc w:val="both"/>
        <w:rPr>
          <w:rFonts w:ascii="Arial" w:hAnsi="Arial" w:cs="Arial"/>
          <w:b/>
        </w:rPr>
      </w:pPr>
      <w:bookmarkStart w:id="16" w:name="_Hlk533000239"/>
      <w:r w:rsidRPr="00785E44">
        <w:rPr>
          <w:rFonts w:ascii="Arial" w:hAnsi="Arial" w:cs="Arial"/>
          <w:b/>
        </w:rPr>
        <w:t>July 2017</w:t>
      </w:r>
      <w:r w:rsidR="00B105E4" w:rsidRPr="00785E44">
        <w:rPr>
          <w:rFonts w:ascii="Arial" w:hAnsi="Arial" w:cs="Arial"/>
          <w:b/>
        </w:rPr>
        <w:t xml:space="preserve"> </w:t>
      </w:r>
      <w:r w:rsidR="00B105E4" w:rsidRPr="00785E44">
        <w:rPr>
          <w:rFonts w:ascii="Arial" w:hAnsi="Arial" w:cs="Arial"/>
        </w:rPr>
        <w:t>–</w:t>
      </w:r>
      <w:r w:rsidR="00B105E4" w:rsidRPr="00785E44">
        <w:rPr>
          <w:rFonts w:ascii="Arial" w:hAnsi="Arial" w:cs="Arial"/>
          <w:b/>
        </w:rPr>
        <w:t xml:space="preserve"> </w:t>
      </w:r>
      <w:r w:rsidR="001442B1" w:rsidRPr="00785E44">
        <w:rPr>
          <w:rFonts w:ascii="Arial" w:hAnsi="Arial" w:cs="Arial"/>
        </w:rPr>
        <w:t xml:space="preserve">EPA and the U.S. </w:t>
      </w:r>
      <w:r w:rsidR="006626D0" w:rsidRPr="00785E44">
        <w:rPr>
          <w:rFonts w:ascii="Arial" w:hAnsi="Arial" w:cs="Arial"/>
        </w:rPr>
        <w:t xml:space="preserve">Army </w:t>
      </w:r>
      <w:r w:rsidR="001442B1" w:rsidRPr="00785E44">
        <w:rPr>
          <w:rFonts w:ascii="Arial" w:hAnsi="Arial" w:cs="Arial"/>
        </w:rPr>
        <w:t>Corps of Engineers</w:t>
      </w:r>
      <w:r w:rsidR="001442B1" w:rsidRPr="00785E44" w:rsidDel="001442B1">
        <w:rPr>
          <w:rFonts w:ascii="Arial" w:hAnsi="Arial" w:cs="Arial"/>
        </w:rPr>
        <w:t xml:space="preserve"> </w:t>
      </w:r>
      <w:r w:rsidRPr="00785E44">
        <w:rPr>
          <w:rFonts w:ascii="Arial" w:hAnsi="Arial" w:cs="Arial"/>
        </w:rPr>
        <w:t xml:space="preserve">propose a rule to repeal the 2015 WOTUS rule and </w:t>
      </w:r>
      <w:r w:rsidR="00B70D6C" w:rsidRPr="00785E44">
        <w:rPr>
          <w:rFonts w:ascii="Arial" w:hAnsi="Arial" w:cs="Arial"/>
        </w:rPr>
        <w:t>reinstate the previous</w:t>
      </w:r>
      <w:r w:rsidRPr="00785E44">
        <w:rPr>
          <w:rFonts w:ascii="Arial" w:hAnsi="Arial" w:cs="Arial"/>
        </w:rPr>
        <w:t xml:space="preserve"> regulatory text.</w:t>
      </w:r>
    </w:p>
    <w:bookmarkEnd w:id="16"/>
    <w:p w14:paraId="578668C1" w14:textId="77777777" w:rsidR="005F6B81" w:rsidRPr="00785E44" w:rsidRDefault="005F6B81" w:rsidP="00DB7156">
      <w:pPr>
        <w:pStyle w:val="ListParagraph"/>
        <w:jc w:val="both"/>
        <w:rPr>
          <w:rFonts w:ascii="Arial" w:hAnsi="Arial" w:cs="Arial"/>
          <w:b/>
        </w:rPr>
      </w:pPr>
    </w:p>
    <w:p w14:paraId="1BB95B34" w14:textId="11C2A483" w:rsidR="005F6B81" w:rsidRPr="00785E44" w:rsidRDefault="005F6B81" w:rsidP="00DB7156">
      <w:pPr>
        <w:pStyle w:val="ListParagraph"/>
        <w:numPr>
          <w:ilvl w:val="0"/>
          <w:numId w:val="2"/>
        </w:numPr>
        <w:jc w:val="both"/>
        <w:rPr>
          <w:rFonts w:ascii="Arial" w:hAnsi="Arial" w:cs="Arial"/>
          <w:b/>
        </w:rPr>
      </w:pPr>
      <w:r w:rsidRPr="00785E44">
        <w:rPr>
          <w:rFonts w:ascii="Arial" w:hAnsi="Arial" w:cs="Arial"/>
          <w:b/>
        </w:rPr>
        <w:t xml:space="preserve">August 2017 </w:t>
      </w:r>
      <w:r w:rsidRPr="00785E44">
        <w:rPr>
          <w:rFonts w:ascii="Arial" w:hAnsi="Arial" w:cs="Arial"/>
        </w:rPr>
        <w:t>–</w:t>
      </w:r>
      <w:r w:rsidRPr="00785E44">
        <w:rPr>
          <w:rFonts w:ascii="Arial" w:hAnsi="Arial" w:cs="Arial"/>
          <w:b/>
        </w:rPr>
        <w:t xml:space="preserve"> </w:t>
      </w:r>
      <w:r w:rsidRPr="00785E44">
        <w:rPr>
          <w:rFonts w:ascii="Arial" w:hAnsi="Arial" w:cs="Arial"/>
        </w:rPr>
        <w:t xml:space="preserve">EPA proposes </w:t>
      </w:r>
      <w:r w:rsidR="000C52FB" w:rsidRPr="00785E44">
        <w:rPr>
          <w:rFonts w:ascii="Arial" w:hAnsi="Arial" w:cs="Arial"/>
        </w:rPr>
        <w:t>the third</w:t>
      </w:r>
      <w:r w:rsidR="00873F22" w:rsidRPr="00785E44">
        <w:rPr>
          <w:rFonts w:ascii="Arial" w:hAnsi="Arial" w:cs="Arial"/>
        </w:rPr>
        <w:t xml:space="preserve"> round of designations for the </w:t>
      </w:r>
      <w:r w:rsidR="000C52FB" w:rsidRPr="00785E44">
        <w:rPr>
          <w:rFonts w:ascii="Arial" w:hAnsi="Arial" w:cs="Arial"/>
        </w:rPr>
        <w:t>2010</w:t>
      </w:r>
      <w:r w:rsidR="00873F22" w:rsidRPr="00785E44">
        <w:rPr>
          <w:rFonts w:ascii="Arial" w:hAnsi="Arial" w:cs="Arial"/>
        </w:rPr>
        <w:t xml:space="preserve"> SO</w:t>
      </w:r>
      <w:r w:rsidR="00873F22" w:rsidRPr="00785E44">
        <w:rPr>
          <w:rFonts w:ascii="Arial" w:hAnsi="Arial" w:cs="Arial"/>
          <w:vertAlign w:val="subscript"/>
        </w:rPr>
        <w:t>2</w:t>
      </w:r>
      <w:r w:rsidR="00873F22" w:rsidRPr="00785E44">
        <w:rPr>
          <w:rFonts w:ascii="Arial" w:hAnsi="Arial" w:cs="Arial"/>
        </w:rPr>
        <w:t xml:space="preserve"> NAAQS</w:t>
      </w:r>
      <w:r w:rsidR="000C52FB" w:rsidRPr="00785E44">
        <w:rPr>
          <w:rFonts w:ascii="Arial" w:hAnsi="Arial" w:cs="Arial"/>
        </w:rPr>
        <w:t xml:space="preserve"> for additional areas of the country</w:t>
      </w:r>
      <w:r w:rsidR="00873F22" w:rsidRPr="00785E44">
        <w:rPr>
          <w:rFonts w:ascii="Arial" w:hAnsi="Arial" w:cs="Arial"/>
        </w:rPr>
        <w:t>.</w:t>
      </w:r>
    </w:p>
    <w:p w14:paraId="38216181" w14:textId="77777777" w:rsidR="002A03D9" w:rsidRPr="00785E44" w:rsidRDefault="002A03D9" w:rsidP="00DB7156">
      <w:pPr>
        <w:pStyle w:val="ListParagraph"/>
        <w:jc w:val="both"/>
        <w:rPr>
          <w:rFonts w:ascii="Arial" w:hAnsi="Arial" w:cs="Arial"/>
          <w:b/>
        </w:rPr>
      </w:pPr>
    </w:p>
    <w:p w14:paraId="4D579C89" w14:textId="626A36B7" w:rsidR="00FF7062" w:rsidRPr="00785E44" w:rsidRDefault="002A03D9" w:rsidP="00DB7156">
      <w:pPr>
        <w:pStyle w:val="ListParagraph"/>
        <w:numPr>
          <w:ilvl w:val="0"/>
          <w:numId w:val="2"/>
        </w:numPr>
        <w:jc w:val="both"/>
        <w:rPr>
          <w:rFonts w:ascii="Arial" w:hAnsi="Arial" w:cs="Arial"/>
        </w:rPr>
      </w:pPr>
      <w:r w:rsidRPr="00785E44">
        <w:rPr>
          <w:rFonts w:ascii="Arial" w:hAnsi="Arial" w:cs="Arial"/>
          <w:b/>
        </w:rPr>
        <w:t>September 2017</w:t>
      </w:r>
      <w:r w:rsidR="00FA6B5F" w:rsidRPr="00785E44">
        <w:rPr>
          <w:rFonts w:ascii="Arial" w:hAnsi="Arial" w:cs="Arial"/>
          <w:b/>
        </w:rPr>
        <w:t xml:space="preserve"> </w:t>
      </w:r>
      <w:r w:rsidR="00EC58BA" w:rsidRPr="00785E44">
        <w:rPr>
          <w:rFonts w:ascii="Arial" w:hAnsi="Arial" w:cs="Arial"/>
        </w:rPr>
        <w:t>–</w:t>
      </w:r>
      <w:r w:rsidR="00EC58BA" w:rsidRPr="00785E44">
        <w:rPr>
          <w:rFonts w:ascii="Arial" w:hAnsi="Arial" w:cs="Arial"/>
          <w:b/>
        </w:rPr>
        <w:t xml:space="preserve"> </w:t>
      </w:r>
      <w:r w:rsidRPr="00785E44">
        <w:rPr>
          <w:rFonts w:ascii="Arial" w:hAnsi="Arial" w:cs="Arial"/>
        </w:rPr>
        <w:t>EPA finalize</w:t>
      </w:r>
      <w:r w:rsidR="00F951F7" w:rsidRPr="00785E44">
        <w:rPr>
          <w:rFonts w:ascii="Arial" w:hAnsi="Arial" w:cs="Arial"/>
        </w:rPr>
        <w:t>s</w:t>
      </w:r>
      <w:r w:rsidRPr="00785E44">
        <w:rPr>
          <w:rFonts w:ascii="Arial" w:hAnsi="Arial" w:cs="Arial"/>
        </w:rPr>
        <w:t xml:space="preserve"> postponement of </w:t>
      </w:r>
      <w:r w:rsidR="00432F0E" w:rsidRPr="00785E44">
        <w:rPr>
          <w:rFonts w:ascii="Arial" w:hAnsi="Arial" w:cs="Arial"/>
        </w:rPr>
        <w:t xml:space="preserve">ELG </w:t>
      </w:r>
      <w:r w:rsidR="003A542E" w:rsidRPr="00785E44">
        <w:rPr>
          <w:rFonts w:ascii="Arial" w:hAnsi="Arial" w:cs="Arial"/>
        </w:rPr>
        <w:t xml:space="preserve">applicability </w:t>
      </w:r>
      <w:r w:rsidRPr="00785E44">
        <w:rPr>
          <w:rFonts w:ascii="Arial" w:hAnsi="Arial" w:cs="Arial"/>
        </w:rPr>
        <w:t>dates</w:t>
      </w:r>
      <w:r w:rsidR="001A56B7" w:rsidRPr="00785E44">
        <w:rPr>
          <w:rFonts w:ascii="Arial" w:hAnsi="Arial" w:cs="Arial"/>
        </w:rPr>
        <w:t xml:space="preserve"> for </w:t>
      </w:r>
      <w:r w:rsidR="003A542E" w:rsidRPr="00785E44">
        <w:rPr>
          <w:rFonts w:ascii="Arial" w:hAnsi="Arial" w:cs="Arial"/>
        </w:rPr>
        <w:t xml:space="preserve">bottom ash transport water and </w:t>
      </w:r>
      <w:r w:rsidR="0088735E" w:rsidRPr="00785E44">
        <w:rPr>
          <w:rFonts w:ascii="Arial" w:hAnsi="Arial" w:cs="Arial"/>
        </w:rPr>
        <w:t xml:space="preserve">FGD </w:t>
      </w:r>
      <w:r w:rsidR="003A542E" w:rsidRPr="00785E44">
        <w:rPr>
          <w:rFonts w:ascii="Arial" w:hAnsi="Arial" w:cs="Arial"/>
        </w:rPr>
        <w:t>wastewater (“</w:t>
      </w:r>
      <w:r w:rsidR="0088735E" w:rsidRPr="00785E44">
        <w:rPr>
          <w:rFonts w:ascii="Arial" w:hAnsi="Arial" w:cs="Arial"/>
        </w:rPr>
        <w:t xml:space="preserve">ELG </w:t>
      </w:r>
      <w:r w:rsidR="003A542E" w:rsidRPr="00785E44">
        <w:rPr>
          <w:rFonts w:ascii="Arial" w:hAnsi="Arial" w:cs="Arial"/>
        </w:rPr>
        <w:t xml:space="preserve">Postponement Rule”); </w:t>
      </w:r>
      <w:r w:rsidR="00DA6CAB" w:rsidRPr="00785E44">
        <w:rPr>
          <w:rFonts w:ascii="Arial" w:hAnsi="Arial" w:cs="Arial"/>
        </w:rPr>
        <w:t xml:space="preserve">fly </w:t>
      </w:r>
      <w:r w:rsidR="003A542E" w:rsidRPr="00785E44">
        <w:rPr>
          <w:rFonts w:ascii="Arial" w:hAnsi="Arial" w:cs="Arial"/>
        </w:rPr>
        <w:t>ash transport water applicability dates remained unchanged from 2015 ELG Rule.</w:t>
      </w:r>
    </w:p>
    <w:p w14:paraId="187C58A8" w14:textId="77777777" w:rsidR="001C22A2" w:rsidRPr="00785E44" w:rsidRDefault="001C22A2" w:rsidP="00DB7156">
      <w:pPr>
        <w:pStyle w:val="ListParagraph"/>
        <w:jc w:val="both"/>
        <w:rPr>
          <w:rFonts w:ascii="Arial" w:hAnsi="Arial" w:cs="Arial"/>
        </w:rPr>
      </w:pPr>
    </w:p>
    <w:p w14:paraId="689C2868" w14:textId="4A6B6B7F" w:rsidR="004068EB" w:rsidRPr="00785E44" w:rsidRDefault="00D74271" w:rsidP="00DB7156">
      <w:pPr>
        <w:pStyle w:val="ListParagraph"/>
        <w:numPr>
          <w:ilvl w:val="0"/>
          <w:numId w:val="2"/>
        </w:numPr>
        <w:jc w:val="both"/>
        <w:rPr>
          <w:rFonts w:ascii="Arial" w:hAnsi="Arial" w:cs="Arial"/>
        </w:rPr>
      </w:pPr>
      <w:r w:rsidRPr="00785E44">
        <w:rPr>
          <w:rFonts w:ascii="Arial" w:hAnsi="Arial" w:cs="Arial"/>
          <w:b/>
        </w:rPr>
        <w:t>October 2017</w:t>
      </w:r>
      <w:r w:rsidRPr="00785E44">
        <w:rPr>
          <w:rFonts w:ascii="Arial" w:hAnsi="Arial" w:cs="Arial"/>
        </w:rPr>
        <w:t xml:space="preserve"> – EPA </w:t>
      </w:r>
      <w:r w:rsidR="001C22A2" w:rsidRPr="00785E44">
        <w:rPr>
          <w:rFonts w:ascii="Arial" w:hAnsi="Arial" w:cs="Arial"/>
        </w:rPr>
        <w:t xml:space="preserve">proposes </w:t>
      </w:r>
      <w:r w:rsidR="0054023F" w:rsidRPr="00785E44">
        <w:rPr>
          <w:rFonts w:ascii="Arial" w:hAnsi="Arial" w:cs="Arial"/>
        </w:rPr>
        <w:t xml:space="preserve">to repeal the </w:t>
      </w:r>
      <w:r w:rsidR="006D0929" w:rsidRPr="00785E44">
        <w:rPr>
          <w:rFonts w:ascii="Arial" w:hAnsi="Arial" w:cs="Arial"/>
        </w:rPr>
        <w:t>CPP.</w:t>
      </w:r>
    </w:p>
    <w:p w14:paraId="514E0461" w14:textId="77777777" w:rsidR="0054023F" w:rsidRPr="00785E44" w:rsidRDefault="0054023F" w:rsidP="00DB7156">
      <w:pPr>
        <w:autoSpaceDE w:val="0"/>
        <w:autoSpaceDN w:val="0"/>
        <w:adjustRightInd w:val="0"/>
        <w:spacing w:after="0" w:line="240" w:lineRule="auto"/>
        <w:ind w:left="720"/>
        <w:jc w:val="both"/>
        <w:rPr>
          <w:rFonts w:ascii="Arial" w:hAnsi="Arial" w:cs="Arial"/>
          <w:sz w:val="24"/>
          <w:szCs w:val="24"/>
        </w:rPr>
      </w:pPr>
    </w:p>
    <w:p w14:paraId="3FDE6BF8" w14:textId="4E2E482B" w:rsidR="00733C9C" w:rsidRPr="00785E44" w:rsidRDefault="0054023F"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November</w:t>
      </w:r>
      <w:r w:rsidR="00C66B22" w:rsidRPr="00785E44">
        <w:rPr>
          <w:rFonts w:ascii="Arial" w:hAnsi="Arial" w:cs="Arial"/>
          <w:b/>
          <w:sz w:val="24"/>
          <w:szCs w:val="24"/>
        </w:rPr>
        <w:t xml:space="preserve"> 2017</w:t>
      </w:r>
      <w:r w:rsidR="00C66B22" w:rsidRPr="00785E44">
        <w:rPr>
          <w:rFonts w:ascii="Arial" w:hAnsi="Arial" w:cs="Arial"/>
          <w:sz w:val="24"/>
          <w:szCs w:val="24"/>
        </w:rPr>
        <w:t xml:space="preserve"> – EPA </w:t>
      </w:r>
      <w:r w:rsidR="001C22A2" w:rsidRPr="00785E44">
        <w:rPr>
          <w:rFonts w:ascii="Arial" w:hAnsi="Arial" w:cs="Arial"/>
          <w:sz w:val="24"/>
          <w:szCs w:val="24"/>
        </w:rPr>
        <w:t xml:space="preserve">finalizes </w:t>
      </w:r>
      <w:r w:rsidR="00C66B22" w:rsidRPr="00785E44">
        <w:rPr>
          <w:rFonts w:ascii="Arial" w:hAnsi="Arial" w:cs="Arial"/>
          <w:sz w:val="24"/>
          <w:szCs w:val="24"/>
        </w:rPr>
        <w:t xml:space="preserve">designations </w:t>
      </w:r>
      <w:r w:rsidR="001C22A2" w:rsidRPr="00785E44">
        <w:rPr>
          <w:rFonts w:ascii="Arial" w:hAnsi="Arial" w:cs="Arial"/>
          <w:sz w:val="24"/>
          <w:szCs w:val="24"/>
        </w:rPr>
        <w:t xml:space="preserve">for the 2015 ozone NAAQS </w:t>
      </w:r>
      <w:r w:rsidR="00C66B22" w:rsidRPr="00785E44">
        <w:rPr>
          <w:rFonts w:ascii="Arial" w:hAnsi="Arial" w:cs="Arial"/>
          <w:sz w:val="24"/>
          <w:szCs w:val="24"/>
        </w:rPr>
        <w:t xml:space="preserve">for </w:t>
      </w:r>
      <w:r w:rsidRPr="00785E44">
        <w:rPr>
          <w:rFonts w:ascii="Arial" w:hAnsi="Arial" w:cs="Arial"/>
          <w:sz w:val="24"/>
          <w:szCs w:val="24"/>
        </w:rPr>
        <w:t>most areas in the United States</w:t>
      </w:r>
      <w:r w:rsidR="00C66B22" w:rsidRPr="00785E44">
        <w:rPr>
          <w:rFonts w:ascii="Arial" w:hAnsi="Arial" w:cs="Arial"/>
          <w:sz w:val="24"/>
          <w:szCs w:val="24"/>
        </w:rPr>
        <w:t>.</w:t>
      </w:r>
    </w:p>
    <w:p w14:paraId="38240859" w14:textId="79B306A4" w:rsidR="00FF7062" w:rsidRPr="00785E44" w:rsidRDefault="00FF7062" w:rsidP="00DB7156">
      <w:pPr>
        <w:autoSpaceDE w:val="0"/>
        <w:autoSpaceDN w:val="0"/>
        <w:adjustRightInd w:val="0"/>
        <w:spacing w:after="0" w:line="240" w:lineRule="auto"/>
        <w:jc w:val="both"/>
        <w:rPr>
          <w:rFonts w:ascii="Arial" w:hAnsi="Arial" w:cs="Arial"/>
          <w:sz w:val="24"/>
          <w:szCs w:val="24"/>
        </w:rPr>
      </w:pPr>
    </w:p>
    <w:p w14:paraId="549C97F0" w14:textId="04F9FF4C" w:rsidR="00662862" w:rsidRPr="00785E44" w:rsidRDefault="00757A28" w:rsidP="00FA6B5F">
      <w:pPr>
        <w:pStyle w:val="ListParagraph"/>
        <w:numPr>
          <w:ilvl w:val="0"/>
          <w:numId w:val="34"/>
        </w:numPr>
        <w:autoSpaceDE w:val="0"/>
        <w:autoSpaceDN w:val="0"/>
        <w:adjustRightInd w:val="0"/>
        <w:jc w:val="both"/>
        <w:rPr>
          <w:rFonts w:ascii="Arial" w:hAnsi="Arial" w:cs="Arial"/>
        </w:rPr>
      </w:pPr>
      <w:r w:rsidRPr="00785E44">
        <w:rPr>
          <w:rFonts w:ascii="Arial" w:eastAsia="Times New Roman" w:hAnsi="Arial" w:cs="Arial"/>
          <w:b/>
        </w:rPr>
        <w:t>November 2017</w:t>
      </w:r>
      <w:r w:rsidRPr="00785E44">
        <w:rPr>
          <w:rFonts w:ascii="Arial" w:hAnsi="Arial" w:cs="Arial"/>
        </w:rPr>
        <w:t xml:space="preserve"> </w:t>
      </w:r>
      <w:r w:rsidR="00FA6B5F" w:rsidRPr="00785E44">
        <w:rPr>
          <w:rFonts w:ascii="Arial" w:hAnsi="Arial" w:cs="Arial"/>
        </w:rPr>
        <w:t xml:space="preserve">– </w:t>
      </w:r>
      <w:r w:rsidRPr="00785E44">
        <w:rPr>
          <w:rFonts w:ascii="Arial" w:hAnsi="Arial" w:cs="Arial"/>
        </w:rPr>
        <w:t>EPA file</w:t>
      </w:r>
      <w:r w:rsidR="006626D0" w:rsidRPr="00785E44">
        <w:rPr>
          <w:rFonts w:ascii="Arial" w:hAnsi="Arial" w:cs="Arial"/>
        </w:rPr>
        <w:t>s</w:t>
      </w:r>
      <w:r w:rsidRPr="00785E44">
        <w:rPr>
          <w:rFonts w:ascii="Arial" w:hAnsi="Arial" w:cs="Arial"/>
        </w:rPr>
        <w:t xml:space="preserve"> a Status Report with the D</w:t>
      </w:r>
      <w:r w:rsidR="006626D0" w:rsidRPr="00785E44">
        <w:rPr>
          <w:rFonts w:ascii="Arial" w:hAnsi="Arial" w:cs="Arial"/>
        </w:rPr>
        <w:t>.</w:t>
      </w:r>
      <w:r w:rsidRPr="00785E44">
        <w:rPr>
          <w:rFonts w:ascii="Arial" w:hAnsi="Arial" w:cs="Arial"/>
        </w:rPr>
        <w:t>C</w:t>
      </w:r>
      <w:r w:rsidR="006626D0" w:rsidRPr="00785E44">
        <w:rPr>
          <w:rFonts w:ascii="Arial" w:hAnsi="Arial" w:cs="Arial"/>
        </w:rPr>
        <w:t>.</w:t>
      </w:r>
      <w:r w:rsidRPr="00785E44">
        <w:rPr>
          <w:rFonts w:ascii="Arial" w:hAnsi="Arial" w:cs="Arial"/>
        </w:rPr>
        <w:t xml:space="preserve"> Circuit Court indicating intent to issue a proposed</w:t>
      </w:r>
      <w:r w:rsidR="004A3326" w:rsidRPr="00785E44">
        <w:rPr>
          <w:rFonts w:ascii="Arial" w:hAnsi="Arial" w:cs="Arial"/>
        </w:rPr>
        <w:t xml:space="preserve"> CCR</w:t>
      </w:r>
      <w:r w:rsidRPr="00785E44">
        <w:rPr>
          <w:rFonts w:ascii="Arial" w:hAnsi="Arial" w:cs="Arial"/>
        </w:rPr>
        <w:t xml:space="preserve"> rulemaking by March 2018 to address provisions of the rule under reconsideration. </w:t>
      </w:r>
    </w:p>
    <w:p w14:paraId="7AE031A5" w14:textId="77777777" w:rsidR="009F43A5" w:rsidRPr="00785E44" w:rsidRDefault="009F43A5" w:rsidP="00DB7156">
      <w:pPr>
        <w:autoSpaceDE w:val="0"/>
        <w:autoSpaceDN w:val="0"/>
        <w:adjustRightInd w:val="0"/>
        <w:spacing w:after="0" w:line="240" w:lineRule="auto"/>
        <w:ind w:left="720"/>
        <w:jc w:val="both"/>
        <w:rPr>
          <w:rFonts w:ascii="Arial" w:hAnsi="Arial" w:cs="Arial"/>
          <w:b/>
          <w:sz w:val="24"/>
          <w:szCs w:val="24"/>
        </w:rPr>
      </w:pPr>
    </w:p>
    <w:p w14:paraId="3AA9B7E2" w14:textId="3A372233" w:rsidR="00732EA8" w:rsidRPr="00785E44" w:rsidRDefault="00732EA8" w:rsidP="00DB7156">
      <w:pPr>
        <w:pStyle w:val="ListParagraph"/>
        <w:numPr>
          <w:ilvl w:val="0"/>
          <w:numId w:val="2"/>
        </w:numPr>
        <w:autoSpaceDE w:val="0"/>
        <w:autoSpaceDN w:val="0"/>
        <w:adjustRightInd w:val="0"/>
        <w:jc w:val="both"/>
        <w:rPr>
          <w:rFonts w:ascii="Arial" w:hAnsi="Arial" w:cs="Arial"/>
        </w:rPr>
      </w:pPr>
      <w:r w:rsidRPr="00785E44">
        <w:rPr>
          <w:rFonts w:ascii="Arial" w:hAnsi="Arial" w:cs="Arial"/>
          <w:b/>
        </w:rPr>
        <w:t>December 2017</w:t>
      </w:r>
      <w:r w:rsidRPr="00785E44">
        <w:rPr>
          <w:rFonts w:ascii="Arial" w:hAnsi="Arial" w:cs="Arial"/>
        </w:rPr>
        <w:t xml:space="preserve"> – EPA issues an advanced notice of proposed rulemaking (</w:t>
      </w:r>
      <w:r w:rsidR="0058129C">
        <w:rPr>
          <w:rFonts w:ascii="Arial" w:hAnsi="Arial" w:cs="Arial"/>
        </w:rPr>
        <w:t>“</w:t>
      </w:r>
      <w:r w:rsidRPr="00785E44">
        <w:rPr>
          <w:rFonts w:ascii="Arial" w:hAnsi="Arial" w:cs="Arial"/>
        </w:rPr>
        <w:t>ANPRM</w:t>
      </w:r>
      <w:r w:rsidR="0058129C">
        <w:rPr>
          <w:rFonts w:ascii="Arial" w:hAnsi="Arial" w:cs="Arial"/>
        </w:rPr>
        <w:t>”</w:t>
      </w:r>
      <w:r w:rsidRPr="00785E44">
        <w:rPr>
          <w:rFonts w:ascii="Arial" w:hAnsi="Arial" w:cs="Arial"/>
        </w:rPr>
        <w:t>) to solicit information from the public as the Agency considers replacing the CPP.</w:t>
      </w:r>
    </w:p>
    <w:p w14:paraId="69F685A7" w14:textId="77777777" w:rsidR="00764220" w:rsidRPr="00785E44" w:rsidRDefault="00764220" w:rsidP="00DB7156">
      <w:pPr>
        <w:pStyle w:val="ListParagraph"/>
        <w:jc w:val="both"/>
        <w:rPr>
          <w:rFonts w:ascii="Arial" w:hAnsi="Arial" w:cs="Arial"/>
        </w:rPr>
      </w:pPr>
    </w:p>
    <w:p w14:paraId="14325513" w14:textId="4904F773" w:rsidR="00764220" w:rsidRPr="00785E44" w:rsidRDefault="00764220" w:rsidP="00DB7156">
      <w:pPr>
        <w:numPr>
          <w:ilvl w:val="0"/>
          <w:numId w:val="2"/>
        </w:numPr>
        <w:autoSpaceDE w:val="0"/>
        <w:autoSpaceDN w:val="0"/>
        <w:adjustRightInd w:val="0"/>
        <w:spacing w:after="0" w:line="240" w:lineRule="auto"/>
        <w:jc w:val="both"/>
        <w:rPr>
          <w:rFonts w:ascii="Arial" w:hAnsi="Arial" w:cs="Arial"/>
          <w:b/>
          <w:sz w:val="24"/>
          <w:szCs w:val="24"/>
        </w:rPr>
      </w:pPr>
      <w:r w:rsidRPr="00785E44">
        <w:rPr>
          <w:rFonts w:ascii="Arial" w:hAnsi="Arial" w:cs="Arial"/>
          <w:b/>
          <w:sz w:val="24"/>
          <w:szCs w:val="24"/>
        </w:rPr>
        <w:t>January 2018</w:t>
      </w:r>
      <w:r w:rsidRPr="00785E44">
        <w:rPr>
          <w:rFonts w:ascii="Arial" w:hAnsi="Arial" w:cs="Arial"/>
          <w:sz w:val="24"/>
          <w:szCs w:val="24"/>
        </w:rPr>
        <w:t xml:space="preserve"> – EPA </w:t>
      </w:r>
      <w:r w:rsidR="001C22A2" w:rsidRPr="00785E44">
        <w:rPr>
          <w:rFonts w:ascii="Arial" w:hAnsi="Arial" w:cs="Arial"/>
          <w:sz w:val="24"/>
          <w:szCs w:val="24"/>
        </w:rPr>
        <w:t xml:space="preserve">finalizes </w:t>
      </w:r>
      <w:r w:rsidRPr="00785E44">
        <w:rPr>
          <w:rFonts w:ascii="Arial" w:hAnsi="Arial" w:cs="Arial"/>
          <w:sz w:val="24"/>
          <w:szCs w:val="24"/>
        </w:rPr>
        <w:t>the third round of designations for the 2010 SO</w:t>
      </w:r>
      <w:r w:rsidRPr="00785E44">
        <w:rPr>
          <w:rFonts w:ascii="Arial" w:hAnsi="Arial" w:cs="Arial"/>
          <w:sz w:val="24"/>
          <w:szCs w:val="24"/>
          <w:vertAlign w:val="subscript"/>
        </w:rPr>
        <w:t>2</w:t>
      </w:r>
      <w:r w:rsidRPr="00785E44">
        <w:rPr>
          <w:rFonts w:ascii="Arial" w:hAnsi="Arial" w:cs="Arial"/>
          <w:sz w:val="24"/>
          <w:szCs w:val="24"/>
        </w:rPr>
        <w:t xml:space="preserve"> NAAQS</w:t>
      </w:r>
      <w:r w:rsidR="001C22A2" w:rsidRPr="00785E44">
        <w:rPr>
          <w:rFonts w:ascii="Arial" w:hAnsi="Arial" w:cs="Arial"/>
          <w:sz w:val="24"/>
          <w:szCs w:val="24"/>
        </w:rPr>
        <w:t>.</w:t>
      </w:r>
      <w:r w:rsidRPr="00785E44">
        <w:rPr>
          <w:rFonts w:ascii="Arial" w:hAnsi="Arial" w:cs="Arial"/>
          <w:sz w:val="24"/>
          <w:szCs w:val="24"/>
        </w:rPr>
        <w:t xml:space="preserve"> </w:t>
      </w:r>
    </w:p>
    <w:p w14:paraId="74150D42" w14:textId="77777777" w:rsidR="0054023F" w:rsidRPr="00785E44" w:rsidRDefault="0054023F" w:rsidP="00DB7156">
      <w:pPr>
        <w:spacing w:after="0" w:line="240" w:lineRule="auto"/>
        <w:ind w:left="720"/>
        <w:jc w:val="both"/>
        <w:rPr>
          <w:rFonts w:ascii="Arial" w:hAnsi="Arial" w:cs="Arial"/>
          <w:sz w:val="24"/>
          <w:szCs w:val="24"/>
        </w:rPr>
      </w:pPr>
    </w:p>
    <w:p w14:paraId="385CC4A6" w14:textId="77C25DCB" w:rsidR="00757A28" w:rsidRPr="00785E44" w:rsidRDefault="00757A28" w:rsidP="00DB7156">
      <w:pPr>
        <w:numPr>
          <w:ilvl w:val="0"/>
          <w:numId w:val="2"/>
        </w:numPr>
        <w:autoSpaceDE w:val="0"/>
        <w:autoSpaceDN w:val="0"/>
        <w:adjustRightInd w:val="0"/>
        <w:spacing w:after="0" w:line="240" w:lineRule="auto"/>
        <w:jc w:val="both"/>
        <w:rPr>
          <w:rFonts w:ascii="Arial" w:hAnsi="Arial" w:cs="Arial"/>
          <w:sz w:val="24"/>
          <w:szCs w:val="24"/>
        </w:rPr>
      </w:pPr>
      <w:bookmarkStart w:id="17" w:name="_Hlk530208865"/>
      <w:r w:rsidRPr="00785E44">
        <w:rPr>
          <w:rFonts w:ascii="Arial" w:hAnsi="Arial" w:cs="Arial"/>
          <w:b/>
          <w:sz w:val="24"/>
          <w:szCs w:val="24"/>
        </w:rPr>
        <w:t>February 2018</w:t>
      </w:r>
      <w:r w:rsidR="00B105E4" w:rsidRPr="00785E44">
        <w:rPr>
          <w:rFonts w:ascii="Arial" w:hAnsi="Arial" w:cs="Arial"/>
          <w:sz w:val="24"/>
          <w:szCs w:val="24"/>
        </w:rPr>
        <w:t xml:space="preserve"> </w:t>
      </w:r>
      <w:r w:rsidR="00FA6B5F" w:rsidRPr="00785E44">
        <w:rPr>
          <w:rFonts w:ascii="Arial" w:hAnsi="Arial" w:cs="Arial"/>
          <w:sz w:val="24"/>
          <w:szCs w:val="24"/>
        </w:rPr>
        <w:t xml:space="preserve">– </w:t>
      </w:r>
      <w:r w:rsidR="00B105E4" w:rsidRPr="00785E44">
        <w:rPr>
          <w:rFonts w:ascii="Arial" w:hAnsi="Arial" w:cs="Arial"/>
          <w:sz w:val="24"/>
          <w:szCs w:val="24"/>
        </w:rPr>
        <w:t>Georgia</w:t>
      </w:r>
      <w:r w:rsidRPr="00785E44">
        <w:rPr>
          <w:rFonts w:ascii="Arial" w:hAnsi="Arial" w:cs="Arial"/>
          <w:sz w:val="24"/>
          <w:szCs w:val="24"/>
        </w:rPr>
        <w:t xml:space="preserve"> </w:t>
      </w:r>
      <w:r w:rsidR="00FA6B5F" w:rsidRPr="00785E44">
        <w:rPr>
          <w:rFonts w:ascii="Arial" w:hAnsi="Arial" w:cs="Arial"/>
          <w:sz w:val="24"/>
          <w:szCs w:val="24"/>
        </w:rPr>
        <w:t xml:space="preserve">Board of Natural Resources </w:t>
      </w:r>
      <w:r w:rsidRPr="00785E44">
        <w:rPr>
          <w:rFonts w:ascii="Arial" w:hAnsi="Arial" w:cs="Arial"/>
          <w:sz w:val="24"/>
          <w:szCs w:val="24"/>
        </w:rPr>
        <w:t xml:space="preserve">amends the Georgia CCR Rule </w:t>
      </w:r>
      <w:r w:rsidR="00A502ED" w:rsidRPr="00785E44">
        <w:rPr>
          <w:rFonts w:ascii="Arial" w:hAnsi="Arial" w:cs="Arial"/>
          <w:sz w:val="24"/>
          <w:szCs w:val="24"/>
        </w:rPr>
        <w:t>to</w:t>
      </w:r>
      <w:r w:rsidR="00A502ED" w:rsidRPr="00785E44">
        <w:rPr>
          <w:rFonts w:ascii="Arial" w:eastAsia="Calibri" w:hAnsi="Arial" w:cs="Arial"/>
          <w:color w:val="000000"/>
          <w:sz w:val="24"/>
          <w:szCs w:val="24"/>
        </w:rPr>
        <w:t xml:space="preserve"> incorporate EPA’s </w:t>
      </w:r>
      <w:r w:rsidR="00FA6B5F" w:rsidRPr="00785E44">
        <w:rPr>
          <w:rFonts w:ascii="Arial" w:eastAsia="Calibri" w:hAnsi="Arial" w:cs="Arial"/>
          <w:color w:val="000000"/>
          <w:sz w:val="24"/>
          <w:szCs w:val="24"/>
        </w:rPr>
        <w:t xml:space="preserve">amendments to the </w:t>
      </w:r>
      <w:r w:rsidR="0006676B" w:rsidRPr="00785E44">
        <w:rPr>
          <w:rFonts w:ascii="Arial" w:eastAsia="Calibri" w:hAnsi="Arial" w:cs="Arial"/>
          <w:color w:val="000000"/>
          <w:sz w:val="24"/>
          <w:szCs w:val="24"/>
        </w:rPr>
        <w:t xml:space="preserve">Federal CCR Rule and to </w:t>
      </w:r>
      <w:r w:rsidR="00A502ED" w:rsidRPr="00785E44">
        <w:rPr>
          <w:rFonts w:ascii="Arial" w:eastAsia="Calibri" w:hAnsi="Arial" w:cs="Arial"/>
          <w:color w:val="000000"/>
          <w:sz w:val="24"/>
          <w:szCs w:val="24"/>
        </w:rPr>
        <w:t xml:space="preserve">add requirements for </w:t>
      </w:r>
      <w:r w:rsidR="002525AB" w:rsidRPr="00785E44">
        <w:rPr>
          <w:rFonts w:ascii="Arial" w:eastAsia="Calibri" w:hAnsi="Arial" w:cs="Arial"/>
          <w:color w:val="000000"/>
          <w:sz w:val="24"/>
          <w:szCs w:val="24"/>
        </w:rPr>
        <w:t>solid waste permits to undergo a regulatory review process</w:t>
      </w:r>
      <w:r w:rsidR="0006676B" w:rsidRPr="00785E44">
        <w:rPr>
          <w:rFonts w:ascii="Arial" w:hAnsi="Arial" w:cs="Arial"/>
          <w:sz w:val="24"/>
          <w:szCs w:val="24"/>
        </w:rPr>
        <w:t>.</w:t>
      </w:r>
    </w:p>
    <w:bookmarkEnd w:id="17"/>
    <w:p w14:paraId="16578E7B" w14:textId="77777777" w:rsidR="0054023F" w:rsidRPr="00785E44" w:rsidRDefault="0054023F" w:rsidP="00DB7156">
      <w:pPr>
        <w:autoSpaceDE w:val="0"/>
        <w:autoSpaceDN w:val="0"/>
        <w:adjustRightInd w:val="0"/>
        <w:spacing w:after="0" w:line="240" w:lineRule="auto"/>
        <w:ind w:left="720"/>
        <w:jc w:val="both"/>
        <w:rPr>
          <w:rFonts w:ascii="Arial" w:hAnsi="Arial" w:cs="Arial"/>
          <w:sz w:val="24"/>
          <w:szCs w:val="24"/>
        </w:rPr>
      </w:pPr>
    </w:p>
    <w:p w14:paraId="404C3589" w14:textId="22639A22" w:rsidR="001C22A2" w:rsidRPr="00785E44" w:rsidRDefault="001C22A2"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2018</w:t>
      </w:r>
      <w:r w:rsidRPr="00785E44">
        <w:rPr>
          <w:rFonts w:ascii="Arial" w:hAnsi="Arial" w:cs="Arial"/>
          <w:sz w:val="24"/>
          <w:szCs w:val="24"/>
        </w:rPr>
        <w:t xml:space="preserve"> – EPA release</w:t>
      </w:r>
      <w:r w:rsidR="006626D0" w:rsidRPr="00785E44">
        <w:rPr>
          <w:rFonts w:ascii="Arial" w:hAnsi="Arial" w:cs="Arial"/>
          <w:sz w:val="24"/>
          <w:szCs w:val="24"/>
        </w:rPr>
        <w:t>s</w:t>
      </w:r>
      <w:r w:rsidRPr="00785E44">
        <w:rPr>
          <w:rFonts w:ascii="Arial" w:hAnsi="Arial" w:cs="Arial"/>
          <w:sz w:val="24"/>
          <w:szCs w:val="24"/>
        </w:rPr>
        <w:t xml:space="preserve"> proposed Phase </w:t>
      </w:r>
      <w:r w:rsidR="0088735E" w:rsidRPr="00785E44">
        <w:rPr>
          <w:rFonts w:ascii="Arial" w:hAnsi="Arial" w:cs="Arial"/>
          <w:sz w:val="24"/>
          <w:szCs w:val="24"/>
        </w:rPr>
        <w:t>One</w:t>
      </w:r>
      <w:r w:rsidRPr="00785E44">
        <w:rPr>
          <w:rFonts w:ascii="Arial" w:hAnsi="Arial" w:cs="Arial"/>
          <w:sz w:val="24"/>
          <w:szCs w:val="24"/>
        </w:rPr>
        <w:t xml:space="preserve"> Amendments to the CCR Rule to address four issues under litigation that the D.C. Circuit Court remanded back to EPA in 2016 as well as issues submitted to EPA through petitions for rule reconsideration</w:t>
      </w:r>
      <w:r w:rsidRPr="00785E44" w:rsidDel="005D4680">
        <w:rPr>
          <w:rFonts w:ascii="Arial" w:hAnsi="Arial" w:cs="Arial"/>
          <w:sz w:val="24"/>
          <w:szCs w:val="24"/>
        </w:rPr>
        <w:t>.</w:t>
      </w:r>
    </w:p>
    <w:p w14:paraId="46AEA0F6" w14:textId="3E32CD05" w:rsidR="001C22A2" w:rsidRPr="00785E44" w:rsidRDefault="001C22A2" w:rsidP="00DB7156">
      <w:pPr>
        <w:pStyle w:val="ListParagraph"/>
        <w:jc w:val="both"/>
        <w:rPr>
          <w:rFonts w:ascii="Arial" w:hAnsi="Arial" w:cs="Arial"/>
        </w:rPr>
      </w:pPr>
    </w:p>
    <w:p w14:paraId="3DF01847" w14:textId="1A141739" w:rsidR="005D4680" w:rsidRPr="00785E44" w:rsidRDefault="005D4680"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2018</w:t>
      </w:r>
      <w:r w:rsidRPr="00785E44">
        <w:rPr>
          <w:rFonts w:ascii="Arial" w:hAnsi="Arial" w:cs="Arial"/>
          <w:sz w:val="24"/>
          <w:szCs w:val="24"/>
        </w:rPr>
        <w:t xml:space="preserve"> – The D</w:t>
      </w:r>
      <w:r w:rsidR="006626D0" w:rsidRPr="00785E44">
        <w:rPr>
          <w:rFonts w:ascii="Arial" w:hAnsi="Arial" w:cs="Arial"/>
          <w:sz w:val="24"/>
          <w:szCs w:val="24"/>
        </w:rPr>
        <w:t>.</w:t>
      </w:r>
      <w:r w:rsidRPr="00785E44">
        <w:rPr>
          <w:rFonts w:ascii="Arial" w:hAnsi="Arial" w:cs="Arial"/>
          <w:sz w:val="24"/>
          <w:szCs w:val="24"/>
        </w:rPr>
        <w:t>C</w:t>
      </w:r>
      <w:r w:rsidR="006626D0" w:rsidRPr="00785E44">
        <w:rPr>
          <w:rFonts w:ascii="Arial" w:hAnsi="Arial" w:cs="Arial"/>
          <w:sz w:val="24"/>
          <w:szCs w:val="24"/>
        </w:rPr>
        <w:t>.</w:t>
      </w:r>
      <w:r w:rsidRPr="00785E44">
        <w:rPr>
          <w:rFonts w:ascii="Arial" w:hAnsi="Arial" w:cs="Arial"/>
          <w:sz w:val="24"/>
          <w:szCs w:val="24"/>
        </w:rPr>
        <w:t xml:space="preserve"> Circuit Court finds that compliance with CSAPR satisfies </w:t>
      </w:r>
      <w:r w:rsidR="00B105E4" w:rsidRPr="00785E44">
        <w:rPr>
          <w:rFonts w:ascii="Arial" w:hAnsi="Arial" w:cs="Arial"/>
          <w:sz w:val="24"/>
          <w:szCs w:val="24"/>
        </w:rPr>
        <w:t>Best Available Retrofit Technology (</w:t>
      </w:r>
      <w:r w:rsidR="00FA6B5F" w:rsidRPr="00785E44">
        <w:rPr>
          <w:rFonts w:ascii="Arial" w:hAnsi="Arial" w:cs="Arial"/>
          <w:sz w:val="24"/>
          <w:szCs w:val="24"/>
        </w:rPr>
        <w:t>“</w:t>
      </w:r>
      <w:r w:rsidRPr="00785E44">
        <w:rPr>
          <w:rFonts w:ascii="Arial" w:hAnsi="Arial" w:cs="Arial"/>
          <w:sz w:val="24"/>
          <w:szCs w:val="24"/>
        </w:rPr>
        <w:t>BART</w:t>
      </w:r>
      <w:r w:rsidR="00FA6B5F" w:rsidRPr="00785E44">
        <w:rPr>
          <w:rFonts w:ascii="Arial" w:hAnsi="Arial" w:cs="Arial"/>
          <w:sz w:val="24"/>
          <w:szCs w:val="24"/>
        </w:rPr>
        <w:t>”</w:t>
      </w:r>
      <w:r w:rsidR="00B105E4" w:rsidRPr="00785E44">
        <w:rPr>
          <w:rFonts w:ascii="Arial" w:hAnsi="Arial" w:cs="Arial"/>
          <w:sz w:val="24"/>
          <w:szCs w:val="24"/>
        </w:rPr>
        <w:t>)</w:t>
      </w:r>
      <w:r w:rsidRPr="00785E44">
        <w:rPr>
          <w:rFonts w:ascii="Arial" w:hAnsi="Arial" w:cs="Arial"/>
          <w:sz w:val="24"/>
          <w:szCs w:val="24"/>
        </w:rPr>
        <w:t xml:space="preserve"> for regional haze planning.</w:t>
      </w:r>
    </w:p>
    <w:p w14:paraId="47A01D7B" w14:textId="77777777" w:rsidR="003A073F" w:rsidRPr="00785E44" w:rsidRDefault="003A073F" w:rsidP="00DB7156">
      <w:pPr>
        <w:pStyle w:val="ListParagraph"/>
        <w:jc w:val="both"/>
        <w:rPr>
          <w:rFonts w:ascii="Arial" w:hAnsi="Arial" w:cs="Arial"/>
        </w:rPr>
      </w:pPr>
    </w:p>
    <w:p w14:paraId="03DCC5E2" w14:textId="05CEA1D4" w:rsidR="003A073F" w:rsidRPr="00785E44" w:rsidRDefault="003A073F"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2018</w:t>
      </w:r>
      <w:r w:rsidRPr="00785E44">
        <w:rPr>
          <w:rFonts w:ascii="Arial" w:hAnsi="Arial" w:cs="Arial"/>
          <w:sz w:val="24"/>
          <w:szCs w:val="24"/>
        </w:rPr>
        <w:t xml:space="preserve"> – The D</w:t>
      </w:r>
      <w:r w:rsidR="006626D0" w:rsidRPr="00785E44">
        <w:rPr>
          <w:rFonts w:ascii="Arial" w:hAnsi="Arial" w:cs="Arial"/>
          <w:sz w:val="24"/>
          <w:szCs w:val="24"/>
        </w:rPr>
        <w:t>.</w:t>
      </w:r>
      <w:r w:rsidRPr="00785E44">
        <w:rPr>
          <w:rFonts w:ascii="Arial" w:hAnsi="Arial" w:cs="Arial"/>
          <w:sz w:val="24"/>
          <w:szCs w:val="24"/>
        </w:rPr>
        <w:t>C</w:t>
      </w:r>
      <w:r w:rsidR="006626D0" w:rsidRPr="00785E44">
        <w:rPr>
          <w:rFonts w:ascii="Arial" w:hAnsi="Arial" w:cs="Arial"/>
          <w:sz w:val="24"/>
          <w:szCs w:val="24"/>
        </w:rPr>
        <w:t>.</w:t>
      </w:r>
      <w:r w:rsidRPr="00785E44">
        <w:rPr>
          <w:rFonts w:ascii="Arial" w:hAnsi="Arial" w:cs="Arial"/>
          <w:sz w:val="24"/>
          <w:szCs w:val="24"/>
        </w:rPr>
        <w:t xml:space="preserve"> Circuit </w:t>
      </w:r>
      <w:r w:rsidR="003652A6" w:rsidRPr="00785E44">
        <w:rPr>
          <w:rFonts w:ascii="Arial" w:hAnsi="Arial" w:cs="Arial"/>
          <w:sz w:val="24"/>
          <w:szCs w:val="24"/>
        </w:rPr>
        <w:t xml:space="preserve">Court </w:t>
      </w:r>
      <w:r w:rsidRPr="00785E44">
        <w:rPr>
          <w:rFonts w:ascii="Arial" w:hAnsi="Arial" w:cs="Arial"/>
          <w:sz w:val="24"/>
          <w:szCs w:val="24"/>
        </w:rPr>
        <w:t>upholds startup work practice standards in IB MACT reconsideration.</w:t>
      </w:r>
    </w:p>
    <w:p w14:paraId="22F43A88" w14:textId="77777777" w:rsidR="005D4680" w:rsidRPr="00785E44" w:rsidRDefault="005D4680" w:rsidP="00DB7156">
      <w:pPr>
        <w:pStyle w:val="ListParagraph"/>
        <w:jc w:val="both"/>
        <w:rPr>
          <w:rFonts w:ascii="Arial" w:hAnsi="Arial" w:cs="Arial"/>
        </w:rPr>
      </w:pPr>
    </w:p>
    <w:p w14:paraId="1B14B345" w14:textId="26D93017" w:rsidR="00C66B22" w:rsidRPr="00785E44" w:rsidRDefault="00C66B22"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April 2018</w:t>
      </w:r>
      <w:r w:rsidRPr="00785E44">
        <w:rPr>
          <w:rFonts w:ascii="Arial" w:hAnsi="Arial" w:cs="Arial"/>
          <w:sz w:val="24"/>
          <w:szCs w:val="24"/>
        </w:rPr>
        <w:t xml:space="preserve"> – </w:t>
      </w:r>
      <w:r w:rsidR="008E6D00" w:rsidRPr="00785E44">
        <w:rPr>
          <w:rFonts w:ascii="Arial" w:hAnsi="Arial" w:cs="Arial"/>
          <w:sz w:val="24"/>
          <w:szCs w:val="24"/>
        </w:rPr>
        <w:t xml:space="preserve">EPA </w:t>
      </w:r>
      <w:r w:rsidR="001C22A2" w:rsidRPr="00785E44">
        <w:rPr>
          <w:rFonts w:ascii="Arial" w:hAnsi="Arial" w:cs="Arial"/>
          <w:sz w:val="24"/>
          <w:szCs w:val="24"/>
        </w:rPr>
        <w:t>retains</w:t>
      </w:r>
      <w:r w:rsidR="008E6D00" w:rsidRPr="00785E44">
        <w:rPr>
          <w:rFonts w:ascii="Arial" w:hAnsi="Arial" w:cs="Arial"/>
          <w:sz w:val="24"/>
          <w:szCs w:val="24"/>
        </w:rPr>
        <w:t xml:space="preserve"> the primary NO</w:t>
      </w:r>
      <w:r w:rsidR="008E6D00" w:rsidRPr="00785E44">
        <w:rPr>
          <w:rFonts w:ascii="Arial" w:hAnsi="Arial" w:cs="Arial"/>
          <w:sz w:val="24"/>
          <w:szCs w:val="24"/>
          <w:vertAlign w:val="subscript"/>
        </w:rPr>
        <w:t>2</w:t>
      </w:r>
      <w:r w:rsidR="008E6D00" w:rsidRPr="00785E44">
        <w:rPr>
          <w:rFonts w:ascii="Arial" w:hAnsi="Arial" w:cs="Arial"/>
          <w:sz w:val="24"/>
          <w:szCs w:val="24"/>
        </w:rPr>
        <w:t xml:space="preserve"> </w:t>
      </w:r>
      <w:r w:rsidR="005D4680" w:rsidRPr="00785E44">
        <w:rPr>
          <w:rFonts w:ascii="Arial" w:hAnsi="Arial" w:cs="Arial"/>
          <w:sz w:val="24"/>
          <w:szCs w:val="24"/>
        </w:rPr>
        <w:t>NAAQS</w:t>
      </w:r>
      <w:r w:rsidR="008E6D00" w:rsidRPr="00785E44">
        <w:rPr>
          <w:rFonts w:ascii="Arial" w:hAnsi="Arial" w:cs="Arial"/>
          <w:sz w:val="24"/>
          <w:szCs w:val="24"/>
        </w:rPr>
        <w:t>, without revision.</w:t>
      </w:r>
    </w:p>
    <w:p w14:paraId="3BD66B7A" w14:textId="77777777" w:rsidR="004F2198" w:rsidRPr="00785E44" w:rsidRDefault="004F2198" w:rsidP="00DB7156">
      <w:pPr>
        <w:pStyle w:val="ListParagraph"/>
        <w:jc w:val="both"/>
        <w:rPr>
          <w:rFonts w:ascii="Arial" w:hAnsi="Arial" w:cs="Arial"/>
        </w:rPr>
      </w:pPr>
    </w:p>
    <w:p w14:paraId="2423230C" w14:textId="5327E991" w:rsidR="004F2198" w:rsidRPr="00785E44" w:rsidRDefault="004F219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April 2018</w:t>
      </w:r>
      <w:r w:rsidRPr="00785E44">
        <w:rPr>
          <w:rFonts w:ascii="Arial" w:hAnsi="Arial" w:cs="Arial"/>
          <w:sz w:val="24"/>
          <w:szCs w:val="24"/>
        </w:rPr>
        <w:t xml:space="preserve"> – EPA finalizes nonattainment designations for seven counties in the Atlanta metropolitan area for the 2015 ozone NAAQS.</w:t>
      </w:r>
    </w:p>
    <w:p w14:paraId="41BE59C1" w14:textId="77777777" w:rsidR="00D33F99" w:rsidRPr="00785E44" w:rsidRDefault="00D33F99" w:rsidP="00DB7156">
      <w:pPr>
        <w:pStyle w:val="ListParagraph"/>
        <w:jc w:val="both"/>
        <w:rPr>
          <w:rFonts w:ascii="Arial" w:hAnsi="Arial" w:cs="Arial"/>
        </w:rPr>
      </w:pPr>
    </w:p>
    <w:p w14:paraId="09F10DAC" w14:textId="2EB2524C" w:rsidR="005D71D1" w:rsidRPr="00785E44" w:rsidRDefault="005D71D1"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June 2018</w:t>
      </w:r>
      <w:r w:rsidRPr="00785E44">
        <w:rPr>
          <w:rFonts w:ascii="Arial" w:hAnsi="Arial" w:cs="Arial"/>
          <w:sz w:val="24"/>
          <w:szCs w:val="24"/>
        </w:rPr>
        <w:t xml:space="preserve"> – G</w:t>
      </w:r>
      <w:r w:rsidR="00B105E4" w:rsidRPr="00785E44">
        <w:rPr>
          <w:rFonts w:ascii="Arial" w:hAnsi="Arial" w:cs="Arial"/>
          <w:sz w:val="24"/>
          <w:szCs w:val="24"/>
        </w:rPr>
        <w:t>eorgia</w:t>
      </w:r>
      <w:r w:rsidRPr="00785E44">
        <w:rPr>
          <w:rFonts w:ascii="Arial" w:hAnsi="Arial" w:cs="Arial"/>
          <w:sz w:val="24"/>
          <w:szCs w:val="24"/>
        </w:rPr>
        <w:t xml:space="preserve"> EPD revises SIP to remove legacy </w:t>
      </w:r>
      <w:r w:rsidR="00B105E4" w:rsidRPr="00785E44">
        <w:rPr>
          <w:rFonts w:ascii="Arial" w:hAnsi="Arial" w:cs="Arial"/>
          <w:sz w:val="24"/>
          <w:szCs w:val="24"/>
        </w:rPr>
        <w:t>New Source Review (</w:t>
      </w:r>
      <w:r w:rsidR="00FA6B5F" w:rsidRPr="00785E44">
        <w:rPr>
          <w:rFonts w:ascii="Arial" w:hAnsi="Arial" w:cs="Arial"/>
          <w:sz w:val="24"/>
          <w:szCs w:val="24"/>
        </w:rPr>
        <w:t>“</w:t>
      </w:r>
      <w:r w:rsidRPr="00785E44">
        <w:rPr>
          <w:rFonts w:ascii="Arial" w:hAnsi="Arial" w:cs="Arial"/>
          <w:sz w:val="24"/>
          <w:szCs w:val="24"/>
        </w:rPr>
        <w:t>NSR</w:t>
      </w:r>
      <w:r w:rsidR="00FA6B5F" w:rsidRPr="00785E44">
        <w:rPr>
          <w:rFonts w:ascii="Arial" w:hAnsi="Arial" w:cs="Arial"/>
          <w:sz w:val="24"/>
          <w:szCs w:val="24"/>
        </w:rPr>
        <w:t>”</w:t>
      </w:r>
      <w:r w:rsidR="00B105E4" w:rsidRPr="00785E44">
        <w:rPr>
          <w:rFonts w:ascii="Arial" w:hAnsi="Arial" w:cs="Arial"/>
          <w:sz w:val="24"/>
          <w:szCs w:val="24"/>
        </w:rPr>
        <w:t>)</w:t>
      </w:r>
      <w:r w:rsidRPr="00785E44">
        <w:rPr>
          <w:rFonts w:ascii="Arial" w:hAnsi="Arial" w:cs="Arial"/>
          <w:sz w:val="24"/>
          <w:szCs w:val="24"/>
        </w:rPr>
        <w:t xml:space="preserve"> and Title V requirements applicable to the original 13 counties designated nonattainment for the revoked 1-hour ozone NAAQS</w:t>
      </w:r>
      <w:r w:rsidR="00081A4B" w:rsidRPr="00785E44">
        <w:rPr>
          <w:rFonts w:ascii="Arial" w:hAnsi="Arial" w:cs="Arial"/>
          <w:sz w:val="24"/>
          <w:szCs w:val="24"/>
        </w:rPr>
        <w:t>.</w:t>
      </w:r>
    </w:p>
    <w:p w14:paraId="6BB7A1E5" w14:textId="77777777" w:rsidR="003A073F" w:rsidRPr="00785E44" w:rsidRDefault="003A073F" w:rsidP="00DB7156">
      <w:pPr>
        <w:pStyle w:val="ListParagraph"/>
        <w:jc w:val="both"/>
        <w:rPr>
          <w:rFonts w:ascii="Arial" w:hAnsi="Arial" w:cs="Arial"/>
        </w:rPr>
      </w:pPr>
    </w:p>
    <w:p w14:paraId="7ECAAD92" w14:textId="315EF0A8" w:rsidR="003A073F" w:rsidRPr="00785E44" w:rsidRDefault="003A073F"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June</w:t>
      </w:r>
      <w:r w:rsidRPr="00785E44">
        <w:rPr>
          <w:rFonts w:ascii="Arial" w:hAnsi="Arial" w:cs="Arial"/>
          <w:sz w:val="24"/>
          <w:szCs w:val="24"/>
        </w:rPr>
        <w:t xml:space="preserve"> </w:t>
      </w:r>
      <w:r w:rsidRPr="00785E44">
        <w:rPr>
          <w:rFonts w:ascii="Arial" w:hAnsi="Arial" w:cs="Arial"/>
          <w:b/>
          <w:sz w:val="24"/>
          <w:szCs w:val="24"/>
        </w:rPr>
        <w:t>2018</w:t>
      </w:r>
      <w:r w:rsidRPr="00785E44">
        <w:rPr>
          <w:rFonts w:ascii="Arial" w:hAnsi="Arial" w:cs="Arial"/>
          <w:sz w:val="24"/>
          <w:szCs w:val="24"/>
        </w:rPr>
        <w:t xml:space="preserve"> – EPA proposes to retain the current primary SO</w:t>
      </w:r>
      <w:r w:rsidRPr="00785E44">
        <w:rPr>
          <w:rFonts w:ascii="Arial" w:hAnsi="Arial" w:cs="Arial"/>
          <w:sz w:val="24"/>
          <w:szCs w:val="24"/>
          <w:vertAlign w:val="subscript"/>
        </w:rPr>
        <w:t>2</w:t>
      </w:r>
      <w:r w:rsidRPr="00785E44">
        <w:rPr>
          <w:rFonts w:ascii="Arial" w:hAnsi="Arial" w:cs="Arial"/>
          <w:sz w:val="24"/>
          <w:szCs w:val="24"/>
        </w:rPr>
        <w:t xml:space="preserve"> NAAQS, without revision.</w:t>
      </w:r>
    </w:p>
    <w:p w14:paraId="28E9376B" w14:textId="77777777" w:rsidR="005D71D1" w:rsidRPr="00785E44" w:rsidRDefault="005D71D1" w:rsidP="00DB7156">
      <w:pPr>
        <w:pStyle w:val="ListParagraph"/>
        <w:jc w:val="both"/>
        <w:rPr>
          <w:rFonts w:ascii="Arial" w:hAnsi="Arial" w:cs="Arial"/>
        </w:rPr>
      </w:pPr>
    </w:p>
    <w:p w14:paraId="375F0DC2" w14:textId="50298DA8" w:rsidR="00757A28" w:rsidRPr="00785E44" w:rsidRDefault="00757A2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July 2018</w:t>
      </w:r>
      <w:r w:rsidRPr="00785E44">
        <w:rPr>
          <w:rFonts w:ascii="Arial" w:hAnsi="Arial" w:cs="Arial"/>
          <w:sz w:val="24"/>
          <w:szCs w:val="24"/>
        </w:rPr>
        <w:t xml:space="preserve"> – </w:t>
      </w:r>
      <w:r w:rsidR="00414258" w:rsidRPr="00785E44">
        <w:rPr>
          <w:rFonts w:ascii="Arial" w:hAnsi="Arial" w:cs="Arial"/>
          <w:sz w:val="24"/>
          <w:szCs w:val="24"/>
        </w:rPr>
        <w:t>EPA</w:t>
      </w:r>
      <w:r w:rsidR="00414258" w:rsidRPr="00785E44" w:rsidDel="003A073F">
        <w:rPr>
          <w:rFonts w:ascii="Arial" w:hAnsi="Arial" w:cs="Arial"/>
          <w:sz w:val="24"/>
          <w:szCs w:val="24"/>
        </w:rPr>
        <w:t xml:space="preserve"> </w:t>
      </w:r>
      <w:r w:rsidR="003A073F" w:rsidRPr="00785E44">
        <w:rPr>
          <w:rFonts w:ascii="Arial" w:hAnsi="Arial" w:cs="Arial"/>
          <w:sz w:val="24"/>
          <w:szCs w:val="24"/>
        </w:rPr>
        <w:t xml:space="preserve">publishes </w:t>
      </w:r>
      <w:r w:rsidR="00414258" w:rsidRPr="00785E44">
        <w:rPr>
          <w:rFonts w:ascii="Arial" w:hAnsi="Arial" w:cs="Arial"/>
          <w:sz w:val="24"/>
          <w:szCs w:val="24"/>
        </w:rPr>
        <w:t xml:space="preserve">in the Federal Register the Phase </w:t>
      </w:r>
      <w:r w:rsidR="0088735E" w:rsidRPr="00785E44">
        <w:rPr>
          <w:rFonts w:ascii="Arial" w:hAnsi="Arial" w:cs="Arial"/>
          <w:sz w:val="24"/>
          <w:szCs w:val="24"/>
        </w:rPr>
        <w:t>One</w:t>
      </w:r>
      <w:r w:rsidR="00414258" w:rsidRPr="00785E44">
        <w:rPr>
          <w:rFonts w:ascii="Arial" w:hAnsi="Arial" w:cs="Arial"/>
          <w:sz w:val="24"/>
          <w:szCs w:val="24"/>
        </w:rPr>
        <w:t xml:space="preserve">, Part One Amendments to the CCR Rule, entitled “Hazardous and Solid Waste Management System: Disposal of Coal Combustion </w:t>
      </w:r>
      <w:r w:rsidR="00183871">
        <w:rPr>
          <w:rFonts w:ascii="Arial" w:hAnsi="Arial" w:cs="Arial"/>
          <w:sz w:val="24"/>
          <w:szCs w:val="24"/>
        </w:rPr>
        <w:t>Residuals</w:t>
      </w:r>
      <w:r w:rsidR="00183871" w:rsidRPr="00785E44">
        <w:rPr>
          <w:rFonts w:ascii="Arial" w:hAnsi="Arial" w:cs="Arial"/>
          <w:sz w:val="24"/>
          <w:szCs w:val="24"/>
        </w:rPr>
        <w:t xml:space="preserve"> </w:t>
      </w:r>
      <w:r w:rsidR="00414258" w:rsidRPr="00785E44">
        <w:rPr>
          <w:rFonts w:ascii="Arial" w:hAnsi="Arial" w:cs="Arial"/>
          <w:sz w:val="24"/>
          <w:szCs w:val="24"/>
        </w:rPr>
        <w:t>From Electric Utilities: Amendments to the National Minimum Criteria (Phase 1).</w:t>
      </w:r>
      <w:r w:rsidR="002E1489" w:rsidRPr="00785E44">
        <w:rPr>
          <w:rFonts w:ascii="Arial" w:hAnsi="Arial" w:cs="Arial"/>
          <w:sz w:val="24"/>
          <w:szCs w:val="24"/>
        </w:rPr>
        <w:t>”</w:t>
      </w:r>
      <w:r w:rsidRPr="00785E44">
        <w:rPr>
          <w:rFonts w:ascii="Arial" w:hAnsi="Arial" w:cs="Arial"/>
          <w:sz w:val="24"/>
          <w:szCs w:val="24"/>
        </w:rPr>
        <w:t xml:space="preserve">  </w:t>
      </w:r>
    </w:p>
    <w:p w14:paraId="5315A2AE" w14:textId="77777777" w:rsidR="00414258" w:rsidRPr="00785E44" w:rsidRDefault="00414258" w:rsidP="00DB7156">
      <w:pPr>
        <w:pStyle w:val="ListParagraph"/>
        <w:jc w:val="both"/>
        <w:rPr>
          <w:rFonts w:ascii="Arial" w:hAnsi="Arial" w:cs="Arial"/>
        </w:rPr>
      </w:pPr>
    </w:p>
    <w:p w14:paraId="419311D6" w14:textId="24EAFEA3" w:rsidR="00D02845" w:rsidRPr="00785E44" w:rsidRDefault="00414258"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August 2018</w:t>
      </w:r>
      <w:r w:rsidRPr="00785E44">
        <w:rPr>
          <w:rFonts w:ascii="Arial" w:hAnsi="Arial" w:cs="Arial"/>
          <w:sz w:val="24"/>
          <w:szCs w:val="24"/>
        </w:rPr>
        <w:t xml:space="preserve"> </w:t>
      </w:r>
      <w:r w:rsidR="00E33F6E" w:rsidRPr="00785E44">
        <w:rPr>
          <w:rFonts w:ascii="Arial" w:hAnsi="Arial" w:cs="Arial"/>
          <w:sz w:val="24"/>
          <w:szCs w:val="24"/>
        </w:rPr>
        <w:t>–</w:t>
      </w:r>
      <w:r w:rsidRPr="00785E44">
        <w:rPr>
          <w:rFonts w:ascii="Arial" w:hAnsi="Arial" w:cs="Arial"/>
          <w:sz w:val="24"/>
          <w:szCs w:val="24"/>
        </w:rPr>
        <w:t xml:space="preserve"> </w:t>
      </w:r>
      <w:r w:rsidRPr="00785E44">
        <w:rPr>
          <w:rFonts w:ascii="Arial" w:hAnsi="Arial" w:cs="Arial"/>
          <w:color w:val="000000"/>
          <w:sz w:val="24"/>
          <w:szCs w:val="24"/>
        </w:rPr>
        <w:t>The D</w:t>
      </w:r>
      <w:r w:rsidR="006626D0" w:rsidRPr="00785E44">
        <w:rPr>
          <w:rFonts w:ascii="Arial" w:hAnsi="Arial" w:cs="Arial"/>
          <w:color w:val="000000"/>
          <w:sz w:val="24"/>
          <w:szCs w:val="24"/>
        </w:rPr>
        <w:t>.</w:t>
      </w:r>
      <w:r w:rsidRPr="00785E44">
        <w:rPr>
          <w:rFonts w:ascii="Arial" w:hAnsi="Arial" w:cs="Arial"/>
          <w:color w:val="000000"/>
          <w:sz w:val="24"/>
          <w:szCs w:val="24"/>
        </w:rPr>
        <w:t>C</w:t>
      </w:r>
      <w:r w:rsidR="006626D0" w:rsidRPr="00785E44">
        <w:rPr>
          <w:rFonts w:ascii="Arial" w:hAnsi="Arial" w:cs="Arial"/>
          <w:color w:val="000000"/>
          <w:sz w:val="24"/>
          <w:szCs w:val="24"/>
        </w:rPr>
        <w:t>.</w:t>
      </w:r>
      <w:r w:rsidRPr="00785E44">
        <w:rPr>
          <w:rFonts w:ascii="Arial" w:hAnsi="Arial" w:cs="Arial"/>
          <w:color w:val="000000"/>
          <w:sz w:val="24"/>
          <w:szCs w:val="24"/>
        </w:rPr>
        <w:t xml:space="preserve"> Circuit Court </w:t>
      </w:r>
      <w:r w:rsidR="003A073F" w:rsidRPr="00785E44">
        <w:rPr>
          <w:rFonts w:ascii="Arial" w:hAnsi="Arial" w:cs="Arial"/>
          <w:color w:val="000000"/>
          <w:sz w:val="24"/>
          <w:szCs w:val="24"/>
        </w:rPr>
        <w:t xml:space="preserve">issues </w:t>
      </w:r>
      <w:r w:rsidRPr="00785E44">
        <w:rPr>
          <w:rFonts w:ascii="Arial" w:hAnsi="Arial" w:cs="Arial"/>
          <w:color w:val="000000"/>
          <w:sz w:val="24"/>
          <w:szCs w:val="24"/>
        </w:rPr>
        <w:t xml:space="preserve">its </w:t>
      </w:r>
      <w:r w:rsidRPr="00785E44">
        <w:rPr>
          <w:rFonts w:ascii="Arial" w:hAnsi="Arial" w:cs="Arial"/>
          <w:sz w:val="24"/>
          <w:szCs w:val="24"/>
        </w:rPr>
        <w:t xml:space="preserve">decision </w:t>
      </w:r>
      <w:r w:rsidRPr="00785E44">
        <w:rPr>
          <w:rFonts w:ascii="Arial" w:hAnsi="Arial" w:cs="Arial"/>
          <w:color w:val="000000"/>
          <w:sz w:val="24"/>
          <w:szCs w:val="24"/>
        </w:rPr>
        <w:t>on all remaining issues</w:t>
      </w:r>
      <w:r w:rsidR="00E33F6E" w:rsidRPr="00785E44">
        <w:rPr>
          <w:rFonts w:ascii="Arial" w:hAnsi="Arial" w:cs="Arial"/>
          <w:color w:val="000000"/>
          <w:sz w:val="24"/>
          <w:szCs w:val="24"/>
        </w:rPr>
        <w:t xml:space="preserve"> </w:t>
      </w:r>
      <w:r w:rsidRPr="00785E44">
        <w:rPr>
          <w:rFonts w:ascii="Arial" w:hAnsi="Arial" w:cs="Arial"/>
          <w:color w:val="000000"/>
          <w:sz w:val="24"/>
          <w:szCs w:val="24"/>
        </w:rPr>
        <w:t xml:space="preserve">raised by </w:t>
      </w:r>
      <w:r w:rsidR="007D2095" w:rsidRPr="00785E44">
        <w:rPr>
          <w:rFonts w:ascii="Arial" w:hAnsi="Arial" w:cs="Arial"/>
          <w:color w:val="000000"/>
          <w:sz w:val="24"/>
          <w:szCs w:val="24"/>
        </w:rPr>
        <w:t>litigants</w:t>
      </w:r>
      <w:r w:rsidR="00E33F6E" w:rsidRPr="00785E44">
        <w:rPr>
          <w:rFonts w:ascii="Arial" w:hAnsi="Arial" w:cs="Arial"/>
          <w:color w:val="000000"/>
          <w:sz w:val="24"/>
          <w:szCs w:val="24"/>
        </w:rPr>
        <w:t xml:space="preserve"> </w:t>
      </w:r>
      <w:r w:rsidR="006626D0" w:rsidRPr="00785E44">
        <w:rPr>
          <w:rFonts w:ascii="Arial" w:hAnsi="Arial" w:cs="Arial"/>
          <w:color w:val="000000"/>
          <w:sz w:val="24"/>
          <w:szCs w:val="24"/>
        </w:rPr>
        <w:t>in</w:t>
      </w:r>
      <w:r w:rsidR="00E33F6E" w:rsidRPr="00785E44">
        <w:rPr>
          <w:rFonts w:ascii="Arial" w:hAnsi="Arial" w:cs="Arial"/>
          <w:color w:val="000000"/>
          <w:sz w:val="24"/>
          <w:szCs w:val="24"/>
        </w:rPr>
        <w:t xml:space="preserve"> CCR </w:t>
      </w:r>
      <w:r w:rsidR="006626D0" w:rsidRPr="00785E44">
        <w:rPr>
          <w:rFonts w:ascii="Arial" w:hAnsi="Arial" w:cs="Arial"/>
          <w:color w:val="000000"/>
          <w:sz w:val="24"/>
          <w:szCs w:val="24"/>
        </w:rPr>
        <w:t>R</w:t>
      </w:r>
      <w:r w:rsidR="00E33F6E" w:rsidRPr="00785E44">
        <w:rPr>
          <w:rFonts w:ascii="Arial" w:hAnsi="Arial" w:cs="Arial"/>
          <w:color w:val="000000"/>
          <w:sz w:val="24"/>
          <w:szCs w:val="24"/>
        </w:rPr>
        <w:t>ule</w:t>
      </w:r>
      <w:r w:rsidR="006626D0" w:rsidRPr="00785E44">
        <w:rPr>
          <w:rFonts w:ascii="Arial" w:hAnsi="Arial" w:cs="Arial"/>
          <w:color w:val="000000"/>
          <w:sz w:val="24"/>
          <w:szCs w:val="24"/>
        </w:rPr>
        <w:t xml:space="preserve"> litigation</w:t>
      </w:r>
      <w:r w:rsidR="005D777F" w:rsidRPr="00785E44">
        <w:rPr>
          <w:rFonts w:ascii="Arial" w:hAnsi="Arial" w:cs="Arial"/>
          <w:color w:val="000000"/>
          <w:sz w:val="24"/>
          <w:szCs w:val="24"/>
        </w:rPr>
        <w:t>.</w:t>
      </w:r>
    </w:p>
    <w:p w14:paraId="464C68E4" w14:textId="77777777" w:rsidR="00126E9D" w:rsidRPr="00785E44" w:rsidRDefault="00126E9D" w:rsidP="00DB7156">
      <w:pPr>
        <w:pStyle w:val="ListParagraph"/>
        <w:jc w:val="both"/>
        <w:rPr>
          <w:rFonts w:ascii="Arial" w:hAnsi="Arial" w:cs="Arial"/>
        </w:rPr>
      </w:pPr>
    </w:p>
    <w:p w14:paraId="35E71C76" w14:textId="6C44AA78" w:rsidR="00D02845" w:rsidRPr="00785E44" w:rsidRDefault="00D02845"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August 2018</w:t>
      </w:r>
      <w:r w:rsidR="00534BDB" w:rsidRPr="00785E44">
        <w:rPr>
          <w:rFonts w:ascii="Arial" w:hAnsi="Arial" w:cs="Arial"/>
          <w:sz w:val="24"/>
          <w:szCs w:val="24"/>
        </w:rPr>
        <w:t xml:space="preserve"> – </w:t>
      </w:r>
      <w:r w:rsidR="005D4680" w:rsidRPr="00785E44">
        <w:rPr>
          <w:rFonts w:ascii="Arial" w:hAnsi="Arial" w:cs="Arial"/>
          <w:sz w:val="24"/>
          <w:szCs w:val="24"/>
        </w:rPr>
        <w:t>EPA proposes the Affordable Clean Energy (</w:t>
      </w:r>
      <w:r w:rsidR="0058129C">
        <w:rPr>
          <w:rFonts w:ascii="Arial" w:hAnsi="Arial" w:cs="Arial"/>
          <w:sz w:val="24"/>
          <w:szCs w:val="24"/>
        </w:rPr>
        <w:t>“</w:t>
      </w:r>
      <w:r w:rsidR="005D4680" w:rsidRPr="00785E44">
        <w:rPr>
          <w:rFonts w:ascii="Arial" w:hAnsi="Arial" w:cs="Arial"/>
          <w:sz w:val="24"/>
          <w:szCs w:val="24"/>
        </w:rPr>
        <w:t>ACE</w:t>
      </w:r>
      <w:r w:rsidR="0058129C">
        <w:rPr>
          <w:rFonts w:ascii="Arial" w:hAnsi="Arial" w:cs="Arial"/>
          <w:sz w:val="24"/>
          <w:szCs w:val="24"/>
        </w:rPr>
        <w:t>”</w:t>
      </w:r>
      <w:r w:rsidR="005D4680" w:rsidRPr="00785E44">
        <w:rPr>
          <w:rFonts w:ascii="Arial" w:hAnsi="Arial" w:cs="Arial"/>
          <w:sz w:val="24"/>
          <w:szCs w:val="24"/>
        </w:rPr>
        <w:t>) Rule, intended to replace the CPP</w:t>
      </w:r>
      <w:r w:rsidR="00534BDB" w:rsidRPr="00785E44">
        <w:rPr>
          <w:rFonts w:ascii="Arial" w:hAnsi="Arial" w:cs="Arial"/>
          <w:sz w:val="24"/>
          <w:szCs w:val="24"/>
        </w:rPr>
        <w:t xml:space="preserve">. </w:t>
      </w:r>
    </w:p>
    <w:p w14:paraId="5003FE4B" w14:textId="77777777" w:rsidR="00D02845" w:rsidRPr="00785E44" w:rsidRDefault="00D02845" w:rsidP="00DB7156">
      <w:pPr>
        <w:pStyle w:val="ListParagraph"/>
        <w:jc w:val="both"/>
        <w:rPr>
          <w:rFonts w:ascii="Arial" w:hAnsi="Arial" w:cs="Arial"/>
        </w:rPr>
      </w:pPr>
    </w:p>
    <w:p w14:paraId="27D51697" w14:textId="5FE67492" w:rsidR="00126E9D" w:rsidRPr="00785E44" w:rsidRDefault="00126E9D"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September 2018</w:t>
      </w:r>
      <w:r w:rsidRPr="00785E44">
        <w:rPr>
          <w:rFonts w:ascii="Arial" w:hAnsi="Arial" w:cs="Arial"/>
          <w:sz w:val="24"/>
          <w:szCs w:val="24"/>
        </w:rPr>
        <w:t xml:space="preserve"> – EPA </w:t>
      </w:r>
      <w:r w:rsidR="00056B9E" w:rsidRPr="00785E44">
        <w:rPr>
          <w:rFonts w:ascii="Arial" w:hAnsi="Arial" w:cs="Arial"/>
          <w:sz w:val="24"/>
          <w:szCs w:val="24"/>
        </w:rPr>
        <w:t xml:space="preserve">approves </w:t>
      </w:r>
      <w:r w:rsidR="00616C83" w:rsidRPr="00785E44">
        <w:rPr>
          <w:rFonts w:ascii="Arial" w:hAnsi="Arial" w:cs="Arial"/>
          <w:sz w:val="24"/>
          <w:szCs w:val="24"/>
        </w:rPr>
        <w:t>SIP</w:t>
      </w:r>
      <w:r w:rsidR="000215AC" w:rsidRPr="00785E44">
        <w:rPr>
          <w:rFonts w:ascii="Arial" w:hAnsi="Arial" w:cs="Arial"/>
          <w:sz w:val="24"/>
          <w:szCs w:val="24"/>
        </w:rPr>
        <w:t xml:space="preserve"> revision</w:t>
      </w:r>
      <w:r w:rsidR="00616C83" w:rsidRPr="00785E44">
        <w:rPr>
          <w:rFonts w:ascii="Arial" w:hAnsi="Arial" w:cs="Arial"/>
          <w:sz w:val="24"/>
          <w:szCs w:val="24"/>
        </w:rPr>
        <w:t xml:space="preserve">s for Alabama and Georgia addressing interstate transport </w:t>
      </w:r>
      <w:r w:rsidR="000215AC" w:rsidRPr="00785E44">
        <w:rPr>
          <w:rFonts w:ascii="Arial" w:hAnsi="Arial" w:cs="Arial"/>
          <w:sz w:val="24"/>
          <w:szCs w:val="24"/>
        </w:rPr>
        <w:t>obligations</w:t>
      </w:r>
      <w:r w:rsidR="00616C83" w:rsidRPr="00785E44">
        <w:rPr>
          <w:rFonts w:ascii="Arial" w:hAnsi="Arial" w:cs="Arial"/>
          <w:sz w:val="24"/>
          <w:szCs w:val="24"/>
        </w:rPr>
        <w:t xml:space="preserve"> with respect to the 2012 PM</w:t>
      </w:r>
      <w:r w:rsidR="00616C83" w:rsidRPr="00785E44">
        <w:rPr>
          <w:rFonts w:ascii="Arial" w:hAnsi="Arial" w:cs="Arial"/>
          <w:sz w:val="24"/>
          <w:szCs w:val="24"/>
          <w:vertAlign w:val="subscript"/>
        </w:rPr>
        <w:t>2.5</w:t>
      </w:r>
      <w:r w:rsidR="00616C83" w:rsidRPr="00785E44">
        <w:rPr>
          <w:rFonts w:ascii="Arial" w:hAnsi="Arial" w:cs="Arial"/>
          <w:sz w:val="24"/>
          <w:szCs w:val="24"/>
        </w:rPr>
        <w:t xml:space="preserve"> NAAQS.</w:t>
      </w:r>
    </w:p>
    <w:p w14:paraId="1E303F0B" w14:textId="77777777" w:rsidR="00212DD6" w:rsidRPr="00785E44" w:rsidRDefault="00212DD6" w:rsidP="00DB7156">
      <w:pPr>
        <w:pStyle w:val="ListParagraph"/>
        <w:jc w:val="both"/>
        <w:rPr>
          <w:rFonts w:ascii="Arial" w:hAnsi="Arial" w:cs="Arial"/>
        </w:rPr>
      </w:pPr>
    </w:p>
    <w:p w14:paraId="7DCCDADF" w14:textId="77777777" w:rsidR="00713E18" w:rsidRPr="00785E44" w:rsidRDefault="00713E18" w:rsidP="00713E18">
      <w:pPr>
        <w:numPr>
          <w:ilvl w:val="0"/>
          <w:numId w:val="2"/>
        </w:numPr>
        <w:autoSpaceDE w:val="0"/>
        <w:autoSpaceDN w:val="0"/>
        <w:adjustRightInd w:val="0"/>
        <w:spacing w:after="0" w:line="240" w:lineRule="auto"/>
        <w:jc w:val="both"/>
        <w:rPr>
          <w:rFonts w:ascii="Arial" w:hAnsi="Arial" w:cs="Arial"/>
          <w:sz w:val="24"/>
          <w:szCs w:val="24"/>
        </w:rPr>
      </w:pPr>
      <w:bookmarkStart w:id="18" w:name="_Hlk532295544"/>
      <w:bookmarkStart w:id="19" w:name="_Hlk532221572"/>
      <w:r w:rsidRPr="00785E44">
        <w:rPr>
          <w:rFonts w:ascii="Arial" w:hAnsi="Arial" w:cs="Arial"/>
          <w:b/>
          <w:sz w:val="24"/>
          <w:szCs w:val="24"/>
        </w:rPr>
        <w:t>November 2018</w:t>
      </w:r>
      <w:r w:rsidRPr="00785E44">
        <w:rPr>
          <w:rFonts w:ascii="Arial" w:hAnsi="Arial" w:cs="Arial"/>
          <w:sz w:val="24"/>
          <w:szCs w:val="24"/>
        </w:rPr>
        <w:t xml:space="preserve"> – Earliest applicability date for fly ash transport water pursuant to 2015 ELG Rule (and 2017 ELG Postponement Rule).</w:t>
      </w:r>
    </w:p>
    <w:p w14:paraId="36F58936" w14:textId="77777777" w:rsidR="00713E18" w:rsidRPr="00785E44" w:rsidRDefault="00713E18" w:rsidP="00713E18">
      <w:pPr>
        <w:pStyle w:val="ListParagraph"/>
        <w:jc w:val="both"/>
        <w:rPr>
          <w:rFonts w:ascii="Arial" w:hAnsi="Arial" w:cs="Arial"/>
        </w:rPr>
      </w:pPr>
    </w:p>
    <w:p w14:paraId="3695B857" w14:textId="3A6ABD75" w:rsidR="00212DD6" w:rsidRPr="00785E44" w:rsidRDefault="002F0F4C" w:rsidP="00713E18">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December </w:t>
      </w:r>
      <w:r w:rsidR="00212DD6" w:rsidRPr="00785E44">
        <w:rPr>
          <w:rFonts w:ascii="Arial" w:hAnsi="Arial" w:cs="Arial"/>
          <w:b/>
          <w:sz w:val="24"/>
          <w:szCs w:val="24"/>
        </w:rPr>
        <w:t>2018</w:t>
      </w:r>
      <w:r w:rsidR="00BA7CE5" w:rsidRPr="00785E44">
        <w:rPr>
          <w:rFonts w:ascii="Arial" w:hAnsi="Arial" w:cs="Arial"/>
          <w:b/>
          <w:sz w:val="24"/>
          <w:szCs w:val="24"/>
        </w:rPr>
        <w:t xml:space="preserve"> </w:t>
      </w:r>
      <w:r w:rsidR="00BA7CE5" w:rsidRPr="00785E44">
        <w:rPr>
          <w:rFonts w:ascii="Arial" w:hAnsi="Arial" w:cs="Arial"/>
          <w:sz w:val="24"/>
          <w:szCs w:val="24"/>
        </w:rPr>
        <w:t xml:space="preserve">– </w:t>
      </w:r>
      <w:r w:rsidR="00212DD6" w:rsidRPr="00785E44">
        <w:rPr>
          <w:rFonts w:ascii="Arial" w:hAnsi="Arial" w:cs="Arial"/>
          <w:sz w:val="24"/>
          <w:szCs w:val="24"/>
        </w:rPr>
        <w:t xml:space="preserve">EPA </w:t>
      </w:r>
      <w:r w:rsidR="00DC26A9" w:rsidRPr="00785E44">
        <w:rPr>
          <w:rFonts w:ascii="Arial" w:hAnsi="Arial" w:cs="Arial"/>
          <w:sz w:val="24"/>
          <w:szCs w:val="24"/>
        </w:rPr>
        <w:t>releases proposal to revise GHG standards for new, modified and reconstructed sources.</w:t>
      </w:r>
      <w:bookmarkEnd w:id="18"/>
      <w:r w:rsidRPr="00785E44">
        <w:rPr>
          <w:sz w:val="24"/>
          <w:szCs w:val="24"/>
        </w:rPr>
        <w:t> </w:t>
      </w:r>
    </w:p>
    <w:p w14:paraId="5D16F50F" w14:textId="77777777" w:rsidR="004D1C8A" w:rsidRPr="00785E44" w:rsidRDefault="004D1C8A" w:rsidP="004D1C8A">
      <w:pPr>
        <w:pStyle w:val="ListParagraph"/>
        <w:rPr>
          <w:rFonts w:ascii="Arial" w:hAnsi="Arial" w:cs="Arial"/>
        </w:rPr>
      </w:pPr>
    </w:p>
    <w:p w14:paraId="2BF30354" w14:textId="0B921CBA" w:rsidR="004D1C8A" w:rsidRPr="00785E44" w:rsidRDefault="004D1C8A" w:rsidP="00713E18">
      <w:pPr>
        <w:numPr>
          <w:ilvl w:val="0"/>
          <w:numId w:val="2"/>
        </w:numPr>
        <w:autoSpaceDE w:val="0"/>
        <w:autoSpaceDN w:val="0"/>
        <w:adjustRightInd w:val="0"/>
        <w:spacing w:after="0" w:line="240" w:lineRule="auto"/>
        <w:jc w:val="both"/>
        <w:rPr>
          <w:rFonts w:ascii="Arial" w:hAnsi="Arial" w:cs="Arial"/>
          <w:sz w:val="24"/>
          <w:szCs w:val="24"/>
        </w:rPr>
      </w:pPr>
      <w:bookmarkStart w:id="20" w:name="_Hlk533000213"/>
      <w:r w:rsidRPr="00785E44">
        <w:rPr>
          <w:rFonts w:ascii="Arial" w:hAnsi="Arial" w:cs="Arial"/>
          <w:b/>
          <w:sz w:val="24"/>
          <w:szCs w:val="24"/>
        </w:rPr>
        <w:t xml:space="preserve">December 2018 </w:t>
      </w:r>
      <w:r w:rsidRPr="00785E44">
        <w:rPr>
          <w:rFonts w:ascii="Arial" w:hAnsi="Arial" w:cs="Arial"/>
          <w:sz w:val="24"/>
          <w:szCs w:val="24"/>
        </w:rPr>
        <w:t xml:space="preserve">– </w:t>
      </w:r>
      <w:r w:rsidR="005D17E5" w:rsidRPr="00785E44">
        <w:rPr>
          <w:rFonts w:ascii="Arial" w:hAnsi="Arial" w:cs="Arial"/>
          <w:sz w:val="24"/>
          <w:szCs w:val="24"/>
        </w:rPr>
        <w:t>EPA and the U.S. Army Corps of Engineers</w:t>
      </w:r>
      <w:r w:rsidR="005D17E5" w:rsidRPr="00785E44" w:rsidDel="001442B1">
        <w:rPr>
          <w:rFonts w:ascii="Arial" w:hAnsi="Arial" w:cs="Arial"/>
          <w:sz w:val="24"/>
          <w:szCs w:val="24"/>
        </w:rPr>
        <w:t xml:space="preserve"> </w:t>
      </w:r>
      <w:r w:rsidR="005D17E5" w:rsidRPr="00785E44">
        <w:rPr>
          <w:rFonts w:ascii="Arial" w:hAnsi="Arial" w:cs="Arial"/>
          <w:sz w:val="24"/>
          <w:szCs w:val="24"/>
        </w:rPr>
        <w:t xml:space="preserve">release a proposal redefining </w:t>
      </w:r>
      <w:r w:rsidRPr="00785E44">
        <w:rPr>
          <w:rFonts w:ascii="Arial" w:hAnsi="Arial" w:cs="Arial"/>
          <w:sz w:val="24"/>
          <w:szCs w:val="24"/>
        </w:rPr>
        <w:t>WOTUS</w:t>
      </w:r>
      <w:r w:rsidR="005D17E5" w:rsidRPr="00785E44">
        <w:rPr>
          <w:rFonts w:ascii="Arial" w:hAnsi="Arial" w:cs="Arial"/>
          <w:sz w:val="24"/>
          <w:szCs w:val="24"/>
        </w:rPr>
        <w:t>.</w:t>
      </w:r>
    </w:p>
    <w:bookmarkEnd w:id="19"/>
    <w:bookmarkEnd w:id="20"/>
    <w:p w14:paraId="121F421F" w14:textId="77777777" w:rsidR="005D777F" w:rsidRPr="00785E44" w:rsidRDefault="005D777F" w:rsidP="00DB7156">
      <w:pPr>
        <w:autoSpaceDE w:val="0"/>
        <w:autoSpaceDN w:val="0"/>
        <w:adjustRightInd w:val="0"/>
        <w:spacing w:after="0" w:line="240" w:lineRule="auto"/>
        <w:ind w:left="720"/>
        <w:jc w:val="both"/>
        <w:rPr>
          <w:rFonts w:ascii="Arial" w:hAnsi="Arial" w:cs="Arial"/>
          <w:sz w:val="24"/>
          <w:szCs w:val="24"/>
        </w:rPr>
      </w:pPr>
    </w:p>
    <w:p w14:paraId="1BC63E01" w14:textId="6226816C" w:rsidR="002E1489" w:rsidRPr="00785E44" w:rsidRDefault="002E1489" w:rsidP="0054743D">
      <w:pPr>
        <w:numPr>
          <w:ilvl w:val="0"/>
          <w:numId w:val="2"/>
        </w:numPr>
        <w:autoSpaceDE w:val="0"/>
        <w:autoSpaceDN w:val="0"/>
        <w:adjustRightInd w:val="0"/>
        <w:spacing w:after="0" w:line="240" w:lineRule="auto"/>
        <w:jc w:val="both"/>
        <w:rPr>
          <w:rFonts w:ascii="Arial" w:hAnsi="Arial" w:cs="Arial"/>
          <w:b/>
          <w:sz w:val="24"/>
          <w:szCs w:val="24"/>
        </w:rPr>
      </w:pPr>
      <w:r w:rsidRPr="00785E44">
        <w:rPr>
          <w:rFonts w:ascii="Arial" w:hAnsi="Arial" w:cs="Arial"/>
          <w:b/>
          <w:sz w:val="24"/>
          <w:szCs w:val="24"/>
        </w:rPr>
        <w:t xml:space="preserve">December 2018 </w:t>
      </w:r>
      <w:r w:rsidRPr="00785E44">
        <w:rPr>
          <w:rFonts w:ascii="Arial" w:hAnsi="Arial" w:cs="Arial"/>
          <w:sz w:val="24"/>
          <w:szCs w:val="24"/>
        </w:rPr>
        <w:t xml:space="preserve">– </w:t>
      </w:r>
      <w:r w:rsidR="00941789" w:rsidRPr="00785E44">
        <w:rPr>
          <w:rFonts w:ascii="Arial" w:hAnsi="Arial" w:cs="Arial"/>
          <w:sz w:val="24"/>
          <w:szCs w:val="24"/>
        </w:rPr>
        <w:t>EPA relea</w:t>
      </w:r>
      <w:r w:rsidR="0054743D" w:rsidRPr="00785E44">
        <w:rPr>
          <w:rFonts w:ascii="Arial" w:hAnsi="Arial" w:cs="Arial"/>
          <w:sz w:val="24"/>
          <w:szCs w:val="24"/>
        </w:rPr>
        <w:t xml:space="preserve">ses proposal </w:t>
      </w:r>
      <w:r w:rsidR="00613219" w:rsidRPr="00785E44">
        <w:rPr>
          <w:rFonts w:ascii="Arial" w:hAnsi="Arial" w:cs="Arial"/>
          <w:sz w:val="24"/>
          <w:szCs w:val="24"/>
        </w:rPr>
        <w:t>to reconsider how costs were addressed in the supplemental appropriate and necessary finding</w:t>
      </w:r>
      <w:r w:rsidR="00941789" w:rsidRPr="00785E44">
        <w:rPr>
          <w:rFonts w:ascii="Arial" w:hAnsi="Arial" w:cs="Arial"/>
          <w:sz w:val="24"/>
          <w:szCs w:val="24"/>
        </w:rPr>
        <w:t xml:space="preserve"> and </w:t>
      </w:r>
      <w:r w:rsidR="00613219" w:rsidRPr="00785E44">
        <w:rPr>
          <w:rFonts w:ascii="Arial" w:hAnsi="Arial" w:cs="Arial"/>
          <w:sz w:val="24"/>
          <w:szCs w:val="24"/>
        </w:rPr>
        <w:t xml:space="preserve">determine that no revision to the current MATS standards are warranted based on </w:t>
      </w:r>
      <w:r w:rsidR="00941789" w:rsidRPr="00785E44">
        <w:rPr>
          <w:rFonts w:ascii="Arial" w:hAnsi="Arial" w:cs="Arial"/>
          <w:sz w:val="24"/>
          <w:szCs w:val="24"/>
        </w:rPr>
        <w:t>Residual Risk and Technology Review.</w:t>
      </w:r>
      <w:r w:rsidR="0054743D" w:rsidRPr="00785E44">
        <w:rPr>
          <w:rFonts w:ascii="Arial" w:hAnsi="Arial" w:cs="Arial"/>
          <w:sz w:val="24"/>
          <w:szCs w:val="24"/>
        </w:rPr>
        <w:t xml:space="preserve">   </w:t>
      </w:r>
      <w:r w:rsidR="009918CC" w:rsidRPr="00785E44">
        <w:rPr>
          <w:rFonts w:ascii="Arial" w:hAnsi="Arial" w:cs="Arial"/>
          <w:sz w:val="24"/>
          <w:szCs w:val="24"/>
        </w:rPr>
        <w:t xml:space="preserve"> </w:t>
      </w:r>
    </w:p>
    <w:p w14:paraId="68B37DD4" w14:textId="06AE34B9" w:rsidR="007A6CE1" w:rsidRPr="0054743D" w:rsidRDefault="007A6CE1" w:rsidP="0054743D">
      <w:pPr>
        <w:jc w:val="both"/>
        <w:rPr>
          <w:rFonts w:ascii="Arial" w:hAnsi="Arial" w:cs="Arial"/>
          <w:b/>
          <w:sz w:val="21"/>
          <w:szCs w:val="21"/>
        </w:rPr>
      </w:pPr>
    </w:p>
    <w:p w14:paraId="22BA4EC2" w14:textId="25A3DC2A" w:rsidR="00562DEB" w:rsidRPr="00DB7156" w:rsidRDefault="002C7304" w:rsidP="00DB7156">
      <w:pPr>
        <w:autoSpaceDE w:val="0"/>
        <w:autoSpaceDN w:val="0"/>
        <w:adjustRightInd w:val="0"/>
        <w:spacing w:after="0" w:line="240" w:lineRule="auto"/>
        <w:jc w:val="both"/>
        <w:outlineLvl w:val="1"/>
        <w:rPr>
          <w:rFonts w:ascii="Arial" w:hAnsi="Arial" w:cs="Arial"/>
          <w:b/>
          <w:color w:val="000080"/>
          <w:sz w:val="24"/>
          <w:szCs w:val="24"/>
        </w:rPr>
      </w:pPr>
      <w:bookmarkStart w:id="21" w:name="_Toc496107738"/>
      <w:bookmarkStart w:id="22" w:name="_Toc527987326"/>
      <w:bookmarkStart w:id="23" w:name="_Toc527983873"/>
      <w:bookmarkStart w:id="24" w:name="_Toc530487256"/>
      <w:bookmarkStart w:id="25" w:name="_Toc535908124"/>
      <w:r w:rsidRPr="00DB7156">
        <w:rPr>
          <w:rFonts w:ascii="Arial" w:hAnsi="Arial" w:cs="Arial"/>
          <w:b/>
          <w:bCs/>
          <w:color w:val="000080"/>
          <w:sz w:val="24"/>
          <w:szCs w:val="24"/>
        </w:rPr>
        <w:t>1.2</w:t>
      </w:r>
      <w:r w:rsidRPr="00DB7156">
        <w:rPr>
          <w:rFonts w:ascii="Arial" w:hAnsi="Arial" w:cs="Arial"/>
          <w:b/>
          <w:bCs/>
          <w:color w:val="000080"/>
          <w:sz w:val="24"/>
          <w:szCs w:val="24"/>
        </w:rPr>
        <w:tab/>
        <w:t xml:space="preserve">Future Key Environmental </w:t>
      </w:r>
      <w:bookmarkEnd w:id="21"/>
      <w:bookmarkEnd w:id="22"/>
      <w:bookmarkEnd w:id="23"/>
      <w:r w:rsidR="00885821" w:rsidRPr="00DB7156">
        <w:rPr>
          <w:rFonts w:ascii="Arial" w:hAnsi="Arial" w:cs="Arial"/>
          <w:b/>
          <w:bCs/>
          <w:color w:val="000080"/>
          <w:sz w:val="24"/>
          <w:szCs w:val="24"/>
        </w:rPr>
        <w:t>Regulatory Events</w:t>
      </w:r>
      <w:bookmarkEnd w:id="24"/>
      <w:bookmarkEnd w:id="25"/>
    </w:p>
    <w:p w14:paraId="22BA4EC3" w14:textId="77777777" w:rsidR="007E7FE2" w:rsidRPr="00DB7156" w:rsidRDefault="007E7FE2" w:rsidP="00DB7156">
      <w:pPr>
        <w:autoSpaceDE w:val="0"/>
        <w:autoSpaceDN w:val="0"/>
        <w:adjustRightInd w:val="0"/>
        <w:spacing w:after="0" w:line="240" w:lineRule="auto"/>
        <w:jc w:val="both"/>
        <w:rPr>
          <w:rFonts w:ascii="Arial" w:hAnsi="Arial" w:cs="Arial"/>
          <w:b/>
          <w:color w:val="000080"/>
          <w:sz w:val="28"/>
          <w:szCs w:val="28"/>
          <w:u w:val="single"/>
        </w:rPr>
      </w:pPr>
    </w:p>
    <w:p w14:paraId="1823D9DA" w14:textId="1583C38D" w:rsidR="0054743D" w:rsidRPr="00785E44" w:rsidRDefault="007E7FE2" w:rsidP="0049468A">
      <w:pPr>
        <w:autoSpaceDE w:val="0"/>
        <w:autoSpaceDN w:val="0"/>
        <w:adjustRightInd w:val="0"/>
        <w:spacing w:after="0" w:line="240" w:lineRule="auto"/>
        <w:jc w:val="both"/>
        <w:rPr>
          <w:b/>
        </w:rPr>
      </w:pPr>
      <w:r w:rsidRPr="00785E44">
        <w:rPr>
          <w:rFonts w:ascii="Arial" w:hAnsi="Arial" w:cs="Arial"/>
          <w:sz w:val="24"/>
          <w:szCs w:val="24"/>
        </w:rPr>
        <w:t xml:space="preserve">The following is a summary of </w:t>
      </w:r>
      <w:r w:rsidR="00E875B2" w:rsidRPr="00785E44">
        <w:rPr>
          <w:rFonts w:ascii="Arial" w:hAnsi="Arial" w:cs="Arial"/>
          <w:sz w:val="24"/>
          <w:szCs w:val="24"/>
        </w:rPr>
        <w:t>upcoming</w:t>
      </w:r>
      <w:r w:rsidRPr="00785E44">
        <w:rPr>
          <w:rFonts w:ascii="Arial" w:hAnsi="Arial" w:cs="Arial"/>
          <w:sz w:val="24"/>
          <w:szCs w:val="24"/>
        </w:rPr>
        <w:t xml:space="preserve"> key environmental </w:t>
      </w:r>
      <w:r w:rsidR="00A31851" w:rsidRPr="00785E44">
        <w:rPr>
          <w:rFonts w:ascii="Arial" w:hAnsi="Arial" w:cs="Arial"/>
          <w:sz w:val="24"/>
          <w:szCs w:val="24"/>
        </w:rPr>
        <w:t xml:space="preserve">developments and </w:t>
      </w:r>
      <w:r w:rsidR="008E500C" w:rsidRPr="00785E44">
        <w:rPr>
          <w:rFonts w:ascii="Arial" w:hAnsi="Arial" w:cs="Arial"/>
          <w:sz w:val="24"/>
          <w:szCs w:val="24"/>
        </w:rPr>
        <w:t xml:space="preserve">potential estimated </w:t>
      </w:r>
      <w:r w:rsidRPr="00785E44">
        <w:rPr>
          <w:rFonts w:ascii="Arial" w:hAnsi="Arial" w:cs="Arial"/>
          <w:sz w:val="24"/>
          <w:szCs w:val="24"/>
        </w:rPr>
        <w:t>dates</w:t>
      </w:r>
      <w:r w:rsidR="007A428A" w:rsidRPr="00785E44">
        <w:rPr>
          <w:rFonts w:ascii="Arial" w:hAnsi="Arial" w:cs="Arial"/>
          <w:sz w:val="24"/>
          <w:szCs w:val="24"/>
        </w:rPr>
        <w:t>.</w:t>
      </w:r>
    </w:p>
    <w:p w14:paraId="32694368" w14:textId="7AC30D3D" w:rsidR="0054743D" w:rsidRPr="00785E44" w:rsidRDefault="0054743D" w:rsidP="0054743D">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Early 2019</w:t>
      </w:r>
      <w:r w:rsidRPr="00785E44">
        <w:rPr>
          <w:rFonts w:ascii="Arial" w:hAnsi="Arial" w:cs="Arial"/>
          <w:sz w:val="24"/>
          <w:szCs w:val="24"/>
        </w:rPr>
        <w:t xml:space="preserve"> – EPA </w:t>
      </w:r>
      <w:r w:rsidR="009A638E">
        <w:rPr>
          <w:rFonts w:ascii="Arial" w:hAnsi="Arial" w:cs="Arial"/>
          <w:sz w:val="24"/>
          <w:szCs w:val="24"/>
        </w:rPr>
        <w:t xml:space="preserve">anticipated </w:t>
      </w:r>
      <w:r w:rsidRPr="00785E44">
        <w:rPr>
          <w:rFonts w:ascii="Arial" w:hAnsi="Arial" w:cs="Arial"/>
          <w:sz w:val="24"/>
          <w:szCs w:val="24"/>
        </w:rPr>
        <w:t>to propose Phase Two of the amendments to the CCR Rule.</w:t>
      </w:r>
    </w:p>
    <w:p w14:paraId="18AB9F46" w14:textId="77777777" w:rsidR="0054743D" w:rsidRPr="00785E44" w:rsidRDefault="0054743D" w:rsidP="0054743D">
      <w:pPr>
        <w:autoSpaceDE w:val="0"/>
        <w:autoSpaceDN w:val="0"/>
        <w:adjustRightInd w:val="0"/>
        <w:spacing w:after="0" w:line="240" w:lineRule="auto"/>
        <w:ind w:left="720"/>
        <w:jc w:val="both"/>
        <w:rPr>
          <w:rFonts w:ascii="Arial" w:hAnsi="Arial" w:cs="Arial"/>
          <w:sz w:val="24"/>
          <w:szCs w:val="24"/>
        </w:rPr>
      </w:pPr>
    </w:p>
    <w:p w14:paraId="4BAFC87A" w14:textId="174C2BF6" w:rsidR="00165D7D" w:rsidRPr="00785E44" w:rsidRDefault="00165D7D"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January 2019</w:t>
      </w:r>
      <w:r w:rsidRPr="00785E44">
        <w:rPr>
          <w:rFonts w:ascii="Arial" w:hAnsi="Arial" w:cs="Arial"/>
          <w:sz w:val="24"/>
          <w:szCs w:val="24"/>
        </w:rPr>
        <w:t xml:space="preserve"> –</w:t>
      </w:r>
      <w:r w:rsidR="00C017D6" w:rsidRPr="00785E44">
        <w:rPr>
          <w:rFonts w:ascii="Arial" w:hAnsi="Arial" w:cs="Arial"/>
          <w:sz w:val="24"/>
          <w:szCs w:val="24"/>
        </w:rPr>
        <w:t xml:space="preserve"> </w:t>
      </w:r>
      <w:r w:rsidRPr="00785E44">
        <w:rPr>
          <w:rFonts w:ascii="Arial" w:hAnsi="Arial" w:cs="Arial"/>
          <w:sz w:val="24"/>
          <w:szCs w:val="24"/>
        </w:rPr>
        <w:t>Court-ordered deadline for EPA to complete review of the SO</w:t>
      </w:r>
      <w:r w:rsidRPr="00785E44">
        <w:rPr>
          <w:rFonts w:ascii="Arial" w:hAnsi="Arial" w:cs="Arial"/>
          <w:sz w:val="24"/>
          <w:szCs w:val="24"/>
          <w:vertAlign w:val="subscript"/>
        </w:rPr>
        <w:t>2</w:t>
      </w:r>
      <w:r w:rsidRPr="00785E44">
        <w:rPr>
          <w:rFonts w:ascii="Arial" w:hAnsi="Arial" w:cs="Arial"/>
          <w:sz w:val="24"/>
          <w:szCs w:val="24"/>
        </w:rPr>
        <w:t xml:space="preserve"> NAAQS</w:t>
      </w:r>
      <w:r w:rsidR="00760EE5" w:rsidRPr="00785E44">
        <w:rPr>
          <w:rFonts w:ascii="Arial" w:hAnsi="Arial" w:cs="Arial"/>
          <w:sz w:val="24"/>
          <w:szCs w:val="24"/>
        </w:rPr>
        <w:t>.</w:t>
      </w:r>
    </w:p>
    <w:p w14:paraId="3BF06131" w14:textId="21237B26" w:rsidR="000E4434" w:rsidRPr="00785E44" w:rsidRDefault="000E4434" w:rsidP="00DB7156">
      <w:pPr>
        <w:pStyle w:val="ListParagraph"/>
        <w:jc w:val="both"/>
        <w:rPr>
          <w:rFonts w:ascii="Arial" w:hAnsi="Arial" w:cs="Arial"/>
        </w:rPr>
      </w:pPr>
    </w:p>
    <w:p w14:paraId="3573F0F9" w14:textId="51427FFA" w:rsidR="000E4434" w:rsidRPr="00785E44" w:rsidRDefault="000E4434"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January 2019</w:t>
      </w:r>
      <w:r w:rsidRPr="00785E44">
        <w:rPr>
          <w:rFonts w:ascii="Arial" w:hAnsi="Arial" w:cs="Arial"/>
          <w:sz w:val="24"/>
          <w:szCs w:val="24"/>
        </w:rPr>
        <w:t xml:space="preserve"> – EPA </w:t>
      </w:r>
      <w:r w:rsidR="00321D60" w:rsidRPr="00785E44">
        <w:rPr>
          <w:rFonts w:ascii="Arial" w:hAnsi="Arial" w:cs="Arial"/>
          <w:sz w:val="24"/>
          <w:szCs w:val="24"/>
        </w:rPr>
        <w:t>anticipated</w:t>
      </w:r>
      <w:r w:rsidRPr="00785E44">
        <w:rPr>
          <w:rFonts w:ascii="Arial" w:hAnsi="Arial" w:cs="Arial"/>
          <w:sz w:val="24"/>
          <w:szCs w:val="24"/>
        </w:rPr>
        <w:t xml:space="preserve"> to propose the RTR for combustion turbines.</w:t>
      </w:r>
    </w:p>
    <w:p w14:paraId="31082330" w14:textId="69382A75" w:rsidR="003869E7" w:rsidRPr="00785E44" w:rsidRDefault="003869E7" w:rsidP="00DB7156">
      <w:pPr>
        <w:pStyle w:val="ListParagraph"/>
        <w:jc w:val="both"/>
        <w:rPr>
          <w:rFonts w:ascii="Arial" w:hAnsi="Arial" w:cs="Arial"/>
        </w:rPr>
      </w:pPr>
    </w:p>
    <w:p w14:paraId="40E40A40" w14:textId="72C2D7F7" w:rsidR="002E1489" w:rsidRPr="00785E44" w:rsidRDefault="002E1489"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2019</w:t>
      </w:r>
      <w:r w:rsidRPr="00785E44">
        <w:rPr>
          <w:rFonts w:ascii="Arial" w:hAnsi="Arial" w:cs="Arial"/>
          <w:sz w:val="24"/>
          <w:szCs w:val="24"/>
        </w:rPr>
        <w:t xml:space="preserve"> – EPA expected to finalize GHG standards for new, modified and reconstructed sources.</w:t>
      </w:r>
    </w:p>
    <w:p w14:paraId="076A1531" w14:textId="77777777" w:rsidR="002E1489" w:rsidRPr="00785E44" w:rsidRDefault="002E1489" w:rsidP="002E1489">
      <w:pPr>
        <w:pStyle w:val="ListParagraph"/>
        <w:rPr>
          <w:rFonts w:ascii="Arial" w:hAnsi="Arial" w:cs="Arial"/>
          <w:b/>
        </w:rPr>
      </w:pPr>
    </w:p>
    <w:p w14:paraId="3D6A1716" w14:textId="03242481" w:rsidR="00067A79" w:rsidRPr="00785E44" w:rsidRDefault="00067A79"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2019</w:t>
      </w:r>
      <w:r w:rsidRPr="00785E44">
        <w:rPr>
          <w:rFonts w:ascii="Arial" w:hAnsi="Arial" w:cs="Arial"/>
          <w:sz w:val="24"/>
          <w:szCs w:val="24"/>
        </w:rPr>
        <w:t xml:space="preserve"> – EPA e</w:t>
      </w:r>
      <w:r w:rsidR="00B105E4" w:rsidRPr="00785E44">
        <w:rPr>
          <w:rFonts w:ascii="Arial" w:hAnsi="Arial" w:cs="Arial"/>
          <w:sz w:val="24"/>
          <w:szCs w:val="24"/>
        </w:rPr>
        <w:t>xpected to propose revised ELG R</w:t>
      </w:r>
      <w:r w:rsidRPr="00785E44">
        <w:rPr>
          <w:rFonts w:ascii="Arial" w:hAnsi="Arial" w:cs="Arial"/>
          <w:sz w:val="24"/>
          <w:szCs w:val="24"/>
        </w:rPr>
        <w:t xml:space="preserve">ule with revised limitations/standards for bottom ash transport water and </w:t>
      </w:r>
      <w:r w:rsidR="007D2095" w:rsidRPr="00785E44">
        <w:rPr>
          <w:rFonts w:ascii="Arial" w:hAnsi="Arial" w:cs="Arial"/>
          <w:sz w:val="24"/>
          <w:szCs w:val="24"/>
        </w:rPr>
        <w:t xml:space="preserve">FGD </w:t>
      </w:r>
      <w:r w:rsidRPr="00785E44">
        <w:rPr>
          <w:rFonts w:ascii="Arial" w:hAnsi="Arial" w:cs="Arial"/>
          <w:sz w:val="24"/>
          <w:szCs w:val="24"/>
        </w:rPr>
        <w:t>wastewater as well as new applicability dates.</w:t>
      </w:r>
    </w:p>
    <w:p w14:paraId="0080B324" w14:textId="0F37DD2E" w:rsidR="00251C3E" w:rsidRPr="00785E44" w:rsidRDefault="00251C3E" w:rsidP="00DB7156">
      <w:pPr>
        <w:autoSpaceDE w:val="0"/>
        <w:autoSpaceDN w:val="0"/>
        <w:adjustRightInd w:val="0"/>
        <w:spacing w:after="0" w:line="240" w:lineRule="auto"/>
        <w:jc w:val="both"/>
        <w:rPr>
          <w:rFonts w:ascii="Arial" w:hAnsi="Arial" w:cs="Arial"/>
          <w:sz w:val="24"/>
          <w:szCs w:val="24"/>
        </w:rPr>
      </w:pPr>
    </w:p>
    <w:p w14:paraId="5706C4B5" w14:textId="1A6E6BF8" w:rsidR="0068291B" w:rsidRPr="00785E44" w:rsidRDefault="005D2BCB"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June</w:t>
      </w:r>
      <w:r w:rsidR="00327AF1" w:rsidRPr="00785E44">
        <w:rPr>
          <w:rFonts w:ascii="Arial" w:hAnsi="Arial" w:cs="Arial"/>
          <w:b/>
          <w:sz w:val="24"/>
          <w:szCs w:val="24"/>
        </w:rPr>
        <w:t xml:space="preserve"> 2019 – </w:t>
      </w:r>
      <w:r w:rsidR="00327AF1" w:rsidRPr="00785E44">
        <w:rPr>
          <w:rFonts w:ascii="Arial" w:hAnsi="Arial" w:cs="Arial"/>
          <w:sz w:val="24"/>
          <w:szCs w:val="24"/>
        </w:rPr>
        <w:t xml:space="preserve">EPA </w:t>
      </w:r>
      <w:r w:rsidR="00414258" w:rsidRPr="00785E44">
        <w:rPr>
          <w:rFonts w:ascii="Arial" w:hAnsi="Arial" w:cs="Arial"/>
          <w:sz w:val="24"/>
          <w:szCs w:val="24"/>
        </w:rPr>
        <w:t xml:space="preserve">anticipated </w:t>
      </w:r>
      <w:r w:rsidR="00327AF1" w:rsidRPr="00785E44">
        <w:rPr>
          <w:rFonts w:ascii="Arial" w:hAnsi="Arial" w:cs="Arial"/>
          <w:sz w:val="24"/>
          <w:szCs w:val="24"/>
        </w:rPr>
        <w:t xml:space="preserve">to </w:t>
      </w:r>
      <w:r w:rsidRPr="00785E44">
        <w:rPr>
          <w:rFonts w:ascii="Arial" w:hAnsi="Arial" w:cs="Arial"/>
          <w:sz w:val="24"/>
          <w:szCs w:val="24"/>
        </w:rPr>
        <w:t>finalize</w:t>
      </w:r>
      <w:r w:rsidR="004E24A9" w:rsidRPr="00785E44">
        <w:rPr>
          <w:rFonts w:ascii="Arial" w:hAnsi="Arial" w:cs="Arial"/>
          <w:sz w:val="24"/>
          <w:szCs w:val="24"/>
        </w:rPr>
        <w:t xml:space="preserve"> Phase One</w:t>
      </w:r>
      <w:r w:rsidR="00327AF1" w:rsidRPr="00785E44">
        <w:rPr>
          <w:rFonts w:ascii="Arial" w:hAnsi="Arial" w:cs="Arial"/>
          <w:sz w:val="24"/>
          <w:szCs w:val="24"/>
        </w:rPr>
        <w:t xml:space="preserve">, Part </w:t>
      </w:r>
      <w:r w:rsidR="004E24A9" w:rsidRPr="00785E44">
        <w:rPr>
          <w:rFonts w:ascii="Arial" w:hAnsi="Arial" w:cs="Arial"/>
          <w:sz w:val="24"/>
          <w:szCs w:val="24"/>
        </w:rPr>
        <w:t>Two</w:t>
      </w:r>
      <w:r w:rsidR="00327AF1" w:rsidRPr="00785E44">
        <w:rPr>
          <w:rFonts w:ascii="Arial" w:hAnsi="Arial" w:cs="Arial"/>
          <w:sz w:val="24"/>
          <w:szCs w:val="24"/>
        </w:rPr>
        <w:t xml:space="preserve"> of the amendments to the CCR Rule.</w:t>
      </w:r>
      <w:r w:rsidR="00327AF1" w:rsidRPr="00785E44">
        <w:rPr>
          <w:rFonts w:ascii="Arial" w:hAnsi="Arial" w:cs="Arial"/>
          <w:b/>
          <w:sz w:val="24"/>
          <w:szCs w:val="24"/>
        </w:rPr>
        <w:t xml:space="preserve"> </w:t>
      </w:r>
    </w:p>
    <w:p w14:paraId="25E3E97F" w14:textId="77777777" w:rsidR="00651E71" w:rsidRPr="00785E44" w:rsidRDefault="00651E71" w:rsidP="00DB7156">
      <w:pPr>
        <w:autoSpaceDE w:val="0"/>
        <w:autoSpaceDN w:val="0"/>
        <w:adjustRightInd w:val="0"/>
        <w:spacing w:after="0" w:line="240" w:lineRule="auto"/>
        <w:ind w:left="360"/>
        <w:jc w:val="both"/>
        <w:rPr>
          <w:rFonts w:ascii="Arial" w:hAnsi="Arial" w:cs="Arial"/>
          <w:sz w:val="24"/>
          <w:szCs w:val="24"/>
        </w:rPr>
      </w:pPr>
    </w:p>
    <w:p w14:paraId="2299D6F0" w14:textId="44A148D8" w:rsidR="005D2BCB" w:rsidRPr="00785E44" w:rsidRDefault="005D2BCB"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December 2019</w:t>
      </w:r>
      <w:r w:rsidRPr="00785E44">
        <w:rPr>
          <w:rFonts w:ascii="Arial" w:hAnsi="Arial" w:cs="Arial"/>
          <w:sz w:val="24"/>
          <w:szCs w:val="24"/>
        </w:rPr>
        <w:t xml:space="preserve"> – EPA </w:t>
      </w:r>
      <w:r w:rsidR="00AB5F6B" w:rsidRPr="00785E44">
        <w:rPr>
          <w:rFonts w:ascii="Arial" w:hAnsi="Arial" w:cs="Arial"/>
          <w:sz w:val="24"/>
          <w:szCs w:val="24"/>
        </w:rPr>
        <w:t xml:space="preserve">anticipated </w:t>
      </w:r>
      <w:r w:rsidRPr="00785E44">
        <w:rPr>
          <w:rFonts w:ascii="Arial" w:hAnsi="Arial" w:cs="Arial"/>
          <w:sz w:val="24"/>
          <w:szCs w:val="24"/>
        </w:rPr>
        <w:t xml:space="preserve">to finalize Phase </w:t>
      </w:r>
      <w:r w:rsidR="0088735E" w:rsidRPr="00785E44">
        <w:rPr>
          <w:rFonts w:ascii="Arial" w:hAnsi="Arial" w:cs="Arial"/>
          <w:sz w:val="24"/>
          <w:szCs w:val="24"/>
        </w:rPr>
        <w:t>Two</w:t>
      </w:r>
      <w:r w:rsidRPr="00785E44">
        <w:rPr>
          <w:rFonts w:ascii="Arial" w:hAnsi="Arial" w:cs="Arial"/>
          <w:sz w:val="24"/>
          <w:szCs w:val="24"/>
        </w:rPr>
        <w:t xml:space="preserve"> amendments to the CCR Rule.</w:t>
      </w:r>
    </w:p>
    <w:p w14:paraId="55F32F3B" w14:textId="77777777" w:rsidR="00327AF1" w:rsidRPr="00785E44" w:rsidRDefault="00327AF1" w:rsidP="00DB7156">
      <w:pPr>
        <w:pStyle w:val="ListParagraph"/>
        <w:jc w:val="both"/>
        <w:rPr>
          <w:rFonts w:ascii="Arial" w:hAnsi="Arial" w:cs="Arial"/>
          <w:b/>
        </w:rPr>
      </w:pPr>
    </w:p>
    <w:p w14:paraId="2D51E39F" w14:textId="36DB9E8F" w:rsidR="00651E71" w:rsidRPr="00785E44" w:rsidRDefault="00651E71"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December 2019</w:t>
      </w:r>
      <w:r w:rsidRPr="00785E44">
        <w:rPr>
          <w:rFonts w:ascii="Arial" w:hAnsi="Arial" w:cs="Arial"/>
          <w:sz w:val="24"/>
          <w:szCs w:val="24"/>
        </w:rPr>
        <w:t xml:space="preserve"> – EPA expected to issue final ELG </w:t>
      </w:r>
      <w:r w:rsidR="00B105E4" w:rsidRPr="00785E44">
        <w:rPr>
          <w:rFonts w:ascii="Arial" w:hAnsi="Arial" w:cs="Arial"/>
          <w:sz w:val="24"/>
          <w:szCs w:val="24"/>
        </w:rPr>
        <w:t>R</w:t>
      </w:r>
      <w:r w:rsidRPr="00785E44">
        <w:rPr>
          <w:rFonts w:ascii="Arial" w:hAnsi="Arial" w:cs="Arial"/>
          <w:sz w:val="24"/>
          <w:szCs w:val="24"/>
        </w:rPr>
        <w:t xml:space="preserve">ule with revised standards and applicability dates for bottom ash transport water and </w:t>
      </w:r>
      <w:r w:rsidR="007D2095" w:rsidRPr="00785E44">
        <w:rPr>
          <w:rFonts w:ascii="Arial" w:hAnsi="Arial" w:cs="Arial"/>
          <w:sz w:val="24"/>
          <w:szCs w:val="24"/>
        </w:rPr>
        <w:t xml:space="preserve">FGD </w:t>
      </w:r>
      <w:r w:rsidRPr="00785E44">
        <w:rPr>
          <w:rFonts w:ascii="Arial" w:hAnsi="Arial" w:cs="Arial"/>
          <w:sz w:val="24"/>
          <w:szCs w:val="24"/>
        </w:rPr>
        <w:t>wastewater</w:t>
      </w:r>
      <w:r w:rsidR="00885821" w:rsidRPr="00785E44">
        <w:rPr>
          <w:rFonts w:ascii="Arial" w:hAnsi="Arial" w:cs="Arial"/>
          <w:sz w:val="24"/>
          <w:szCs w:val="24"/>
        </w:rPr>
        <w:t xml:space="preserve"> based on </w:t>
      </w:r>
      <w:r w:rsidR="0006676B" w:rsidRPr="00785E44">
        <w:rPr>
          <w:rFonts w:ascii="Arial" w:hAnsi="Arial" w:cs="Arial"/>
          <w:sz w:val="24"/>
          <w:szCs w:val="24"/>
        </w:rPr>
        <w:t xml:space="preserve">the </w:t>
      </w:r>
      <w:r w:rsidR="00885821" w:rsidRPr="00785E44">
        <w:rPr>
          <w:rFonts w:ascii="Arial" w:hAnsi="Arial" w:cs="Arial"/>
          <w:sz w:val="24"/>
          <w:szCs w:val="24"/>
        </w:rPr>
        <w:t>March 2019 proposal</w:t>
      </w:r>
      <w:r w:rsidRPr="00785E44">
        <w:rPr>
          <w:rFonts w:ascii="Arial" w:hAnsi="Arial" w:cs="Arial"/>
          <w:sz w:val="24"/>
          <w:szCs w:val="24"/>
        </w:rPr>
        <w:t>.</w:t>
      </w:r>
    </w:p>
    <w:p w14:paraId="399607D4" w14:textId="77777777" w:rsidR="00651E71" w:rsidRPr="00785E44" w:rsidRDefault="00651E71" w:rsidP="00DB7156">
      <w:pPr>
        <w:pStyle w:val="ListParagraph"/>
        <w:jc w:val="both"/>
        <w:rPr>
          <w:rFonts w:ascii="Arial" w:hAnsi="Arial" w:cs="Arial"/>
          <w:b/>
        </w:rPr>
      </w:pPr>
    </w:p>
    <w:p w14:paraId="3931D4E3" w14:textId="39AACC6C" w:rsidR="00D340D3" w:rsidRPr="00785E44" w:rsidRDefault="00D340D3"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March 2020</w:t>
      </w:r>
      <w:r w:rsidRPr="00785E44">
        <w:rPr>
          <w:rFonts w:ascii="Arial" w:hAnsi="Arial" w:cs="Arial"/>
          <w:sz w:val="24"/>
          <w:szCs w:val="24"/>
        </w:rPr>
        <w:t xml:space="preserve"> – Court-ordered deadline for EPA to complete combustion turbine RTR.</w:t>
      </w:r>
    </w:p>
    <w:p w14:paraId="67D03332" w14:textId="77777777" w:rsidR="00C34170" w:rsidRPr="00785E44" w:rsidRDefault="00C34170" w:rsidP="00DB7156">
      <w:pPr>
        <w:pStyle w:val="ListParagraph"/>
        <w:jc w:val="both"/>
        <w:rPr>
          <w:rFonts w:ascii="Arial" w:hAnsi="Arial" w:cs="Arial"/>
        </w:rPr>
      </w:pPr>
    </w:p>
    <w:p w14:paraId="776CD993" w14:textId="4C0AF5C8" w:rsidR="00C34170" w:rsidRPr="00785E44" w:rsidRDefault="00C34170"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April 2020</w:t>
      </w:r>
      <w:r w:rsidRPr="00785E44">
        <w:rPr>
          <w:rFonts w:ascii="Arial" w:hAnsi="Arial" w:cs="Arial"/>
          <w:sz w:val="24"/>
          <w:szCs w:val="24"/>
        </w:rPr>
        <w:t xml:space="preserve"> – Statutory deadline for EPA to conduct RTR for </w:t>
      </w:r>
      <w:r w:rsidR="00B105E4" w:rsidRPr="00785E44">
        <w:rPr>
          <w:rFonts w:ascii="Arial" w:hAnsi="Arial" w:cs="Arial"/>
          <w:sz w:val="24"/>
          <w:szCs w:val="24"/>
        </w:rPr>
        <w:t>Electric Generating Unit (</w:t>
      </w:r>
      <w:r w:rsidR="002E1489" w:rsidRPr="00785E44">
        <w:rPr>
          <w:rFonts w:ascii="Arial" w:hAnsi="Arial" w:cs="Arial"/>
          <w:sz w:val="24"/>
          <w:szCs w:val="24"/>
        </w:rPr>
        <w:t>“</w:t>
      </w:r>
      <w:r w:rsidR="00B105E4" w:rsidRPr="00785E44">
        <w:rPr>
          <w:rFonts w:ascii="Arial" w:hAnsi="Arial" w:cs="Arial"/>
          <w:sz w:val="24"/>
          <w:szCs w:val="24"/>
        </w:rPr>
        <w:t>EGUs</w:t>
      </w:r>
      <w:r w:rsidR="002E1489" w:rsidRPr="00785E44">
        <w:rPr>
          <w:rFonts w:ascii="Arial" w:hAnsi="Arial" w:cs="Arial"/>
          <w:sz w:val="24"/>
          <w:szCs w:val="24"/>
        </w:rPr>
        <w:t>”</w:t>
      </w:r>
      <w:r w:rsidR="00B105E4" w:rsidRPr="00785E44">
        <w:rPr>
          <w:rFonts w:ascii="Arial" w:hAnsi="Arial" w:cs="Arial"/>
          <w:sz w:val="24"/>
          <w:szCs w:val="24"/>
        </w:rPr>
        <w:t xml:space="preserve">) </w:t>
      </w:r>
      <w:r w:rsidRPr="00785E44">
        <w:rPr>
          <w:rFonts w:ascii="Arial" w:hAnsi="Arial" w:cs="Arial"/>
          <w:sz w:val="24"/>
          <w:szCs w:val="24"/>
        </w:rPr>
        <w:t>regulated under MATS.</w:t>
      </w:r>
    </w:p>
    <w:p w14:paraId="42422CF0" w14:textId="77777777" w:rsidR="00541616" w:rsidRPr="00785E44" w:rsidRDefault="00541616" w:rsidP="00DB7156">
      <w:pPr>
        <w:pStyle w:val="ListParagraph"/>
        <w:jc w:val="both"/>
        <w:rPr>
          <w:rFonts w:ascii="Arial" w:hAnsi="Arial" w:cs="Arial"/>
        </w:rPr>
      </w:pPr>
    </w:p>
    <w:p w14:paraId="6C52DF01" w14:textId="5B83D478" w:rsidR="00541616" w:rsidRPr="00785E44" w:rsidRDefault="00541616"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November 2020</w:t>
      </w:r>
      <w:r w:rsidRPr="00785E44">
        <w:rPr>
          <w:rFonts w:ascii="Arial" w:hAnsi="Arial" w:cs="Arial"/>
          <w:sz w:val="24"/>
          <w:szCs w:val="24"/>
        </w:rPr>
        <w:t xml:space="preserve"> – Earliest applicability date for ELG compliance </w:t>
      </w:r>
      <w:r w:rsidR="00651E71" w:rsidRPr="00785E44">
        <w:rPr>
          <w:rFonts w:ascii="Arial" w:hAnsi="Arial" w:cs="Arial"/>
          <w:sz w:val="24"/>
          <w:szCs w:val="24"/>
        </w:rPr>
        <w:t xml:space="preserve">for bottom ash transport water and </w:t>
      </w:r>
      <w:r w:rsidR="007D2095" w:rsidRPr="00785E44">
        <w:rPr>
          <w:rFonts w:ascii="Arial" w:hAnsi="Arial" w:cs="Arial"/>
          <w:sz w:val="24"/>
          <w:szCs w:val="24"/>
        </w:rPr>
        <w:t xml:space="preserve">FGD </w:t>
      </w:r>
      <w:r w:rsidR="00651E71" w:rsidRPr="00785E44">
        <w:rPr>
          <w:rFonts w:ascii="Arial" w:hAnsi="Arial" w:cs="Arial"/>
          <w:sz w:val="24"/>
          <w:szCs w:val="24"/>
        </w:rPr>
        <w:t xml:space="preserve">wastewater </w:t>
      </w:r>
      <w:r w:rsidRPr="00785E44">
        <w:rPr>
          <w:rFonts w:ascii="Arial" w:hAnsi="Arial" w:cs="Arial"/>
          <w:sz w:val="24"/>
          <w:szCs w:val="24"/>
        </w:rPr>
        <w:t xml:space="preserve">based on ELG Postponement Rule. This date could change based on revised final </w:t>
      </w:r>
      <w:r w:rsidR="00B105E4" w:rsidRPr="00785E44">
        <w:rPr>
          <w:rFonts w:ascii="Arial" w:hAnsi="Arial" w:cs="Arial"/>
          <w:sz w:val="24"/>
          <w:szCs w:val="24"/>
        </w:rPr>
        <w:t>ELG R</w:t>
      </w:r>
      <w:r w:rsidRPr="00785E44">
        <w:rPr>
          <w:rFonts w:ascii="Arial" w:hAnsi="Arial" w:cs="Arial"/>
          <w:sz w:val="24"/>
          <w:szCs w:val="24"/>
        </w:rPr>
        <w:t>ule expected in December 2019.</w:t>
      </w:r>
    </w:p>
    <w:p w14:paraId="343F769D" w14:textId="77777777" w:rsidR="00D340D3" w:rsidRPr="00785E44" w:rsidRDefault="00D340D3" w:rsidP="00DB7156">
      <w:pPr>
        <w:pStyle w:val="ListParagraph"/>
        <w:jc w:val="both"/>
        <w:rPr>
          <w:rFonts w:ascii="Arial" w:hAnsi="Arial" w:cs="Arial"/>
          <w:b/>
        </w:rPr>
      </w:pPr>
    </w:p>
    <w:p w14:paraId="2DD445AE" w14:textId="6E5D7DCD" w:rsidR="000E4434" w:rsidRPr="00785E44" w:rsidRDefault="000E4434"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Late 2020</w:t>
      </w:r>
      <w:r w:rsidRPr="00785E44">
        <w:rPr>
          <w:rFonts w:ascii="Arial" w:hAnsi="Arial" w:cs="Arial"/>
          <w:sz w:val="24"/>
          <w:szCs w:val="24"/>
        </w:rPr>
        <w:t xml:space="preserve"> – EPA has announced plans to complete review of ozone NAAQS.</w:t>
      </w:r>
    </w:p>
    <w:p w14:paraId="4381E938" w14:textId="77777777" w:rsidR="000E4434" w:rsidRPr="00785E44" w:rsidRDefault="000E4434" w:rsidP="00DB7156">
      <w:pPr>
        <w:pStyle w:val="ListParagraph"/>
        <w:jc w:val="both"/>
        <w:rPr>
          <w:rFonts w:ascii="Arial" w:hAnsi="Arial" w:cs="Arial"/>
          <w:b/>
        </w:rPr>
      </w:pPr>
    </w:p>
    <w:p w14:paraId="2460AC4F" w14:textId="3EE3C863" w:rsidR="00627243" w:rsidRPr="00785E44" w:rsidRDefault="00627243"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 xml:space="preserve">December 2020 – </w:t>
      </w:r>
      <w:r w:rsidR="00873F22" w:rsidRPr="00785E44">
        <w:rPr>
          <w:rFonts w:ascii="Arial" w:hAnsi="Arial" w:cs="Arial"/>
          <w:sz w:val="24"/>
          <w:szCs w:val="24"/>
        </w:rPr>
        <w:t>EPA</w:t>
      </w:r>
      <w:r w:rsidRPr="00785E44">
        <w:rPr>
          <w:rFonts w:ascii="Arial" w:hAnsi="Arial" w:cs="Arial"/>
          <w:sz w:val="24"/>
          <w:szCs w:val="24"/>
        </w:rPr>
        <w:t xml:space="preserve"> deadline to complete the </w:t>
      </w:r>
      <w:r w:rsidR="000C52FB" w:rsidRPr="00785E44">
        <w:rPr>
          <w:rFonts w:ascii="Arial" w:hAnsi="Arial" w:cs="Arial"/>
          <w:sz w:val="24"/>
          <w:szCs w:val="24"/>
        </w:rPr>
        <w:t xml:space="preserve">fourth and final round of designations for the </w:t>
      </w:r>
      <w:r w:rsidRPr="00785E44">
        <w:rPr>
          <w:rFonts w:ascii="Arial" w:hAnsi="Arial" w:cs="Arial"/>
          <w:sz w:val="24"/>
          <w:szCs w:val="24"/>
        </w:rPr>
        <w:t>2010 SO</w:t>
      </w:r>
      <w:r w:rsidRPr="00785E44">
        <w:rPr>
          <w:rFonts w:ascii="Arial" w:hAnsi="Arial" w:cs="Arial"/>
          <w:sz w:val="24"/>
          <w:szCs w:val="24"/>
          <w:vertAlign w:val="subscript"/>
        </w:rPr>
        <w:t>2</w:t>
      </w:r>
      <w:r w:rsidRPr="00785E44">
        <w:rPr>
          <w:rFonts w:ascii="Arial" w:hAnsi="Arial" w:cs="Arial"/>
          <w:sz w:val="24"/>
          <w:szCs w:val="24"/>
        </w:rPr>
        <w:t xml:space="preserve"> NAAQS </w:t>
      </w:r>
      <w:r w:rsidR="000C52FB" w:rsidRPr="00785E44">
        <w:rPr>
          <w:rFonts w:ascii="Arial" w:hAnsi="Arial" w:cs="Arial"/>
          <w:sz w:val="24"/>
          <w:szCs w:val="24"/>
        </w:rPr>
        <w:t>for the remaining areas of the country</w:t>
      </w:r>
      <w:r w:rsidRPr="00785E44">
        <w:rPr>
          <w:rFonts w:ascii="Arial" w:hAnsi="Arial" w:cs="Arial"/>
          <w:sz w:val="24"/>
          <w:szCs w:val="24"/>
        </w:rPr>
        <w:t>.</w:t>
      </w:r>
    </w:p>
    <w:p w14:paraId="05662B74" w14:textId="77777777" w:rsidR="00C017D6" w:rsidRPr="00785E44" w:rsidRDefault="00C017D6" w:rsidP="00DB7156">
      <w:pPr>
        <w:pStyle w:val="ListParagraph"/>
        <w:jc w:val="both"/>
        <w:rPr>
          <w:rFonts w:ascii="Arial" w:hAnsi="Arial" w:cs="Arial"/>
        </w:rPr>
      </w:pPr>
    </w:p>
    <w:p w14:paraId="1A5A6A34" w14:textId="1DB8645E" w:rsidR="00616C83" w:rsidRPr="00785E44" w:rsidRDefault="00321D60" w:rsidP="00DB7156">
      <w:pPr>
        <w:pStyle w:val="ListParagraph"/>
        <w:numPr>
          <w:ilvl w:val="0"/>
          <w:numId w:val="25"/>
        </w:numPr>
        <w:jc w:val="both"/>
        <w:rPr>
          <w:rFonts w:ascii="Arial" w:hAnsi="Arial" w:cs="Arial"/>
          <w:b/>
        </w:rPr>
      </w:pPr>
      <w:r w:rsidRPr="00785E44">
        <w:rPr>
          <w:rFonts w:ascii="Arial" w:hAnsi="Arial" w:cs="Arial"/>
          <w:b/>
        </w:rPr>
        <w:t>July</w:t>
      </w:r>
      <w:r w:rsidR="00616C83" w:rsidRPr="00785E44">
        <w:rPr>
          <w:rFonts w:ascii="Arial" w:hAnsi="Arial" w:cs="Arial"/>
          <w:b/>
        </w:rPr>
        <w:t xml:space="preserve"> 2021</w:t>
      </w:r>
      <w:r w:rsidR="00616C83" w:rsidRPr="00785E44">
        <w:rPr>
          <w:rFonts w:ascii="Arial" w:hAnsi="Arial" w:cs="Arial"/>
        </w:rPr>
        <w:t xml:space="preserve"> – EPA deadline to submit regional haze SIPs for the second implementation period</w:t>
      </w:r>
    </w:p>
    <w:p w14:paraId="0323EBF6" w14:textId="77777777" w:rsidR="00616C83" w:rsidRPr="00785E44" w:rsidRDefault="00616C83" w:rsidP="00DB7156">
      <w:pPr>
        <w:pStyle w:val="ListParagraph"/>
        <w:jc w:val="both"/>
        <w:rPr>
          <w:rFonts w:ascii="Arial" w:hAnsi="Arial" w:cs="Arial"/>
        </w:rPr>
      </w:pPr>
    </w:p>
    <w:p w14:paraId="3B9DBB83" w14:textId="425EBB00" w:rsidR="00C017D6" w:rsidRPr="00785E44" w:rsidRDefault="00C017D6" w:rsidP="00DB7156">
      <w:pPr>
        <w:numPr>
          <w:ilvl w:val="0"/>
          <w:numId w:val="2"/>
        </w:numPr>
        <w:autoSpaceDE w:val="0"/>
        <w:autoSpaceDN w:val="0"/>
        <w:adjustRightInd w:val="0"/>
        <w:spacing w:after="0" w:line="240" w:lineRule="auto"/>
        <w:jc w:val="both"/>
        <w:rPr>
          <w:rFonts w:ascii="Arial" w:hAnsi="Arial" w:cs="Arial"/>
          <w:sz w:val="24"/>
          <w:szCs w:val="24"/>
        </w:rPr>
      </w:pPr>
      <w:r w:rsidRPr="00785E44">
        <w:rPr>
          <w:rFonts w:ascii="Arial" w:hAnsi="Arial" w:cs="Arial"/>
          <w:b/>
          <w:sz w:val="24"/>
          <w:szCs w:val="24"/>
        </w:rPr>
        <w:t>Late 2022</w:t>
      </w:r>
      <w:r w:rsidRPr="00785E44">
        <w:rPr>
          <w:rFonts w:ascii="Arial" w:hAnsi="Arial" w:cs="Arial"/>
          <w:sz w:val="24"/>
          <w:szCs w:val="24"/>
        </w:rPr>
        <w:t xml:space="preserve"> – </w:t>
      </w:r>
      <w:r w:rsidR="00365F31" w:rsidRPr="00785E44">
        <w:rPr>
          <w:rFonts w:ascii="Arial" w:hAnsi="Arial" w:cs="Arial"/>
          <w:sz w:val="24"/>
          <w:szCs w:val="24"/>
        </w:rPr>
        <w:t>Anticipated</w:t>
      </w:r>
      <w:r w:rsidRPr="00785E44">
        <w:rPr>
          <w:rFonts w:ascii="Arial" w:hAnsi="Arial" w:cs="Arial"/>
          <w:sz w:val="24"/>
          <w:szCs w:val="24"/>
        </w:rPr>
        <w:t xml:space="preserve"> date EPA expects to complete review of PM NAAQS</w:t>
      </w:r>
      <w:r w:rsidR="00760EE5" w:rsidRPr="00785E44">
        <w:rPr>
          <w:rFonts w:ascii="Arial" w:hAnsi="Arial" w:cs="Arial"/>
          <w:sz w:val="24"/>
          <w:szCs w:val="24"/>
        </w:rPr>
        <w:t>.</w:t>
      </w:r>
    </w:p>
    <w:p w14:paraId="41809928" w14:textId="77777777" w:rsidR="009B22B2" w:rsidRPr="00785E44" w:rsidRDefault="009B22B2" w:rsidP="00DB7156">
      <w:pPr>
        <w:pStyle w:val="ListParagraph"/>
        <w:jc w:val="both"/>
        <w:rPr>
          <w:rFonts w:ascii="Arial" w:hAnsi="Arial" w:cs="Arial"/>
          <w:b/>
        </w:rPr>
      </w:pPr>
    </w:p>
    <w:p w14:paraId="700657E2" w14:textId="6B7ADF20" w:rsidR="009B22B2" w:rsidRPr="00785E44" w:rsidRDefault="009B22B2" w:rsidP="00DB7156">
      <w:pPr>
        <w:numPr>
          <w:ilvl w:val="0"/>
          <w:numId w:val="2"/>
        </w:numPr>
        <w:autoSpaceDE w:val="0"/>
        <w:autoSpaceDN w:val="0"/>
        <w:adjustRightInd w:val="0"/>
        <w:spacing w:after="0" w:line="240" w:lineRule="auto"/>
        <w:jc w:val="both"/>
        <w:rPr>
          <w:rFonts w:ascii="Arial" w:hAnsi="Arial" w:cs="Arial"/>
          <w:b/>
          <w:sz w:val="24"/>
          <w:szCs w:val="24"/>
        </w:rPr>
      </w:pPr>
      <w:r w:rsidRPr="00785E44">
        <w:rPr>
          <w:rFonts w:ascii="Arial" w:hAnsi="Arial" w:cs="Arial"/>
          <w:b/>
          <w:sz w:val="24"/>
          <w:szCs w:val="24"/>
        </w:rPr>
        <w:t>December 2023</w:t>
      </w:r>
      <w:r w:rsidRPr="00785E44">
        <w:rPr>
          <w:rFonts w:ascii="Arial" w:hAnsi="Arial" w:cs="Arial"/>
          <w:sz w:val="24"/>
          <w:szCs w:val="24"/>
        </w:rPr>
        <w:t xml:space="preserve"> – </w:t>
      </w:r>
      <w:r w:rsidR="005D2BCB" w:rsidRPr="00785E44">
        <w:rPr>
          <w:rFonts w:ascii="Arial" w:hAnsi="Arial" w:cs="Arial"/>
          <w:sz w:val="24"/>
          <w:szCs w:val="24"/>
        </w:rPr>
        <w:t>Latest applicability date for ELG compliance</w:t>
      </w:r>
      <w:r w:rsidR="00541616" w:rsidRPr="00785E44">
        <w:rPr>
          <w:rFonts w:ascii="Arial" w:hAnsi="Arial" w:cs="Arial"/>
          <w:sz w:val="24"/>
          <w:szCs w:val="24"/>
        </w:rPr>
        <w:t xml:space="preserve"> based on</w:t>
      </w:r>
      <w:r w:rsidR="00072366" w:rsidRPr="00785E44">
        <w:rPr>
          <w:rFonts w:ascii="Arial" w:hAnsi="Arial" w:cs="Arial"/>
          <w:sz w:val="24"/>
          <w:szCs w:val="24"/>
        </w:rPr>
        <w:t xml:space="preserve"> ELG</w:t>
      </w:r>
      <w:r w:rsidR="00541616" w:rsidRPr="00785E44">
        <w:rPr>
          <w:rFonts w:ascii="Arial" w:hAnsi="Arial" w:cs="Arial"/>
          <w:sz w:val="24"/>
          <w:szCs w:val="24"/>
        </w:rPr>
        <w:t xml:space="preserve"> Postponement Rule</w:t>
      </w:r>
      <w:r w:rsidR="00686894" w:rsidRPr="00785E44">
        <w:rPr>
          <w:rFonts w:ascii="Arial" w:hAnsi="Arial" w:cs="Arial"/>
          <w:sz w:val="24"/>
          <w:szCs w:val="24"/>
        </w:rPr>
        <w:t>.</w:t>
      </w:r>
      <w:r w:rsidR="00B070BC" w:rsidRPr="00785E44">
        <w:rPr>
          <w:rFonts w:ascii="Arial" w:hAnsi="Arial" w:cs="Arial"/>
          <w:sz w:val="24"/>
          <w:szCs w:val="24"/>
        </w:rPr>
        <w:t xml:space="preserve"> This date </w:t>
      </w:r>
      <w:r w:rsidR="00541616" w:rsidRPr="00785E44">
        <w:rPr>
          <w:rFonts w:ascii="Arial" w:hAnsi="Arial" w:cs="Arial"/>
          <w:sz w:val="24"/>
          <w:szCs w:val="24"/>
        </w:rPr>
        <w:t xml:space="preserve">could change based on </w:t>
      </w:r>
      <w:r w:rsidR="00B070BC" w:rsidRPr="00785E44">
        <w:rPr>
          <w:rFonts w:ascii="Arial" w:hAnsi="Arial" w:cs="Arial"/>
          <w:sz w:val="24"/>
          <w:szCs w:val="24"/>
        </w:rPr>
        <w:t xml:space="preserve">revised </w:t>
      </w:r>
      <w:r w:rsidR="00541616" w:rsidRPr="00785E44">
        <w:rPr>
          <w:rFonts w:ascii="Arial" w:hAnsi="Arial" w:cs="Arial"/>
          <w:sz w:val="24"/>
          <w:szCs w:val="24"/>
        </w:rPr>
        <w:t xml:space="preserve">final ELG </w:t>
      </w:r>
      <w:r w:rsidR="00B105E4" w:rsidRPr="00785E44">
        <w:rPr>
          <w:rFonts w:ascii="Arial" w:hAnsi="Arial" w:cs="Arial"/>
          <w:sz w:val="24"/>
          <w:szCs w:val="24"/>
        </w:rPr>
        <w:t>R</w:t>
      </w:r>
      <w:r w:rsidR="00B070BC" w:rsidRPr="00785E44">
        <w:rPr>
          <w:rFonts w:ascii="Arial" w:hAnsi="Arial" w:cs="Arial"/>
          <w:sz w:val="24"/>
          <w:szCs w:val="24"/>
        </w:rPr>
        <w:t xml:space="preserve">ule </w:t>
      </w:r>
      <w:r w:rsidR="00541616" w:rsidRPr="00785E44">
        <w:rPr>
          <w:rFonts w:ascii="Arial" w:hAnsi="Arial" w:cs="Arial"/>
          <w:sz w:val="24"/>
          <w:szCs w:val="24"/>
        </w:rPr>
        <w:t>expected in December 2019</w:t>
      </w:r>
      <w:r w:rsidR="00B070BC" w:rsidRPr="00785E44">
        <w:rPr>
          <w:rFonts w:ascii="Arial" w:hAnsi="Arial" w:cs="Arial"/>
          <w:sz w:val="24"/>
          <w:szCs w:val="24"/>
        </w:rPr>
        <w:t>.</w:t>
      </w:r>
    </w:p>
    <w:p w14:paraId="22BA4EDD" w14:textId="77777777" w:rsidR="00D81206" w:rsidRPr="00785E44" w:rsidRDefault="00D81206" w:rsidP="00DB7156">
      <w:pPr>
        <w:pStyle w:val="ListParagraph"/>
        <w:jc w:val="both"/>
        <w:rPr>
          <w:rFonts w:ascii="Arial" w:hAnsi="Arial" w:cs="Arial"/>
        </w:rPr>
      </w:pPr>
    </w:p>
    <w:p w14:paraId="22BA4EDE" w14:textId="5413F565" w:rsidR="007E7FE2" w:rsidRPr="00785E44" w:rsidRDefault="002E43CF" w:rsidP="00DB7156">
      <w:pPr>
        <w:autoSpaceDE w:val="0"/>
        <w:autoSpaceDN w:val="0"/>
        <w:adjustRightInd w:val="0"/>
        <w:spacing w:after="0" w:line="240" w:lineRule="auto"/>
        <w:jc w:val="both"/>
        <w:rPr>
          <w:rFonts w:ascii="Arial" w:hAnsi="Arial" w:cs="Arial"/>
          <w:b/>
          <w:color w:val="FF0000"/>
          <w:sz w:val="24"/>
          <w:szCs w:val="24"/>
        </w:rPr>
      </w:pPr>
      <w:r w:rsidRPr="00785E44">
        <w:rPr>
          <w:rFonts w:ascii="Arial" w:hAnsi="Arial" w:cs="Arial"/>
          <w:sz w:val="24"/>
          <w:szCs w:val="24"/>
        </w:rPr>
        <w:t>Section 2.0 of this document discusses t</w:t>
      </w:r>
      <w:r w:rsidR="007E7FE2" w:rsidRPr="00785E44">
        <w:rPr>
          <w:rFonts w:ascii="Arial" w:hAnsi="Arial" w:cs="Arial"/>
          <w:sz w:val="24"/>
          <w:szCs w:val="24"/>
        </w:rPr>
        <w:t xml:space="preserve">hese federal </w:t>
      </w:r>
      <w:r w:rsidR="00432F0E" w:rsidRPr="00785E44">
        <w:rPr>
          <w:rFonts w:ascii="Arial" w:hAnsi="Arial" w:cs="Arial"/>
          <w:sz w:val="24"/>
          <w:szCs w:val="24"/>
        </w:rPr>
        <w:t>and</w:t>
      </w:r>
      <w:r w:rsidR="00D94100" w:rsidRPr="00785E44">
        <w:rPr>
          <w:rFonts w:ascii="Arial" w:hAnsi="Arial" w:cs="Arial"/>
          <w:sz w:val="24"/>
          <w:szCs w:val="24"/>
        </w:rPr>
        <w:t xml:space="preserve"> state rules </w:t>
      </w:r>
      <w:r w:rsidR="007E7FE2" w:rsidRPr="00785E44">
        <w:rPr>
          <w:rFonts w:ascii="Arial" w:hAnsi="Arial" w:cs="Arial"/>
          <w:sz w:val="24"/>
          <w:szCs w:val="24"/>
        </w:rPr>
        <w:t xml:space="preserve">in </w:t>
      </w:r>
      <w:r w:rsidRPr="00785E44">
        <w:rPr>
          <w:rFonts w:ascii="Arial" w:hAnsi="Arial" w:cs="Arial"/>
          <w:sz w:val="24"/>
          <w:szCs w:val="24"/>
        </w:rPr>
        <w:t>more detail;</w:t>
      </w:r>
      <w:r w:rsidR="00193A96" w:rsidRPr="00785E44">
        <w:rPr>
          <w:rFonts w:ascii="Arial" w:hAnsi="Arial" w:cs="Arial"/>
          <w:sz w:val="24"/>
          <w:szCs w:val="24"/>
        </w:rPr>
        <w:t xml:space="preserve"> Section 3.0 </w:t>
      </w:r>
      <w:r w:rsidR="00D94100" w:rsidRPr="00785E44">
        <w:rPr>
          <w:rFonts w:ascii="Arial" w:hAnsi="Arial" w:cs="Arial"/>
          <w:sz w:val="24"/>
          <w:szCs w:val="24"/>
        </w:rPr>
        <w:t>d</w:t>
      </w:r>
      <w:r w:rsidRPr="00785E44">
        <w:rPr>
          <w:rFonts w:ascii="Arial" w:hAnsi="Arial" w:cs="Arial"/>
          <w:sz w:val="24"/>
          <w:szCs w:val="24"/>
        </w:rPr>
        <w:t>escribes</w:t>
      </w:r>
      <w:r w:rsidR="00D94100" w:rsidRPr="00785E44">
        <w:rPr>
          <w:rFonts w:ascii="Arial" w:hAnsi="Arial" w:cs="Arial"/>
          <w:sz w:val="24"/>
          <w:szCs w:val="24"/>
        </w:rPr>
        <w:t xml:space="preserve"> the process of developing the E</w:t>
      </w:r>
      <w:r w:rsidRPr="00785E44">
        <w:rPr>
          <w:rFonts w:ascii="Arial" w:hAnsi="Arial" w:cs="Arial"/>
          <w:sz w:val="24"/>
          <w:szCs w:val="24"/>
        </w:rPr>
        <w:t>nvironmental Compliance Strategy;</w:t>
      </w:r>
      <w:r w:rsidR="00D94100" w:rsidRPr="00785E44">
        <w:rPr>
          <w:rFonts w:ascii="Arial" w:hAnsi="Arial" w:cs="Arial"/>
          <w:sz w:val="24"/>
          <w:szCs w:val="24"/>
        </w:rPr>
        <w:t xml:space="preserve"> and Section 4.0 discusses the results of the </w:t>
      </w:r>
      <w:r w:rsidR="00F950D6" w:rsidRPr="00785E44">
        <w:rPr>
          <w:rFonts w:ascii="Arial" w:hAnsi="Arial" w:cs="Arial"/>
          <w:sz w:val="24"/>
          <w:szCs w:val="24"/>
        </w:rPr>
        <w:t xml:space="preserve">Company’s </w:t>
      </w:r>
      <w:r w:rsidR="00D94100" w:rsidRPr="00785E44">
        <w:rPr>
          <w:rFonts w:ascii="Arial" w:hAnsi="Arial" w:cs="Arial"/>
          <w:sz w:val="24"/>
          <w:szCs w:val="24"/>
        </w:rPr>
        <w:t xml:space="preserve">strategy and impacts of </w:t>
      </w:r>
      <w:r w:rsidR="004865FF" w:rsidRPr="00785E44">
        <w:rPr>
          <w:rFonts w:ascii="Arial" w:hAnsi="Arial" w:cs="Arial"/>
          <w:sz w:val="24"/>
          <w:szCs w:val="24"/>
        </w:rPr>
        <w:t xml:space="preserve">these </w:t>
      </w:r>
      <w:r w:rsidR="00193A96" w:rsidRPr="00785E44">
        <w:rPr>
          <w:rFonts w:ascii="Arial" w:hAnsi="Arial" w:cs="Arial"/>
          <w:sz w:val="24"/>
          <w:szCs w:val="24"/>
        </w:rPr>
        <w:t>environmental regulations to Georgia Power’s</w:t>
      </w:r>
      <w:r w:rsidR="00D94100" w:rsidRPr="00785E44">
        <w:rPr>
          <w:rFonts w:ascii="Arial" w:hAnsi="Arial" w:cs="Arial"/>
          <w:sz w:val="24"/>
          <w:szCs w:val="24"/>
        </w:rPr>
        <w:t xml:space="preserve"> operations</w:t>
      </w:r>
      <w:r w:rsidR="007E7FE2" w:rsidRPr="00785E44">
        <w:rPr>
          <w:rFonts w:ascii="Arial" w:hAnsi="Arial" w:cs="Arial"/>
          <w:sz w:val="24"/>
          <w:szCs w:val="24"/>
        </w:rPr>
        <w:t>.</w:t>
      </w:r>
    </w:p>
    <w:p w14:paraId="22BA4EDF" w14:textId="77777777" w:rsidR="00FC67F9" w:rsidRPr="00DB7156" w:rsidRDefault="00FC67F9" w:rsidP="00B44E5E">
      <w:pPr>
        <w:keepNext/>
        <w:widowControl w:val="0"/>
        <w:spacing w:after="0" w:line="240" w:lineRule="auto"/>
        <w:jc w:val="both"/>
        <w:outlineLvl w:val="0"/>
        <w:rPr>
          <w:rFonts w:ascii="Arial" w:hAnsi="Arial" w:cs="Arial"/>
          <w:b/>
          <w:bCs/>
          <w:color w:val="FF0000"/>
          <w:kern w:val="28"/>
          <w:sz w:val="28"/>
          <w:szCs w:val="28"/>
        </w:rPr>
      </w:pPr>
      <w:r w:rsidRPr="00DB7156">
        <w:rPr>
          <w:rFonts w:ascii="Arial" w:hAnsi="Arial" w:cs="Arial"/>
          <w:b/>
          <w:bCs/>
          <w:color w:val="000080"/>
          <w:kern w:val="28"/>
          <w:sz w:val="28"/>
          <w:szCs w:val="28"/>
        </w:rPr>
        <w:br w:type="page"/>
      </w:r>
      <w:bookmarkStart w:id="26" w:name="_Toc496107739"/>
      <w:bookmarkStart w:id="27" w:name="_Toc527987327"/>
      <w:bookmarkStart w:id="28" w:name="_Toc527983874"/>
      <w:bookmarkStart w:id="29" w:name="_Toc530487257"/>
      <w:bookmarkStart w:id="30" w:name="_Toc535908125"/>
      <w:r w:rsidRPr="00DB7156">
        <w:rPr>
          <w:rFonts w:ascii="Arial" w:hAnsi="Arial" w:cs="Arial"/>
          <w:b/>
          <w:bCs/>
          <w:color w:val="000080"/>
          <w:kern w:val="28"/>
          <w:sz w:val="28"/>
          <w:szCs w:val="28"/>
        </w:rPr>
        <w:t>2.0 Regulatory, Legislative, and Judicial Review</w:t>
      </w:r>
      <w:bookmarkEnd w:id="26"/>
      <w:bookmarkEnd w:id="27"/>
      <w:bookmarkEnd w:id="28"/>
      <w:bookmarkEnd w:id="29"/>
      <w:bookmarkEnd w:id="30"/>
    </w:p>
    <w:p w14:paraId="22BA4EE0" w14:textId="77777777" w:rsidR="00FC67F9" w:rsidRPr="00DB7156" w:rsidRDefault="00FC67F9" w:rsidP="00DB7156">
      <w:pPr>
        <w:autoSpaceDE w:val="0"/>
        <w:autoSpaceDN w:val="0"/>
        <w:adjustRightInd w:val="0"/>
        <w:spacing w:after="0" w:line="240" w:lineRule="auto"/>
        <w:jc w:val="both"/>
        <w:rPr>
          <w:rFonts w:ascii="Arial" w:hAnsi="Arial" w:cs="Arial"/>
          <w:sz w:val="28"/>
          <w:szCs w:val="24"/>
        </w:rPr>
      </w:pPr>
    </w:p>
    <w:p w14:paraId="22BA4EE1" w14:textId="7C21D0E2" w:rsidR="00FC67F9" w:rsidRPr="00785E44" w:rsidRDefault="00FC67F9" w:rsidP="00DB7156">
      <w:pPr>
        <w:autoSpaceDE w:val="0"/>
        <w:autoSpaceDN w:val="0"/>
        <w:adjustRightInd w:val="0"/>
        <w:spacing w:after="0" w:line="240" w:lineRule="auto"/>
        <w:jc w:val="both"/>
        <w:rPr>
          <w:rFonts w:ascii="Arial" w:hAnsi="Arial" w:cs="Arial"/>
          <w:b/>
          <w:color w:val="000080"/>
          <w:sz w:val="24"/>
          <w:szCs w:val="24"/>
          <w:u w:val="single"/>
        </w:rPr>
      </w:pPr>
      <w:r w:rsidRPr="00785E44">
        <w:rPr>
          <w:rFonts w:ascii="Arial" w:hAnsi="Arial" w:cs="Arial"/>
          <w:sz w:val="24"/>
          <w:szCs w:val="24"/>
        </w:rPr>
        <w:t xml:space="preserve">Environmental compliance and regulation for Georgia Power Company </w:t>
      </w:r>
      <w:r w:rsidR="00B44E5E" w:rsidRPr="00785E44">
        <w:rPr>
          <w:rFonts w:ascii="Arial" w:hAnsi="Arial" w:cs="Arial"/>
          <w:sz w:val="24"/>
          <w:szCs w:val="24"/>
        </w:rPr>
        <w:t>is</w:t>
      </w:r>
      <w:r w:rsidRPr="00785E44">
        <w:rPr>
          <w:rFonts w:ascii="Arial" w:hAnsi="Arial" w:cs="Arial"/>
          <w:sz w:val="24"/>
          <w:szCs w:val="24"/>
        </w:rPr>
        <w:t xml:space="preserve"> principally governed by the </w:t>
      </w:r>
      <w:r w:rsidR="002C6C10" w:rsidRPr="00785E44">
        <w:rPr>
          <w:rFonts w:ascii="Arial" w:hAnsi="Arial" w:cs="Arial"/>
          <w:sz w:val="24"/>
          <w:szCs w:val="24"/>
        </w:rPr>
        <w:t xml:space="preserve">U.S. </w:t>
      </w:r>
      <w:r w:rsidR="00432F0E" w:rsidRPr="00785E44">
        <w:rPr>
          <w:rFonts w:ascii="Arial" w:hAnsi="Arial" w:cs="Arial"/>
          <w:sz w:val="24"/>
          <w:szCs w:val="24"/>
        </w:rPr>
        <w:t>EPA</w:t>
      </w:r>
      <w:r w:rsidRPr="00785E44">
        <w:rPr>
          <w:rFonts w:ascii="Arial" w:hAnsi="Arial" w:cs="Arial"/>
          <w:sz w:val="24"/>
          <w:szCs w:val="24"/>
        </w:rPr>
        <w:t xml:space="preserve">, Georgia </w:t>
      </w:r>
      <w:r w:rsidR="00432F0E" w:rsidRPr="00785E44">
        <w:rPr>
          <w:rFonts w:ascii="Arial" w:hAnsi="Arial" w:cs="Arial"/>
          <w:sz w:val="24"/>
          <w:szCs w:val="24"/>
        </w:rPr>
        <w:t>EPD</w:t>
      </w:r>
      <w:r w:rsidRPr="00785E44">
        <w:rPr>
          <w:rFonts w:ascii="Arial" w:hAnsi="Arial" w:cs="Arial"/>
          <w:sz w:val="24"/>
          <w:szCs w:val="24"/>
        </w:rPr>
        <w:t>, and other state and local authorities.</w:t>
      </w:r>
      <w:r w:rsidR="00D94100" w:rsidRPr="00785E44">
        <w:rPr>
          <w:rFonts w:ascii="Arial" w:hAnsi="Arial" w:cs="Arial"/>
          <w:sz w:val="24"/>
          <w:szCs w:val="24"/>
        </w:rPr>
        <w:t xml:space="preserve"> The major environmental laws and regulations impacting Georgia Power</w:t>
      </w:r>
      <w:r w:rsidR="00B928E7" w:rsidRPr="00785E44">
        <w:rPr>
          <w:rFonts w:ascii="Arial" w:hAnsi="Arial" w:cs="Arial"/>
          <w:sz w:val="24"/>
          <w:szCs w:val="24"/>
        </w:rPr>
        <w:t>, including any recent legislative, regulatory, or judicial developments,</w:t>
      </w:r>
      <w:r w:rsidR="00D94100" w:rsidRPr="00785E44">
        <w:rPr>
          <w:rFonts w:ascii="Arial" w:hAnsi="Arial" w:cs="Arial"/>
          <w:sz w:val="24"/>
          <w:szCs w:val="24"/>
        </w:rPr>
        <w:t xml:space="preserve"> are detailed in this section.  </w:t>
      </w:r>
    </w:p>
    <w:p w14:paraId="12916FD4" w14:textId="77777777" w:rsidR="009F7A41" w:rsidRPr="00DB7156" w:rsidRDefault="009F7A41" w:rsidP="00DB7156">
      <w:pPr>
        <w:spacing w:after="0" w:line="240" w:lineRule="auto"/>
        <w:jc w:val="both"/>
        <w:rPr>
          <w:rFonts w:ascii="Arial" w:hAnsi="Arial" w:cs="Arial"/>
          <w:b/>
          <w:color w:val="000080"/>
          <w:sz w:val="24"/>
          <w:szCs w:val="24"/>
        </w:rPr>
      </w:pPr>
    </w:p>
    <w:p w14:paraId="22BA4EE3" w14:textId="77777777"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31" w:name="_Toc496107740"/>
      <w:bookmarkStart w:id="32" w:name="_Toc527987328"/>
      <w:bookmarkStart w:id="33" w:name="_Toc527983875"/>
      <w:bookmarkStart w:id="34" w:name="_Toc530487258"/>
      <w:bookmarkStart w:id="35" w:name="_Toc535908126"/>
      <w:r w:rsidRPr="00DB7156">
        <w:rPr>
          <w:rFonts w:ascii="Arial" w:hAnsi="Arial" w:cs="Arial"/>
          <w:b/>
          <w:bCs/>
          <w:color w:val="000080"/>
          <w:sz w:val="24"/>
          <w:szCs w:val="24"/>
        </w:rPr>
        <w:t>2.1</w:t>
      </w:r>
      <w:r w:rsidRPr="00DB7156">
        <w:rPr>
          <w:rFonts w:ascii="Arial" w:hAnsi="Arial" w:cs="Arial"/>
          <w:b/>
          <w:bCs/>
          <w:color w:val="000080"/>
          <w:sz w:val="24"/>
          <w:szCs w:val="24"/>
        </w:rPr>
        <w:tab/>
        <w:t>Major U.S. Environmental Laws</w:t>
      </w:r>
      <w:bookmarkEnd w:id="31"/>
      <w:bookmarkEnd w:id="32"/>
      <w:bookmarkEnd w:id="33"/>
      <w:bookmarkEnd w:id="34"/>
      <w:bookmarkEnd w:id="35"/>
    </w:p>
    <w:p w14:paraId="4268C449" w14:textId="4CDDC580" w:rsidR="009F7A41" w:rsidRPr="00DB7156" w:rsidRDefault="009F7A41" w:rsidP="00DB7156">
      <w:pPr>
        <w:spacing w:after="0" w:line="240" w:lineRule="auto"/>
        <w:jc w:val="both"/>
        <w:rPr>
          <w:rFonts w:ascii="Arial" w:hAnsi="Arial" w:cs="Arial"/>
          <w:b/>
          <w:color w:val="000080"/>
          <w:sz w:val="24"/>
          <w:szCs w:val="24"/>
        </w:rPr>
      </w:pPr>
    </w:p>
    <w:p w14:paraId="22BA4EE5" w14:textId="6E65EEC1" w:rsidR="00FC67F9" w:rsidRPr="00DB7156" w:rsidRDefault="00FC67F9" w:rsidP="00DB7156">
      <w:pPr>
        <w:spacing w:after="0" w:line="240" w:lineRule="auto"/>
        <w:jc w:val="both"/>
        <w:rPr>
          <w:rFonts w:ascii="Arial" w:hAnsi="Arial" w:cs="Arial"/>
          <w:b/>
          <w:sz w:val="24"/>
          <w:szCs w:val="24"/>
        </w:rPr>
      </w:pPr>
      <w:r w:rsidRPr="00DB7156">
        <w:rPr>
          <w:rFonts w:ascii="Arial" w:hAnsi="Arial" w:cs="Arial"/>
          <w:b/>
          <w:color w:val="000080"/>
          <w:sz w:val="24"/>
          <w:szCs w:val="24"/>
        </w:rPr>
        <w:t>Clean Air Act</w:t>
      </w:r>
      <w:r w:rsidRPr="00DB7156">
        <w:rPr>
          <w:rFonts w:ascii="Arial" w:hAnsi="Arial" w:cs="Arial"/>
          <w:b/>
          <w:sz w:val="24"/>
          <w:szCs w:val="24"/>
        </w:rPr>
        <w:t xml:space="preserve"> </w:t>
      </w:r>
    </w:p>
    <w:p w14:paraId="22BA4EE6" w14:textId="6CCD2BD1"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 xml:space="preserve">The portions of the </w:t>
      </w:r>
      <w:r w:rsidR="00345E8F">
        <w:rPr>
          <w:rFonts w:ascii="Arial" w:hAnsi="Arial" w:cs="Arial"/>
          <w:sz w:val="24"/>
          <w:szCs w:val="24"/>
        </w:rPr>
        <w:t>CAA</w:t>
      </w:r>
      <w:r w:rsidR="001A3E76" w:rsidRPr="00DB7156">
        <w:rPr>
          <w:rFonts w:ascii="Arial" w:hAnsi="Arial" w:cs="Arial"/>
          <w:sz w:val="24"/>
          <w:szCs w:val="24"/>
        </w:rPr>
        <w:t xml:space="preserve"> and the </w:t>
      </w:r>
      <w:r w:rsidRPr="00DB7156">
        <w:rPr>
          <w:rFonts w:ascii="Arial" w:hAnsi="Arial" w:cs="Arial"/>
          <w:sz w:val="24"/>
          <w:szCs w:val="24"/>
        </w:rPr>
        <w:t xml:space="preserve">1990 </w:t>
      </w:r>
      <w:r w:rsidR="00345E8F">
        <w:rPr>
          <w:rFonts w:ascii="Arial" w:hAnsi="Arial" w:cs="Arial"/>
          <w:sz w:val="24"/>
          <w:szCs w:val="24"/>
        </w:rPr>
        <w:t>CAAA</w:t>
      </w:r>
      <w:r w:rsidRPr="00DB7156">
        <w:rPr>
          <w:rFonts w:ascii="Arial" w:hAnsi="Arial" w:cs="Arial"/>
          <w:sz w:val="24"/>
          <w:szCs w:val="24"/>
        </w:rPr>
        <w:t xml:space="preserve"> that impact the electric utility industry most directly are:</w:t>
      </w:r>
    </w:p>
    <w:p w14:paraId="22BA4EE7" w14:textId="77777777" w:rsidR="00E433DE" w:rsidRPr="00DB7156" w:rsidRDefault="00E433DE" w:rsidP="00DB7156">
      <w:pPr>
        <w:spacing w:after="0" w:line="240" w:lineRule="auto"/>
        <w:ind w:left="765"/>
        <w:jc w:val="both"/>
        <w:rPr>
          <w:rFonts w:ascii="Arial" w:hAnsi="Arial" w:cs="Arial"/>
          <w:sz w:val="24"/>
          <w:szCs w:val="24"/>
        </w:rPr>
      </w:pPr>
    </w:p>
    <w:p w14:paraId="22BA4EE8" w14:textId="62905F86" w:rsidR="00FC67F9" w:rsidRPr="00DB7156" w:rsidRDefault="00FC67F9" w:rsidP="00DB7156">
      <w:pPr>
        <w:numPr>
          <w:ilvl w:val="0"/>
          <w:numId w:val="13"/>
        </w:numPr>
        <w:spacing w:after="0" w:line="240" w:lineRule="auto"/>
        <w:jc w:val="both"/>
        <w:rPr>
          <w:rFonts w:ascii="Arial" w:hAnsi="Arial" w:cs="Arial"/>
          <w:sz w:val="24"/>
          <w:szCs w:val="24"/>
        </w:rPr>
      </w:pPr>
      <w:r w:rsidRPr="00DB7156">
        <w:rPr>
          <w:rFonts w:ascii="Arial" w:hAnsi="Arial" w:cs="Arial"/>
          <w:sz w:val="24"/>
          <w:szCs w:val="24"/>
        </w:rPr>
        <w:t xml:space="preserve">Title I, </w:t>
      </w:r>
      <w:r w:rsidR="00112CD5">
        <w:rPr>
          <w:rFonts w:ascii="Arial" w:hAnsi="Arial" w:cs="Arial"/>
          <w:sz w:val="24"/>
          <w:szCs w:val="24"/>
        </w:rPr>
        <w:t>NAAQS</w:t>
      </w:r>
    </w:p>
    <w:p w14:paraId="22BA4EE9" w14:textId="77777777" w:rsidR="00FC67F9" w:rsidRPr="00DB7156" w:rsidRDefault="00FC67F9" w:rsidP="00DB7156">
      <w:pPr>
        <w:numPr>
          <w:ilvl w:val="0"/>
          <w:numId w:val="13"/>
        </w:numPr>
        <w:spacing w:after="0" w:line="240" w:lineRule="auto"/>
        <w:jc w:val="both"/>
        <w:rPr>
          <w:rFonts w:ascii="Arial" w:hAnsi="Arial" w:cs="Arial"/>
          <w:sz w:val="24"/>
          <w:szCs w:val="24"/>
        </w:rPr>
      </w:pPr>
      <w:r w:rsidRPr="00DB7156">
        <w:rPr>
          <w:rFonts w:ascii="Arial" w:hAnsi="Arial" w:cs="Arial"/>
          <w:sz w:val="24"/>
          <w:szCs w:val="24"/>
        </w:rPr>
        <w:t>Title III, Air Toxics</w:t>
      </w:r>
    </w:p>
    <w:p w14:paraId="22BA4EEA" w14:textId="77777777" w:rsidR="00FC67F9" w:rsidRPr="00DB7156" w:rsidRDefault="00FC67F9" w:rsidP="00DB7156">
      <w:pPr>
        <w:numPr>
          <w:ilvl w:val="0"/>
          <w:numId w:val="13"/>
        </w:numPr>
        <w:spacing w:after="0" w:line="240" w:lineRule="auto"/>
        <w:jc w:val="both"/>
        <w:rPr>
          <w:rFonts w:ascii="Arial" w:hAnsi="Arial" w:cs="Arial"/>
          <w:sz w:val="24"/>
          <w:szCs w:val="24"/>
        </w:rPr>
      </w:pPr>
      <w:r w:rsidRPr="00DB7156">
        <w:rPr>
          <w:rFonts w:ascii="Arial" w:hAnsi="Arial" w:cs="Arial"/>
          <w:sz w:val="24"/>
          <w:szCs w:val="24"/>
        </w:rPr>
        <w:t>Title IV, Acid Rain</w:t>
      </w:r>
    </w:p>
    <w:p w14:paraId="22BA4EEB" w14:textId="08734B2B" w:rsidR="00FC67F9" w:rsidRPr="00DB7156" w:rsidRDefault="00FC67F9" w:rsidP="00DB7156">
      <w:pPr>
        <w:numPr>
          <w:ilvl w:val="0"/>
          <w:numId w:val="13"/>
        </w:numPr>
        <w:spacing w:after="0" w:line="240" w:lineRule="auto"/>
        <w:jc w:val="both"/>
        <w:rPr>
          <w:rFonts w:ascii="Arial" w:hAnsi="Arial" w:cs="Arial"/>
          <w:sz w:val="24"/>
          <w:szCs w:val="24"/>
        </w:rPr>
      </w:pPr>
      <w:r w:rsidRPr="00DB7156">
        <w:rPr>
          <w:rFonts w:ascii="Arial" w:hAnsi="Arial" w:cs="Arial"/>
          <w:sz w:val="24"/>
          <w:szCs w:val="24"/>
        </w:rPr>
        <w:t xml:space="preserve">Title </w:t>
      </w:r>
      <w:r w:rsidR="00365F31" w:rsidRPr="00DB7156">
        <w:rPr>
          <w:rFonts w:ascii="Arial" w:hAnsi="Arial" w:cs="Arial"/>
          <w:sz w:val="24"/>
          <w:szCs w:val="24"/>
        </w:rPr>
        <w:t>V, Permits</w:t>
      </w:r>
    </w:p>
    <w:p w14:paraId="22BA4EEC" w14:textId="77777777" w:rsidR="00FC67F9" w:rsidRPr="00DB7156" w:rsidRDefault="00FC67F9" w:rsidP="00DB7156">
      <w:pPr>
        <w:spacing w:after="0" w:line="240" w:lineRule="auto"/>
        <w:jc w:val="both"/>
        <w:rPr>
          <w:rFonts w:ascii="Arial" w:hAnsi="Arial" w:cs="Arial"/>
          <w:sz w:val="24"/>
          <w:szCs w:val="24"/>
        </w:rPr>
      </w:pPr>
    </w:p>
    <w:p w14:paraId="22BA4EED" w14:textId="46482562"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 xml:space="preserve">The </w:t>
      </w:r>
      <w:r w:rsidR="00432F0E" w:rsidRPr="00DB7156">
        <w:rPr>
          <w:rFonts w:ascii="Arial" w:hAnsi="Arial" w:cs="Arial"/>
          <w:sz w:val="24"/>
          <w:szCs w:val="24"/>
        </w:rPr>
        <w:t xml:space="preserve">core </w:t>
      </w:r>
      <w:r w:rsidRPr="00DB7156">
        <w:rPr>
          <w:rFonts w:ascii="Arial" w:hAnsi="Arial" w:cs="Arial"/>
          <w:sz w:val="24"/>
          <w:szCs w:val="24"/>
        </w:rPr>
        <w:t xml:space="preserve">of the CAA is the </w:t>
      </w:r>
      <w:r w:rsidR="00F85ADB" w:rsidRPr="00DB7156">
        <w:rPr>
          <w:rFonts w:ascii="Arial" w:hAnsi="Arial" w:cs="Arial"/>
          <w:sz w:val="24"/>
          <w:szCs w:val="24"/>
        </w:rPr>
        <w:t>NAAQS</w:t>
      </w:r>
      <w:r w:rsidRPr="00DB7156">
        <w:rPr>
          <w:rFonts w:ascii="Arial" w:hAnsi="Arial" w:cs="Arial"/>
          <w:sz w:val="24"/>
          <w:szCs w:val="24"/>
        </w:rPr>
        <w:t xml:space="preserve">. The </w:t>
      </w:r>
      <w:r w:rsidR="003F2B7C" w:rsidRPr="00DB7156">
        <w:rPr>
          <w:rFonts w:ascii="Arial" w:hAnsi="Arial" w:cs="Arial"/>
          <w:sz w:val="24"/>
          <w:szCs w:val="24"/>
        </w:rPr>
        <w:t xml:space="preserve">CAA </w:t>
      </w:r>
      <w:r w:rsidRPr="00DB7156">
        <w:rPr>
          <w:rFonts w:ascii="Arial" w:hAnsi="Arial" w:cs="Arial"/>
          <w:sz w:val="24"/>
          <w:szCs w:val="24"/>
        </w:rPr>
        <w:t xml:space="preserve">requires that the EPA determine what level of six specific pollutants (ozone, </w:t>
      </w:r>
      <w:r w:rsidR="00432F0E" w:rsidRPr="00DB7156">
        <w:rPr>
          <w:rFonts w:ascii="Arial" w:hAnsi="Arial" w:cs="Arial"/>
          <w:sz w:val="24"/>
          <w:szCs w:val="24"/>
        </w:rPr>
        <w:t>PM</w:t>
      </w:r>
      <w:r w:rsidRPr="00DB7156">
        <w:rPr>
          <w:rFonts w:ascii="Arial" w:hAnsi="Arial" w:cs="Arial"/>
          <w:sz w:val="24"/>
          <w:szCs w:val="24"/>
        </w:rPr>
        <w:t xml:space="preserve">, </w:t>
      </w:r>
      <w:r w:rsidR="00432F0E" w:rsidRPr="00DB7156">
        <w:rPr>
          <w:rFonts w:ascii="Arial" w:hAnsi="Arial" w:cs="Arial"/>
          <w:sz w:val="24"/>
          <w:szCs w:val="24"/>
        </w:rPr>
        <w:t>SO</w:t>
      </w:r>
      <w:r w:rsidR="00432F0E" w:rsidRPr="00DB7156">
        <w:rPr>
          <w:rFonts w:ascii="Arial" w:hAnsi="Arial" w:cs="Arial"/>
          <w:sz w:val="24"/>
          <w:szCs w:val="24"/>
          <w:vertAlign w:val="subscript"/>
        </w:rPr>
        <w:t>2</w:t>
      </w:r>
      <w:r w:rsidRPr="00DB7156">
        <w:rPr>
          <w:rFonts w:ascii="Arial" w:hAnsi="Arial" w:cs="Arial"/>
          <w:sz w:val="24"/>
          <w:szCs w:val="24"/>
        </w:rPr>
        <w:t>, lead, carbon monoxide</w:t>
      </w:r>
      <w:r w:rsidR="00432F0E" w:rsidRPr="00DB7156">
        <w:rPr>
          <w:rFonts w:ascii="Arial" w:hAnsi="Arial" w:cs="Arial"/>
          <w:sz w:val="24"/>
          <w:szCs w:val="24"/>
        </w:rPr>
        <w:t xml:space="preserve"> (</w:t>
      </w:r>
      <w:r w:rsidR="0058129C">
        <w:rPr>
          <w:rFonts w:ascii="Arial" w:hAnsi="Arial" w:cs="Arial"/>
          <w:sz w:val="24"/>
          <w:szCs w:val="24"/>
        </w:rPr>
        <w:t>“</w:t>
      </w:r>
      <w:r w:rsidR="00432F0E" w:rsidRPr="00DB7156">
        <w:rPr>
          <w:rFonts w:ascii="Arial" w:hAnsi="Arial" w:cs="Arial"/>
          <w:sz w:val="24"/>
          <w:szCs w:val="24"/>
        </w:rPr>
        <w:t>CO</w:t>
      </w:r>
      <w:r w:rsidR="0058129C">
        <w:rPr>
          <w:rFonts w:ascii="Arial" w:hAnsi="Arial" w:cs="Arial"/>
          <w:sz w:val="24"/>
          <w:szCs w:val="24"/>
        </w:rPr>
        <w:t>”</w:t>
      </w:r>
      <w:r w:rsidR="00432F0E" w:rsidRPr="00DB7156">
        <w:rPr>
          <w:rFonts w:ascii="Arial" w:hAnsi="Arial" w:cs="Arial"/>
          <w:sz w:val="24"/>
          <w:szCs w:val="24"/>
        </w:rPr>
        <w:t>)</w:t>
      </w:r>
      <w:r w:rsidRPr="00DB7156">
        <w:rPr>
          <w:rFonts w:ascii="Arial" w:hAnsi="Arial" w:cs="Arial"/>
          <w:sz w:val="24"/>
          <w:szCs w:val="24"/>
        </w:rPr>
        <w:t xml:space="preserve">, and </w:t>
      </w:r>
      <w:r w:rsidR="00432F0E" w:rsidRPr="00DB7156">
        <w:rPr>
          <w:rFonts w:ascii="Arial" w:hAnsi="Arial" w:cs="Arial"/>
          <w:sz w:val="24"/>
          <w:szCs w:val="24"/>
        </w:rPr>
        <w:t>NOx</w:t>
      </w:r>
      <w:r w:rsidRPr="00DB7156">
        <w:rPr>
          <w:rFonts w:ascii="Arial" w:hAnsi="Arial" w:cs="Arial"/>
          <w:sz w:val="24"/>
          <w:szCs w:val="24"/>
        </w:rPr>
        <w:t>) in the ambient air is protective of human health with a margin of safety. Areas of the country where levels of these pollutants exceed the NAAQS are known as nonattainment areas. States must dev</w:t>
      </w:r>
      <w:r w:rsidR="0058129C">
        <w:rPr>
          <w:rFonts w:ascii="Arial" w:hAnsi="Arial" w:cs="Arial"/>
          <w:sz w:val="24"/>
          <w:szCs w:val="24"/>
        </w:rPr>
        <w:t xml:space="preserve">elop </w:t>
      </w:r>
      <w:r w:rsidR="00432F0E" w:rsidRPr="00DB7156">
        <w:rPr>
          <w:rFonts w:ascii="Arial" w:hAnsi="Arial" w:cs="Arial"/>
          <w:sz w:val="24"/>
          <w:szCs w:val="24"/>
        </w:rPr>
        <w:t xml:space="preserve">SIPs </w:t>
      </w:r>
      <w:r w:rsidRPr="00DB7156">
        <w:rPr>
          <w:rFonts w:ascii="Arial" w:hAnsi="Arial" w:cs="Arial"/>
          <w:sz w:val="24"/>
          <w:szCs w:val="24"/>
        </w:rPr>
        <w:t>with control strategies designed to bring these areas into attainment. EPA is required to review the NAAQS every five years, update them if necessary</w:t>
      </w:r>
      <w:r w:rsidR="0094570F">
        <w:rPr>
          <w:rFonts w:ascii="Arial" w:hAnsi="Arial" w:cs="Arial"/>
          <w:sz w:val="24"/>
          <w:szCs w:val="24"/>
        </w:rPr>
        <w:t xml:space="preserve"> and is authorized to </w:t>
      </w:r>
      <w:r w:rsidRPr="00DB7156">
        <w:rPr>
          <w:rFonts w:ascii="Arial" w:hAnsi="Arial" w:cs="Arial"/>
          <w:sz w:val="24"/>
          <w:szCs w:val="24"/>
        </w:rPr>
        <w:t xml:space="preserve">issue regulations necessary to prevent emissions in one or more states from contributing to nonattainment in other states. EPA has </w:t>
      </w:r>
      <w:r w:rsidR="00891F3B" w:rsidRPr="00DB7156">
        <w:rPr>
          <w:rFonts w:ascii="Arial" w:hAnsi="Arial" w:cs="Arial"/>
          <w:sz w:val="24"/>
          <w:szCs w:val="24"/>
        </w:rPr>
        <w:t xml:space="preserve">implemented </w:t>
      </w:r>
      <w:r w:rsidR="00041213" w:rsidRPr="00DB7156">
        <w:rPr>
          <w:rFonts w:ascii="Arial" w:hAnsi="Arial" w:cs="Arial"/>
          <w:sz w:val="24"/>
          <w:szCs w:val="24"/>
        </w:rPr>
        <w:t xml:space="preserve">four </w:t>
      </w:r>
      <w:r w:rsidR="00891F3B" w:rsidRPr="00DB7156">
        <w:rPr>
          <w:rFonts w:ascii="Arial" w:hAnsi="Arial" w:cs="Arial"/>
          <w:sz w:val="24"/>
          <w:szCs w:val="24"/>
        </w:rPr>
        <w:t>programs</w:t>
      </w:r>
      <w:r w:rsidRPr="00DB7156">
        <w:rPr>
          <w:rFonts w:ascii="Arial" w:hAnsi="Arial" w:cs="Arial"/>
          <w:sz w:val="24"/>
          <w:szCs w:val="24"/>
        </w:rPr>
        <w:t xml:space="preserve"> for </w:t>
      </w:r>
      <w:r w:rsidR="00EC35B8" w:rsidRPr="00DB7156">
        <w:rPr>
          <w:rFonts w:ascii="Arial" w:hAnsi="Arial" w:cs="Arial"/>
          <w:sz w:val="24"/>
          <w:szCs w:val="24"/>
        </w:rPr>
        <w:t>managing interstate</w:t>
      </w:r>
      <w:r w:rsidR="00891F3B" w:rsidRPr="00DB7156">
        <w:rPr>
          <w:rFonts w:ascii="Arial" w:hAnsi="Arial" w:cs="Arial"/>
          <w:sz w:val="24"/>
          <w:szCs w:val="24"/>
        </w:rPr>
        <w:t xml:space="preserve"> impacts on</w:t>
      </w:r>
      <w:r w:rsidR="00EC35B8" w:rsidRPr="00DB7156">
        <w:rPr>
          <w:rFonts w:ascii="Arial" w:hAnsi="Arial" w:cs="Arial"/>
          <w:sz w:val="24"/>
          <w:szCs w:val="24"/>
        </w:rPr>
        <w:t xml:space="preserve"> nonattainment that have been </w:t>
      </w:r>
      <w:r w:rsidRPr="00DB7156">
        <w:rPr>
          <w:rFonts w:ascii="Arial" w:hAnsi="Arial" w:cs="Arial"/>
          <w:sz w:val="24"/>
          <w:szCs w:val="24"/>
        </w:rPr>
        <w:t xml:space="preserve">applicable to </w:t>
      </w:r>
      <w:r w:rsidR="004E24A9" w:rsidRPr="00DB7156">
        <w:rPr>
          <w:rFonts w:ascii="Arial" w:hAnsi="Arial" w:cs="Arial"/>
          <w:sz w:val="24"/>
          <w:szCs w:val="24"/>
        </w:rPr>
        <w:t xml:space="preserve">Georgia Power </w:t>
      </w:r>
      <w:r w:rsidRPr="00DB7156">
        <w:rPr>
          <w:rFonts w:ascii="Arial" w:hAnsi="Arial" w:cs="Arial"/>
          <w:sz w:val="24"/>
          <w:szCs w:val="24"/>
        </w:rPr>
        <w:t>units – the NO</w:t>
      </w:r>
      <w:r w:rsidRPr="00DB7156">
        <w:rPr>
          <w:rFonts w:ascii="Arial" w:hAnsi="Arial" w:cs="Arial"/>
          <w:sz w:val="24"/>
          <w:szCs w:val="24"/>
          <w:vertAlign w:val="subscript"/>
        </w:rPr>
        <w:t>x</w:t>
      </w:r>
      <w:r w:rsidRPr="00DB7156">
        <w:rPr>
          <w:rFonts w:ascii="Arial" w:hAnsi="Arial" w:cs="Arial"/>
          <w:sz w:val="24"/>
          <w:szCs w:val="24"/>
        </w:rPr>
        <w:t xml:space="preserve"> Budget Trading </w:t>
      </w:r>
      <w:r w:rsidR="00891F3B" w:rsidRPr="00DB7156">
        <w:rPr>
          <w:rFonts w:ascii="Arial" w:hAnsi="Arial" w:cs="Arial"/>
          <w:sz w:val="24"/>
          <w:szCs w:val="24"/>
        </w:rPr>
        <w:t xml:space="preserve">Program </w:t>
      </w:r>
      <w:r w:rsidRPr="00DB7156">
        <w:rPr>
          <w:rFonts w:ascii="Arial" w:hAnsi="Arial" w:cs="Arial"/>
          <w:sz w:val="24"/>
          <w:szCs w:val="24"/>
        </w:rPr>
        <w:t>(NO</w:t>
      </w:r>
      <w:r w:rsidRPr="00DB7156">
        <w:rPr>
          <w:rFonts w:ascii="Arial" w:hAnsi="Arial" w:cs="Arial"/>
          <w:sz w:val="24"/>
          <w:szCs w:val="24"/>
          <w:vertAlign w:val="subscript"/>
        </w:rPr>
        <w:t>x</w:t>
      </w:r>
      <w:r w:rsidRPr="00DB7156">
        <w:rPr>
          <w:rFonts w:ascii="Arial" w:hAnsi="Arial" w:cs="Arial"/>
          <w:sz w:val="24"/>
          <w:szCs w:val="24"/>
        </w:rPr>
        <w:t xml:space="preserve"> SIP Call), CAIR, and </w:t>
      </w:r>
      <w:r w:rsidR="00A31851" w:rsidRPr="00DB7156">
        <w:rPr>
          <w:rFonts w:ascii="Arial" w:hAnsi="Arial" w:cs="Arial"/>
          <w:sz w:val="24"/>
          <w:szCs w:val="24"/>
        </w:rPr>
        <w:t xml:space="preserve">CSAPR </w:t>
      </w:r>
      <w:r w:rsidRPr="00DB7156">
        <w:rPr>
          <w:rFonts w:ascii="Arial" w:hAnsi="Arial" w:cs="Arial"/>
          <w:sz w:val="24"/>
          <w:szCs w:val="24"/>
        </w:rPr>
        <w:t>(as a replacement to CAIR)</w:t>
      </w:r>
      <w:r w:rsidR="00EE149B" w:rsidRPr="00DB7156">
        <w:rPr>
          <w:rFonts w:ascii="Arial" w:hAnsi="Arial" w:cs="Arial"/>
          <w:sz w:val="24"/>
          <w:szCs w:val="24"/>
        </w:rPr>
        <w:t xml:space="preserve"> and the CSAPR Update Rule</w:t>
      </w:r>
      <w:r w:rsidR="00397351" w:rsidRPr="00DB7156">
        <w:rPr>
          <w:rFonts w:ascii="Arial" w:hAnsi="Arial" w:cs="Arial"/>
          <w:sz w:val="24"/>
          <w:szCs w:val="24"/>
        </w:rPr>
        <w:t xml:space="preserve">. </w:t>
      </w:r>
    </w:p>
    <w:p w14:paraId="22BA4EEE" w14:textId="77777777" w:rsidR="00FC67F9" w:rsidRPr="00DB7156" w:rsidRDefault="00FC67F9" w:rsidP="00DB7156">
      <w:pPr>
        <w:spacing w:after="0" w:line="240" w:lineRule="auto"/>
        <w:jc w:val="both"/>
        <w:rPr>
          <w:rFonts w:ascii="Arial" w:hAnsi="Arial" w:cs="Arial"/>
          <w:b/>
          <w:color w:val="000000"/>
          <w:sz w:val="24"/>
          <w:szCs w:val="24"/>
        </w:rPr>
      </w:pPr>
    </w:p>
    <w:p w14:paraId="22BA4EEF" w14:textId="166AE5DF" w:rsidR="00FC67F9" w:rsidRPr="00DB7156" w:rsidRDefault="00FC67F9" w:rsidP="00DB7156">
      <w:pPr>
        <w:tabs>
          <w:tab w:val="left" w:pos="360"/>
        </w:tabs>
        <w:spacing w:after="0" w:line="240" w:lineRule="auto"/>
        <w:ind w:right="240"/>
        <w:jc w:val="both"/>
        <w:rPr>
          <w:rFonts w:ascii="Arial" w:hAnsi="Arial" w:cs="Arial"/>
          <w:color w:val="000000"/>
          <w:sz w:val="24"/>
          <w:szCs w:val="24"/>
        </w:rPr>
      </w:pPr>
      <w:r w:rsidRPr="00DB7156">
        <w:rPr>
          <w:rFonts w:ascii="Arial" w:hAnsi="Arial" w:cs="Arial"/>
          <w:sz w:val="24"/>
          <w:szCs w:val="24"/>
        </w:rPr>
        <w:t>Title III of the CAA</w:t>
      </w:r>
      <w:r w:rsidR="000F032F" w:rsidRPr="00DB7156">
        <w:rPr>
          <w:rFonts w:ascii="Arial" w:hAnsi="Arial" w:cs="Arial"/>
          <w:sz w:val="24"/>
          <w:szCs w:val="24"/>
        </w:rPr>
        <w:t>A</w:t>
      </w:r>
      <w:r w:rsidRPr="00DB7156">
        <w:rPr>
          <w:rFonts w:ascii="Arial" w:hAnsi="Arial" w:cs="Arial"/>
          <w:sz w:val="24"/>
          <w:szCs w:val="24"/>
        </w:rPr>
        <w:t xml:space="preserve"> </w:t>
      </w:r>
      <w:r w:rsidR="00301AB3" w:rsidRPr="00DB7156">
        <w:rPr>
          <w:rFonts w:ascii="Arial" w:hAnsi="Arial" w:cs="Arial"/>
          <w:sz w:val="24"/>
          <w:szCs w:val="24"/>
        </w:rPr>
        <w:t xml:space="preserve">requires </w:t>
      </w:r>
      <w:r w:rsidRPr="00DB7156">
        <w:rPr>
          <w:rFonts w:ascii="Arial" w:hAnsi="Arial" w:cs="Arial"/>
          <w:sz w:val="24"/>
          <w:szCs w:val="24"/>
        </w:rPr>
        <w:t>regulat</w:t>
      </w:r>
      <w:r w:rsidR="00301AB3" w:rsidRPr="00DB7156">
        <w:rPr>
          <w:rFonts w:ascii="Arial" w:hAnsi="Arial" w:cs="Arial"/>
          <w:sz w:val="24"/>
          <w:szCs w:val="24"/>
        </w:rPr>
        <w:t xml:space="preserve">ion of </w:t>
      </w:r>
      <w:r w:rsidR="004D767B" w:rsidRPr="00DB7156">
        <w:rPr>
          <w:rFonts w:ascii="Arial" w:hAnsi="Arial" w:cs="Arial"/>
          <w:sz w:val="24"/>
          <w:szCs w:val="24"/>
        </w:rPr>
        <w:t xml:space="preserve">listed </w:t>
      </w:r>
      <w:r w:rsidRPr="00DB7156">
        <w:rPr>
          <w:rFonts w:ascii="Arial" w:hAnsi="Arial" w:cs="Arial"/>
          <w:sz w:val="24"/>
          <w:szCs w:val="24"/>
        </w:rPr>
        <w:t>Hazardous Air Pollutants (</w:t>
      </w:r>
      <w:r w:rsidR="00112CD5">
        <w:rPr>
          <w:rFonts w:ascii="Arial" w:hAnsi="Arial" w:cs="Arial"/>
          <w:sz w:val="24"/>
          <w:szCs w:val="24"/>
        </w:rPr>
        <w:t>“</w:t>
      </w:r>
      <w:r w:rsidRPr="00DB7156">
        <w:rPr>
          <w:rFonts w:ascii="Arial" w:hAnsi="Arial" w:cs="Arial"/>
          <w:sz w:val="24"/>
          <w:szCs w:val="24"/>
        </w:rPr>
        <w:t>HAPs</w:t>
      </w:r>
      <w:r w:rsidR="00112CD5">
        <w:rPr>
          <w:rFonts w:ascii="Arial" w:hAnsi="Arial" w:cs="Arial"/>
          <w:sz w:val="24"/>
          <w:szCs w:val="24"/>
        </w:rPr>
        <w:t>”</w:t>
      </w:r>
      <w:r w:rsidRPr="00DB7156">
        <w:rPr>
          <w:rFonts w:ascii="Arial" w:hAnsi="Arial" w:cs="Arial"/>
          <w:sz w:val="24"/>
          <w:szCs w:val="24"/>
        </w:rPr>
        <w:t xml:space="preserve">) and requires </w:t>
      </w:r>
      <w:r w:rsidR="00301AB3" w:rsidRPr="00DB7156">
        <w:rPr>
          <w:rFonts w:ascii="Arial" w:hAnsi="Arial" w:cs="Arial"/>
          <w:sz w:val="24"/>
          <w:szCs w:val="24"/>
        </w:rPr>
        <w:t xml:space="preserve">implementation of emission limits equivalent to the </w:t>
      </w:r>
      <w:r w:rsidR="00432F0E" w:rsidRPr="00DB7156">
        <w:rPr>
          <w:rFonts w:ascii="Arial" w:hAnsi="Arial" w:cs="Arial"/>
          <w:sz w:val="24"/>
          <w:szCs w:val="24"/>
        </w:rPr>
        <w:t>MACT</w:t>
      </w:r>
      <w:r w:rsidR="00301AB3" w:rsidRPr="00DB7156">
        <w:rPr>
          <w:rFonts w:ascii="Arial" w:hAnsi="Arial" w:cs="Arial"/>
          <w:sz w:val="24"/>
          <w:szCs w:val="24"/>
        </w:rPr>
        <w:t xml:space="preserve"> for spec</w:t>
      </w:r>
      <w:r w:rsidR="009460CA" w:rsidRPr="00DB7156">
        <w:rPr>
          <w:rFonts w:ascii="Arial" w:hAnsi="Arial" w:cs="Arial"/>
          <w:sz w:val="24"/>
          <w:szCs w:val="24"/>
        </w:rPr>
        <w:t>i</w:t>
      </w:r>
      <w:r w:rsidR="00301AB3" w:rsidRPr="00DB7156">
        <w:rPr>
          <w:rFonts w:ascii="Arial" w:hAnsi="Arial" w:cs="Arial"/>
          <w:sz w:val="24"/>
          <w:szCs w:val="24"/>
        </w:rPr>
        <w:t>fic source categories</w:t>
      </w:r>
      <w:r w:rsidR="006A29FE" w:rsidRPr="00DB7156">
        <w:rPr>
          <w:rFonts w:ascii="Arial" w:hAnsi="Arial" w:cs="Arial"/>
          <w:sz w:val="24"/>
          <w:szCs w:val="24"/>
        </w:rPr>
        <w:t>, as determined by EPA</w:t>
      </w:r>
      <w:r w:rsidRPr="00DB7156">
        <w:rPr>
          <w:rFonts w:ascii="Arial" w:hAnsi="Arial" w:cs="Arial"/>
          <w:sz w:val="24"/>
          <w:szCs w:val="24"/>
        </w:rPr>
        <w:t xml:space="preserve">. </w:t>
      </w:r>
      <w:r w:rsidR="004341CE">
        <w:rPr>
          <w:rFonts w:ascii="Arial" w:hAnsi="Arial" w:cs="Arial"/>
          <w:sz w:val="24"/>
          <w:szCs w:val="24"/>
        </w:rPr>
        <w:t>Many different MACT R</w:t>
      </w:r>
      <w:r w:rsidR="00301AB3" w:rsidRPr="00DB7156">
        <w:rPr>
          <w:rFonts w:ascii="Arial" w:hAnsi="Arial" w:cs="Arial"/>
          <w:sz w:val="24"/>
          <w:szCs w:val="24"/>
        </w:rPr>
        <w:t xml:space="preserve">ules affect </w:t>
      </w:r>
      <w:r w:rsidR="00112CD5">
        <w:rPr>
          <w:rFonts w:ascii="Arial" w:hAnsi="Arial" w:cs="Arial"/>
          <w:sz w:val="24"/>
          <w:szCs w:val="24"/>
        </w:rPr>
        <w:t>Georgia Power</w:t>
      </w:r>
      <w:r w:rsidR="00301AB3" w:rsidRPr="00DB7156">
        <w:rPr>
          <w:rFonts w:ascii="Arial" w:hAnsi="Arial" w:cs="Arial"/>
          <w:sz w:val="24"/>
          <w:szCs w:val="24"/>
        </w:rPr>
        <w:t xml:space="preserve">, including, notably, the final </w:t>
      </w:r>
      <w:r w:rsidR="00CA6E92" w:rsidRPr="00DB7156">
        <w:rPr>
          <w:rFonts w:ascii="Arial" w:hAnsi="Arial" w:cs="Arial"/>
          <w:sz w:val="24"/>
          <w:szCs w:val="24"/>
        </w:rPr>
        <w:t>MATS Rule</w:t>
      </w:r>
      <w:r w:rsidR="00112CD5">
        <w:rPr>
          <w:rFonts w:ascii="Arial" w:hAnsi="Arial" w:cs="Arial"/>
          <w:sz w:val="24"/>
          <w:szCs w:val="24"/>
        </w:rPr>
        <w:t xml:space="preserve">. </w:t>
      </w:r>
      <w:r w:rsidR="00301AB3" w:rsidRPr="00DB7156">
        <w:rPr>
          <w:rFonts w:ascii="Arial" w:hAnsi="Arial" w:cs="Arial"/>
          <w:sz w:val="24"/>
          <w:szCs w:val="24"/>
        </w:rPr>
        <w:t>Once in place, MACT standards are to be reviewed by EPA every eight years.</w:t>
      </w:r>
    </w:p>
    <w:p w14:paraId="22BA4EF0" w14:textId="77777777" w:rsidR="00D277EA" w:rsidRPr="00DB7156" w:rsidRDefault="00D277EA" w:rsidP="00DB7156">
      <w:pPr>
        <w:spacing w:after="0" w:line="240" w:lineRule="auto"/>
        <w:jc w:val="both"/>
        <w:rPr>
          <w:rFonts w:ascii="Arial" w:hAnsi="Arial" w:cs="Arial"/>
          <w:sz w:val="24"/>
          <w:szCs w:val="24"/>
        </w:rPr>
      </w:pPr>
    </w:p>
    <w:p w14:paraId="22BA4EF1" w14:textId="67B18EFC" w:rsidR="00B60CA0" w:rsidRPr="00DB7156" w:rsidRDefault="00FC67F9" w:rsidP="00DB7156">
      <w:pPr>
        <w:spacing w:after="0" w:line="240" w:lineRule="auto"/>
        <w:jc w:val="both"/>
        <w:rPr>
          <w:rFonts w:ascii="Arial" w:hAnsi="Arial" w:cs="Arial"/>
          <w:color w:val="000000"/>
          <w:sz w:val="24"/>
          <w:szCs w:val="24"/>
        </w:rPr>
      </w:pPr>
      <w:r w:rsidRPr="00DB7156">
        <w:rPr>
          <w:rFonts w:ascii="Arial" w:hAnsi="Arial" w:cs="Arial"/>
          <w:sz w:val="24"/>
          <w:szCs w:val="24"/>
        </w:rPr>
        <w:t xml:space="preserve">The </w:t>
      </w:r>
      <w:r w:rsidR="00432F0E" w:rsidRPr="00DB7156">
        <w:rPr>
          <w:rFonts w:ascii="Arial" w:hAnsi="Arial" w:cs="Arial"/>
          <w:sz w:val="24"/>
          <w:szCs w:val="24"/>
        </w:rPr>
        <w:t>CAAA</w:t>
      </w:r>
      <w:r w:rsidRPr="00DB7156">
        <w:rPr>
          <w:rFonts w:ascii="Arial" w:hAnsi="Arial" w:cs="Arial"/>
          <w:sz w:val="24"/>
          <w:szCs w:val="24"/>
        </w:rPr>
        <w:t xml:space="preserve"> </w:t>
      </w:r>
      <w:r w:rsidR="00B60CA0" w:rsidRPr="00DB7156">
        <w:rPr>
          <w:rFonts w:ascii="Arial" w:hAnsi="Arial" w:cs="Arial"/>
          <w:sz w:val="24"/>
          <w:szCs w:val="24"/>
        </w:rPr>
        <w:t xml:space="preserve">also </w:t>
      </w:r>
      <w:r w:rsidRPr="00DB7156">
        <w:rPr>
          <w:rFonts w:ascii="Arial" w:hAnsi="Arial" w:cs="Arial"/>
          <w:sz w:val="24"/>
          <w:szCs w:val="24"/>
        </w:rPr>
        <w:t>added the Acid Rain Program (Title IV). This program require</w:t>
      </w:r>
      <w:r w:rsidR="00432F0E" w:rsidRPr="00DB7156">
        <w:rPr>
          <w:rFonts w:ascii="Arial" w:hAnsi="Arial" w:cs="Arial"/>
          <w:sz w:val="24"/>
          <w:szCs w:val="24"/>
        </w:rPr>
        <w:t>s</w:t>
      </w:r>
      <w:r w:rsidRPr="00DB7156">
        <w:rPr>
          <w:rFonts w:ascii="Arial" w:hAnsi="Arial" w:cs="Arial"/>
          <w:sz w:val="24"/>
          <w:szCs w:val="24"/>
        </w:rPr>
        <w:t xml:space="preserve"> reductions of </w:t>
      </w:r>
      <w:r w:rsidR="00432F0E" w:rsidRPr="00DB7156">
        <w:rPr>
          <w:rFonts w:ascii="Arial" w:hAnsi="Arial" w:cs="Arial"/>
          <w:sz w:val="24"/>
          <w:szCs w:val="24"/>
        </w:rPr>
        <w:t>SO</w:t>
      </w:r>
      <w:r w:rsidR="00432F0E" w:rsidRPr="00DB7156">
        <w:rPr>
          <w:rFonts w:ascii="Arial" w:hAnsi="Arial" w:cs="Arial"/>
          <w:sz w:val="24"/>
          <w:szCs w:val="24"/>
          <w:vertAlign w:val="subscript"/>
        </w:rPr>
        <w:t>2</w:t>
      </w:r>
      <w:r w:rsidRPr="00DB7156">
        <w:rPr>
          <w:rFonts w:ascii="Arial" w:hAnsi="Arial" w:cs="Arial"/>
          <w:sz w:val="24"/>
          <w:szCs w:val="24"/>
        </w:rPr>
        <w:t xml:space="preserve"> and </w:t>
      </w:r>
      <w:r w:rsidR="00432F0E" w:rsidRPr="00DB7156">
        <w:rPr>
          <w:rFonts w:ascii="Arial" w:hAnsi="Arial" w:cs="Arial"/>
          <w:sz w:val="24"/>
          <w:szCs w:val="24"/>
        </w:rPr>
        <w:t>NOx</w:t>
      </w:r>
      <w:r w:rsidRPr="00DB7156">
        <w:rPr>
          <w:rFonts w:ascii="Arial" w:hAnsi="Arial" w:cs="Arial"/>
          <w:sz w:val="24"/>
          <w:szCs w:val="24"/>
        </w:rPr>
        <w:t xml:space="preserve"> </w:t>
      </w:r>
      <w:r w:rsidR="00432F0E" w:rsidRPr="00DB7156">
        <w:rPr>
          <w:rFonts w:ascii="Arial" w:hAnsi="Arial" w:cs="Arial"/>
          <w:sz w:val="24"/>
          <w:szCs w:val="24"/>
        </w:rPr>
        <w:t xml:space="preserve">emissions </w:t>
      </w:r>
      <w:r w:rsidR="002C7304" w:rsidRPr="00DB7156">
        <w:rPr>
          <w:rFonts w:ascii="Arial" w:hAnsi="Arial" w:cs="Arial"/>
          <w:sz w:val="24"/>
          <w:szCs w:val="24"/>
        </w:rPr>
        <w:t>to reduce</w:t>
      </w:r>
      <w:r w:rsidRPr="00DB7156">
        <w:rPr>
          <w:rFonts w:ascii="Arial" w:hAnsi="Arial" w:cs="Arial"/>
          <w:sz w:val="24"/>
          <w:szCs w:val="24"/>
        </w:rPr>
        <w:t xml:space="preserve"> </w:t>
      </w:r>
      <w:r w:rsidRPr="00DB7156">
        <w:rPr>
          <w:rFonts w:ascii="Arial" w:hAnsi="Arial" w:cs="Arial"/>
          <w:color w:val="000000"/>
          <w:sz w:val="24"/>
          <w:szCs w:val="24"/>
        </w:rPr>
        <w:t xml:space="preserve">acid rain. The Acid Rain Program had the most immediate impact on </w:t>
      </w:r>
      <w:r w:rsidR="00112CD5">
        <w:rPr>
          <w:rFonts w:ascii="Arial" w:hAnsi="Arial" w:cs="Arial"/>
          <w:color w:val="000000"/>
          <w:sz w:val="24"/>
          <w:szCs w:val="24"/>
        </w:rPr>
        <w:t>Georgia Power</w:t>
      </w:r>
      <w:r w:rsidRPr="00DB7156">
        <w:rPr>
          <w:rFonts w:ascii="Arial" w:hAnsi="Arial" w:cs="Arial"/>
          <w:color w:val="000000"/>
          <w:sz w:val="24"/>
          <w:szCs w:val="24"/>
        </w:rPr>
        <w:t xml:space="preserve"> and the electric utility industry following the 1990 amendments.</w:t>
      </w:r>
    </w:p>
    <w:p w14:paraId="22BA4EF2" w14:textId="1B37367E" w:rsidR="00FC67F9" w:rsidRPr="00DB7156" w:rsidRDefault="00FC67F9" w:rsidP="00DB7156">
      <w:pPr>
        <w:spacing w:after="0" w:line="240" w:lineRule="auto"/>
        <w:jc w:val="both"/>
        <w:rPr>
          <w:rFonts w:ascii="Arial" w:hAnsi="Arial" w:cs="Arial"/>
          <w:b/>
          <w:color w:val="000000"/>
          <w:sz w:val="24"/>
          <w:szCs w:val="24"/>
        </w:rPr>
      </w:pPr>
    </w:p>
    <w:p w14:paraId="22BA4EF3" w14:textId="1A05F54C" w:rsidR="00FD2667" w:rsidRPr="00DB7156" w:rsidRDefault="00FD2667" w:rsidP="00DB7156">
      <w:pPr>
        <w:spacing w:after="0" w:line="240" w:lineRule="auto"/>
        <w:jc w:val="both"/>
        <w:rPr>
          <w:rFonts w:ascii="Arial" w:hAnsi="Arial" w:cs="Arial"/>
          <w:color w:val="000000"/>
          <w:sz w:val="24"/>
          <w:szCs w:val="24"/>
        </w:rPr>
      </w:pPr>
      <w:r w:rsidRPr="00DB7156">
        <w:rPr>
          <w:rFonts w:ascii="Arial" w:hAnsi="Arial" w:cs="Arial"/>
          <w:color w:val="000000"/>
          <w:sz w:val="24"/>
          <w:szCs w:val="24"/>
        </w:rPr>
        <w:t xml:space="preserve">Title V of the CAAA added requirements for facilities to obtain </w:t>
      </w:r>
      <w:r w:rsidR="00112CD5">
        <w:rPr>
          <w:rFonts w:ascii="Arial" w:hAnsi="Arial" w:cs="Arial"/>
          <w:color w:val="000000"/>
          <w:sz w:val="24"/>
          <w:szCs w:val="24"/>
        </w:rPr>
        <w:t>federally</w:t>
      </w:r>
      <w:r w:rsidRPr="00DB7156">
        <w:rPr>
          <w:rFonts w:ascii="Arial" w:hAnsi="Arial" w:cs="Arial"/>
          <w:color w:val="000000"/>
          <w:sz w:val="24"/>
          <w:szCs w:val="24"/>
        </w:rPr>
        <w:t xml:space="preserve">-enforceable operating </w:t>
      </w:r>
      <w:r w:rsidR="00321D60" w:rsidRPr="00DB7156">
        <w:rPr>
          <w:rFonts w:ascii="Arial" w:hAnsi="Arial" w:cs="Arial"/>
          <w:color w:val="000000"/>
          <w:sz w:val="24"/>
          <w:szCs w:val="24"/>
        </w:rPr>
        <w:t>permits. The</w:t>
      </w:r>
      <w:r w:rsidRPr="00DB7156">
        <w:rPr>
          <w:rFonts w:ascii="Arial" w:hAnsi="Arial" w:cs="Arial"/>
          <w:color w:val="000000"/>
          <w:sz w:val="24"/>
          <w:szCs w:val="24"/>
        </w:rPr>
        <w:t xml:space="preserve"> permits are meant to clearly lay out most of the applicable air quality-related regulations for </w:t>
      </w:r>
      <w:r w:rsidR="00457A4C" w:rsidRPr="00DB7156">
        <w:rPr>
          <w:rFonts w:ascii="Arial" w:hAnsi="Arial" w:cs="Arial"/>
          <w:color w:val="000000"/>
          <w:sz w:val="24"/>
          <w:szCs w:val="24"/>
        </w:rPr>
        <w:t xml:space="preserve">affected </w:t>
      </w:r>
      <w:r w:rsidRPr="00DB7156">
        <w:rPr>
          <w:rFonts w:ascii="Arial" w:hAnsi="Arial" w:cs="Arial"/>
          <w:color w:val="000000"/>
          <w:sz w:val="24"/>
          <w:szCs w:val="24"/>
        </w:rPr>
        <w:t>facilities</w:t>
      </w:r>
      <w:r w:rsidR="0013436C">
        <w:rPr>
          <w:rFonts w:ascii="Arial" w:hAnsi="Arial" w:cs="Arial"/>
          <w:color w:val="000000"/>
          <w:sz w:val="24"/>
          <w:szCs w:val="24"/>
        </w:rPr>
        <w:t xml:space="preserve"> </w:t>
      </w:r>
      <w:r w:rsidRPr="00DB7156">
        <w:rPr>
          <w:rFonts w:ascii="Arial" w:hAnsi="Arial" w:cs="Arial"/>
          <w:color w:val="000000"/>
          <w:sz w:val="24"/>
          <w:szCs w:val="24"/>
        </w:rPr>
        <w:t xml:space="preserve">by compiling all applicable requirements into one document. </w:t>
      </w:r>
      <w:r w:rsidR="005F0C5D" w:rsidRPr="00DB7156">
        <w:rPr>
          <w:rFonts w:ascii="Arial" w:hAnsi="Arial" w:cs="Arial"/>
          <w:color w:val="000000"/>
          <w:sz w:val="24"/>
          <w:szCs w:val="24"/>
        </w:rPr>
        <w:t xml:space="preserve">Georgia Power’s </w:t>
      </w:r>
      <w:r w:rsidRPr="00DB7156">
        <w:rPr>
          <w:rFonts w:ascii="Arial" w:hAnsi="Arial" w:cs="Arial"/>
          <w:color w:val="000000"/>
          <w:sz w:val="24"/>
          <w:szCs w:val="24"/>
        </w:rPr>
        <w:t>Title V permit</w:t>
      </w:r>
      <w:r w:rsidR="005F0C5D" w:rsidRPr="00DB7156">
        <w:rPr>
          <w:rFonts w:ascii="Arial" w:hAnsi="Arial" w:cs="Arial"/>
          <w:color w:val="000000"/>
          <w:sz w:val="24"/>
          <w:szCs w:val="24"/>
        </w:rPr>
        <w:t>s</w:t>
      </w:r>
      <w:r w:rsidRPr="00DB7156">
        <w:rPr>
          <w:rFonts w:ascii="Arial" w:hAnsi="Arial" w:cs="Arial"/>
          <w:color w:val="000000"/>
          <w:sz w:val="24"/>
          <w:szCs w:val="24"/>
        </w:rPr>
        <w:t xml:space="preserve"> include both state and federal requirements and </w:t>
      </w:r>
      <w:r w:rsidR="005F0C5D" w:rsidRPr="00DB7156">
        <w:rPr>
          <w:rFonts w:ascii="Arial" w:hAnsi="Arial" w:cs="Arial"/>
          <w:color w:val="000000"/>
          <w:sz w:val="24"/>
          <w:szCs w:val="24"/>
        </w:rPr>
        <w:t xml:space="preserve">are </w:t>
      </w:r>
      <w:r w:rsidRPr="00DB7156">
        <w:rPr>
          <w:rFonts w:ascii="Arial" w:hAnsi="Arial" w:cs="Arial"/>
          <w:color w:val="000000"/>
          <w:sz w:val="24"/>
          <w:szCs w:val="24"/>
        </w:rPr>
        <w:t xml:space="preserve">issued by the </w:t>
      </w:r>
      <w:r w:rsidR="00795A89" w:rsidRPr="00DB7156">
        <w:rPr>
          <w:rFonts w:ascii="Arial" w:hAnsi="Arial" w:cs="Arial"/>
          <w:color w:val="000000"/>
          <w:sz w:val="24"/>
          <w:szCs w:val="24"/>
        </w:rPr>
        <w:t>Georgia EPD</w:t>
      </w:r>
      <w:r w:rsidRPr="00DB7156">
        <w:rPr>
          <w:rFonts w:ascii="Arial" w:hAnsi="Arial" w:cs="Arial"/>
          <w:color w:val="000000"/>
          <w:sz w:val="24"/>
          <w:szCs w:val="24"/>
        </w:rPr>
        <w:t xml:space="preserve">. </w:t>
      </w:r>
    </w:p>
    <w:p w14:paraId="22BA4EF4" w14:textId="77777777" w:rsidR="005F08E3" w:rsidRPr="00DB7156" w:rsidRDefault="005F08E3" w:rsidP="00DB7156">
      <w:pPr>
        <w:spacing w:after="0" w:line="240" w:lineRule="auto"/>
        <w:jc w:val="both"/>
        <w:rPr>
          <w:rFonts w:ascii="Arial" w:hAnsi="Arial" w:cs="Arial"/>
          <w:b/>
          <w:color w:val="000000"/>
          <w:sz w:val="24"/>
          <w:szCs w:val="24"/>
        </w:rPr>
      </w:pPr>
    </w:p>
    <w:p w14:paraId="22BA4EF5" w14:textId="768DE652" w:rsidR="00FC67F9" w:rsidRPr="00DB7156" w:rsidRDefault="00FC67F9" w:rsidP="00DB7156">
      <w:pPr>
        <w:spacing w:after="0" w:line="240" w:lineRule="auto"/>
        <w:jc w:val="both"/>
        <w:rPr>
          <w:rFonts w:ascii="Arial" w:hAnsi="Arial" w:cs="Arial"/>
          <w:sz w:val="24"/>
          <w:szCs w:val="24"/>
        </w:rPr>
      </w:pPr>
      <w:r w:rsidRPr="00DB7156">
        <w:rPr>
          <w:rFonts w:ascii="Arial" w:hAnsi="Arial" w:cs="Arial"/>
          <w:b/>
          <w:color w:val="000080"/>
          <w:sz w:val="24"/>
          <w:szCs w:val="24"/>
        </w:rPr>
        <w:t>Clean Water Act</w:t>
      </w:r>
      <w:r w:rsidRPr="00DB7156">
        <w:rPr>
          <w:rFonts w:ascii="Arial" w:hAnsi="Arial" w:cs="Arial"/>
          <w:sz w:val="24"/>
          <w:szCs w:val="24"/>
        </w:rPr>
        <w:t xml:space="preserve"> </w:t>
      </w:r>
    </w:p>
    <w:p w14:paraId="22BA4EF6" w14:textId="34738BA1"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 xml:space="preserve">The </w:t>
      </w:r>
      <w:r w:rsidR="00B63948" w:rsidRPr="00DB7156">
        <w:rPr>
          <w:rFonts w:ascii="Arial" w:hAnsi="Arial" w:cs="Arial"/>
          <w:sz w:val="24"/>
          <w:szCs w:val="24"/>
        </w:rPr>
        <w:t>CWA</w:t>
      </w:r>
      <w:r w:rsidR="00D70685" w:rsidRPr="00DB7156">
        <w:rPr>
          <w:rFonts w:ascii="Arial" w:hAnsi="Arial" w:cs="Arial"/>
          <w:sz w:val="24"/>
          <w:szCs w:val="24"/>
        </w:rPr>
        <w:t xml:space="preserve"> restore</w:t>
      </w:r>
      <w:r w:rsidR="00B63948" w:rsidRPr="00DB7156">
        <w:rPr>
          <w:rFonts w:ascii="Arial" w:hAnsi="Arial" w:cs="Arial"/>
          <w:sz w:val="24"/>
          <w:szCs w:val="24"/>
        </w:rPr>
        <w:t>s</w:t>
      </w:r>
      <w:r w:rsidR="00D70685" w:rsidRPr="00DB7156">
        <w:rPr>
          <w:rFonts w:ascii="Arial" w:hAnsi="Arial" w:cs="Arial"/>
          <w:sz w:val="24"/>
          <w:szCs w:val="24"/>
        </w:rPr>
        <w:t xml:space="preserve"> and maintain</w:t>
      </w:r>
      <w:r w:rsidR="00B63948" w:rsidRPr="00DB7156">
        <w:rPr>
          <w:rFonts w:ascii="Arial" w:hAnsi="Arial" w:cs="Arial"/>
          <w:sz w:val="24"/>
          <w:szCs w:val="24"/>
        </w:rPr>
        <w:t>s</w:t>
      </w:r>
      <w:r w:rsidR="00D70685" w:rsidRPr="00DB7156">
        <w:rPr>
          <w:rFonts w:ascii="Arial" w:hAnsi="Arial" w:cs="Arial"/>
          <w:sz w:val="24"/>
          <w:szCs w:val="24"/>
        </w:rPr>
        <w:t xml:space="preserve"> the chemical, physical and biological integrity of the </w:t>
      </w:r>
      <w:r w:rsidR="00F65E17" w:rsidRPr="00DB7156">
        <w:rPr>
          <w:rFonts w:ascii="Arial" w:hAnsi="Arial" w:cs="Arial"/>
          <w:sz w:val="24"/>
          <w:szCs w:val="24"/>
        </w:rPr>
        <w:t>WOTUS</w:t>
      </w:r>
      <w:r w:rsidR="00D70685" w:rsidRPr="00DB7156">
        <w:rPr>
          <w:rFonts w:ascii="Arial" w:hAnsi="Arial" w:cs="Arial"/>
          <w:sz w:val="24"/>
          <w:szCs w:val="24"/>
        </w:rPr>
        <w:t xml:space="preserve">. </w:t>
      </w:r>
      <w:r w:rsidR="00F65E17" w:rsidRPr="00DB7156">
        <w:rPr>
          <w:rFonts w:ascii="Arial" w:hAnsi="Arial" w:cs="Arial"/>
          <w:sz w:val="24"/>
          <w:szCs w:val="24"/>
        </w:rPr>
        <w:t xml:space="preserve">Pursuant to </w:t>
      </w:r>
      <w:r w:rsidR="00B63948" w:rsidRPr="00DB7156">
        <w:rPr>
          <w:rFonts w:ascii="Arial" w:hAnsi="Arial" w:cs="Arial"/>
          <w:sz w:val="24"/>
          <w:szCs w:val="24"/>
        </w:rPr>
        <w:t>the CWA</w:t>
      </w:r>
      <w:r w:rsidR="00F65E17" w:rsidRPr="00DB7156">
        <w:rPr>
          <w:rFonts w:ascii="Arial" w:hAnsi="Arial" w:cs="Arial"/>
          <w:sz w:val="24"/>
          <w:szCs w:val="24"/>
        </w:rPr>
        <w:t>, the National Pollutant Discharge Elimination System (</w:t>
      </w:r>
      <w:r w:rsidR="00441FCB">
        <w:rPr>
          <w:rFonts w:ascii="Arial" w:hAnsi="Arial" w:cs="Arial"/>
          <w:sz w:val="24"/>
          <w:szCs w:val="24"/>
        </w:rPr>
        <w:t>“</w:t>
      </w:r>
      <w:r w:rsidR="00F65E17" w:rsidRPr="00DB7156">
        <w:rPr>
          <w:rFonts w:ascii="Arial" w:hAnsi="Arial" w:cs="Arial"/>
          <w:sz w:val="24"/>
          <w:szCs w:val="24"/>
        </w:rPr>
        <w:t>NPDES</w:t>
      </w:r>
      <w:r w:rsidR="00441FCB">
        <w:rPr>
          <w:rFonts w:ascii="Arial" w:hAnsi="Arial" w:cs="Arial"/>
          <w:sz w:val="24"/>
          <w:szCs w:val="24"/>
        </w:rPr>
        <w:t>”</w:t>
      </w:r>
      <w:r w:rsidR="00F65E17" w:rsidRPr="00DB7156">
        <w:rPr>
          <w:rFonts w:ascii="Arial" w:hAnsi="Arial" w:cs="Arial"/>
          <w:sz w:val="24"/>
          <w:szCs w:val="24"/>
        </w:rPr>
        <w:t xml:space="preserve">) permit program was developed and implemented to regulate pollutant discharges to WOTUS. </w:t>
      </w:r>
      <w:r w:rsidRPr="00DB7156">
        <w:rPr>
          <w:rFonts w:ascii="Arial" w:hAnsi="Arial" w:cs="Arial"/>
          <w:sz w:val="24"/>
          <w:szCs w:val="24"/>
        </w:rPr>
        <w:t>Authority to discharge under the CWA may be granted through a</w:t>
      </w:r>
      <w:r w:rsidR="00EE53EC" w:rsidRPr="00DB7156">
        <w:rPr>
          <w:rFonts w:ascii="Arial" w:hAnsi="Arial" w:cs="Arial"/>
          <w:sz w:val="24"/>
          <w:szCs w:val="24"/>
        </w:rPr>
        <w:t xml:space="preserve"> NPDES permit</w:t>
      </w:r>
      <w:r w:rsidRPr="00DB7156">
        <w:rPr>
          <w:rFonts w:ascii="Arial" w:hAnsi="Arial" w:cs="Arial"/>
          <w:sz w:val="24"/>
          <w:szCs w:val="24"/>
        </w:rPr>
        <w:t xml:space="preserve"> issued by EPA</w:t>
      </w:r>
      <w:r w:rsidR="00F65E17" w:rsidRPr="00DB7156">
        <w:rPr>
          <w:rFonts w:ascii="Arial" w:hAnsi="Arial" w:cs="Arial"/>
          <w:sz w:val="24"/>
          <w:szCs w:val="24"/>
        </w:rPr>
        <w:t>,</w:t>
      </w:r>
      <w:r w:rsidRPr="00DB7156">
        <w:rPr>
          <w:rFonts w:ascii="Arial" w:hAnsi="Arial" w:cs="Arial"/>
          <w:sz w:val="24"/>
          <w:szCs w:val="24"/>
        </w:rPr>
        <w:t xml:space="preserve"> or </w:t>
      </w:r>
      <w:r w:rsidR="00F65E17" w:rsidRPr="00DB7156">
        <w:rPr>
          <w:rFonts w:ascii="Arial" w:hAnsi="Arial" w:cs="Arial"/>
          <w:sz w:val="24"/>
          <w:szCs w:val="24"/>
        </w:rPr>
        <w:t xml:space="preserve">by </w:t>
      </w:r>
      <w:r w:rsidRPr="00DB7156">
        <w:rPr>
          <w:rFonts w:ascii="Arial" w:hAnsi="Arial" w:cs="Arial"/>
          <w:sz w:val="24"/>
          <w:szCs w:val="24"/>
        </w:rPr>
        <w:t xml:space="preserve">a state </w:t>
      </w:r>
      <w:r w:rsidR="00F65E17" w:rsidRPr="00DB7156">
        <w:rPr>
          <w:rFonts w:ascii="Arial" w:hAnsi="Arial" w:cs="Arial"/>
          <w:sz w:val="24"/>
          <w:szCs w:val="24"/>
        </w:rPr>
        <w:t xml:space="preserve">that has been delegated such </w:t>
      </w:r>
      <w:r w:rsidRPr="00DB7156">
        <w:rPr>
          <w:rFonts w:ascii="Arial" w:hAnsi="Arial" w:cs="Arial"/>
          <w:sz w:val="24"/>
          <w:szCs w:val="24"/>
        </w:rPr>
        <w:t xml:space="preserve">authority </w:t>
      </w:r>
      <w:r w:rsidR="00F65E17" w:rsidRPr="00DB7156">
        <w:rPr>
          <w:rFonts w:ascii="Arial" w:hAnsi="Arial" w:cs="Arial"/>
          <w:sz w:val="24"/>
          <w:szCs w:val="24"/>
        </w:rPr>
        <w:t>by</w:t>
      </w:r>
      <w:r w:rsidRPr="00DB7156">
        <w:rPr>
          <w:rFonts w:ascii="Arial" w:hAnsi="Arial" w:cs="Arial"/>
          <w:sz w:val="24"/>
          <w:szCs w:val="24"/>
        </w:rPr>
        <w:t xml:space="preserve"> EPA. The NPDES </w:t>
      </w:r>
      <w:r w:rsidR="00F65E17" w:rsidRPr="00DB7156">
        <w:rPr>
          <w:rFonts w:ascii="Arial" w:hAnsi="Arial" w:cs="Arial"/>
          <w:sz w:val="24"/>
          <w:szCs w:val="24"/>
        </w:rPr>
        <w:t xml:space="preserve">permit </w:t>
      </w:r>
      <w:r w:rsidRPr="00DB7156">
        <w:rPr>
          <w:rFonts w:ascii="Arial" w:hAnsi="Arial" w:cs="Arial"/>
          <w:sz w:val="24"/>
          <w:szCs w:val="24"/>
        </w:rPr>
        <w:t>program is used as a means of achieving and enforcing technology-based and water quality-based effluent limitations.</w:t>
      </w:r>
      <w:r w:rsidR="00255E12" w:rsidRPr="00DB7156">
        <w:rPr>
          <w:rFonts w:ascii="Arial" w:hAnsi="Arial" w:cs="Arial"/>
          <w:sz w:val="24"/>
          <w:szCs w:val="24"/>
        </w:rPr>
        <w:t xml:space="preserve"> Georgia EPD has been delegated the authority to issue NPDES permits in Georgia.</w:t>
      </w:r>
    </w:p>
    <w:p w14:paraId="22BA4EF7" w14:textId="77777777" w:rsidR="00FC67F9" w:rsidRPr="00DB7156" w:rsidRDefault="00FC67F9" w:rsidP="00DB7156">
      <w:pPr>
        <w:spacing w:after="0" w:line="240" w:lineRule="auto"/>
        <w:jc w:val="both"/>
        <w:rPr>
          <w:rFonts w:ascii="Arial" w:hAnsi="Arial" w:cs="Arial"/>
          <w:sz w:val="24"/>
          <w:szCs w:val="24"/>
        </w:rPr>
      </w:pPr>
    </w:p>
    <w:p w14:paraId="22BA4EF8" w14:textId="53E5C880"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 xml:space="preserve">EPA has established </w:t>
      </w:r>
      <w:r w:rsidR="00432F0E" w:rsidRPr="00DB7156">
        <w:rPr>
          <w:rFonts w:ascii="Arial" w:hAnsi="Arial" w:cs="Arial"/>
          <w:sz w:val="24"/>
          <w:szCs w:val="24"/>
        </w:rPr>
        <w:t>ELGs</w:t>
      </w:r>
      <w:r w:rsidRPr="00DB7156">
        <w:rPr>
          <w:rFonts w:ascii="Arial" w:hAnsi="Arial" w:cs="Arial"/>
          <w:sz w:val="24"/>
          <w:szCs w:val="24"/>
        </w:rPr>
        <w:t xml:space="preserve"> for the steam electric industry and other industrial source categories based on treatment technologies. </w:t>
      </w:r>
      <w:r w:rsidR="003C772F" w:rsidRPr="00DB7156">
        <w:rPr>
          <w:rFonts w:ascii="Arial" w:hAnsi="Arial" w:cs="Arial"/>
          <w:sz w:val="24"/>
          <w:szCs w:val="24"/>
        </w:rPr>
        <w:t>These guidelines were promulgated in 1974</w:t>
      </w:r>
      <w:r w:rsidR="008B6AAF" w:rsidRPr="00DB7156">
        <w:rPr>
          <w:rFonts w:ascii="Arial" w:hAnsi="Arial" w:cs="Arial"/>
          <w:sz w:val="24"/>
          <w:szCs w:val="24"/>
        </w:rPr>
        <w:t>,</w:t>
      </w:r>
      <w:r w:rsidR="00CC3FE8" w:rsidRPr="00DB7156">
        <w:rPr>
          <w:rFonts w:ascii="Arial" w:hAnsi="Arial" w:cs="Arial"/>
          <w:sz w:val="24"/>
          <w:szCs w:val="24"/>
        </w:rPr>
        <w:t xml:space="preserve"> </w:t>
      </w:r>
      <w:r w:rsidR="003C772F" w:rsidRPr="00DB7156">
        <w:rPr>
          <w:rFonts w:ascii="Arial" w:hAnsi="Arial" w:cs="Arial"/>
          <w:sz w:val="24"/>
          <w:szCs w:val="24"/>
        </w:rPr>
        <w:t>amended in 1982</w:t>
      </w:r>
      <w:r w:rsidR="008B6AAF" w:rsidRPr="00DB7156">
        <w:rPr>
          <w:rFonts w:ascii="Arial" w:hAnsi="Arial" w:cs="Arial"/>
          <w:sz w:val="24"/>
          <w:szCs w:val="24"/>
        </w:rPr>
        <w:t>, and most recently updated in 2015</w:t>
      </w:r>
      <w:r w:rsidR="003C772F" w:rsidRPr="00DB7156">
        <w:rPr>
          <w:rFonts w:ascii="Arial" w:hAnsi="Arial" w:cs="Arial"/>
          <w:sz w:val="24"/>
          <w:szCs w:val="24"/>
        </w:rPr>
        <w:t xml:space="preserve">. </w:t>
      </w:r>
      <w:r w:rsidRPr="00DB7156">
        <w:rPr>
          <w:rFonts w:ascii="Arial" w:hAnsi="Arial" w:cs="Arial"/>
          <w:sz w:val="24"/>
          <w:szCs w:val="24"/>
        </w:rPr>
        <w:t xml:space="preserve">EPA is responsible for periodically reviewing and updating these </w:t>
      </w:r>
      <w:r w:rsidR="00AE5205" w:rsidRPr="00DB7156">
        <w:rPr>
          <w:rFonts w:ascii="Arial" w:hAnsi="Arial" w:cs="Arial"/>
          <w:sz w:val="24"/>
          <w:szCs w:val="24"/>
        </w:rPr>
        <w:t>ELGs</w:t>
      </w:r>
      <w:r w:rsidRPr="00DB7156">
        <w:rPr>
          <w:rFonts w:ascii="Arial" w:hAnsi="Arial" w:cs="Arial"/>
          <w:sz w:val="24"/>
          <w:szCs w:val="24"/>
        </w:rPr>
        <w:t xml:space="preserve">, which serve as the basis of the technology-based permit limits that appear in individual NPDES </w:t>
      </w:r>
      <w:r w:rsidR="00F65E17" w:rsidRPr="00DB7156">
        <w:rPr>
          <w:rFonts w:ascii="Arial" w:hAnsi="Arial" w:cs="Arial"/>
          <w:sz w:val="24"/>
          <w:szCs w:val="24"/>
        </w:rPr>
        <w:t xml:space="preserve">wastewater discharge </w:t>
      </w:r>
      <w:r w:rsidRPr="00DB7156">
        <w:rPr>
          <w:rFonts w:ascii="Arial" w:hAnsi="Arial" w:cs="Arial"/>
          <w:sz w:val="24"/>
          <w:szCs w:val="24"/>
        </w:rPr>
        <w:t>permits.</w:t>
      </w:r>
      <w:r w:rsidR="003724AB" w:rsidRPr="00DB7156">
        <w:rPr>
          <w:rFonts w:ascii="Arial" w:hAnsi="Arial" w:cs="Arial"/>
          <w:sz w:val="24"/>
          <w:szCs w:val="24"/>
        </w:rPr>
        <w:t xml:space="preserve"> </w:t>
      </w:r>
    </w:p>
    <w:p w14:paraId="22BA4EF9" w14:textId="77777777" w:rsidR="00FC67F9" w:rsidRPr="00DB7156" w:rsidRDefault="00FC67F9" w:rsidP="00DB7156">
      <w:pPr>
        <w:spacing w:after="0" w:line="240" w:lineRule="auto"/>
        <w:jc w:val="both"/>
        <w:rPr>
          <w:rFonts w:ascii="Arial" w:hAnsi="Arial" w:cs="Arial"/>
          <w:sz w:val="16"/>
          <w:szCs w:val="16"/>
        </w:rPr>
      </w:pPr>
    </w:p>
    <w:p w14:paraId="22BA4EFA" w14:textId="19F4B2ED"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Section 316(b) of the CWA, which regulates cooling water intake structures, is implemented through NPDES permits. The Section 316(b) regulations are intended to protect fish and other aquatic species in the vicinity of utility cooling water intake structures. The focus of Section 316(b) is to ensure that the location, design, construction, operation, and capacity of cooling water intake structures reflect the best technology available to protect aquatic organisms from being impinged or entrained.</w:t>
      </w:r>
    </w:p>
    <w:p w14:paraId="22BA4EFB" w14:textId="77777777" w:rsidR="00FC67F9" w:rsidRPr="00DB7156" w:rsidRDefault="00FC67F9" w:rsidP="00DB7156">
      <w:pPr>
        <w:spacing w:after="0" w:line="240" w:lineRule="auto"/>
        <w:jc w:val="both"/>
        <w:rPr>
          <w:rFonts w:ascii="Arial" w:hAnsi="Arial" w:cs="Arial"/>
          <w:sz w:val="16"/>
          <w:szCs w:val="16"/>
        </w:rPr>
      </w:pPr>
    </w:p>
    <w:p w14:paraId="22BA4EFC" w14:textId="2D7CC10C" w:rsidR="00FC67F9" w:rsidRPr="00DB7156" w:rsidRDefault="00FC67F9" w:rsidP="00DB7156">
      <w:pPr>
        <w:spacing w:after="0" w:line="240" w:lineRule="auto"/>
        <w:jc w:val="both"/>
        <w:rPr>
          <w:rFonts w:ascii="Arial" w:hAnsi="Arial" w:cs="Arial"/>
          <w:sz w:val="24"/>
          <w:szCs w:val="24"/>
        </w:rPr>
      </w:pPr>
      <w:r w:rsidRPr="00DB7156">
        <w:rPr>
          <w:rFonts w:ascii="Arial" w:hAnsi="Arial" w:cs="Arial"/>
          <w:b/>
          <w:color w:val="000080"/>
          <w:sz w:val="24"/>
          <w:szCs w:val="24"/>
        </w:rPr>
        <w:t>Resource Conservation and Recovery Act</w:t>
      </w:r>
      <w:r w:rsidRPr="00DB7156">
        <w:rPr>
          <w:rFonts w:ascii="Arial" w:hAnsi="Arial" w:cs="Arial"/>
          <w:sz w:val="24"/>
          <w:szCs w:val="24"/>
        </w:rPr>
        <w:t xml:space="preserve"> </w:t>
      </w:r>
    </w:p>
    <w:p w14:paraId="22BA4EFD" w14:textId="0CA8BA6A"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 xml:space="preserve">This law governs the generation, transportation, treatment, storage and disposal of solid and hazardous waste. A major focus for electric utilities has been regulatory treatment of coal ash and other </w:t>
      </w:r>
      <w:r w:rsidR="00432F0E" w:rsidRPr="00DB7156">
        <w:rPr>
          <w:rFonts w:ascii="Arial" w:hAnsi="Arial" w:cs="Arial"/>
          <w:sz w:val="24"/>
          <w:szCs w:val="24"/>
        </w:rPr>
        <w:t>CCR</w:t>
      </w:r>
      <w:r w:rsidR="00615BA1" w:rsidRPr="00DB7156">
        <w:rPr>
          <w:rFonts w:ascii="Arial" w:hAnsi="Arial" w:cs="Arial"/>
          <w:sz w:val="24"/>
          <w:szCs w:val="24"/>
        </w:rPr>
        <w:t>, a solid waste,</w:t>
      </w:r>
      <w:r w:rsidRPr="00DB7156">
        <w:rPr>
          <w:rFonts w:ascii="Arial" w:hAnsi="Arial" w:cs="Arial"/>
          <w:sz w:val="24"/>
          <w:szCs w:val="24"/>
        </w:rPr>
        <w:t xml:space="preserve"> under RCRA and potential regulations affecting their management and disposal. In </w:t>
      </w:r>
      <w:r w:rsidR="00432F0E" w:rsidRPr="00DB7156">
        <w:rPr>
          <w:rFonts w:ascii="Arial" w:hAnsi="Arial" w:cs="Arial"/>
          <w:sz w:val="24"/>
          <w:szCs w:val="24"/>
        </w:rPr>
        <w:t>April 2015</w:t>
      </w:r>
      <w:r w:rsidRPr="00DB7156">
        <w:rPr>
          <w:rFonts w:ascii="Arial" w:hAnsi="Arial" w:cs="Arial"/>
          <w:sz w:val="24"/>
          <w:szCs w:val="24"/>
        </w:rPr>
        <w:t xml:space="preserve">, EPA </w:t>
      </w:r>
      <w:r w:rsidR="002F0F4C">
        <w:rPr>
          <w:rFonts w:ascii="Arial" w:hAnsi="Arial" w:cs="Arial"/>
          <w:sz w:val="24"/>
          <w:szCs w:val="24"/>
        </w:rPr>
        <w:t>released</w:t>
      </w:r>
      <w:r w:rsidR="002F0F4C" w:rsidRPr="00DB7156">
        <w:rPr>
          <w:rFonts w:ascii="Arial" w:hAnsi="Arial" w:cs="Arial"/>
          <w:sz w:val="24"/>
          <w:szCs w:val="24"/>
        </w:rPr>
        <w:t xml:space="preserve"> </w:t>
      </w:r>
      <w:r w:rsidR="006B5515" w:rsidRPr="00DB7156">
        <w:rPr>
          <w:rFonts w:ascii="Arial" w:hAnsi="Arial" w:cs="Arial"/>
          <w:sz w:val="24"/>
          <w:szCs w:val="24"/>
        </w:rPr>
        <w:t>a</w:t>
      </w:r>
      <w:r w:rsidR="00240ED3" w:rsidRPr="00DB7156">
        <w:rPr>
          <w:rFonts w:ascii="Arial" w:hAnsi="Arial" w:cs="Arial"/>
          <w:sz w:val="24"/>
          <w:szCs w:val="24"/>
        </w:rPr>
        <w:t xml:space="preserve"> rule that </w:t>
      </w:r>
      <w:r w:rsidR="006B5515" w:rsidRPr="00DB7156">
        <w:rPr>
          <w:rFonts w:ascii="Arial" w:hAnsi="Arial" w:cs="Arial"/>
          <w:sz w:val="24"/>
          <w:szCs w:val="24"/>
        </w:rPr>
        <w:t>regulates</w:t>
      </w:r>
      <w:r w:rsidR="00240ED3" w:rsidRPr="00DB7156">
        <w:rPr>
          <w:rFonts w:ascii="Arial" w:hAnsi="Arial" w:cs="Arial"/>
          <w:sz w:val="24"/>
          <w:szCs w:val="24"/>
        </w:rPr>
        <w:t xml:space="preserve"> </w:t>
      </w:r>
      <w:r w:rsidRPr="00DB7156">
        <w:rPr>
          <w:rFonts w:ascii="Arial" w:hAnsi="Arial" w:cs="Arial"/>
          <w:sz w:val="24"/>
          <w:szCs w:val="24"/>
        </w:rPr>
        <w:t>CCR</w:t>
      </w:r>
      <w:r w:rsidR="006B5515" w:rsidRPr="00DB7156">
        <w:rPr>
          <w:rFonts w:ascii="Arial" w:hAnsi="Arial" w:cs="Arial"/>
          <w:sz w:val="24"/>
          <w:szCs w:val="24"/>
        </w:rPr>
        <w:t xml:space="preserve"> as a non-hazardous waste</w:t>
      </w:r>
      <w:r w:rsidRPr="00DB7156">
        <w:rPr>
          <w:rFonts w:ascii="Arial" w:hAnsi="Arial" w:cs="Arial"/>
          <w:sz w:val="24"/>
          <w:szCs w:val="24"/>
        </w:rPr>
        <w:t xml:space="preserve"> under RCRA</w:t>
      </w:r>
      <w:r w:rsidR="006B5515" w:rsidRPr="00DB7156">
        <w:rPr>
          <w:rFonts w:ascii="Arial" w:hAnsi="Arial" w:cs="Arial"/>
          <w:sz w:val="24"/>
          <w:szCs w:val="24"/>
        </w:rPr>
        <w:t xml:space="preserve"> subtitle D</w:t>
      </w:r>
      <w:r w:rsidRPr="00DB7156">
        <w:rPr>
          <w:rFonts w:ascii="Arial" w:hAnsi="Arial" w:cs="Arial"/>
          <w:sz w:val="24"/>
          <w:szCs w:val="24"/>
        </w:rPr>
        <w:t xml:space="preserve">.  </w:t>
      </w:r>
    </w:p>
    <w:p w14:paraId="22BA4EFE" w14:textId="77777777" w:rsidR="00546B6E" w:rsidRPr="00DB7156" w:rsidRDefault="00546B6E" w:rsidP="00DB7156">
      <w:pPr>
        <w:spacing w:after="0" w:line="240" w:lineRule="auto"/>
        <w:jc w:val="both"/>
        <w:rPr>
          <w:rFonts w:ascii="Arial" w:hAnsi="Arial" w:cs="Arial"/>
          <w:sz w:val="24"/>
          <w:szCs w:val="24"/>
        </w:rPr>
      </w:pPr>
    </w:p>
    <w:p w14:paraId="22BA4EFF" w14:textId="77777777" w:rsidR="00FC67F9" w:rsidRPr="00DB7156" w:rsidRDefault="00546B6E" w:rsidP="00DB7156">
      <w:pPr>
        <w:spacing w:after="0" w:line="240" w:lineRule="auto"/>
        <w:jc w:val="both"/>
        <w:rPr>
          <w:rFonts w:ascii="Arial" w:hAnsi="Arial" w:cs="Arial"/>
          <w:b/>
          <w:bCs/>
          <w:sz w:val="24"/>
          <w:szCs w:val="24"/>
        </w:rPr>
      </w:pPr>
      <w:r w:rsidRPr="00DB7156">
        <w:rPr>
          <w:rFonts w:ascii="Arial" w:hAnsi="Arial" w:cs="Arial"/>
          <w:sz w:val="24"/>
          <w:szCs w:val="24"/>
        </w:rPr>
        <w:t>Th</w:t>
      </w:r>
      <w:r w:rsidRPr="00DB7156">
        <w:rPr>
          <w:rFonts w:ascii="Arial" w:hAnsi="Arial" w:cs="Arial"/>
          <w:bCs/>
          <w:sz w:val="24"/>
          <w:szCs w:val="24"/>
        </w:rPr>
        <w:t>e relevant programs and regulations derived from these laws are discussed in more detail in the following sections.</w:t>
      </w:r>
    </w:p>
    <w:p w14:paraId="22BA4F00" w14:textId="77777777" w:rsidR="00814EC5" w:rsidRPr="00DB7156" w:rsidRDefault="00814EC5" w:rsidP="00DB7156">
      <w:pPr>
        <w:tabs>
          <w:tab w:val="left" w:pos="900"/>
        </w:tabs>
        <w:autoSpaceDE w:val="0"/>
        <w:autoSpaceDN w:val="0"/>
        <w:adjustRightInd w:val="0"/>
        <w:spacing w:after="0" w:line="240" w:lineRule="auto"/>
        <w:ind w:left="1080" w:hanging="1080"/>
        <w:jc w:val="both"/>
        <w:outlineLvl w:val="1"/>
        <w:rPr>
          <w:rFonts w:ascii="Arial" w:hAnsi="Arial" w:cs="Arial"/>
          <w:b/>
          <w:bCs/>
          <w:color w:val="000080"/>
          <w:sz w:val="24"/>
          <w:szCs w:val="24"/>
        </w:rPr>
      </w:pPr>
    </w:p>
    <w:p w14:paraId="56FAFF2B" w14:textId="76E3908B" w:rsidR="005F0C5D" w:rsidRPr="00DB7156" w:rsidRDefault="005F0C5D" w:rsidP="00DB7156">
      <w:pPr>
        <w:spacing w:after="0" w:line="240" w:lineRule="auto"/>
        <w:jc w:val="both"/>
        <w:rPr>
          <w:rFonts w:ascii="Arial" w:hAnsi="Arial" w:cs="Arial"/>
          <w:b/>
          <w:color w:val="000080"/>
          <w:sz w:val="24"/>
          <w:szCs w:val="24"/>
        </w:rPr>
      </w:pPr>
      <w:r w:rsidRPr="00DB7156">
        <w:rPr>
          <w:rFonts w:ascii="Arial" w:hAnsi="Arial" w:cs="Arial"/>
          <w:b/>
          <w:color w:val="000080"/>
          <w:sz w:val="24"/>
          <w:szCs w:val="24"/>
        </w:rPr>
        <w:t xml:space="preserve">Regulatory </w:t>
      </w:r>
      <w:r w:rsidR="00667467" w:rsidRPr="00DB7156">
        <w:rPr>
          <w:rFonts w:ascii="Arial" w:hAnsi="Arial" w:cs="Arial"/>
          <w:b/>
          <w:color w:val="000080"/>
          <w:sz w:val="24"/>
          <w:szCs w:val="24"/>
        </w:rPr>
        <w:t>Review</w:t>
      </w:r>
    </w:p>
    <w:p w14:paraId="2AD6DCAD" w14:textId="1317C042" w:rsidR="005F0C5D" w:rsidRPr="00DB7156" w:rsidRDefault="00667467" w:rsidP="00DB7156">
      <w:pPr>
        <w:spacing w:after="0" w:line="240" w:lineRule="auto"/>
        <w:jc w:val="both"/>
        <w:rPr>
          <w:rFonts w:ascii="Arial" w:hAnsi="Arial" w:cs="Arial"/>
          <w:sz w:val="24"/>
          <w:szCs w:val="24"/>
        </w:rPr>
      </w:pPr>
      <w:r w:rsidRPr="00DB7156">
        <w:rPr>
          <w:rFonts w:ascii="Arial" w:hAnsi="Arial" w:cs="Arial"/>
          <w:sz w:val="24"/>
          <w:szCs w:val="24"/>
        </w:rPr>
        <w:t xml:space="preserve">In </w:t>
      </w:r>
      <w:r w:rsidR="00862EB5" w:rsidRPr="00DB7156">
        <w:rPr>
          <w:rFonts w:ascii="Arial" w:hAnsi="Arial" w:cs="Arial"/>
          <w:sz w:val="24"/>
          <w:szCs w:val="24"/>
        </w:rPr>
        <w:t xml:space="preserve">early </w:t>
      </w:r>
      <w:r w:rsidRPr="00DB7156">
        <w:rPr>
          <w:rFonts w:ascii="Arial" w:hAnsi="Arial" w:cs="Arial"/>
          <w:sz w:val="24"/>
          <w:szCs w:val="24"/>
        </w:rPr>
        <w:t xml:space="preserve">2017, President Trump issued </w:t>
      </w:r>
      <w:r w:rsidR="00365F31" w:rsidRPr="00DB7156">
        <w:rPr>
          <w:rFonts w:ascii="Arial" w:hAnsi="Arial" w:cs="Arial"/>
          <w:sz w:val="24"/>
          <w:szCs w:val="24"/>
        </w:rPr>
        <w:t>several</w:t>
      </w:r>
      <w:r w:rsidRPr="00DB7156">
        <w:rPr>
          <w:rFonts w:ascii="Arial" w:hAnsi="Arial" w:cs="Arial"/>
          <w:sz w:val="24"/>
          <w:szCs w:val="24"/>
        </w:rPr>
        <w:t xml:space="preserve"> Executive Orders pertaining to the review and potential repeal, replacement, or modification of </w:t>
      </w:r>
      <w:r w:rsidR="00862EB5" w:rsidRPr="00DB7156">
        <w:rPr>
          <w:rFonts w:ascii="Arial" w:hAnsi="Arial" w:cs="Arial"/>
          <w:sz w:val="24"/>
          <w:szCs w:val="24"/>
        </w:rPr>
        <w:t xml:space="preserve">federal regulations. </w:t>
      </w:r>
      <w:r w:rsidR="005F0C5D" w:rsidRPr="00DB7156">
        <w:rPr>
          <w:rFonts w:ascii="Arial" w:hAnsi="Arial" w:cs="Arial"/>
          <w:sz w:val="24"/>
          <w:szCs w:val="24"/>
        </w:rPr>
        <w:t>On February 24, 2017, President Trump issued Executive Order (</w:t>
      </w:r>
      <w:r w:rsidR="00441FCB">
        <w:rPr>
          <w:rFonts w:ascii="Arial" w:hAnsi="Arial" w:cs="Arial"/>
          <w:sz w:val="24"/>
          <w:szCs w:val="24"/>
        </w:rPr>
        <w:t>“</w:t>
      </w:r>
      <w:r w:rsidR="005F0C5D" w:rsidRPr="00DB7156">
        <w:rPr>
          <w:rFonts w:ascii="Arial" w:hAnsi="Arial" w:cs="Arial"/>
          <w:sz w:val="24"/>
          <w:szCs w:val="24"/>
        </w:rPr>
        <w:t>EO</w:t>
      </w:r>
      <w:r w:rsidR="00441FCB">
        <w:rPr>
          <w:rFonts w:ascii="Arial" w:hAnsi="Arial" w:cs="Arial"/>
          <w:sz w:val="24"/>
          <w:szCs w:val="24"/>
        </w:rPr>
        <w:t>”</w:t>
      </w:r>
      <w:r w:rsidR="005F0C5D" w:rsidRPr="00DB7156">
        <w:rPr>
          <w:rFonts w:ascii="Arial" w:hAnsi="Arial" w:cs="Arial"/>
          <w:sz w:val="24"/>
          <w:szCs w:val="24"/>
        </w:rPr>
        <w:t>) 13777</w:t>
      </w:r>
      <w:r w:rsidR="00862EB5" w:rsidRPr="00DB7156">
        <w:rPr>
          <w:rFonts w:ascii="Arial" w:hAnsi="Arial" w:cs="Arial"/>
          <w:sz w:val="24"/>
          <w:szCs w:val="24"/>
        </w:rPr>
        <w:t>,</w:t>
      </w:r>
      <w:r w:rsidR="005F0C5D" w:rsidRPr="00DB7156">
        <w:rPr>
          <w:rFonts w:ascii="Arial" w:hAnsi="Arial" w:cs="Arial"/>
          <w:sz w:val="24"/>
          <w:szCs w:val="24"/>
        </w:rPr>
        <w:t xml:space="preserve"> “Enforcing the Regulatory Reform Agenda.” Th</w:t>
      </w:r>
      <w:r w:rsidR="00841C94" w:rsidRPr="00DB7156">
        <w:rPr>
          <w:rFonts w:ascii="Arial" w:hAnsi="Arial" w:cs="Arial"/>
          <w:sz w:val="24"/>
          <w:szCs w:val="24"/>
        </w:rPr>
        <w:t>e</w:t>
      </w:r>
      <w:r w:rsidR="005F0C5D" w:rsidRPr="00DB7156">
        <w:rPr>
          <w:rFonts w:ascii="Arial" w:hAnsi="Arial" w:cs="Arial"/>
          <w:sz w:val="24"/>
          <w:szCs w:val="24"/>
        </w:rPr>
        <w:t xml:space="preserve"> EO is designed to reduce regulatory burdens agencies place on the American people and directs agencies to undertake several activities to further this goal. As a result of this EO, EPA published in the Federal Register a request for comment on regulations that may be appropriate for repeal, replacement, or modification.</w:t>
      </w:r>
    </w:p>
    <w:p w14:paraId="233892A9" w14:textId="374AFBCB" w:rsidR="00361FB0" w:rsidRPr="00DB7156" w:rsidRDefault="00361FB0" w:rsidP="00DB7156">
      <w:pPr>
        <w:spacing w:after="0" w:line="240" w:lineRule="auto"/>
        <w:jc w:val="both"/>
        <w:rPr>
          <w:rFonts w:ascii="Arial" w:hAnsi="Arial" w:cs="Arial"/>
          <w:sz w:val="24"/>
          <w:szCs w:val="24"/>
        </w:rPr>
      </w:pPr>
    </w:p>
    <w:p w14:paraId="52AA6F90" w14:textId="4C3D7479" w:rsidR="00361FB0" w:rsidRPr="00DB7156" w:rsidDel="00B604AD" w:rsidRDefault="00361FB0" w:rsidP="00DB7156">
      <w:pPr>
        <w:spacing w:after="0" w:line="240" w:lineRule="auto"/>
        <w:jc w:val="both"/>
        <w:rPr>
          <w:rFonts w:ascii="Arial" w:hAnsi="Arial" w:cs="Arial"/>
          <w:sz w:val="24"/>
          <w:szCs w:val="24"/>
        </w:rPr>
      </w:pPr>
      <w:r w:rsidRPr="00DB7156">
        <w:rPr>
          <w:rFonts w:ascii="Arial" w:hAnsi="Arial" w:cs="Arial"/>
          <w:sz w:val="24"/>
          <w:szCs w:val="24"/>
        </w:rPr>
        <w:t xml:space="preserve">On February 28, 2017, President Trump issued </w:t>
      </w:r>
      <w:r w:rsidR="00441FCB">
        <w:rPr>
          <w:rFonts w:ascii="Arial" w:hAnsi="Arial" w:cs="Arial"/>
          <w:sz w:val="24"/>
          <w:szCs w:val="24"/>
        </w:rPr>
        <w:t>EO</w:t>
      </w:r>
      <w:r w:rsidRPr="00DB7156">
        <w:rPr>
          <w:rFonts w:ascii="Arial" w:hAnsi="Arial" w:cs="Arial"/>
          <w:sz w:val="24"/>
          <w:szCs w:val="24"/>
        </w:rPr>
        <w:t xml:space="preserve"> 13778</w:t>
      </w:r>
      <w:r w:rsidR="00841C94" w:rsidRPr="00DB7156">
        <w:rPr>
          <w:rFonts w:ascii="Arial" w:hAnsi="Arial" w:cs="Arial"/>
          <w:sz w:val="24"/>
          <w:szCs w:val="24"/>
        </w:rPr>
        <w:t>, “Restoring the Rule of Law, Federalism, and Economic Growth by Reviewing the ‘Waters of the United States’ Rule”.</w:t>
      </w:r>
      <w:r w:rsidRPr="00DB7156">
        <w:rPr>
          <w:rFonts w:ascii="Arial" w:hAnsi="Arial" w:cs="Arial"/>
          <w:sz w:val="24"/>
          <w:szCs w:val="24"/>
        </w:rPr>
        <w:t xml:space="preserve"> </w:t>
      </w:r>
      <w:r w:rsidR="00841C94" w:rsidRPr="00DB7156">
        <w:rPr>
          <w:rFonts w:ascii="Arial" w:hAnsi="Arial" w:cs="Arial"/>
          <w:sz w:val="24"/>
          <w:szCs w:val="24"/>
        </w:rPr>
        <w:t>The EO directs</w:t>
      </w:r>
      <w:r w:rsidRPr="00DB7156">
        <w:rPr>
          <w:rFonts w:ascii="Arial" w:hAnsi="Arial" w:cs="Arial"/>
          <w:sz w:val="24"/>
        </w:rPr>
        <w:t xml:space="preserve"> EPA and the U.S. Corps of Engineers </w:t>
      </w:r>
      <w:r w:rsidRPr="00DB7156">
        <w:rPr>
          <w:rFonts w:ascii="Arial" w:hAnsi="Arial" w:cs="Arial"/>
          <w:sz w:val="24"/>
          <w:szCs w:val="24"/>
        </w:rPr>
        <w:t xml:space="preserve">to review the 2015 WOTUS </w:t>
      </w:r>
      <w:r w:rsidR="00841C94" w:rsidRPr="00DB7156">
        <w:rPr>
          <w:rFonts w:ascii="Arial" w:hAnsi="Arial" w:cs="Arial"/>
          <w:sz w:val="24"/>
          <w:szCs w:val="24"/>
        </w:rPr>
        <w:t xml:space="preserve">Rule and propose a rule rescinding or revising the rule. </w:t>
      </w:r>
    </w:p>
    <w:p w14:paraId="0FDC9FCF" w14:textId="77777777" w:rsidR="00B604AD" w:rsidRPr="00DB7156" w:rsidRDefault="00B604AD" w:rsidP="00DB7156">
      <w:pPr>
        <w:spacing w:after="0" w:line="240" w:lineRule="auto"/>
        <w:jc w:val="both"/>
        <w:rPr>
          <w:rFonts w:ascii="Arial" w:hAnsi="Arial" w:cs="Arial"/>
          <w:color w:val="000080"/>
          <w:sz w:val="24"/>
          <w:szCs w:val="24"/>
        </w:rPr>
      </w:pPr>
    </w:p>
    <w:p w14:paraId="74C269E9" w14:textId="6CAA1707" w:rsidR="00E31A3F" w:rsidRPr="00DB7156" w:rsidRDefault="005F0C5D" w:rsidP="00DB7156">
      <w:pPr>
        <w:spacing w:after="0" w:line="240" w:lineRule="auto"/>
        <w:jc w:val="both"/>
        <w:rPr>
          <w:rFonts w:ascii="Arial" w:hAnsi="Arial" w:cs="Arial"/>
          <w:sz w:val="24"/>
          <w:szCs w:val="24"/>
        </w:rPr>
      </w:pPr>
      <w:r w:rsidRPr="00DB7156">
        <w:rPr>
          <w:rFonts w:ascii="Arial" w:hAnsi="Arial" w:cs="Arial"/>
          <w:sz w:val="24"/>
          <w:szCs w:val="24"/>
        </w:rPr>
        <w:t xml:space="preserve">On March 28, 2017, President Trump issued </w:t>
      </w:r>
      <w:r w:rsidR="00441FCB">
        <w:rPr>
          <w:rFonts w:ascii="Arial" w:hAnsi="Arial" w:cs="Arial"/>
          <w:sz w:val="24"/>
          <w:szCs w:val="24"/>
        </w:rPr>
        <w:t>EO</w:t>
      </w:r>
      <w:r w:rsidRPr="00DB7156">
        <w:rPr>
          <w:rFonts w:ascii="Arial" w:hAnsi="Arial" w:cs="Arial"/>
          <w:sz w:val="24"/>
          <w:szCs w:val="24"/>
        </w:rPr>
        <w:t xml:space="preserve"> 13783 “Promoting Energy Independence and Economic Growth.” This EO highlights the development of U.S. energy resources as a national interest. It instructs federal agencies </w:t>
      </w:r>
      <w:r w:rsidR="00B04FB8" w:rsidRPr="00DB7156">
        <w:rPr>
          <w:rFonts w:ascii="Arial" w:hAnsi="Arial" w:cs="Arial"/>
          <w:sz w:val="24"/>
          <w:szCs w:val="24"/>
        </w:rPr>
        <w:t xml:space="preserve">to </w:t>
      </w:r>
      <w:r w:rsidRPr="00DB7156">
        <w:rPr>
          <w:rFonts w:ascii="Arial" w:hAnsi="Arial" w:cs="Arial"/>
          <w:sz w:val="24"/>
          <w:szCs w:val="24"/>
        </w:rPr>
        <w:t>review all existing regulations, orders, guidance documents, policies, and any other similar agency actions that potentially burden U.S. energy resources. In this EO, a number of CO</w:t>
      </w:r>
      <w:r w:rsidRPr="00DB7156">
        <w:rPr>
          <w:rFonts w:ascii="Arial" w:hAnsi="Arial" w:cs="Arial"/>
          <w:sz w:val="24"/>
          <w:szCs w:val="24"/>
          <w:vertAlign w:val="subscript"/>
        </w:rPr>
        <w:t>2</w:t>
      </w:r>
      <w:r w:rsidRPr="00DB7156">
        <w:rPr>
          <w:rFonts w:ascii="Arial" w:hAnsi="Arial" w:cs="Arial"/>
          <w:sz w:val="24"/>
          <w:szCs w:val="24"/>
        </w:rPr>
        <w:t>-related EOs, memorandums, reports, and guidance are revoked or rescinded, and CO</w:t>
      </w:r>
      <w:r w:rsidRPr="00DB7156">
        <w:rPr>
          <w:rFonts w:ascii="Arial" w:hAnsi="Arial" w:cs="Arial"/>
          <w:sz w:val="24"/>
          <w:szCs w:val="24"/>
          <w:vertAlign w:val="subscript"/>
        </w:rPr>
        <w:t>2</w:t>
      </w:r>
      <w:r w:rsidRPr="00DB7156">
        <w:rPr>
          <w:rFonts w:ascii="Arial" w:hAnsi="Arial" w:cs="Arial"/>
          <w:sz w:val="24"/>
          <w:szCs w:val="24"/>
        </w:rPr>
        <w:t>-related regulation</w:t>
      </w:r>
      <w:r w:rsidR="00667467" w:rsidRPr="00DB7156">
        <w:rPr>
          <w:rFonts w:ascii="Arial" w:hAnsi="Arial" w:cs="Arial"/>
          <w:sz w:val="24"/>
          <w:szCs w:val="24"/>
        </w:rPr>
        <w:t>s are identified as needing immediate agency review</w:t>
      </w:r>
      <w:r w:rsidRPr="00DB7156">
        <w:rPr>
          <w:rFonts w:ascii="Arial" w:hAnsi="Arial" w:cs="Arial"/>
          <w:sz w:val="24"/>
          <w:szCs w:val="24"/>
        </w:rPr>
        <w:t>.</w:t>
      </w:r>
      <w:r w:rsidR="00841C94" w:rsidRPr="00DB7156">
        <w:rPr>
          <w:rFonts w:ascii="Arial" w:hAnsi="Arial" w:cs="Arial"/>
          <w:sz w:val="24"/>
          <w:szCs w:val="24"/>
        </w:rPr>
        <w:t xml:space="preserve"> As a result, in October 2017, EPA proposed a rule to repeal the CPP.</w:t>
      </w:r>
    </w:p>
    <w:p w14:paraId="23480F3B" w14:textId="77777777" w:rsidR="00E31A3F" w:rsidRPr="00DB7156" w:rsidRDefault="00E31A3F" w:rsidP="00DB7156">
      <w:pPr>
        <w:autoSpaceDE w:val="0"/>
        <w:autoSpaceDN w:val="0"/>
        <w:adjustRightInd w:val="0"/>
        <w:spacing w:after="0" w:line="240" w:lineRule="auto"/>
        <w:jc w:val="both"/>
        <w:outlineLvl w:val="1"/>
        <w:rPr>
          <w:rFonts w:ascii="Arial" w:hAnsi="Arial" w:cs="Arial"/>
          <w:b/>
          <w:bCs/>
          <w:color w:val="000080"/>
          <w:sz w:val="24"/>
          <w:szCs w:val="24"/>
        </w:rPr>
      </w:pPr>
    </w:p>
    <w:p w14:paraId="22BA4F02" w14:textId="77777777"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36" w:name="_Toc496107741"/>
      <w:bookmarkStart w:id="37" w:name="_Toc527987329"/>
      <w:bookmarkStart w:id="38" w:name="_Toc527983876"/>
      <w:bookmarkStart w:id="39" w:name="_Toc530487259"/>
      <w:bookmarkStart w:id="40" w:name="_Toc535908127"/>
      <w:r w:rsidRPr="00DB7156">
        <w:rPr>
          <w:rFonts w:ascii="Arial" w:hAnsi="Arial" w:cs="Arial"/>
          <w:b/>
          <w:bCs/>
          <w:color w:val="000080"/>
          <w:sz w:val="24"/>
          <w:szCs w:val="24"/>
        </w:rPr>
        <w:t>2.2</w:t>
      </w:r>
      <w:r w:rsidRPr="00DB7156">
        <w:rPr>
          <w:rFonts w:ascii="Arial" w:hAnsi="Arial" w:cs="Arial"/>
          <w:b/>
          <w:bCs/>
          <w:color w:val="000080"/>
          <w:sz w:val="24"/>
          <w:szCs w:val="24"/>
        </w:rPr>
        <w:tab/>
        <w:t>Acid Rain Program</w:t>
      </w:r>
      <w:bookmarkEnd w:id="36"/>
      <w:bookmarkEnd w:id="37"/>
      <w:bookmarkEnd w:id="38"/>
      <w:bookmarkEnd w:id="39"/>
      <w:bookmarkEnd w:id="40"/>
    </w:p>
    <w:p w14:paraId="22BA4F03" w14:textId="77777777" w:rsidR="00FC67F9" w:rsidRPr="00DB7156" w:rsidRDefault="00FC67F9" w:rsidP="00DB7156">
      <w:pPr>
        <w:spacing w:after="0" w:line="240" w:lineRule="auto"/>
        <w:jc w:val="both"/>
        <w:rPr>
          <w:rFonts w:ascii="Arial" w:hAnsi="Arial" w:cs="Arial"/>
          <w:sz w:val="24"/>
          <w:szCs w:val="24"/>
        </w:rPr>
      </w:pPr>
    </w:p>
    <w:p w14:paraId="22BA4F04" w14:textId="0CD01938" w:rsidR="00701FBE" w:rsidRPr="00DB7156" w:rsidRDefault="00FC67F9" w:rsidP="00DB7156">
      <w:pPr>
        <w:widowControl w:val="0"/>
        <w:tabs>
          <w:tab w:val="left" w:pos="360"/>
        </w:tabs>
        <w:spacing w:after="0" w:line="240" w:lineRule="auto"/>
        <w:jc w:val="both"/>
        <w:rPr>
          <w:rFonts w:ascii="Arial" w:hAnsi="Arial" w:cs="Arial"/>
          <w:sz w:val="24"/>
          <w:szCs w:val="24"/>
        </w:rPr>
      </w:pPr>
      <w:r w:rsidRPr="00DB7156">
        <w:rPr>
          <w:rFonts w:ascii="Arial" w:hAnsi="Arial" w:cs="Arial"/>
          <w:sz w:val="24"/>
          <w:szCs w:val="24"/>
        </w:rPr>
        <w:t xml:space="preserve">For </w:t>
      </w:r>
      <w:r w:rsidR="004B6EE1" w:rsidRPr="00DB7156">
        <w:rPr>
          <w:rFonts w:ascii="Arial" w:hAnsi="Arial" w:cs="Arial"/>
          <w:sz w:val="24"/>
          <w:szCs w:val="24"/>
        </w:rPr>
        <w:t>nearly 30</w:t>
      </w:r>
      <w:r w:rsidRPr="00DB7156">
        <w:rPr>
          <w:rFonts w:ascii="Arial" w:hAnsi="Arial" w:cs="Arial"/>
          <w:sz w:val="24"/>
          <w:szCs w:val="24"/>
        </w:rPr>
        <w:t xml:space="preserve"> years, </w:t>
      </w:r>
      <w:r w:rsidR="00B44E5E">
        <w:rPr>
          <w:rFonts w:ascii="Arial" w:hAnsi="Arial" w:cs="Arial"/>
          <w:sz w:val="24"/>
          <w:szCs w:val="24"/>
        </w:rPr>
        <w:t>Georgia Power</w:t>
      </w:r>
      <w:r w:rsidRPr="00DB7156">
        <w:rPr>
          <w:rFonts w:ascii="Arial" w:hAnsi="Arial" w:cs="Arial"/>
          <w:sz w:val="24"/>
          <w:szCs w:val="24"/>
        </w:rPr>
        <w:t xml:space="preserve"> has been planning and implementing measures to comply with the requirements of the Acid Rain </w:t>
      </w:r>
      <w:r w:rsidR="00732EA8" w:rsidRPr="00DB7156">
        <w:rPr>
          <w:rFonts w:ascii="Arial" w:hAnsi="Arial" w:cs="Arial"/>
          <w:sz w:val="24"/>
          <w:szCs w:val="24"/>
        </w:rPr>
        <w:t>Program</w:t>
      </w:r>
      <w:r w:rsidRPr="00DB7156">
        <w:rPr>
          <w:rFonts w:ascii="Arial" w:hAnsi="Arial" w:cs="Arial"/>
          <w:sz w:val="24"/>
          <w:szCs w:val="24"/>
        </w:rPr>
        <w:t>. Reductions in SO</w:t>
      </w:r>
      <w:r w:rsidRPr="00DB7156">
        <w:rPr>
          <w:rFonts w:ascii="Arial" w:hAnsi="Arial" w:cs="Arial"/>
          <w:sz w:val="24"/>
          <w:szCs w:val="24"/>
          <w:vertAlign w:val="subscript"/>
        </w:rPr>
        <w:t xml:space="preserve">2 </w:t>
      </w:r>
      <w:r w:rsidRPr="00DB7156">
        <w:rPr>
          <w:rFonts w:ascii="Arial" w:hAnsi="Arial" w:cs="Arial"/>
          <w:sz w:val="24"/>
          <w:szCs w:val="24"/>
        </w:rPr>
        <w:t>and NO</w:t>
      </w:r>
      <w:r w:rsidRPr="00DB7156">
        <w:rPr>
          <w:rFonts w:ascii="Arial" w:hAnsi="Arial" w:cs="Arial"/>
          <w:sz w:val="24"/>
          <w:szCs w:val="24"/>
          <w:vertAlign w:val="subscript"/>
        </w:rPr>
        <w:t>X</w:t>
      </w:r>
      <w:r w:rsidRPr="00DB7156">
        <w:rPr>
          <w:rFonts w:ascii="Arial" w:hAnsi="Arial" w:cs="Arial"/>
          <w:sz w:val="24"/>
          <w:szCs w:val="24"/>
        </w:rPr>
        <w:t xml:space="preserve"> under the program were required in two phases – Phase I, beginning in 1995 and Phase II, beginning in 2000.  Under the program, EPA issues emissions allowances for SO</w:t>
      </w:r>
      <w:r w:rsidRPr="00DB7156">
        <w:rPr>
          <w:rFonts w:ascii="Arial" w:hAnsi="Arial" w:cs="Arial"/>
          <w:sz w:val="24"/>
          <w:szCs w:val="24"/>
          <w:vertAlign w:val="subscript"/>
        </w:rPr>
        <w:t>2</w:t>
      </w:r>
      <w:r w:rsidRPr="00DB7156">
        <w:rPr>
          <w:rFonts w:ascii="Arial" w:hAnsi="Arial" w:cs="Arial"/>
          <w:sz w:val="24"/>
          <w:szCs w:val="24"/>
        </w:rPr>
        <w:t xml:space="preserve"> and requires that regulated units demonstrate that they have sufficient allowances to cover their SO</w:t>
      </w:r>
      <w:r w:rsidRPr="00DB7156">
        <w:rPr>
          <w:rFonts w:ascii="Arial" w:hAnsi="Arial" w:cs="Arial"/>
          <w:sz w:val="24"/>
          <w:szCs w:val="24"/>
          <w:vertAlign w:val="subscript"/>
        </w:rPr>
        <w:t>2</w:t>
      </w:r>
      <w:r w:rsidRPr="00DB7156">
        <w:rPr>
          <w:rFonts w:ascii="Arial" w:hAnsi="Arial" w:cs="Arial"/>
          <w:sz w:val="24"/>
          <w:szCs w:val="24"/>
        </w:rPr>
        <w:t xml:space="preserve"> emissions for each year. The regulations also set limitations on NO</w:t>
      </w:r>
      <w:r w:rsidRPr="00DB7156">
        <w:rPr>
          <w:rFonts w:ascii="Arial" w:hAnsi="Arial" w:cs="Arial"/>
          <w:sz w:val="24"/>
          <w:szCs w:val="24"/>
          <w:vertAlign w:val="subscript"/>
        </w:rPr>
        <w:t>X</w:t>
      </w:r>
      <w:r w:rsidRPr="00DB7156">
        <w:rPr>
          <w:rFonts w:ascii="Arial" w:hAnsi="Arial" w:cs="Arial"/>
          <w:sz w:val="24"/>
          <w:szCs w:val="24"/>
        </w:rPr>
        <w:t xml:space="preserve"> emissions.</w:t>
      </w:r>
      <w:r w:rsidR="006D33C2" w:rsidRPr="00DB7156">
        <w:rPr>
          <w:rFonts w:ascii="Arial" w:hAnsi="Arial" w:cs="Arial"/>
          <w:sz w:val="24"/>
          <w:szCs w:val="24"/>
        </w:rPr>
        <w:t xml:space="preserve"> </w:t>
      </w:r>
      <w:r w:rsidR="006A29FE" w:rsidRPr="00DB7156">
        <w:rPr>
          <w:rFonts w:ascii="Arial" w:hAnsi="Arial" w:cs="Arial"/>
          <w:sz w:val="24"/>
          <w:szCs w:val="24"/>
        </w:rPr>
        <w:t>This program allows p</w:t>
      </w:r>
      <w:r w:rsidR="006D33C2" w:rsidRPr="00DB7156">
        <w:rPr>
          <w:rFonts w:ascii="Arial" w:hAnsi="Arial" w:cs="Arial"/>
          <w:sz w:val="24"/>
          <w:szCs w:val="24"/>
        </w:rPr>
        <w:t xml:space="preserve">lants </w:t>
      </w:r>
      <w:r w:rsidR="006A29FE" w:rsidRPr="00DB7156">
        <w:rPr>
          <w:rFonts w:ascii="Arial" w:hAnsi="Arial" w:cs="Arial"/>
          <w:sz w:val="24"/>
          <w:szCs w:val="24"/>
        </w:rPr>
        <w:t>to</w:t>
      </w:r>
      <w:r w:rsidR="006D33C2" w:rsidRPr="00DB7156">
        <w:rPr>
          <w:rFonts w:ascii="Arial" w:hAnsi="Arial" w:cs="Arial"/>
          <w:sz w:val="24"/>
          <w:szCs w:val="24"/>
        </w:rPr>
        <w:t xml:space="preserve"> comply with the NOx limits individually, but also </w:t>
      </w:r>
      <w:r w:rsidR="006A29FE" w:rsidRPr="00DB7156">
        <w:rPr>
          <w:rFonts w:ascii="Arial" w:hAnsi="Arial" w:cs="Arial"/>
          <w:sz w:val="24"/>
          <w:szCs w:val="24"/>
        </w:rPr>
        <w:t>provides</w:t>
      </w:r>
      <w:r w:rsidR="006D33C2" w:rsidRPr="00DB7156">
        <w:rPr>
          <w:rFonts w:ascii="Arial" w:hAnsi="Arial" w:cs="Arial"/>
          <w:sz w:val="24"/>
          <w:szCs w:val="24"/>
        </w:rPr>
        <w:t xml:space="preserve"> the option to comply through an averaging plan across multiple units. </w:t>
      </w:r>
    </w:p>
    <w:p w14:paraId="22BA4F05" w14:textId="77777777" w:rsidR="00FC67F9" w:rsidRPr="00DB7156" w:rsidRDefault="00FC67F9" w:rsidP="00DB7156">
      <w:pPr>
        <w:autoSpaceDE w:val="0"/>
        <w:autoSpaceDN w:val="0"/>
        <w:adjustRightInd w:val="0"/>
        <w:spacing w:after="0" w:line="240" w:lineRule="auto"/>
        <w:jc w:val="both"/>
        <w:rPr>
          <w:rFonts w:ascii="Arial" w:hAnsi="Arial" w:cs="Arial"/>
          <w:b/>
          <w:color w:val="FF0000"/>
          <w:sz w:val="28"/>
          <w:szCs w:val="28"/>
        </w:rPr>
      </w:pPr>
    </w:p>
    <w:p w14:paraId="22BA4F06" w14:textId="3DFABE8F"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41" w:name="_Toc496107742"/>
      <w:bookmarkStart w:id="42" w:name="_Toc527987330"/>
      <w:bookmarkStart w:id="43" w:name="_Toc527983877"/>
      <w:bookmarkStart w:id="44" w:name="_Toc530487260"/>
      <w:bookmarkStart w:id="45" w:name="_Toc535908128"/>
      <w:r w:rsidRPr="00DB7156">
        <w:rPr>
          <w:rFonts w:ascii="Arial" w:hAnsi="Arial" w:cs="Arial"/>
          <w:b/>
          <w:bCs/>
          <w:color w:val="000080"/>
          <w:sz w:val="24"/>
          <w:szCs w:val="24"/>
        </w:rPr>
        <w:t>2.3</w:t>
      </w:r>
      <w:r w:rsidRPr="00DB7156">
        <w:rPr>
          <w:rFonts w:ascii="Arial" w:hAnsi="Arial" w:cs="Arial"/>
          <w:b/>
          <w:bCs/>
          <w:color w:val="000080"/>
          <w:sz w:val="24"/>
          <w:szCs w:val="24"/>
        </w:rPr>
        <w:tab/>
      </w:r>
      <w:r w:rsidR="00B04FB8" w:rsidRPr="00DB7156">
        <w:rPr>
          <w:rFonts w:ascii="Arial" w:hAnsi="Arial" w:cs="Arial"/>
          <w:b/>
          <w:bCs/>
          <w:color w:val="000080"/>
          <w:sz w:val="24"/>
          <w:szCs w:val="24"/>
        </w:rPr>
        <w:t xml:space="preserve">National </w:t>
      </w:r>
      <w:r w:rsidRPr="00DB7156">
        <w:rPr>
          <w:rFonts w:ascii="Arial" w:hAnsi="Arial" w:cs="Arial"/>
          <w:b/>
          <w:bCs/>
          <w:color w:val="000080"/>
          <w:sz w:val="24"/>
          <w:szCs w:val="24"/>
        </w:rPr>
        <w:t>Ambient Air Quality Standards</w:t>
      </w:r>
      <w:bookmarkEnd w:id="41"/>
      <w:bookmarkEnd w:id="42"/>
      <w:bookmarkEnd w:id="43"/>
      <w:bookmarkEnd w:id="44"/>
      <w:bookmarkEnd w:id="45"/>
    </w:p>
    <w:p w14:paraId="22BA4F07" w14:textId="77777777" w:rsidR="00FC67F9" w:rsidRPr="00DB7156" w:rsidRDefault="00FC67F9" w:rsidP="00DB7156">
      <w:pPr>
        <w:autoSpaceDE w:val="0"/>
        <w:autoSpaceDN w:val="0"/>
        <w:adjustRightInd w:val="0"/>
        <w:spacing w:after="0" w:line="240" w:lineRule="auto"/>
        <w:jc w:val="both"/>
        <w:rPr>
          <w:rFonts w:ascii="Arial" w:hAnsi="Arial" w:cs="Arial"/>
          <w:b/>
          <w:bCs/>
          <w:color w:val="000080"/>
          <w:sz w:val="24"/>
          <w:szCs w:val="24"/>
        </w:rPr>
      </w:pPr>
    </w:p>
    <w:p w14:paraId="22BA4F08" w14:textId="544255E9" w:rsidR="000F032F" w:rsidRPr="00DB7156" w:rsidRDefault="000F032F" w:rsidP="00DB7156">
      <w:pPr>
        <w:autoSpaceDE w:val="0"/>
        <w:autoSpaceDN w:val="0"/>
        <w:adjustRightInd w:val="0"/>
        <w:spacing w:after="0" w:line="240" w:lineRule="auto"/>
        <w:jc w:val="both"/>
        <w:rPr>
          <w:rFonts w:ascii="Arial" w:hAnsi="Arial" w:cs="Arial"/>
          <w:bCs/>
          <w:sz w:val="24"/>
          <w:szCs w:val="24"/>
        </w:rPr>
      </w:pPr>
      <w:r w:rsidRPr="00DB7156">
        <w:rPr>
          <w:rFonts w:ascii="Arial" w:hAnsi="Arial" w:cs="Arial"/>
          <w:bCs/>
          <w:sz w:val="24"/>
          <w:szCs w:val="24"/>
        </w:rPr>
        <w:t xml:space="preserve">The CAA specifically requires EPA to review the primary </w:t>
      </w:r>
      <w:r w:rsidR="000202D4" w:rsidRPr="00DB7156">
        <w:rPr>
          <w:rFonts w:ascii="Arial" w:hAnsi="Arial" w:cs="Arial"/>
          <w:bCs/>
          <w:sz w:val="24"/>
          <w:szCs w:val="24"/>
        </w:rPr>
        <w:t>and secondary</w:t>
      </w:r>
      <w:r w:rsidRPr="00DB7156">
        <w:rPr>
          <w:rFonts w:ascii="Arial" w:hAnsi="Arial" w:cs="Arial"/>
          <w:bCs/>
          <w:sz w:val="24"/>
          <w:szCs w:val="24"/>
        </w:rPr>
        <w:t xml:space="preserve"> NAAQS every </w:t>
      </w:r>
      <w:r w:rsidR="00441FCB">
        <w:rPr>
          <w:rFonts w:ascii="Arial" w:hAnsi="Arial" w:cs="Arial"/>
          <w:bCs/>
          <w:sz w:val="24"/>
          <w:szCs w:val="24"/>
        </w:rPr>
        <w:t>five</w:t>
      </w:r>
      <w:r w:rsidRPr="00DB7156">
        <w:rPr>
          <w:rFonts w:ascii="Arial" w:hAnsi="Arial" w:cs="Arial"/>
          <w:bCs/>
          <w:sz w:val="24"/>
          <w:szCs w:val="24"/>
        </w:rPr>
        <w:t xml:space="preserve"> years</w:t>
      </w:r>
      <w:r w:rsidR="000202D4" w:rsidRPr="00DB7156">
        <w:rPr>
          <w:rFonts w:ascii="Arial" w:hAnsi="Arial" w:cs="Arial"/>
          <w:bCs/>
          <w:sz w:val="24"/>
          <w:szCs w:val="24"/>
        </w:rPr>
        <w:t xml:space="preserve"> and to revise them as necessary</w:t>
      </w:r>
      <w:r w:rsidRPr="00DB7156">
        <w:rPr>
          <w:rFonts w:ascii="Arial" w:hAnsi="Arial" w:cs="Arial"/>
          <w:bCs/>
          <w:sz w:val="24"/>
          <w:szCs w:val="24"/>
        </w:rPr>
        <w:t xml:space="preserve">. These reviews have resulted in multiple, significant changes to the ozone and </w:t>
      </w:r>
      <w:r w:rsidR="00432F0E" w:rsidRPr="00DB7156">
        <w:rPr>
          <w:rFonts w:ascii="Arial" w:hAnsi="Arial" w:cs="Arial"/>
          <w:bCs/>
          <w:sz w:val="24"/>
          <w:szCs w:val="24"/>
        </w:rPr>
        <w:t>PM</w:t>
      </w:r>
      <w:r w:rsidRPr="00DB7156">
        <w:rPr>
          <w:rFonts w:ascii="Arial" w:hAnsi="Arial" w:cs="Arial"/>
          <w:bCs/>
          <w:sz w:val="24"/>
          <w:szCs w:val="24"/>
        </w:rPr>
        <w:t xml:space="preserve"> </w:t>
      </w:r>
      <w:r w:rsidR="00365F31" w:rsidRPr="00DB7156">
        <w:rPr>
          <w:rFonts w:ascii="Arial" w:hAnsi="Arial" w:cs="Arial"/>
          <w:bCs/>
          <w:sz w:val="24"/>
          <w:szCs w:val="24"/>
        </w:rPr>
        <w:t>NAAQS, and</w:t>
      </w:r>
      <w:r w:rsidR="00A701CC" w:rsidRPr="00DB7156">
        <w:rPr>
          <w:rFonts w:ascii="Arial" w:hAnsi="Arial" w:cs="Arial"/>
          <w:bCs/>
          <w:sz w:val="24"/>
          <w:szCs w:val="24"/>
        </w:rPr>
        <w:t xml:space="preserve"> </w:t>
      </w:r>
      <w:r w:rsidR="00546B6E" w:rsidRPr="00DB7156">
        <w:rPr>
          <w:rFonts w:ascii="Arial" w:hAnsi="Arial" w:cs="Arial"/>
          <w:bCs/>
          <w:sz w:val="24"/>
          <w:szCs w:val="24"/>
        </w:rPr>
        <w:t xml:space="preserve">the </w:t>
      </w:r>
      <w:r w:rsidR="004B6EE1" w:rsidRPr="00DB7156">
        <w:rPr>
          <w:rFonts w:ascii="Arial" w:hAnsi="Arial" w:cs="Arial"/>
          <w:bCs/>
          <w:sz w:val="24"/>
          <w:szCs w:val="24"/>
        </w:rPr>
        <w:t xml:space="preserve">addition of short-term primary </w:t>
      </w:r>
      <w:r w:rsidR="00546B6E" w:rsidRPr="00DB7156">
        <w:rPr>
          <w:rFonts w:ascii="Arial" w:hAnsi="Arial" w:cs="Arial"/>
          <w:bCs/>
          <w:sz w:val="24"/>
          <w:szCs w:val="24"/>
        </w:rPr>
        <w:t>SO</w:t>
      </w:r>
      <w:r w:rsidR="00EA4B45" w:rsidRPr="00DB7156">
        <w:rPr>
          <w:rFonts w:ascii="Arial" w:hAnsi="Arial" w:cs="Arial"/>
          <w:bCs/>
          <w:sz w:val="24"/>
          <w:szCs w:val="24"/>
          <w:vertAlign w:val="subscript"/>
        </w:rPr>
        <w:t>2</w:t>
      </w:r>
      <w:r w:rsidR="00A701CC" w:rsidRPr="00DB7156">
        <w:rPr>
          <w:rFonts w:ascii="Arial" w:hAnsi="Arial" w:cs="Arial"/>
          <w:bCs/>
          <w:sz w:val="24"/>
          <w:szCs w:val="24"/>
        </w:rPr>
        <w:t xml:space="preserve"> and </w:t>
      </w:r>
      <w:r w:rsidR="00546B6E" w:rsidRPr="00DB7156">
        <w:rPr>
          <w:rFonts w:ascii="Arial" w:hAnsi="Arial" w:cs="Arial"/>
          <w:bCs/>
          <w:sz w:val="24"/>
          <w:szCs w:val="24"/>
        </w:rPr>
        <w:t>NO</w:t>
      </w:r>
      <w:r w:rsidR="00EA4B45" w:rsidRPr="00DB7156">
        <w:rPr>
          <w:rFonts w:ascii="Arial" w:hAnsi="Arial" w:cs="Arial"/>
          <w:bCs/>
          <w:sz w:val="24"/>
          <w:szCs w:val="24"/>
          <w:vertAlign w:val="subscript"/>
        </w:rPr>
        <w:t>2</w:t>
      </w:r>
      <w:r w:rsidR="00546B6E" w:rsidRPr="00DB7156">
        <w:rPr>
          <w:rFonts w:ascii="Arial" w:hAnsi="Arial" w:cs="Arial"/>
          <w:bCs/>
          <w:sz w:val="24"/>
          <w:szCs w:val="24"/>
        </w:rPr>
        <w:t xml:space="preserve"> NAAQS.</w:t>
      </w:r>
      <w:r w:rsidRPr="00DB7156">
        <w:rPr>
          <w:rFonts w:ascii="Arial" w:hAnsi="Arial" w:cs="Arial"/>
          <w:bCs/>
          <w:sz w:val="24"/>
          <w:szCs w:val="24"/>
        </w:rPr>
        <w:t xml:space="preserve">  Implementing these standards is generally a state responsibility; however, EPA has also issued rules, such as the NO</w:t>
      </w:r>
      <w:r w:rsidRPr="00DB7156">
        <w:rPr>
          <w:rFonts w:ascii="Arial" w:hAnsi="Arial" w:cs="Arial"/>
          <w:bCs/>
          <w:sz w:val="24"/>
          <w:szCs w:val="24"/>
          <w:vertAlign w:val="subscript"/>
        </w:rPr>
        <w:t>x</w:t>
      </w:r>
      <w:r w:rsidRPr="00DB7156">
        <w:rPr>
          <w:rFonts w:ascii="Arial" w:hAnsi="Arial" w:cs="Arial"/>
          <w:bCs/>
          <w:sz w:val="24"/>
          <w:szCs w:val="24"/>
        </w:rPr>
        <w:t xml:space="preserve"> SIP Call, CAIR, and </w:t>
      </w:r>
      <w:r w:rsidR="00432F0E" w:rsidRPr="00DB7156">
        <w:rPr>
          <w:rFonts w:ascii="Arial" w:hAnsi="Arial" w:cs="Arial"/>
          <w:bCs/>
          <w:sz w:val="24"/>
          <w:szCs w:val="24"/>
        </w:rPr>
        <w:t>CSAPR</w:t>
      </w:r>
      <w:r w:rsidRPr="00DB7156">
        <w:rPr>
          <w:rFonts w:ascii="Arial" w:hAnsi="Arial" w:cs="Arial"/>
          <w:bCs/>
          <w:sz w:val="24"/>
          <w:szCs w:val="24"/>
        </w:rPr>
        <w:t xml:space="preserve">, that deal with the transport of pollutants on a regional or multi-state basis to facilitate attainment with the NAAQS.   </w:t>
      </w:r>
    </w:p>
    <w:p w14:paraId="22BA4F09" w14:textId="77777777" w:rsidR="00FC67F9" w:rsidRPr="00DB7156" w:rsidRDefault="00FC67F9" w:rsidP="00DB7156">
      <w:pPr>
        <w:autoSpaceDE w:val="0"/>
        <w:autoSpaceDN w:val="0"/>
        <w:adjustRightInd w:val="0"/>
        <w:spacing w:after="0" w:line="240" w:lineRule="auto"/>
        <w:jc w:val="both"/>
        <w:rPr>
          <w:rFonts w:ascii="Arial" w:hAnsi="Arial" w:cs="Arial"/>
          <w:bCs/>
          <w:sz w:val="24"/>
          <w:szCs w:val="24"/>
        </w:rPr>
      </w:pPr>
    </w:p>
    <w:p w14:paraId="22BA4F0A" w14:textId="77777777" w:rsidR="00FC67F9" w:rsidRPr="00DB7156" w:rsidRDefault="00FC67F9"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Ozone</w:t>
      </w:r>
    </w:p>
    <w:p w14:paraId="13624A2D" w14:textId="130F59FA" w:rsidR="0013436C" w:rsidRDefault="00786755" w:rsidP="00DB7156">
      <w:pPr>
        <w:spacing w:after="0" w:line="240" w:lineRule="auto"/>
        <w:jc w:val="both"/>
        <w:rPr>
          <w:rFonts w:ascii="Arial" w:hAnsi="Arial" w:cs="Arial"/>
          <w:sz w:val="24"/>
          <w:szCs w:val="24"/>
        </w:rPr>
      </w:pPr>
      <w:r w:rsidRPr="00DB7156">
        <w:rPr>
          <w:rFonts w:ascii="Arial" w:hAnsi="Arial" w:cs="Arial"/>
          <w:sz w:val="24"/>
          <w:szCs w:val="24"/>
        </w:rPr>
        <w:t xml:space="preserve">Ozone is formed by a chemical reaction in the atmosphere between </w:t>
      </w:r>
      <w:r w:rsidR="00FC67F9" w:rsidRPr="00DB7156">
        <w:rPr>
          <w:rFonts w:ascii="Arial" w:hAnsi="Arial" w:cs="Arial"/>
          <w:sz w:val="24"/>
          <w:szCs w:val="24"/>
        </w:rPr>
        <w:t>NO</w:t>
      </w:r>
      <w:r w:rsidR="00FC67F9" w:rsidRPr="00DB7156">
        <w:rPr>
          <w:rFonts w:ascii="Arial" w:hAnsi="Arial" w:cs="Arial"/>
          <w:sz w:val="24"/>
          <w:szCs w:val="24"/>
          <w:vertAlign w:val="subscript"/>
        </w:rPr>
        <w:t>X</w:t>
      </w:r>
      <w:r w:rsidR="00FC67F9" w:rsidRPr="00DB7156">
        <w:rPr>
          <w:rFonts w:ascii="Arial" w:hAnsi="Arial" w:cs="Arial"/>
          <w:sz w:val="24"/>
          <w:szCs w:val="24"/>
        </w:rPr>
        <w:t xml:space="preserve"> </w:t>
      </w:r>
      <w:r w:rsidRPr="00DB7156">
        <w:rPr>
          <w:rFonts w:ascii="Arial" w:hAnsi="Arial" w:cs="Arial"/>
          <w:sz w:val="24"/>
          <w:szCs w:val="24"/>
        </w:rPr>
        <w:t xml:space="preserve">and </w:t>
      </w:r>
      <w:r w:rsidR="00FC67F9" w:rsidRPr="00DB7156">
        <w:rPr>
          <w:rFonts w:ascii="Arial" w:hAnsi="Arial" w:cs="Arial"/>
          <w:sz w:val="24"/>
          <w:szCs w:val="24"/>
        </w:rPr>
        <w:t xml:space="preserve">volatile organic compounds </w:t>
      </w:r>
      <w:r w:rsidR="000202D4" w:rsidRPr="00DB7156">
        <w:rPr>
          <w:rFonts w:ascii="Arial" w:hAnsi="Arial" w:cs="Arial"/>
          <w:sz w:val="24"/>
          <w:szCs w:val="24"/>
        </w:rPr>
        <w:t>(</w:t>
      </w:r>
      <w:r w:rsidR="0058129C">
        <w:rPr>
          <w:rFonts w:ascii="Arial" w:hAnsi="Arial" w:cs="Arial"/>
          <w:sz w:val="24"/>
          <w:szCs w:val="24"/>
        </w:rPr>
        <w:t>“</w:t>
      </w:r>
      <w:r w:rsidR="000202D4" w:rsidRPr="00DB7156">
        <w:rPr>
          <w:rFonts w:ascii="Arial" w:hAnsi="Arial" w:cs="Arial"/>
          <w:sz w:val="24"/>
          <w:szCs w:val="24"/>
        </w:rPr>
        <w:t>VOCs</w:t>
      </w:r>
      <w:r w:rsidR="0058129C">
        <w:rPr>
          <w:rFonts w:ascii="Arial" w:hAnsi="Arial" w:cs="Arial"/>
          <w:sz w:val="24"/>
          <w:szCs w:val="24"/>
        </w:rPr>
        <w:t>”</w:t>
      </w:r>
      <w:r w:rsidR="000202D4" w:rsidRPr="00DB7156">
        <w:rPr>
          <w:rFonts w:ascii="Arial" w:hAnsi="Arial" w:cs="Arial"/>
          <w:sz w:val="24"/>
          <w:szCs w:val="24"/>
        </w:rPr>
        <w:t>)</w:t>
      </w:r>
      <w:r w:rsidR="00FC67F9" w:rsidRPr="00DB7156">
        <w:rPr>
          <w:rFonts w:ascii="Arial" w:hAnsi="Arial" w:cs="Arial"/>
          <w:sz w:val="24"/>
          <w:szCs w:val="24"/>
        </w:rPr>
        <w:t>.</w:t>
      </w:r>
      <w:r w:rsidR="00DF2D62" w:rsidRPr="00DB7156">
        <w:rPr>
          <w:rFonts w:ascii="Arial" w:hAnsi="Arial" w:cs="Arial"/>
          <w:sz w:val="24"/>
          <w:szCs w:val="24"/>
        </w:rPr>
        <w:t xml:space="preserve"> This reaction is driven by sunlight, and thus ozone formation is typically much more significant during the summer months.</w:t>
      </w:r>
      <w:r w:rsidR="00FC67F9" w:rsidRPr="00DB7156">
        <w:rPr>
          <w:rFonts w:ascii="Arial" w:hAnsi="Arial" w:cs="Arial"/>
          <w:sz w:val="24"/>
          <w:szCs w:val="24"/>
        </w:rPr>
        <w:t xml:space="preserve"> </w:t>
      </w:r>
      <w:r w:rsidR="00EC35B8" w:rsidRPr="00DB7156">
        <w:rPr>
          <w:rFonts w:ascii="Arial" w:hAnsi="Arial" w:cs="Arial"/>
          <w:sz w:val="24"/>
          <w:szCs w:val="24"/>
        </w:rPr>
        <w:t>In 1979, EP</w:t>
      </w:r>
      <w:r w:rsidR="00795A89" w:rsidRPr="00DB7156">
        <w:rPr>
          <w:rFonts w:ascii="Arial" w:hAnsi="Arial" w:cs="Arial"/>
          <w:sz w:val="24"/>
          <w:szCs w:val="24"/>
        </w:rPr>
        <w:t>A put into place a limit on 1-</w:t>
      </w:r>
      <w:r w:rsidR="00EC35B8" w:rsidRPr="00DB7156">
        <w:rPr>
          <w:rFonts w:ascii="Arial" w:hAnsi="Arial" w:cs="Arial"/>
          <w:sz w:val="24"/>
          <w:szCs w:val="24"/>
        </w:rPr>
        <w:t xml:space="preserve">hour ozone concentrations of 120 ppb. Subsequently, the </w:t>
      </w:r>
      <w:r w:rsidR="003F2B7C" w:rsidRPr="00DB7156">
        <w:rPr>
          <w:rFonts w:ascii="Arial" w:hAnsi="Arial" w:cs="Arial"/>
          <w:sz w:val="24"/>
          <w:szCs w:val="24"/>
        </w:rPr>
        <w:t>Agency</w:t>
      </w:r>
      <w:r w:rsidR="00EC35B8" w:rsidRPr="00DB7156">
        <w:rPr>
          <w:rFonts w:ascii="Arial" w:hAnsi="Arial" w:cs="Arial"/>
          <w:sz w:val="24"/>
          <w:szCs w:val="24"/>
        </w:rPr>
        <w:t xml:space="preserve"> </w:t>
      </w:r>
      <w:r w:rsidR="003509B6">
        <w:rPr>
          <w:rFonts w:ascii="Arial" w:hAnsi="Arial" w:cs="Arial"/>
          <w:sz w:val="24"/>
          <w:szCs w:val="24"/>
        </w:rPr>
        <w:t>replaced the 1-hour standard with an</w:t>
      </w:r>
      <w:r w:rsidR="00EC35B8" w:rsidRPr="00DB7156">
        <w:rPr>
          <w:rFonts w:ascii="Arial" w:hAnsi="Arial" w:cs="Arial"/>
          <w:sz w:val="24"/>
          <w:szCs w:val="24"/>
        </w:rPr>
        <w:t xml:space="preserve"> 8-</w:t>
      </w:r>
      <w:r w:rsidR="006C3706" w:rsidRPr="00DB7156">
        <w:rPr>
          <w:rFonts w:ascii="Arial" w:hAnsi="Arial" w:cs="Arial"/>
          <w:sz w:val="24"/>
          <w:szCs w:val="24"/>
        </w:rPr>
        <w:t>hour standard of 80 ppb in 1997</w:t>
      </w:r>
      <w:r w:rsidR="00EC173B">
        <w:rPr>
          <w:rFonts w:ascii="Arial" w:hAnsi="Arial" w:cs="Arial"/>
          <w:sz w:val="24"/>
          <w:szCs w:val="24"/>
        </w:rPr>
        <w:t>, which was lowered to 75 ppb in 2008</w:t>
      </w:r>
      <w:r w:rsidR="00EC35B8" w:rsidRPr="00DB7156">
        <w:rPr>
          <w:rFonts w:ascii="Arial" w:hAnsi="Arial" w:cs="Arial"/>
          <w:sz w:val="24"/>
          <w:szCs w:val="24"/>
        </w:rPr>
        <w:t>.</w:t>
      </w:r>
      <w:r w:rsidR="00FC67F9" w:rsidRPr="00DB7156">
        <w:rPr>
          <w:rFonts w:ascii="Arial" w:hAnsi="Arial" w:cs="Arial"/>
          <w:sz w:val="24"/>
          <w:szCs w:val="24"/>
        </w:rPr>
        <w:t xml:space="preserve">  </w:t>
      </w:r>
    </w:p>
    <w:p w14:paraId="6768EF1E" w14:textId="77777777" w:rsidR="0013436C" w:rsidRDefault="0013436C" w:rsidP="00DB7156">
      <w:pPr>
        <w:spacing w:after="0" w:line="240" w:lineRule="auto"/>
        <w:jc w:val="both"/>
        <w:rPr>
          <w:rFonts w:ascii="Arial" w:hAnsi="Arial" w:cs="Arial"/>
          <w:sz w:val="24"/>
          <w:szCs w:val="24"/>
        </w:rPr>
      </w:pPr>
    </w:p>
    <w:p w14:paraId="55FF82A9" w14:textId="2C5AAFB8" w:rsidR="0013436C" w:rsidRDefault="00EC173B" w:rsidP="00DB7156">
      <w:pPr>
        <w:spacing w:after="0" w:line="240" w:lineRule="auto"/>
        <w:jc w:val="both"/>
        <w:rPr>
          <w:rFonts w:ascii="Arial" w:hAnsi="Arial" w:cs="Arial"/>
          <w:sz w:val="24"/>
          <w:szCs w:val="24"/>
        </w:rPr>
      </w:pPr>
      <w:r>
        <w:rPr>
          <w:rFonts w:ascii="Arial" w:hAnsi="Arial" w:cs="Arial"/>
          <w:sz w:val="24"/>
          <w:szCs w:val="24"/>
        </w:rPr>
        <w:t xml:space="preserve">For each ozone standard, portions of the Atlanta metropolitan area </w:t>
      </w:r>
      <w:r w:rsidR="00321D60">
        <w:rPr>
          <w:rFonts w:ascii="Arial" w:hAnsi="Arial" w:cs="Arial"/>
          <w:sz w:val="24"/>
          <w:szCs w:val="24"/>
        </w:rPr>
        <w:t>were</w:t>
      </w:r>
      <w:r>
        <w:rPr>
          <w:rFonts w:ascii="Arial" w:hAnsi="Arial" w:cs="Arial"/>
          <w:sz w:val="24"/>
          <w:szCs w:val="24"/>
        </w:rPr>
        <w:t xml:space="preserve"> designated as nonattainment during </w:t>
      </w:r>
      <w:r w:rsidR="00B7348D">
        <w:rPr>
          <w:rFonts w:ascii="Arial" w:hAnsi="Arial" w:cs="Arial"/>
          <w:sz w:val="24"/>
          <w:szCs w:val="24"/>
        </w:rPr>
        <w:t>implementation</w:t>
      </w:r>
      <w:r>
        <w:rPr>
          <w:rFonts w:ascii="Arial" w:hAnsi="Arial" w:cs="Arial"/>
          <w:sz w:val="24"/>
          <w:szCs w:val="24"/>
        </w:rPr>
        <w:t xml:space="preserve">. However, those areas have </w:t>
      </w:r>
      <w:r w:rsidR="00CF644A">
        <w:rPr>
          <w:rFonts w:ascii="Arial" w:hAnsi="Arial" w:cs="Arial"/>
          <w:sz w:val="24"/>
          <w:szCs w:val="24"/>
        </w:rPr>
        <w:t xml:space="preserve">since </w:t>
      </w:r>
      <w:r>
        <w:rPr>
          <w:rFonts w:ascii="Arial" w:hAnsi="Arial" w:cs="Arial"/>
          <w:sz w:val="24"/>
          <w:szCs w:val="24"/>
        </w:rPr>
        <w:t>been redesignated to attainment for the 1979, 1997, and 2008 standards.</w:t>
      </w:r>
    </w:p>
    <w:p w14:paraId="22BA4F10" w14:textId="77777777" w:rsidR="00795A89" w:rsidRPr="00DB7156" w:rsidRDefault="00795A89" w:rsidP="00DB7156">
      <w:pPr>
        <w:spacing w:after="0" w:line="240" w:lineRule="auto"/>
        <w:jc w:val="both"/>
        <w:rPr>
          <w:rFonts w:ascii="Arial" w:hAnsi="Arial" w:cs="Arial"/>
        </w:rPr>
      </w:pPr>
    </w:p>
    <w:p w14:paraId="2E643674" w14:textId="77777777" w:rsidR="00A40796" w:rsidRDefault="00FB2844" w:rsidP="00A40796">
      <w:pPr>
        <w:tabs>
          <w:tab w:val="left" w:pos="3690"/>
        </w:tabs>
        <w:spacing w:after="0" w:line="240" w:lineRule="auto"/>
        <w:jc w:val="both"/>
        <w:rPr>
          <w:rFonts w:ascii="Arial" w:hAnsi="Arial" w:cs="Arial"/>
          <w:sz w:val="24"/>
          <w:szCs w:val="24"/>
        </w:rPr>
      </w:pPr>
      <w:r>
        <w:rPr>
          <w:rFonts w:ascii="Arial" w:hAnsi="Arial" w:cs="Arial"/>
          <w:sz w:val="24"/>
          <w:szCs w:val="24"/>
        </w:rPr>
        <w:t>In October</w:t>
      </w:r>
      <w:r w:rsidR="00806D0A" w:rsidRPr="00DB7156">
        <w:rPr>
          <w:rFonts w:ascii="Arial" w:hAnsi="Arial" w:cs="Arial"/>
          <w:sz w:val="24"/>
          <w:szCs w:val="24"/>
        </w:rPr>
        <w:t xml:space="preserve"> 2015, EPA </w:t>
      </w:r>
      <w:r w:rsidR="005E2B74" w:rsidRPr="00DB7156">
        <w:rPr>
          <w:rFonts w:ascii="Arial" w:hAnsi="Arial" w:cs="Arial"/>
          <w:sz w:val="24"/>
          <w:szCs w:val="24"/>
        </w:rPr>
        <w:t>lowered</w:t>
      </w:r>
      <w:r w:rsidR="00806D0A" w:rsidRPr="00DB7156">
        <w:rPr>
          <w:rFonts w:ascii="Arial" w:hAnsi="Arial" w:cs="Arial"/>
          <w:sz w:val="24"/>
          <w:szCs w:val="24"/>
        </w:rPr>
        <w:t xml:space="preserve"> the 8-hour primary standard from 75 to 70 ppb.</w:t>
      </w:r>
      <w:r w:rsidR="006C4207" w:rsidRPr="00DB7156">
        <w:rPr>
          <w:rFonts w:ascii="Arial" w:hAnsi="Arial" w:cs="Arial"/>
          <w:sz w:val="24"/>
          <w:szCs w:val="24"/>
        </w:rPr>
        <w:t xml:space="preserve"> </w:t>
      </w:r>
      <w:r w:rsidR="004D767B" w:rsidRPr="00DB7156">
        <w:rPr>
          <w:rFonts w:ascii="Arial" w:hAnsi="Arial" w:cs="Arial"/>
          <w:sz w:val="24"/>
          <w:szCs w:val="24"/>
        </w:rPr>
        <w:t xml:space="preserve">In several actions in late 2017 and early 2018, EPA </w:t>
      </w:r>
      <w:r w:rsidR="00DB177F" w:rsidRPr="00DB7156">
        <w:rPr>
          <w:rFonts w:ascii="Arial" w:hAnsi="Arial" w:cs="Arial"/>
          <w:sz w:val="24"/>
          <w:szCs w:val="24"/>
        </w:rPr>
        <w:t>finalized</w:t>
      </w:r>
      <w:r w:rsidR="004D767B" w:rsidRPr="00DB7156">
        <w:rPr>
          <w:rFonts w:ascii="Arial" w:hAnsi="Arial" w:cs="Arial"/>
          <w:sz w:val="24"/>
          <w:szCs w:val="24"/>
        </w:rPr>
        <w:t xml:space="preserve"> designations for all areas in Georgia, includi</w:t>
      </w:r>
      <w:r w:rsidR="00E26ECE" w:rsidRPr="00DB7156">
        <w:rPr>
          <w:rFonts w:ascii="Arial" w:hAnsi="Arial" w:cs="Arial"/>
          <w:sz w:val="24"/>
          <w:szCs w:val="24"/>
        </w:rPr>
        <w:t xml:space="preserve">ng designating seven counties in the </w:t>
      </w:r>
      <w:r w:rsidR="00DB177F" w:rsidRPr="00DB7156">
        <w:rPr>
          <w:rFonts w:ascii="Arial" w:hAnsi="Arial" w:cs="Arial"/>
          <w:sz w:val="24"/>
          <w:szCs w:val="24"/>
        </w:rPr>
        <w:t>Atlanta</w:t>
      </w:r>
      <w:r w:rsidR="00E26ECE" w:rsidRPr="00DB7156">
        <w:rPr>
          <w:rFonts w:ascii="Arial" w:hAnsi="Arial" w:cs="Arial"/>
          <w:sz w:val="24"/>
          <w:szCs w:val="24"/>
        </w:rPr>
        <w:t xml:space="preserve"> metropolitan area</w:t>
      </w:r>
      <w:r w:rsidR="005E2B74" w:rsidRPr="00DB7156">
        <w:rPr>
          <w:rFonts w:ascii="Arial" w:hAnsi="Arial" w:cs="Arial"/>
          <w:sz w:val="24"/>
          <w:szCs w:val="24"/>
        </w:rPr>
        <w:t xml:space="preserve"> as marginal nonattainment</w:t>
      </w:r>
      <w:r w:rsidR="00B657FD">
        <w:rPr>
          <w:rFonts w:ascii="Arial" w:hAnsi="Arial" w:cs="Arial"/>
          <w:sz w:val="24"/>
          <w:szCs w:val="24"/>
        </w:rPr>
        <w:t>.</w:t>
      </w:r>
      <w:r w:rsidR="00DB177F" w:rsidRPr="00DB7156">
        <w:rPr>
          <w:rFonts w:ascii="Arial" w:hAnsi="Arial" w:cs="Arial"/>
          <w:sz w:val="24"/>
          <w:szCs w:val="24"/>
        </w:rPr>
        <w:t xml:space="preserve"> </w:t>
      </w:r>
      <w:r w:rsidR="00B657FD">
        <w:rPr>
          <w:rFonts w:ascii="Arial" w:hAnsi="Arial" w:cs="Arial"/>
          <w:sz w:val="24"/>
          <w:szCs w:val="24"/>
        </w:rPr>
        <w:t xml:space="preserve">This seven county nonattainment designation </w:t>
      </w:r>
      <w:r w:rsidR="00DB177F" w:rsidRPr="00DB7156">
        <w:rPr>
          <w:rFonts w:ascii="Arial" w:hAnsi="Arial" w:cs="Arial"/>
          <w:sz w:val="24"/>
          <w:szCs w:val="24"/>
        </w:rPr>
        <w:t>was</w:t>
      </w:r>
      <w:r w:rsidR="00DB177F" w:rsidRPr="00DB7156">
        <w:rPr>
          <w:rFonts w:ascii="Arial" w:hAnsi="Arial" w:cs="Arial"/>
        </w:rPr>
        <w:t xml:space="preserve"> </w:t>
      </w:r>
      <w:r w:rsidR="00DB177F" w:rsidRPr="00DB7156">
        <w:rPr>
          <w:rFonts w:ascii="Arial" w:hAnsi="Arial" w:cs="Arial"/>
          <w:sz w:val="24"/>
          <w:szCs w:val="24"/>
        </w:rPr>
        <w:t xml:space="preserve">in agreement with Georgia EPD’s </w:t>
      </w:r>
      <w:r w:rsidR="00B7348D" w:rsidRPr="00DB7156">
        <w:rPr>
          <w:rFonts w:ascii="Arial" w:hAnsi="Arial" w:cs="Arial"/>
          <w:sz w:val="24"/>
          <w:szCs w:val="24"/>
        </w:rPr>
        <w:t>recommendation</w:t>
      </w:r>
      <w:r w:rsidR="00E26ECE" w:rsidRPr="00DB7156">
        <w:rPr>
          <w:rFonts w:ascii="Arial" w:hAnsi="Arial" w:cs="Arial"/>
          <w:sz w:val="24"/>
          <w:szCs w:val="24"/>
        </w:rPr>
        <w:t xml:space="preserve">. </w:t>
      </w:r>
      <w:r w:rsidR="008F4184" w:rsidRPr="00DB7156">
        <w:rPr>
          <w:rFonts w:ascii="Arial" w:hAnsi="Arial" w:cs="Arial"/>
          <w:sz w:val="24"/>
          <w:szCs w:val="24"/>
        </w:rPr>
        <w:t xml:space="preserve">The graphic </w:t>
      </w:r>
      <w:r w:rsidR="00441FCB">
        <w:rPr>
          <w:rFonts w:ascii="Arial" w:hAnsi="Arial" w:cs="Arial"/>
          <w:sz w:val="24"/>
          <w:szCs w:val="24"/>
        </w:rPr>
        <w:t xml:space="preserve">below </w:t>
      </w:r>
      <w:r w:rsidR="008F4184" w:rsidRPr="00DB7156">
        <w:rPr>
          <w:rFonts w:ascii="Arial" w:hAnsi="Arial" w:cs="Arial"/>
          <w:sz w:val="24"/>
          <w:szCs w:val="24"/>
        </w:rPr>
        <w:t xml:space="preserve">(Fig. 2.3-1) shows the </w:t>
      </w:r>
      <w:r w:rsidR="00DB177F" w:rsidRPr="00DB7156">
        <w:rPr>
          <w:rFonts w:ascii="Arial" w:hAnsi="Arial" w:cs="Arial"/>
          <w:sz w:val="24"/>
          <w:szCs w:val="24"/>
        </w:rPr>
        <w:t>final</w:t>
      </w:r>
      <w:r>
        <w:rPr>
          <w:rFonts w:ascii="Arial" w:hAnsi="Arial" w:cs="Arial"/>
          <w:sz w:val="24"/>
          <w:szCs w:val="24"/>
        </w:rPr>
        <w:t xml:space="preserve"> non</w:t>
      </w:r>
      <w:r w:rsidR="009936B5" w:rsidRPr="00DB7156">
        <w:rPr>
          <w:rFonts w:ascii="Arial" w:hAnsi="Arial" w:cs="Arial"/>
          <w:sz w:val="24"/>
          <w:szCs w:val="24"/>
        </w:rPr>
        <w:t>attainment</w:t>
      </w:r>
      <w:r w:rsidR="00DB177F" w:rsidRPr="00DB7156">
        <w:rPr>
          <w:rFonts w:ascii="Arial" w:hAnsi="Arial" w:cs="Arial"/>
          <w:sz w:val="24"/>
          <w:szCs w:val="24"/>
        </w:rPr>
        <w:t xml:space="preserve"> </w:t>
      </w:r>
      <w:r w:rsidR="00E26ECE" w:rsidRPr="00DB7156">
        <w:rPr>
          <w:rFonts w:ascii="Arial" w:hAnsi="Arial" w:cs="Arial"/>
          <w:sz w:val="24"/>
          <w:szCs w:val="24"/>
        </w:rPr>
        <w:t>designations for the 2015 ozone NAAQS</w:t>
      </w:r>
      <w:r w:rsidR="008F4184" w:rsidRPr="00DB7156">
        <w:rPr>
          <w:rFonts w:ascii="Arial" w:hAnsi="Arial" w:cs="Arial"/>
          <w:sz w:val="24"/>
          <w:szCs w:val="24"/>
        </w:rPr>
        <w:t>.</w:t>
      </w:r>
    </w:p>
    <w:p w14:paraId="20745249" w14:textId="77777777" w:rsidR="00A40796" w:rsidRDefault="00A40796" w:rsidP="00A40796">
      <w:pPr>
        <w:tabs>
          <w:tab w:val="left" w:pos="3690"/>
        </w:tabs>
        <w:spacing w:after="0" w:line="240" w:lineRule="auto"/>
        <w:jc w:val="both"/>
        <w:rPr>
          <w:rFonts w:ascii="Arial" w:hAnsi="Arial" w:cs="Arial"/>
          <w:sz w:val="24"/>
          <w:szCs w:val="24"/>
        </w:rPr>
      </w:pPr>
    </w:p>
    <w:p w14:paraId="1533B6D6" w14:textId="77777777" w:rsidR="00A40796" w:rsidRDefault="003A64AA" w:rsidP="00A40796">
      <w:pPr>
        <w:tabs>
          <w:tab w:val="left" w:pos="3690"/>
        </w:tabs>
        <w:spacing w:after="0" w:line="240" w:lineRule="auto"/>
        <w:jc w:val="center"/>
        <w:rPr>
          <w:rFonts w:ascii="Arial" w:hAnsi="Arial" w:cs="Arial"/>
          <w:b/>
          <w:sz w:val="24"/>
        </w:rPr>
      </w:pPr>
      <w:r w:rsidRPr="003A64AA">
        <w:rPr>
          <w:rFonts w:ascii="Arial" w:hAnsi="Arial" w:cs="Arial"/>
          <w:noProof/>
          <w:sz w:val="24"/>
          <w:szCs w:val="24"/>
        </w:rPr>
        <w:drawing>
          <wp:inline distT="0" distB="0" distL="0" distR="0" wp14:anchorId="225781DF" wp14:editId="0C8E65D6">
            <wp:extent cx="4338084" cy="4415483"/>
            <wp:effectExtent l="19050" t="19050" r="24765" b="2349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54105" cy="4431790"/>
                    </a:xfrm>
                    <a:prstGeom prst="rect">
                      <a:avLst/>
                    </a:prstGeom>
                    <a:ln>
                      <a:solidFill>
                        <a:schemeClr val="tx1"/>
                      </a:solidFill>
                    </a:ln>
                  </pic:spPr>
                </pic:pic>
              </a:graphicData>
            </a:graphic>
          </wp:inline>
        </w:drawing>
      </w:r>
      <w:bookmarkStart w:id="46" w:name="_Toc379523567"/>
      <w:bookmarkStart w:id="47" w:name="_Toc379985991"/>
      <w:bookmarkStart w:id="48" w:name="_Toc396658506"/>
    </w:p>
    <w:p w14:paraId="3C1032B5" w14:textId="77777777" w:rsidR="00A40796" w:rsidRDefault="00A40796" w:rsidP="00A40796">
      <w:pPr>
        <w:tabs>
          <w:tab w:val="left" w:pos="3690"/>
        </w:tabs>
        <w:spacing w:after="0" w:line="240" w:lineRule="auto"/>
        <w:jc w:val="both"/>
        <w:rPr>
          <w:rFonts w:ascii="Arial" w:hAnsi="Arial" w:cs="Arial"/>
          <w:b/>
          <w:sz w:val="24"/>
        </w:rPr>
      </w:pPr>
    </w:p>
    <w:p w14:paraId="22BA4F17" w14:textId="7BF9DFEB" w:rsidR="002446DE" w:rsidRPr="002A5004" w:rsidRDefault="002446DE" w:rsidP="00A40796">
      <w:pPr>
        <w:tabs>
          <w:tab w:val="left" w:pos="3690"/>
        </w:tabs>
        <w:spacing w:after="0" w:line="240" w:lineRule="auto"/>
        <w:jc w:val="both"/>
        <w:rPr>
          <w:rFonts w:ascii="Arial" w:hAnsi="Arial" w:cs="Arial"/>
          <w:b/>
          <w:sz w:val="24"/>
        </w:rPr>
      </w:pPr>
      <w:r w:rsidRPr="002A5004">
        <w:rPr>
          <w:rFonts w:ascii="Arial" w:hAnsi="Arial" w:cs="Arial"/>
          <w:b/>
          <w:sz w:val="24"/>
        </w:rPr>
        <w:t>Figure 2.3-</w:t>
      </w:r>
      <w:r w:rsidR="00865B68" w:rsidRPr="002A5004">
        <w:rPr>
          <w:rFonts w:ascii="Arial" w:hAnsi="Arial" w:cs="Arial"/>
          <w:b/>
          <w:sz w:val="24"/>
        </w:rPr>
        <w:t>1</w:t>
      </w:r>
      <w:r w:rsidRPr="002A5004">
        <w:rPr>
          <w:rFonts w:ascii="Arial" w:hAnsi="Arial" w:cs="Arial"/>
          <w:b/>
          <w:sz w:val="24"/>
        </w:rPr>
        <w:t xml:space="preserve">:  </w:t>
      </w:r>
      <w:r w:rsidR="00565170" w:rsidRPr="002A5004">
        <w:rPr>
          <w:rFonts w:ascii="Arial" w:hAnsi="Arial" w:cs="Arial"/>
          <w:b/>
          <w:sz w:val="24"/>
        </w:rPr>
        <w:t>Final EPA</w:t>
      </w:r>
      <w:r w:rsidR="009936B5" w:rsidRPr="002A5004">
        <w:rPr>
          <w:rFonts w:ascii="Arial" w:hAnsi="Arial" w:cs="Arial"/>
          <w:b/>
          <w:sz w:val="24"/>
        </w:rPr>
        <w:t xml:space="preserve"> Non-Attainment</w:t>
      </w:r>
      <w:r w:rsidR="00565170" w:rsidRPr="002A5004">
        <w:rPr>
          <w:rFonts w:ascii="Arial" w:hAnsi="Arial" w:cs="Arial"/>
          <w:b/>
          <w:sz w:val="24"/>
        </w:rPr>
        <w:t xml:space="preserve"> Designations for the State of Georgia</w:t>
      </w:r>
      <w:r w:rsidRPr="002A5004">
        <w:rPr>
          <w:rFonts w:ascii="Arial" w:hAnsi="Arial" w:cs="Arial"/>
          <w:b/>
          <w:sz w:val="24"/>
        </w:rPr>
        <w:t xml:space="preserve"> for </w:t>
      </w:r>
      <w:r w:rsidR="00481781" w:rsidRPr="002A5004">
        <w:rPr>
          <w:rFonts w:ascii="Arial" w:hAnsi="Arial" w:cs="Arial"/>
          <w:b/>
          <w:sz w:val="24"/>
        </w:rPr>
        <w:t xml:space="preserve">the </w:t>
      </w:r>
      <w:r w:rsidRPr="002A5004">
        <w:rPr>
          <w:rFonts w:ascii="Arial" w:hAnsi="Arial" w:cs="Arial"/>
          <w:b/>
          <w:sz w:val="24"/>
        </w:rPr>
        <w:t>2015 Ozone Standard</w:t>
      </w:r>
      <w:bookmarkEnd w:id="46"/>
      <w:bookmarkEnd w:id="47"/>
      <w:bookmarkEnd w:id="48"/>
    </w:p>
    <w:p w14:paraId="22BA4F1A" w14:textId="5197091F" w:rsidR="007B005E" w:rsidRPr="00DB7156" w:rsidRDefault="007B005E"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Particulate Matter</w:t>
      </w:r>
    </w:p>
    <w:p w14:paraId="22BA4F1D" w14:textId="4D9E3196" w:rsidR="005B05D3" w:rsidRPr="00DB7156" w:rsidRDefault="00BE2F21" w:rsidP="00DB7156">
      <w:pPr>
        <w:spacing w:after="0" w:line="240" w:lineRule="auto"/>
        <w:jc w:val="both"/>
        <w:rPr>
          <w:rFonts w:ascii="Arial" w:hAnsi="Arial" w:cs="Arial"/>
          <w:sz w:val="24"/>
        </w:rPr>
      </w:pPr>
      <w:r w:rsidRPr="00DB7156">
        <w:rPr>
          <w:rFonts w:ascii="Arial" w:hAnsi="Arial" w:cs="Arial"/>
          <w:sz w:val="24"/>
        </w:rPr>
        <w:t xml:space="preserve">In 1997, EPA </w:t>
      </w:r>
      <w:r w:rsidR="009F19B3" w:rsidRPr="00DB7156">
        <w:rPr>
          <w:rFonts w:ascii="Arial" w:hAnsi="Arial" w:cs="Arial"/>
          <w:sz w:val="24"/>
        </w:rPr>
        <w:t>revised the PM NAAQS to add fine particulate matter, i.e., PM</w:t>
      </w:r>
      <w:r w:rsidR="009F19B3" w:rsidRPr="00DB7156">
        <w:rPr>
          <w:rFonts w:ascii="Arial" w:hAnsi="Arial" w:cs="Arial"/>
          <w:sz w:val="24"/>
          <w:vertAlign w:val="subscript"/>
        </w:rPr>
        <w:t>2.5</w:t>
      </w:r>
      <w:r w:rsidR="009F19B3" w:rsidRPr="00DB7156">
        <w:rPr>
          <w:rFonts w:ascii="Arial" w:hAnsi="Arial" w:cs="Arial"/>
          <w:sz w:val="24"/>
        </w:rPr>
        <w:t xml:space="preserve">, as an indicator for the standard. The </w:t>
      </w:r>
      <w:r w:rsidR="002B2FAB" w:rsidRPr="00DB7156">
        <w:rPr>
          <w:rFonts w:ascii="Arial" w:hAnsi="Arial" w:cs="Arial"/>
          <w:sz w:val="24"/>
        </w:rPr>
        <w:t xml:space="preserve">first </w:t>
      </w:r>
      <w:r w:rsidRPr="00DB7156">
        <w:rPr>
          <w:rFonts w:ascii="Arial" w:hAnsi="Arial" w:cs="Arial"/>
          <w:sz w:val="24"/>
        </w:rPr>
        <w:t>PM</w:t>
      </w:r>
      <w:r w:rsidRPr="00DB7156">
        <w:rPr>
          <w:rFonts w:ascii="Arial" w:hAnsi="Arial" w:cs="Arial"/>
          <w:sz w:val="24"/>
          <w:vertAlign w:val="subscript"/>
        </w:rPr>
        <w:t>2.5</w:t>
      </w:r>
      <w:r w:rsidRPr="00DB7156">
        <w:rPr>
          <w:rFonts w:ascii="Arial" w:hAnsi="Arial" w:cs="Arial"/>
          <w:sz w:val="24"/>
        </w:rPr>
        <w:t xml:space="preserve"> standard</w:t>
      </w:r>
      <w:r w:rsidR="009F19B3" w:rsidRPr="00DB7156">
        <w:rPr>
          <w:rFonts w:ascii="Arial" w:hAnsi="Arial" w:cs="Arial"/>
          <w:sz w:val="24"/>
        </w:rPr>
        <w:t>s were set</w:t>
      </w:r>
      <w:r w:rsidRPr="00DB7156">
        <w:rPr>
          <w:rFonts w:ascii="Arial" w:hAnsi="Arial" w:cs="Arial"/>
          <w:sz w:val="24"/>
        </w:rPr>
        <w:t xml:space="preserve"> at a level of 15 micrograms per cubic meter (µg/m</w:t>
      </w:r>
      <w:r w:rsidRPr="00DB7156">
        <w:rPr>
          <w:rFonts w:ascii="Arial" w:hAnsi="Arial" w:cs="Arial"/>
          <w:sz w:val="24"/>
          <w:vertAlign w:val="superscript"/>
        </w:rPr>
        <w:t>3</w:t>
      </w:r>
      <w:r w:rsidRPr="00DB7156">
        <w:rPr>
          <w:rFonts w:ascii="Arial" w:hAnsi="Arial" w:cs="Arial"/>
          <w:sz w:val="24"/>
        </w:rPr>
        <w:t xml:space="preserve">) on an annual </w:t>
      </w:r>
      <w:r w:rsidR="00EC35B8" w:rsidRPr="00DB7156">
        <w:rPr>
          <w:rFonts w:ascii="Arial" w:hAnsi="Arial" w:cs="Arial"/>
          <w:sz w:val="24"/>
        </w:rPr>
        <w:t xml:space="preserve">average </w:t>
      </w:r>
      <w:r w:rsidRPr="00DB7156">
        <w:rPr>
          <w:rFonts w:ascii="Arial" w:hAnsi="Arial" w:cs="Arial"/>
          <w:sz w:val="24"/>
        </w:rPr>
        <w:t>and 65 µg/m</w:t>
      </w:r>
      <w:r w:rsidRPr="00DB7156">
        <w:rPr>
          <w:rFonts w:ascii="Arial" w:hAnsi="Arial" w:cs="Arial"/>
          <w:sz w:val="24"/>
          <w:vertAlign w:val="superscript"/>
        </w:rPr>
        <w:t>3</w:t>
      </w:r>
      <w:r w:rsidRPr="00DB7156">
        <w:rPr>
          <w:rFonts w:ascii="Arial" w:hAnsi="Arial" w:cs="Arial"/>
          <w:sz w:val="24"/>
        </w:rPr>
        <w:t xml:space="preserve"> on a 24-hour </w:t>
      </w:r>
      <w:r w:rsidR="00EC35B8" w:rsidRPr="00DB7156">
        <w:rPr>
          <w:rFonts w:ascii="Arial" w:hAnsi="Arial" w:cs="Arial"/>
          <w:sz w:val="24"/>
        </w:rPr>
        <w:t>average</w:t>
      </w:r>
      <w:r w:rsidRPr="00DB7156">
        <w:rPr>
          <w:rFonts w:ascii="Arial" w:hAnsi="Arial" w:cs="Arial"/>
          <w:sz w:val="24"/>
        </w:rPr>
        <w:t xml:space="preserve">. In 2005, several areas within Georgia were designated as nonattainment for the </w:t>
      </w:r>
      <w:r w:rsidR="00441FCB" w:rsidRPr="00DB7156">
        <w:rPr>
          <w:rFonts w:ascii="Arial" w:hAnsi="Arial" w:cs="Arial"/>
          <w:sz w:val="24"/>
        </w:rPr>
        <w:t>PM</w:t>
      </w:r>
      <w:r w:rsidR="00441FCB" w:rsidRPr="00DB7156">
        <w:rPr>
          <w:rFonts w:ascii="Arial" w:hAnsi="Arial" w:cs="Arial"/>
          <w:sz w:val="24"/>
          <w:vertAlign w:val="subscript"/>
        </w:rPr>
        <w:t>2.5</w:t>
      </w:r>
      <w:r w:rsidR="00441FCB">
        <w:rPr>
          <w:rFonts w:ascii="Arial" w:hAnsi="Arial" w:cs="Arial"/>
          <w:sz w:val="24"/>
          <w:vertAlign w:val="subscript"/>
        </w:rPr>
        <w:t xml:space="preserve"> </w:t>
      </w:r>
      <w:r w:rsidR="00A75236" w:rsidRPr="00DB7156">
        <w:rPr>
          <w:rFonts w:ascii="Arial" w:hAnsi="Arial" w:cs="Arial"/>
          <w:sz w:val="24"/>
        </w:rPr>
        <w:t xml:space="preserve">annual </w:t>
      </w:r>
      <w:r w:rsidRPr="00DB7156">
        <w:rPr>
          <w:rFonts w:ascii="Arial" w:hAnsi="Arial" w:cs="Arial"/>
          <w:sz w:val="24"/>
        </w:rPr>
        <w:t>standard</w:t>
      </w:r>
      <w:r w:rsidR="00496802" w:rsidRPr="00DB7156">
        <w:rPr>
          <w:rFonts w:ascii="Arial" w:hAnsi="Arial" w:cs="Arial"/>
          <w:sz w:val="24"/>
        </w:rPr>
        <w:t>, including the Atlanta, Floyd County, Macon, and Chattanooga areas</w:t>
      </w:r>
      <w:r w:rsidRPr="00DB7156">
        <w:rPr>
          <w:rFonts w:ascii="Arial" w:hAnsi="Arial" w:cs="Arial"/>
          <w:sz w:val="24"/>
        </w:rPr>
        <w:t xml:space="preserve">. </w:t>
      </w:r>
      <w:r w:rsidR="00CF0E30" w:rsidRPr="00DB7156">
        <w:rPr>
          <w:rFonts w:ascii="Arial" w:hAnsi="Arial" w:cs="Arial"/>
          <w:sz w:val="24"/>
          <w:szCs w:val="24"/>
        </w:rPr>
        <w:t>A</w:t>
      </w:r>
      <w:r w:rsidR="00D84DEE" w:rsidRPr="00DB7156">
        <w:rPr>
          <w:rFonts w:ascii="Arial" w:hAnsi="Arial" w:cs="Arial"/>
          <w:sz w:val="24"/>
          <w:szCs w:val="24"/>
        </w:rPr>
        <w:t xml:space="preserve">ll areas in Georgia </w:t>
      </w:r>
      <w:r w:rsidR="00CF0E30" w:rsidRPr="00DB7156">
        <w:rPr>
          <w:rFonts w:ascii="Arial" w:hAnsi="Arial" w:cs="Arial"/>
          <w:sz w:val="24"/>
          <w:szCs w:val="24"/>
        </w:rPr>
        <w:t xml:space="preserve">have </w:t>
      </w:r>
      <w:r w:rsidR="009F19B3" w:rsidRPr="00DB7156">
        <w:rPr>
          <w:rFonts w:ascii="Arial" w:hAnsi="Arial" w:cs="Arial"/>
          <w:sz w:val="24"/>
          <w:szCs w:val="24"/>
        </w:rPr>
        <w:t xml:space="preserve">since </w:t>
      </w:r>
      <w:r w:rsidR="00CF0E30" w:rsidRPr="00DB7156">
        <w:rPr>
          <w:rFonts w:ascii="Arial" w:hAnsi="Arial" w:cs="Arial"/>
          <w:sz w:val="24"/>
          <w:szCs w:val="24"/>
        </w:rPr>
        <w:t xml:space="preserve">been redesignated </w:t>
      </w:r>
      <w:r w:rsidR="00D84DEE" w:rsidRPr="00DB7156">
        <w:rPr>
          <w:rFonts w:ascii="Arial" w:hAnsi="Arial" w:cs="Arial"/>
          <w:sz w:val="24"/>
          <w:szCs w:val="24"/>
        </w:rPr>
        <w:t xml:space="preserve">to attainment of the </w:t>
      </w:r>
      <w:r w:rsidR="00D84DEE" w:rsidRPr="00DB7156">
        <w:rPr>
          <w:rFonts w:ascii="Arial" w:hAnsi="Arial" w:cs="Arial"/>
          <w:sz w:val="24"/>
        </w:rPr>
        <w:t>1997 PM</w:t>
      </w:r>
      <w:r w:rsidR="00D84DEE" w:rsidRPr="00DB7156">
        <w:rPr>
          <w:rFonts w:ascii="Arial" w:hAnsi="Arial" w:cs="Arial"/>
          <w:sz w:val="24"/>
          <w:vertAlign w:val="subscript"/>
        </w:rPr>
        <w:t>2.5</w:t>
      </w:r>
      <w:r w:rsidR="00D84DEE" w:rsidRPr="00DB7156">
        <w:rPr>
          <w:rFonts w:ascii="Arial" w:hAnsi="Arial" w:cs="Arial"/>
          <w:sz w:val="24"/>
        </w:rPr>
        <w:t xml:space="preserve"> annual standard</w:t>
      </w:r>
      <w:r w:rsidR="00A701CC" w:rsidRPr="00DB7156">
        <w:rPr>
          <w:rFonts w:ascii="Arial" w:hAnsi="Arial" w:cs="Arial"/>
          <w:sz w:val="24"/>
          <w:szCs w:val="24"/>
        </w:rPr>
        <w:t xml:space="preserve">.  </w:t>
      </w:r>
    </w:p>
    <w:p w14:paraId="1EE9D030" w14:textId="77777777" w:rsidR="00C44AD0" w:rsidRPr="00DB7156" w:rsidRDefault="00C44AD0" w:rsidP="00DB7156">
      <w:pPr>
        <w:spacing w:after="0" w:line="240" w:lineRule="auto"/>
        <w:jc w:val="both"/>
        <w:rPr>
          <w:rFonts w:ascii="Arial" w:hAnsi="Arial" w:cs="Arial"/>
          <w:sz w:val="24"/>
        </w:rPr>
      </w:pPr>
    </w:p>
    <w:p w14:paraId="22BA4F1E" w14:textId="7628A5EE" w:rsidR="005B05D3" w:rsidRPr="00DB7156" w:rsidRDefault="00BE2F21" w:rsidP="00DB7156">
      <w:pPr>
        <w:spacing w:after="0" w:line="240" w:lineRule="auto"/>
        <w:jc w:val="both"/>
        <w:rPr>
          <w:rFonts w:ascii="Arial" w:hAnsi="Arial" w:cs="Arial"/>
          <w:sz w:val="24"/>
          <w:szCs w:val="24"/>
        </w:rPr>
      </w:pPr>
      <w:r w:rsidRPr="00DB7156">
        <w:rPr>
          <w:rFonts w:ascii="Arial" w:hAnsi="Arial" w:cs="Arial"/>
          <w:sz w:val="24"/>
        </w:rPr>
        <w:t xml:space="preserve">In September 2006, EPA retained the annual standard but </w:t>
      </w:r>
      <w:r w:rsidR="009F19B3" w:rsidRPr="00DB7156">
        <w:rPr>
          <w:rFonts w:ascii="Arial" w:hAnsi="Arial" w:cs="Arial"/>
          <w:sz w:val="24"/>
        </w:rPr>
        <w:t>lowered the</w:t>
      </w:r>
      <w:r w:rsidRPr="00DB7156">
        <w:rPr>
          <w:rFonts w:ascii="Arial" w:hAnsi="Arial" w:cs="Arial"/>
          <w:sz w:val="24"/>
        </w:rPr>
        <w:t xml:space="preserve"> 24-hour standard from 65 µg/m</w:t>
      </w:r>
      <w:r w:rsidRPr="00DB7156">
        <w:rPr>
          <w:rFonts w:ascii="Arial" w:hAnsi="Arial" w:cs="Arial"/>
          <w:sz w:val="24"/>
          <w:vertAlign w:val="superscript"/>
        </w:rPr>
        <w:t>3</w:t>
      </w:r>
      <w:r w:rsidRPr="00DB7156">
        <w:rPr>
          <w:rFonts w:ascii="Arial" w:hAnsi="Arial" w:cs="Arial"/>
          <w:sz w:val="24"/>
        </w:rPr>
        <w:t xml:space="preserve"> to 35 µg/m</w:t>
      </w:r>
      <w:r w:rsidRPr="00DB7156">
        <w:rPr>
          <w:rFonts w:ascii="Arial" w:hAnsi="Arial" w:cs="Arial"/>
          <w:sz w:val="24"/>
          <w:vertAlign w:val="superscript"/>
        </w:rPr>
        <w:t>3</w:t>
      </w:r>
      <w:r w:rsidRPr="00DB7156">
        <w:rPr>
          <w:rFonts w:ascii="Arial" w:hAnsi="Arial" w:cs="Arial"/>
          <w:sz w:val="24"/>
        </w:rPr>
        <w:t xml:space="preserve">. </w:t>
      </w:r>
      <w:r w:rsidR="00441FCB">
        <w:rPr>
          <w:rFonts w:ascii="Arial" w:hAnsi="Arial" w:cs="Arial"/>
          <w:sz w:val="24"/>
        </w:rPr>
        <w:t>In</w:t>
      </w:r>
      <w:r w:rsidR="002C427D" w:rsidRPr="00DB7156">
        <w:rPr>
          <w:rFonts w:ascii="Arial" w:hAnsi="Arial" w:cs="Arial"/>
          <w:sz w:val="24"/>
        </w:rPr>
        <w:t xml:space="preserve"> 2009, a</w:t>
      </w:r>
      <w:r w:rsidR="00EC35B8" w:rsidRPr="00DB7156">
        <w:rPr>
          <w:rFonts w:ascii="Arial" w:hAnsi="Arial" w:cs="Arial"/>
          <w:sz w:val="24"/>
        </w:rPr>
        <w:t xml:space="preserve">ll </w:t>
      </w:r>
      <w:r w:rsidR="006E631F" w:rsidRPr="00DB7156">
        <w:rPr>
          <w:rFonts w:ascii="Arial" w:hAnsi="Arial" w:cs="Arial"/>
          <w:sz w:val="24"/>
        </w:rPr>
        <w:t xml:space="preserve">areas in </w:t>
      </w:r>
      <w:r w:rsidR="00EC35B8" w:rsidRPr="00DB7156">
        <w:rPr>
          <w:rFonts w:ascii="Arial" w:hAnsi="Arial" w:cs="Arial"/>
          <w:sz w:val="24"/>
        </w:rPr>
        <w:t xml:space="preserve">Georgia were </w:t>
      </w:r>
      <w:r w:rsidR="008B6982" w:rsidRPr="00DB7156">
        <w:rPr>
          <w:rFonts w:ascii="Arial" w:hAnsi="Arial" w:cs="Arial"/>
          <w:sz w:val="24"/>
        </w:rPr>
        <w:t xml:space="preserve">designated as attainment </w:t>
      </w:r>
      <w:r w:rsidR="00E25C64" w:rsidRPr="00DB7156">
        <w:rPr>
          <w:rFonts w:ascii="Arial" w:hAnsi="Arial" w:cs="Arial"/>
          <w:sz w:val="24"/>
        </w:rPr>
        <w:t xml:space="preserve">for </w:t>
      </w:r>
      <w:r w:rsidR="00514DCA" w:rsidRPr="00DB7156">
        <w:rPr>
          <w:rFonts w:ascii="Arial" w:hAnsi="Arial" w:cs="Arial"/>
          <w:sz w:val="24"/>
          <w:szCs w:val="24"/>
        </w:rPr>
        <w:t xml:space="preserve">the </w:t>
      </w:r>
      <w:r w:rsidR="002C427D" w:rsidRPr="00DB7156">
        <w:rPr>
          <w:rFonts w:ascii="Arial" w:hAnsi="Arial" w:cs="Arial"/>
          <w:sz w:val="24"/>
          <w:szCs w:val="24"/>
        </w:rPr>
        <w:t xml:space="preserve">more stringent </w:t>
      </w:r>
      <w:r w:rsidR="00514DCA" w:rsidRPr="00DB7156">
        <w:rPr>
          <w:rFonts w:ascii="Arial" w:hAnsi="Arial" w:cs="Arial"/>
          <w:sz w:val="24"/>
          <w:szCs w:val="24"/>
        </w:rPr>
        <w:t>24-hour standard.</w:t>
      </w:r>
      <w:r w:rsidR="005A6C66" w:rsidRPr="00DB7156">
        <w:rPr>
          <w:rFonts w:ascii="Arial" w:hAnsi="Arial" w:cs="Arial"/>
          <w:sz w:val="24"/>
          <w:szCs w:val="24"/>
        </w:rPr>
        <w:t xml:space="preserve">   </w:t>
      </w:r>
      <w:r w:rsidR="00514DCA" w:rsidRPr="00DB7156">
        <w:rPr>
          <w:rFonts w:ascii="Arial" w:hAnsi="Arial" w:cs="Arial"/>
          <w:sz w:val="24"/>
          <w:szCs w:val="24"/>
        </w:rPr>
        <w:t xml:space="preserve">   </w:t>
      </w:r>
    </w:p>
    <w:p w14:paraId="22BA4F1F" w14:textId="77777777" w:rsidR="00FC67F9" w:rsidRPr="00DB7156" w:rsidRDefault="00FC67F9" w:rsidP="00DB7156">
      <w:pPr>
        <w:spacing w:after="0" w:line="240" w:lineRule="auto"/>
        <w:jc w:val="both"/>
        <w:rPr>
          <w:rFonts w:ascii="Arial" w:hAnsi="Arial" w:cs="Arial"/>
          <w:b/>
          <w:bCs/>
          <w:color w:val="000080"/>
        </w:rPr>
      </w:pPr>
    </w:p>
    <w:p w14:paraId="22BA4F20" w14:textId="4EB42F90" w:rsidR="008F5CBE" w:rsidRPr="00DB7156" w:rsidRDefault="002D6E16" w:rsidP="00DB7156">
      <w:pPr>
        <w:spacing w:after="0" w:line="240" w:lineRule="auto"/>
        <w:jc w:val="both"/>
        <w:rPr>
          <w:rFonts w:ascii="Arial" w:hAnsi="Arial" w:cs="Arial"/>
          <w:sz w:val="24"/>
          <w:szCs w:val="24"/>
        </w:rPr>
      </w:pPr>
      <w:r w:rsidRPr="00DB7156">
        <w:rPr>
          <w:rFonts w:ascii="Arial" w:hAnsi="Arial" w:cs="Arial"/>
          <w:sz w:val="24"/>
          <w:szCs w:val="24"/>
        </w:rPr>
        <w:t xml:space="preserve">In </w:t>
      </w:r>
      <w:r w:rsidR="00365F31" w:rsidRPr="00DB7156">
        <w:rPr>
          <w:rFonts w:ascii="Arial" w:hAnsi="Arial" w:cs="Arial"/>
          <w:sz w:val="24"/>
          <w:szCs w:val="24"/>
        </w:rPr>
        <w:t>December 2012</w:t>
      </w:r>
      <w:r w:rsidR="00E87DFB" w:rsidRPr="00DB7156">
        <w:rPr>
          <w:rFonts w:ascii="Arial" w:hAnsi="Arial" w:cs="Arial"/>
          <w:sz w:val="24"/>
          <w:szCs w:val="24"/>
        </w:rPr>
        <w:t xml:space="preserve">, </w:t>
      </w:r>
      <w:r w:rsidR="00C44AD0" w:rsidRPr="00DB7156">
        <w:rPr>
          <w:rFonts w:ascii="Arial" w:hAnsi="Arial" w:cs="Arial"/>
          <w:sz w:val="24"/>
          <w:szCs w:val="24"/>
        </w:rPr>
        <w:t xml:space="preserve">EPA </w:t>
      </w:r>
      <w:r w:rsidR="009F19B3" w:rsidRPr="00DB7156">
        <w:rPr>
          <w:rFonts w:ascii="Arial" w:hAnsi="Arial" w:cs="Arial"/>
          <w:sz w:val="24"/>
          <w:szCs w:val="24"/>
        </w:rPr>
        <w:t>lowered</w:t>
      </w:r>
      <w:r w:rsidR="00E87DFB" w:rsidRPr="00DB7156">
        <w:rPr>
          <w:rFonts w:ascii="Arial" w:hAnsi="Arial" w:cs="Arial"/>
          <w:sz w:val="24"/>
          <w:szCs w:val="24"/>
        </w:rPr>
        <w:t xml:space="preserve"> the annual </w:t>
      </w:r>
      <w:r w:rsidR="00F85ADB" w:rsidRPr="00DB7156">
        <w:rPr>
          <w:rFonts w:ascii="Arial" w:hAnsi="Arial" w:cs="Arial"/>
          <w:sz w:val="24"/>
          <w:szCs w:val="24"/>
        </w:rPr>
        <w:t xml:space="preserve">standard </w:t>
      </w:r>
      <w:r w:rsidR="00441FCB">
        <w:rPr>
          <w:rFonts w:ascii="Arial" w:hAnsi="Arial" w:cs="Arial"/>
          <w:sz w:val="24"/>
          <w:szCs w:val="24"/>
        </w:rPr>
        <w:t>for PM</w:t>
      </w:r>
      <w:r w:rsidR="00441FCB" w:rsidRPr="00690F00">
        <w:rPr>
          <w:rFonts w:ascii="Arial" w:hAnsi="Arial" w:cs="Arial"/>
          <w:sz w:val="24"/>
          <w:szCs w:val="24"/>
          <w:vertAlign w:val="subscript"/>
        </w:rPr>
        <w:t>2.5</w:t>
      </w:r>
      <w:r w:rsidR="00441FCB">
        <w:rPr>
          <w:rFonts w:ascii="Arial" w:hAnsi="Arial" w:cs="Arial"/>
          <w:sz w:val="24"/>
          <w:szCs w:val="24"/>
        </w:rPr>
        <w:t xml:space="preserve"> </w:t>
      </w:r>
      <w:r w:rsidR="00E87DFB" w:rsidRPr="00DB7156">
        <w:rPr>
          <w:rFonts w:ascii="Arial" w:hAnsi="Arial" w:cs="Arial"/>
          <w:sz w:val="24"/>
          <w:szCs w:val="24"/>
        </w:rPr>
        <w:t>to 12 µg/m</w:t>
      </w:r>
      <w:r w:rsidR="00E87DFB" w:rsidRPr="00DB7156">
        <w:rPr>
          <w:rFonts w:ascii="Arial" w:hAnsi="Arial" w:cs="Arial"/>
          <w:sz w:val="24"/>
          <w:szCs w:val="24"/>
          <w:vertAlign w:val="superscript"/>
        </w:rPr>
        <w:t>3</w:t>
      </w:r>
      <w:r w:rsidR="00E87DFB" w:rsidRPr="00DB7156">
        <w:rPr>
          <w:rFonts w:ascii="Arial" w:hAnsi="Arial" w:cs="Arial"/>
          <w:sz w:val="24"/>
          <w:szCs w:val="24"/>
        </w:rPr>
        <w:t>.</w:t>
      </w:r>
      <w:r w:rsidR="00555788" w:rsidRPr="00DB7156">
        <w:rPr>
          <w:rFonts w:ascii="Arial" w:hAnsi="Arial" w:cs="Arial"/>
          <w:sz w:val="24"/>
          <w:szCs w:val="24"/>
        </w:rPr>
        <w:t xml:space="preserve"> </w:t>
      </w:r>
      <w:r w:rsidR="002C427D" w:rsidRPr="00DB7156">
        <w:rPr>
          <w:rFonts w:ascii="Arial" w:hAnsi="Arial" w:cs="Arial"/>
          <w:sz w:val="24"/>
          <w:szCs w:val="24"/>
        </w:rPr>
        <w:t xml:space="preserve">In April 2015, most areas in Georgia were designated as attainment </w:t>
      </w:r>
      <w:r w:rsidR="00E25C64" w:rsidRPr="00DB7156">
        <w:rPr>
          <w:rFonts w:ascii="Arial" w:hAnsi="Arial" w:cs="Arial"/>
          <w:sz w:val="24"/>
          <w:szCs w:val="24"/>
        </w:rPr>
        <w:t>for</w:t>
      </w:r>
      <w:r w:rsidR="002C427D" w:rsidRPr="00DB7156">
        <w:rPr>
          <w:rFonts w:ascii="Arial" w:hAnsi="Arial" w:cs="Arial"/>
          <w:sz w:val="24"/>
          <w:szCs w:val="24"/>
        </w:rPr>
        <w:t xml:space="preserve"> the more stringent annual standar</w:t>
      </w:r>
      <w:r w:rsidR="00972A2A" w:rsidRPr="00DB7156">
        <w:rPr>
          <w:rFonts w:ascii="Arial" w:hAnsi="Arial" w:cs="Arial"/>
          <w:sz w:val="24"/>
          <w:szCs w:val="24"/>
        </w:rPr>
        <w:t>d</w:t>
      </w:r>
      <w:r w:rsidR="00FB2844">
        <w:rPr>
          <w:rFonts w:ascii="Arial" w:hAnsi="Arial" w:cs="Arial"/>
          <w:sz w:val="24"/>
          <w:szCs w:val="24"/>
        </w:rPr>
        <w:t xml:space="preserve"> and o</w:t>
      </w:r>
      <w:r w:rsidR="00E25C64" w:rsidRPr="00DB7156">
        <w:rPr>
          <w:rFonts w:ascii="Arial" w:hAnsi="Arial" w:cs="Arial"/>
          <w:sz w:val="24"/>
          <w:szCs w:val="24"/>
        </w:rPr>
        <w:t>ne year later, EPA designated the remaining areas as attainment for the 2012 standard.</w:t>
      </w:r>
    </w:p>
    <w:p w14:paraId="22BA4F22" w14:textId="77777777" w:rsidR="00FC67F9" w:rsidRPr="00DB7156" w:rsidRDefault="00FC67F9" w:rsidP="00DB7156">
      <w:pPr>
        <w:spacing w:after="0" w:line="240" w:lineRule="auto"/>
        <w:jc w:val="both"/>
        <w:rPr>
          <w:rFonts w:ascii="Arial" w:hAnsi="Arial" w:cs="Arial"/>
          <w:b/>
          <w:bCs/>
          <w:color w:val="000080"/>
        </w:rPr>
      </w:pPr>
    </w:p>
    <w:p w14:paraId="22BA4F23" w14:textId="77777777" w:rsidR="00FC67F9" w:rsidRPr="00DB7156" w:rsidRDefault="00FC67F9"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NO</w:t>
      </w:r>
      <w:r w:rsidRPr="00DB7156">
        <w:rPr>
          <w:rFonts w:ascii="Arial" w:hAnsi="Arial" w:cs="Arial"/>
          <w:b/>
          <w:bCs/>
          <w:color w:val="000080"/>
          <w:sz w:val="24"/>
          <w:szCs w:val="24"/>
          <w:vertAlign w:val="subscript"/>
        </w:rPr>
        <w:t>2</w:t>
      </w:r>
      <w:r w:rsidRPr="00DB7156">
        <w:rPr>
          <w:rFonts w:ascii="Arial" w:hAnsi="Arial" w:cs="Arial"/>
          <w:b/>
          <w:bCs/>
          <w:color w:val="000080"/>
          <w:sz w:val="24"/>
          <w:szCs w:val="24"/>
        </w:rPr>
        <w:t xml:space="preserve"> and SO</w:t>
      </w:r>
      <w:r w:rsidRPr="00DB7156">
        <w:rPr>
          <w:rFonts w:ascii="Arial" w:hAnsi="Arial" w:cs="Arial"/>
          <w:b/>
          <w:bCs/>
          <w:color w:val="000080"/>
          <w:sz w:val="24"/>
          <w:szCs w:val="24"/>
          <w:vertAlign w:val="subscript"/>
        </w:rPr>
        <w:t>2</w:t>
      </w:r>
    </w:p>
    <w:p w14:paraId="36AAD7A2" w14:textId="3A475464" w:rsidR="008B6982" w:rsidRPr="00DB7156" w:rsidRDefault="00AE33C8" w:rsidP="00DB7156">
      <w:pPr>
        <w:widowControl w:val="0"/>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r w:rsidRPr="00DB7156">
        <w:rPr>
          <w:rFonts w:ascii="Arial" w:hAnsi="Arial" w:cs="Arial"/>
          <w:sz w:val="24"/>
          <w:szCs w:val="20"/>
        </w:rPr>
        <w:t xml:space="preserve">In 2010, EPA </w:t>
      </w:r>
      <w:r w:rsidR="00A72069" w:rsidRPr="00DB7156">
        <w:rPr>
          <w:rFonts w:ascii="Arial" w:hAnsi="Arial" w:cs="Arial"/>
          <w:sz w:val="24"/>
          <w:szCs w:val="20"/>
        </w:rPr>
        <w:t xml:space="preserve">revised </w:t>
      </w:r>
      <w:r w:rsidRPr="00DB7156">
        <w:rPr>
          <w:rFonts w:ascii="Arial" w:hAnsi="Arial" w:cs="Arial"/>
          <w:sz w:val="24"/>
          <w:szCs w:val="20"/>
        </w:rPr>
        <w:t xml:space="preserve">the </w:t>
      </w:r>
      <w:r w:rsidR="00FC67F9" w:rsidRPr="00DB7156">
        <w:rPr>
          <w:rFonts w:ascii="Arial" w:hAnsi="Arial" w:cs="Arial"/>
          <w:sz w:val="24"/>
          <w:szCs w:val="20"/>
        </w:rPr>
        <w:t>NAAQS for NO</w:t>
      </w:r>
      <w:r w:rsidR="00FC67F9" w:rsidRPr="00DB7156">
        <w:rPr>
          <w:rFonts w:ascii="Arial" w:hAnsi="Arial" w:cs="Arial"/>
          <w:sz w:val="24"/>
          <w:szCs w:val="20"/>
          <w:vertAlign w:val="subscript"/>
        </w:rPr>
        <w:t>2</w:t>
      </w:r>
      <w:r w:rsidR="00FC67F9" w:rsidRPr="00DB7156">
        <w:rPr>
          <w:rFonts w:ascii="Arial" w:hAnsi="Arial" w:cs="Arial"/>
          <w:sz w:val="24"/>
          <w:szCs w:val="20"/>
        </w:rPr>
        <w:t xml:space="preserve"> and SO</w:t>
      </w:r>
      <w:r w:rsidR="00FC67F9" w:rsidRPr="00DB7156">
        <w:rPr>
          <w:rFonts w:ascii="Arial" w:hAnsi="Arial" w:cs="Arial"/>
          <w:sz w:val="24"/>
          <w:szCs w:val="20"/>
          <w:vertAlign w:val="subscript"/>
        </w:rPr>
        <w:t>2</w:t>
      </w:r>
      <w:r w:rsidR="005E2B74" w:rsidRPr="00DB7156">
        <w:rPr>
          <w:rFonts w:ascii="Arial" w:hAnsi="Arial" w:cs="Arial"/>
          <w:sz w:val="24"/>
          <w:szCs w:val="20"/>
        </w:rPr>
        <w:t xml:space="preserve"> to establish 1-hour standards</w:t>
      </w:r>
      <w:r w:rsidR="00FC67F9" w:rsidRPr="00DB7156">
        <w:rPr>
          <w:rFonts w:ascii="Arial" w:hAnsi="Arial" w:cs="Arial"/>
          <w:sz w:val="24"/>
          <w:szCs w:val="20"/>
        </w:rPr>
        <w:t xml:space="preserve">. The </w:t>
      </w:r>
      <w:r w:rsidR="00B545A2" w:rsidRPr="00DB7156">
        <w:rPr>
          <w:rFonts w:ascii="Arial" w:hAnsi="Arial" w:cs="Arial"/>
          <w:sz w:val="24"/>
          <w:szCs w:val="20"/>
        </w:rPr>
        <w:t xml:space="preserve">1-hour </w:t>
      </w:r>
      <w:r w:rsidR="00FC67F9" w:rsidRPr="00DB7156">
        <w:rPr>
          <w:rFonts w:ascii="Arial" w:hAnsi="Arial" w:cs="Arial"/>
          <w:sz w:val="24"/>
          <w:szCs w:val="20"/>
        </w:rPr>
        <w:t>NO</w:t>
      </w:r>
      <w:r w:rsidR="00FC67F9" w:rsidRPr="00DB7156">
        <w:rPr>
          <w:rFonts w:ascii="Arial" w:hAnsi="Arial" w:cs="Arial"/>
          <w:sz w:val="24"/>
          <w:szCs w:val="20"/>
          <w:vertAlign w:val="subscript"/>
        </w:rPr>
        <w:t>2</w:t>
      </w:r>
      <w:r w:rsidR="00FC67F9" w:rsidRPr="00DB7156">
        <w:rPr>
          <w:rFonts w:ascii="Arial" w:hAnsi="Arial" w:cs="Arial"/>
          <w:sz w:val="24"/>
          <w:szCs w:val="20"/>
        </w:rPr>
        <w:t xml:space="preserve"> </w:t>
      </w:r>
      <w:r w:rsidR="00EC35B8" w:rsidRPr="00DB7156">
        <w:rPr>
          <w:rFonts w:ascii="Arial" w:hAnsi="Arial" w:cs="Arial"/>
          <w:sz w:val="24"/>
          <w:szCs w:val="20"/>
        </w:rPr>
        <w:t xml:space="preserve">ambient air quality </w:t>
      </w:r>
      <w:r w:rsidR="00FC67F9" w:rsidRPr="00DB7156">
        <w:rPr>
          <w:rFonts w:ascii="Arial" w:hAnsi="Arial" w:cs="Arial"/>
          <w:sz w:val="24"/>
          <w:szCs w:val="20"/>
        </w:rPr>
        <w:t xml:space="preserve">standard was set at </w:t>
      </w:r>
      <w:r w:rsidR="00813F28" w:rsidRPr="00DB7156">
        <w:rPr>
          <w:rFonts w:ascii="Arial" w:hAnsi="Arial" w:cs="Arial"/>
          <w:sz w:val="24"/>
          <w:szCs w:val="20"/>
        </w:rPr>
        <w:t xml:space="preserve">a level of </w:t>
      </w:r>
      <w:r w:rsidR="00FC67F9" w:rsidRPr="00DB7156">
        <w:rPr>
          <w:rFonts w:ascii="Arial" w:hAnsi="Arial" w:cs="Arial"/>
          <w:sz w:val="24"/>
          <w:szCs w:val="20"/>
        </w:rPr>
        <w:t>100 ppb</w:t>
      </w:r>
      <w:r w:rsidRPr="00DB7156">
        <w:rPr>
          <w:rFonts w:ascii="Arial" w:hAnsi="Arial" w:cs="Arial"/>
          <w:sz w:val="24"/>
          <w:szCs w:val="20"/>
        </w:rPr>
        <w:t>, which became effective on April 12, 2010</w:t>
      </w:r>
      <w:r w:rsidR="00FC67F9" w:rsidRPr="00DB7156">
        <w:rPr>
          <w:rFonts w:ascii="Arial" w:hAnsi="Arial" w:cs="Arial"/>
          <w:sz w:val="24"/>
          <w:szCs w:val="20"/>
        </w:rPr>
        <w:t>. EPA intend</w:t>
      </w:r>
      <w:r w:rsidR="004963CB" w:rsidRPr="00DB7156">
        <w:rPr>
          <w:rFonts w:ascii="Arial" w:hAnsi="Arial" w:cs="Arial"/>
          <w:sz w:val="24"/>
          <w:szCs w:val="20"/>
        </w:rPr>
        <w:t>ed</w:t>
      </w:r>
      <w:r w:rsidR="00FC67F9" w:rsidRPr="00DB7156">
        <w:rPr>
          <w:rFonts w:ascii="Arial" w:hAnsi="Arial" w:cs="Arial"/>
          <w:sz w:val="24"/>
          <w:szCs w:val="20"/>
        </w:rPr>
        <w:t xml:space="preserve"> to initially focus on monitoring short-term peak concentrations which occur near major roadways</w:t>
      </w:r>
      <w:r w:rsidR="00CD348F" w:rsidRPr="00DB7156">
        <w:rPr>
          <w:rFonts w:ascii="Arial" w:hAnsi="Arial" w:cs="Arial"/>
          <w:sz w:val="24"/>
          <w:szCs w:val="20"/>
        </w:rPr>
        <w:t>,</w:t>
      </w:r>
      <w:r w:rsidR="00FC67F9" w:rsidRPr="00DB7156">
        <w:rPr>
          <w:rFonts w:ascii="Arial" w:hAnsi="Arial" w:cs="Arial"/>
          <w:sz w:val="24"/>
          <w:szCs w:val="20"/>
        </w:rPr>
        <w:t xml:space="preserve"> and the rule impose</w:t>
      </w:r>
      <w:r w:rsidR="004963CB" w:rsidRPr="00DB7156">
        <w:rPr>
          <w:rFonts w:ascii="Arial" w:hAnsi="Arial" w:cs="Arial"/>
          <w:sz w:val="24"/>
          <w:szCs w:val="20"/>
        </w:rPr>
        <w:t>d</w:t>
      </w:r>
      <w:r w:rsidR="00FC67F9" w:rsidRPr="00DB7156">
        <w:rPr>
          <w:rFonts w:ascii="Arial" w:hAnsi="Arial" w:cs="Arial"/>
          <w:sz w:val="24"/>
          <w:szCs w:val="20"/>
        </w:rPr>
        <w:t xml:space="preserve"> new roadside</w:t>
      </w:r>
      <w:r w:rsidR="00E77527" w:rsidRPr="00DB7156">
        <w:rPr>
          <w:rFonts w:ascii="Arial" w:hAnsi="Arial" w:cs="Arial"/>
          <w:sz w:val="24"/>
          <w:szCs w:val="20"/>
        </w:rPr>
        <w:t xml:space="preserve"> monitoring requirements in </w:t>
      </w:r>
      <w:r w:rsidR="00FC67F9" w:rsidRPr="00DB7156">
        <w:rPr>
          <w:rFonts w:ascii="Arial" w:hAnsi="Arial" w:cs="Arial"/>
          <w:sz w:val="24"/>
          <w:szCs w:val="20"/>
        </w:rPr>
        <w:t>urban areas</w:t>
      </w:r>
      <w:r w:rsidR="00E77527" w:rsidRPr="00DB7156">
        <w:rPr>
          <w:rFonts w:ascii="Arial" w:hAnsi="Arial" w:cs="Arial"/>
          <w:sz w:val="24"/>
          <w:szCs w:val="20"/>
        </w:rPr>
        <w:t>.</w:t>
      </w:r>
      <w:r w:rsidR="00FC67F9" w:rsidRPr="00DB7156">
        <w:rPr>
          <w:rFonts w:ascii="Arial" w:hAnsi="Arial" w:cs="Arial"/>
          <w:sz w:val="24"/>
          <w:szCs w:val="20"/>
        </w:rPr>
        <w:t xml:space="preserve"> EPA’s </w:t>
      </w:r>
      <w:r w:rsidR="00AB52F3" w:rsidRPr="00DB7156">
        <w:rPr>
          <w:rFonts w:ascii="Arial" w:hAnsi="Arial" w:cs="Arial"/>
          <w:sz w:val="24"/>
          <w:szCs w:val="20"/>
        </w:rPr>
        <w:t xml:space="preserve">initial designations based on available monitoring data classify the entire country as unclassifiable/attainment. </w:t>
      </w:r>
      <w:r w:rsidR="00EC3503" w:rsidRPr="00DB7156">
        <w:rPr>
          <w:rFonts w:ascii="Arial" w:hAnsi="Arial" w:cs="Arial"/>
          <w:sz w:val="24"/>
          <w:szCs w:val="20"/>
        </w:rPr>
        <w:t>N</w:t>
      </w:r>
      <w:r w:rsidR="00896100" w:rsidRPr="00DB7156">
        <w:rPr>
          <w:rFonts w:ascii="Arial" w:hAnsi="Arial" w:cs="Arial"/>
          <w:sz w:val="24"/>
          <w:szCs w:val="20"/>
        </w:rPr>
        <w:t xml:space="preserve">one of the areas within Georgia are designated as nonattainment for the standard based on current ambient air quality monitoring data. </w:t>
      </w:r>
      <w:r w:rsidR="009669E3" w:rsidRPr="00DB7156">
        <w:rPr>
          <w:rFonts w:ascii="Arial" w:hAnsi="Arial" w:cs="Arial"/>
          <w:sz w:val="24"/>
          <w:szCs w:val="20"/>
        </w:rPr>
        <w:t xml:space="preserve"> </w:t>
      </w:r>
      <w:r w:rsidR="005E2B74" w:rsidRPr="00DB7156">
        <w:rPr>
          <w:rFonts w:ascii="Arial" w:hAnsi="Arial" w:cs="Arial"/>
          <w:sz w:val="24"/>
          <w:szCs w:val="20"/>
        </w:rPr>
        <w:t>On April 6, 2018, EPA retained the existing primary NO</w:t>
      </w:r>
      <w:r w:rsidR="005E2B74" w:rsidRPr="00DB7156">
        <w:rPr>
          <w:rFonts w:ascii="Arial" w:hAnsi="Arial" w:cs="Arial"/>
          <w:sz w:val="24"/>
          <w:szCs w:val="20"/>
          <w:vertAlign w:val="subscript"/>
        </w:rPr>
        <w:t>2</w:t>
      </w:r>
      <w:r w:rsidR="005E2B74" w:rsidRPr="00DB7156">
        <w:rPr>
          <w:rFonts w:ascii="Arial" w:hAnsi="Arial" w:cs="Arial"/>
          <w:sz w:val="24"/>
          <w:szCs w:val="20"/>
        </w:rPr>
        <w:t xml:space="preserve"> standards, without revision</w:t>
      </w:r>
      <w:r w:rsidR="008B6982" w:rsidRPr="00DB7156">
        <w:rPr>
          <w:rFonts w:ascii="Arial" w:hAnsi="Arial" w:cs="Arial"/>
          <w:sz w:val="24"/>
          <w:szCs w:val="20"/>
        </w:rPr>
        <w:t>.</w:t>
      </w:r>
    </w:p>
    <w:p w14:paraId="22BA4F27" w14:textId="77777777" w:rsidR="00FC67F9" w:rsidRPr="00DB7156" w:rsidRDefault="00FC67F9" w:rsidP="00DB7156">
      <w:pPr>
        <w:widowControl w:val="0"/>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p>
    <w:p w14:paraId="22BA4F28" w14:textId="370B6462" w:rsidR="00324797" w:rsidRPr="00DB7156" w:rsidRDefault="00FC67F9" w:rsidP="00DB7156">
      <w:pPr>
        <w:pStyle w:val="BodyText3"/>
        <w:widowControl w:val="0"/>
        <w:jc w:val="both"/>
        <w:rPr>
          <w:rFonts w:ascii="Arial" w:hAnsi="Arial" w:cs="Arial"/>
        </w:rPr>
      </w:pPr>
      <w:r w:rsidRPr="00DB7156">
        <w:rPr>
          <w:rFonts w:ascii="Arial" w:hAnsi="Arial" w:cs="Arial"/>
        </w:rPr>
        <w:t xml:space="preserve">The </w:t>
      </w:r>
      <w:r w:rsidR="00B545A2" w:rsidRPr="00DB7156">
        <w:rPr>
          <w:rFonts w:ascii="Arial" w:hAnsi="Arial" w:cs="Arial"/>
        </w:rPr>
        <w:t xml:space="preserve">1-hour </w:t>
      </w:r>
      <w:r w:rsidRPr="00DB7156">
        <w:rPr>
          <w:rFonts w:ascii="Arial" w:hAnsi="Arial" w:cs="Arial"/>
        </w:rPr>
        <w:t>SO</w:t>
      </w:r>
      <w:r w:rsidRPr="00DB7156">
        <w:rPr>
          <w:rFonts w:ascii="Arial" w:hAnsi="Arial" w:cs="Arial"/>
          <w:vertAlign w:val="subscript"/>
        </w:rPr>
        <w:t>2</w:t>
      </w:r>
      <w:r w:rsidR="00EC35B8" w:rsidRPr="00DB7156">
        <w:rPr>
          <w:rFonts w:ascii="Arial" w:hAnsi="Arial" w:cs="Arial"/>
          <w:vertAlign w:val="subscript"/>
        </w:rPr>
        <w:softHyphen/>
        <w:t xml:space="preserve"> </w:t>
      </w:r>
      <w:r w:rsidR="00EC35B8" w:rsidRPr="00DB7156">
        <w:rPr>
          <w:rFonts w:ascii="Arial" w:hAnsi="Arial" w:cs="Arial"/>
        </w:rPr>
        <w:t>ambient air quality</w:t>
      </w:r>
      <w:r w:rsidRPr="00DB7156">
        <w:rPr>
          <w:rFonts w:ascii="Arial" w:hAnsi="Arial" w:cs="Arial"/>
        </w:rPr>
        <w:t xml:space="preserve"> standard was set at a level of 75 ppb</w:t>
      </w:r>
      <w:r w:rsidR="00AE33C8" w:rsidRPr="00DB7156">
        <w:rPr>
          <w:rFonts w:ascii="Arial" w:hAnsi="Arial" w:cs="Arial"/>
        </w:rPr>
        <w:t>, which became effective on August 23, 2010</w:t>
      </w:r>
      <w:r w:rsidR="00AB52F3" w:rsidRPr="00DB7156">
        <w:rPr>
          <w:rFonts w:ascii="Arial" w:hAnsi="Arial" w:cs="Arial"/>
        </w:rPr>
        <w:t>.</w:t>
      </w:r>
      <w:r w:rsidR="007376BD" w:rsidRPr="00DB7156">
        <w:rPr>
          <w:rFonts w:ascii="Arial" w:hAnsi="Arial" w:cs="Arial"/>
        </w:rPr>
        <w:t xml:space="preserve"> </w:t>
      </w:r>
      <w:r w:rsidR="00AB52F3" w:rsidRPr="00DB7156">
        <w:rPr>
          <w:rFonts w:ascii="Arial" w:hAnsi="Arial" w:cs="Arial"/>
        </w:rPr>
        <w:t>In the 2010 SO</w:t>
      </w:r>
      <w:r w:rsidR="00AB52F3" w:rsidRPr="00DB7156">
        <w:rPr>
          <w:rFonts w:ascii="Arial" w:hAnsi="Arial" w:cs="Arial"/>
          <w:vertAlign w:val="subscript"/>
        </w:rPr>
        <w:t>2</w:t>
      </w:r>
      <w:r w:rsidR="00AB52F3" w:rsidRPr="00DB7156">
        <w:rPr>
          <w:rFonts w:ascii="Arial" w:hAnsi="Arial" w:cs="Arial"/>
        </w:rPr>
        <w:t xml:space="preserve"> NAAQS final rule</w:t>
      </w:r>
      <w:r w:rsidR="006036F0" w:rsidRPr="00DB7156">
        <w:rPr>
          <w:rFonts w:ascii="Arial" w:hAnsi="Arial" w:cs="Arial"/>
        </w:rPr>
        <w:t>,</w:t>
      </w:r>
      <w:r w:rsidRPr="00DB7156">
        <w:rPr>
          <w:rFonts w:ascii="Arial" w:hAnsi="Arial" w:cs="Arial"/>
        </w:rPr>
        <w:t xml:space="preserve"> EPA </w:t>
      </w:r>
      <w:r w:rsidR="006036F0" w:rsidRPr="00DB7156">
        <w:rPr>
          <w:rFonts w:ascii="Arial" w:hAnsi="Arial" w:cs="Arial"/>
        </w:rPr>
        <w:t>outlined a plan</w:t>
      </w:r>
      <w:r w:rsidRPr="00DB7156">
        <w:rPr>
          <w:rFonts w:ascii="Arial" w:hAnsi="Arial" w:cs="Arial"/>
        </w:rPr>
        <w:t xml:space="preserve"> to implement the standard through a combination of monitoring and modeling.  </w:t>
      </w:r>
      <w:r w:rsidR="003D2F64" w:rsidRPr="00DB7156">
        <w:rPr>
          <w:rFonts w:ascii="Arial" w:hAnsi="Arial" w:cs="Arial"/>
        </w:rPr>
        <w:t>Designations for this NAAQS were expected in June 2012</w:t>
      </w:r>
      <w:r w:rsidR="00FB2844">
        <w:rPr>
          <w:rFonts w:ascii="Arial" w:hAnsi="Arial" w:cs="Arial"/>
        </w:rPr>
        <w:t xml:space="preserve"> but </w:t>
      </w:r>
      <w:r w:rsidR="00FB2844" w:rsidRPr="00DB7156">
        <w:rPr>
          <w:rFonts w:ascii="Arial" w:hAnsi="Arial" w:cs="Arial"/>
        </w:rPr>
        <w:t>EPA promulgated final “initial” nonattainment designations for 29 areas of the coun</w:t>
      </w:r>
      <w:r w:rsidR="00FB2844">
        <w:rPr>
          <w:rFonts w:ascii="Arial" w:hAnsi="Arial" w:cs="Arial"/>
        </w:rPr>
        <w:t>try in</w:t>
      </w:r>
      <w:r w:rsidR="00324797" w:rsidRPr="00DB7156">
        <w:rPr>
          <w:rFonts w:ascii="Arial" w:hAnsi="Arial" w:cs="Arial"/>
        </w:rPr>
        <w:t xml:space="preserve"> August 2013</w:t>
      </w:r>
      <w:r w:rsidR="00FB2844">
        <w:rPr>
          <w:rFonts w:ascii="Arial" w:hAnsi="Arial" w:cs="Arial"/>
        </w:rPr>
        <w:t>.</w:t>
      </w:r>
      <w:r w:rsidR="00324797" w:rsidRPr="00DB7156">
        <w:rPr>
          <w:rFonts w:ascii="Arial" w:hAnsi="Arial" w:cs="Arial"/>
        </w:rPr>
        <w:t xml:space="preserve"> No areas in Georgia were designated</w:t>
      </w:r>
      <w:r w:rsidR="009435EC" w:rsidRPr="00DB7156">
        <w:rPr>
          <w:rFonts w:ascii="Arial" w:hAnsi="Arial" w:cs="Arial"/>
        </w:rPr>
        <w:t xml:space="preserve"> at this time</w:t>
      </w:r>
      <w:r w:rsidR="00324797" w:rsidRPr="00DB7156">
        <w:rPr>
          <w:rFonts w:ascii="Arial" w:hAnsi="Arial" w:cs="Arial"/>
        </w:rPr>
        <w:t>.</w:t>
      </w:r>
      <w:r w:rsidR="00067A1A" w:rsidRPr="00DB7156">
        <w:rPr>
          <w:rFonts w:ascii="Arial" w:hAnsi="Arial" w:cs="Arial"/>
        </w:rPr>
        <w:t xml:space="preserve">  </w:t>
      </w:r>
    </w:p>
    <w:p w14:paraId="22BA4F29" w14:textId="77777777" w:rsidR="00C44767" w:rsidRPr="00DB7156" w:rsidRDefault="00C44767" w:rsidP="00DB7156">
      <w:pPr>
        <w:pStyle w:val="BodyText3"/>
        <w:widowControl w:val="0"/>
        <w:jc w:val="both"/>
        <w:rPr>
          <w:rFonts w:ascii="Arial" w:hAnsi="Arial" w:cs="Arial"/>
        </w:rPr>
      </w:pPr>
    </w:p>
    <w:p w14:paraId="6D05F605" w14:textId="327AA1A7" w:rsidR="00994CDF" w:rsidRPr="00DB7156" w:rsidRDefault="00C44767" w:rsidP="00DB7156">
      <w:pPr>
        <w:pStyle w:val="BodyText3"/>
        <w:widowControl w:val="0"/>
        <w:jc w:val="both"/>
        <w:rPr>
          <w:rFonts w:ascii="Arial" w:hAnsi="Arial" w:cs="Arial"/>
        </w:rPr>
      </w:pPr>
      <w:r w:rsidRPr="00DB7156">
        <w:rPr>
          <w:rFonts w:ascii="Arial" w:hAnsi="Arial" w:cs="Arial"/>
        </w:rPr>
        <w:t>EPA continued its implementation of the 2010 SO</w:t>
      </w:r>
      <w:r w:rsidRPr="00DB7156">
        <w:rPr>
          <w:rFonts w:ascii="Arial" w:hAnsi="Arial" w:cs="Arial"/>
          <w:vertAlign w:val="subscript"/>
        </w:rPr>
        <w:t>2</w:t>
      </w:r>
      <w:r w:rsidRPr="00DB7156">
        <w:rPr>
          <w:rFonts w:ascii="Arial" w:hAnsi="Arial" w:cs="Arial"/>
        </w:rPr>
        <w:t xml:space="preserve"> NAAQS with a proposed </w:t>
      </w:r>
      <w:r w:rsidR="005224A8" w:rsidRPr="00DB7156">
        <w:rPr>
          <w:rFonts w:ascii="Arial" w:hAnsi="Arial" w:cs="Arial"/>
        </w:rPr>
        <w:t>Data Requirements R</w:t>
      </w:r>
      <w:r w:rsidRPr="00DB7156">
        <w:rPr>
          <w:rFonts w:ascii="Arial" w:hAnsi="Arial" w:cs="Arial"/>
        </w:rPr>
        <w:t>ule released in April 2014 detailing the regulatory requirements for determining nonattainment areas and related requirements through modeling and/or monitoring</w:t>
      </w:r>
      <w:r w:rsidR="00B44C68" w:rsidRPr="00DB7156">
        <w:rPr>
          <w:rFonts w:ascii="Arial" w:hAnsi="Arial" w:cs="Arial"/>
        </w:rPr>
        <w:t>.</w:t>
      </w:r>
      <w:r w:rsidRPr="00DB7156">
        <w:rPr>
          <w:rFonts w:ascii="Arial" w:hAnsi="Arial" w:cs="Arial"/>
        </w:rPr>
        <w:t xml:space="preserve">  </w:t>
      </w:r>
    </w:p>
    <w:p w14:paraId="6CCB705C" w14:textId="77777777" w:rsidR="00994CDF" w:rsidRPr="00DB7156" w:rsidRDefault="00994CDF" w:rsidP="00DB7156">
      <w:pPr>
        <w:pStyle w:val="BodyText3"/>
        <w:widowControl w:val="0"/>
        <w:jc w:val="both"/>
        <w:rPr>
          <w:rFonts w:ascii="Arial" w:hAnsi="Arial" w:cs="Arial"/>
        </w:rPr>
      </w:pPr>
    </w:p>
    <w:p w14:paraId="22BA4F2A" w14:textId="775E7F52" w:rsidR="00C44767" w:rsidRDefault="00FB2844" w:rsidP="00DB7156">
      <w:pPr>
        <w:pStyle w:val="BodyText3"/>
        <w:widowControl w:val="0"/>
        <w:jc w:val="both"/>
        <w:rPr>
          <w:rFonts w:ascii="Arial" w:hAnsi="Arial" w:cs="Arial"/>
          <w:szCs w:val="24"/>
        </w:rPr>
      </w:pPr>
      <w:r>
        <w:rPr>
          <w:rFonts w:ascii="Arial" w:hAnsi="Arial" w:cs="Arial"/>
          <w:szCs w:val="24"/>
        </w:rPr>
        <w:t>In</w:t>
      </w:r>
      <w:r w:rsidRPr="00DB7156">
        <w:rPr>
          <w:rFonts w:ascii="Arial" w:hAnsi="Arial" w:cs="Arial"/>
          <w:szCs w:val="24"/>
        </w:rPr>
        <w:t xml:space="preserve"> </w:t>
      </w:r>
      <w:r w:rsidR="00E33CB5" w:rsidRPr="00DB7156">
        <w:rPr>
          <w:rFonts w:ascii="Arial" w:hAnsi="Arial" w:cs="Arial"/>
          <w:szCs w:val="24"/>
        </w:rPr>
        <w:t xml:space="preserve">March </w:t>
      </w:r>
      <w:r w:rsidR="0078346A" w:rsidRPr="00DB7156">
        <w:rPr>
          <w:rFonts w:ascii="Arial" w:hAnsi="Arial" w:cs="Arial"/>
          <w:szCs w:val="24"/>
        </w:rPr>
        <w:t>201</w:t>
      </w:r>
      <w:r w:rsidR="00E33CB5" w:rsidRPr="00DB7156">
        <w:rPr>
          <w:rFonts w:ascii="Arial" w:hAnsi="Arial" w:cs="Arial"/>
          <w:szCs w:val="24"/>
        </w:rPr>
        <w:t>5</w:t>
      </w:r>
      <w:r w:rsidR="0078346A" w:rsidRPr="00DB7156">
        <w:rPr>
          <w:rFonts w:ascii="Arial" w:hAnsi="Arial" w:cs="Arial"/>
          <w:szCs w:val="24"/>
        </w:rPr>
        <w:t xml:space="preserve">, EPA </w:t>
      </w:r>
      <w:r w:rsidR="00E33CB5" w:rsidRPr="00DB7156">
        <w:rPr>
          <w:rFonts w:ascii="Arial" w:hAnsi="Arial" w:cs="Arial"/>
          <w:szCs w:val="24"/>
        </w:rPr>
        <w:t>entered</w:t>
      </w:r>
      <w:r w:rsidR="00A72069" w:rsidRPr="00DB7156">
        <w:rPr>
          <w:rFonts w:ascii="Arial" w:hAnsi="Arial" w:cs="Arial"/>
          <w:szCs w:val="24"/>
        </w:rPr>
        <w:t xml:space="preserve"> into</w:t>
      </w:r>
      <w:r w:rsidR="00E33CB5" w:rsidRPr="00DB7156">
        <w:rPr>
          <w:rFonts w:ascii="Arial" w:hAnsi="Arial" w:cs="Arial"/>
          <w:szCs w:val="24"/>
        </w:rPr>
        <w:t xml:space="preserve"> a</w:t>
      </w:r>
      <w:r w:rsidR="0078346A" w:rsidRPr="00DB7156">
        <w:rPr>
          <w:rFonts w:ascii="Arial" w:hAnsi="Arial" w:cs="Arial"/>
          <w:szCs w:val="24"/>
        </w:rPr>
        <w:t xml:space="preserve"> consent decree with environmental groups </w:t>
      </w:r>
      <w:r w:rsidR="00E33CB5" w:rsidRPr="00DB7156">
        <w:rPr>
          <w:rFonts w:ascii="Arial" w:hAnsi="Arial" w:cs="Arial"/>
          <w:szCs w:val="24"/>
        </w:rPr>
        <w:t>in the U</w:t>
      </w:r>
      <w:r w:rsidR="007F73C2" w:rsidRPr="00DB7156">
        <w:rPr>
          <w:rFonts w:ascii="Arial" w:hAnsi="Arial" w:cs="Arial"/>
          <w:szCs w:val="24"/>
        </w:rPr>
        <w:t>.</w:t>
      </w:r>
      <w:r w:rsidR="00E33CB5" w:rsidRPr="00DB7156">
        <w:rPr>
          <w:rFonts w:ascii="Arial" w:hAnsi="Arial" w:cs="Arial"/>
          <w:szCs w:val="24"/>
        </w:rPr>
        <w:t>S</w:t>
      </w:r>
      <w:r w:rsidR="007F73C2" w:rsidRPr="00DB7156">
        <w:rPr>
          <w:rFonts w:ascii="Arial" w:hAnsi="Arial" w:cs="Arial"/>
          <w:szCs w:val="24"/>
        </w:rPr>
        <w:t>.</w:t>
      </w:r>
      <w:r w:rsidR="00E33CB5" w:rsidRPr="00DB7156">
        <w:rPr>
          <w:rFonts w:ascii="Arial" w:hAnsi="Arial" w:cs="Arial"/>
          <w:szCs w:val="24"/>
        </w:rPr>
        <w:t xml:space="preserve"> District Court for the Northern District of California</w:t>
      </w:r>
      <w:r w:rsidR="0078346A" w:rsidRPr="00DB7156">
        <w:rPr>
          <w:rFonts w:ascii="Arial" w:hAnsi="Arial" w:cs="Arial"/>
          <w:szCs w:val="24"/>
        </w:rPr>
        <w:t xml:space="preserve"> </w:t>
      </w:r>
      <w:r w:rsidR="00200E8E" w:rsidRPr="00DB7156">
        <w:rPr>
          <w:rFonts w:ascii="Arial" w:hAnsi="Arial" w:cs="Arial"/>
          <w:szCs w:val="24"/>
        </w:rPr>
        <w:t xml:space="preserve">settling claims that EPA failed to complete the area designation process by the statutory deadlines and agreeing </w:t>
      </w:r>
      <w:r w:rsidR="0078346A" w:rsidRPr="00DB7156">
        <w:rPr>
          <w:rFonts w:ascii="Arial" w:hAnsi="Arial" w:cs="Arial"/>
          <w:szCs w:val="24"/>
        </w:rPr>
        <w:t>to complete</w:t>
      </w:r>
      <w:r w:rsidR="00200E8E" w:rsidRPr="00DB7156">
        <w:rPr>
          <w:rFonts w:ascii="Arial" w:hAnsi="Arial" w:cs="Arial"/>
          <w:szCs w:val="24"/>
        </w:rPr>
        <w:t xml:space="preserve"> area designations in three stages.</w:t>
      </w:r>
      <w:r w:rsidR="0078346A" w:rsidRPr="00DB7156">
        <w:rPr>
          <w:rFonts w:ascii="Arial" w:hAnsi="Arial" w:cs="Arial"/>
          <w:szCs w:val="24"/>
        </w:rPr>
        <w:t xml:space="preserve"> </w:t>
      </w:r>
      <w:r w:rsidR="00994CDF" w:rsidRPr="00DB7156">
        <w:rPr>
          <w:rFonts w:ascii="Arial" w:hAnsi="Arial" w:cs="Arial"/>
          <w:szCs w:val="24"/>
        </w:rPr>
        <w:t xml:space="preserve">The consent decree </w:t>
      </w:r>
      <w:r w:rsidR="00E33CB5" w:rsidRPr="00DB7156">
        <w:rPr>
          <w:rFonts w:ascii="Arial" w:hAnsi="Arial" w:cs="Arial"/>
          <w:szCs w:val="24"/>
        </w:rPr>
        <w:t>codifies</w:t>
      </w:r>
      <w:r w:rsidR="00994CDF" w:rsidRPr="00DB7156">
        <w:rPr>
          <w:rFonts w:ascii="Arial" w:hAnsi="Arial" w:cs="Arial"/>
          <w:szCs w:val="24"/>
        </w:rPr>
        <w:t xml:space="preserve"> the timeline </w:t>
      </w:r>
      <w:r w:rsidR="009435EC" w:rsidRPr="00DB7156">
        <w:rPr>
          <w:rFonts w:ascii="Arial" w:hAnsi="Arial" w:cs="Arial"/>
          <w:szCs w:val="24"/>
        </w:rPr>
        <w:t xml:space="preserve">proposed in </w:t>
      </w:r>
      <w:r w:rsidR="00994CDF" w:rsidRPr="00DB7156">
        <w:rPr>
          <w:rFonts w:ascii="Arial" w:hAnsi="Arial" w:cs="Arial"/>
          <w:szCs w:val="24"/>
        </w:rPr>
        <w:t xml:space="preserve">the Data Requirements Rule for </w:t>
      </w:r>
      <w:r w:rsidR="008131D6" w:rsidRPr="00DB7156">
        <w:rPr>
          <w:rFonts w:ascii="Arial" w:hAnsi="Arial" w:cs="Arial"/>
          <w:szCs w:val="24"/>
        </w:rPr>
        <w:t xml:space="preserve">designating </w:t>
      </w:r>
      <w:r w:rsidR="00994CDF" w:rsidRPr="00DB7156">
        <w:rPr>
          <w:rFonts w:ascii="Arial" w:hAnsi="Arial" w:cs="Arial"/>
          <w:szCs w:val="24"/>
        </w:rPr>
        <w:t>most areas of the country</w:t>
      </w:r>
      <w:r w:rsidR="00A72069" w:rsidRPr="00DB7156">
        <w:rPr>
          <w:rFonts w:ascii="Arial" w:hAnsi="Arial" w:cs="Arial"/>
          <w:szCs w:val="24"/>
        </w:rPr>
        <w:t xml:space="preserve"> with some areas </w:t>
      </w:r>
      <w:r w:rsidR="0078346A" w:rsidRPr="00DB7156">
        <w:rPr>
          <w:rFonts w:ascii="Arial" w:hAnsi="Arial" w:cs="Arial"/>
          <w:szCs w:val="24"/>
        </w:rPr>
        <w:t>requir</w:t>
      </w:r>
      <w:r w:rsidR="00A72069" w:rsidRPr="00DB7156">
        <w:rPr>
          <w:rFonts w:ascii="Arial" w:hAnsi="Arial" w:cs="Arial"/>
          <w:szCs w:val="24"/>
        </w:rPr>
        <w:t>ing</w:t>
      </w:r>
      <w:r w:rsidR="0078346A" w:rsidRPr="00DB7156">
        <w:rPr>
          <w:rFonts w:ascii="Arial" w:hAnsi="Arial" w:cs="Arial"/>
          <w:szCs w:val="24"/>
        </w:rPr>
        <w:t xml:space="preserve"> designat</w:t>
      </w:r>
      <w:r w:rsidR="00A72069" w:rsidRPr="00DB7156">
        <w:rPr>
          <w:rFonts w:ascii="Arial" w:hAnsi="Arial" w:cs="Arial"/>
          <w:szCs w:val="24"/>
        </w:rPr>
        <w:t>ion</w:t>
      </w:r>
      <w:r w:rsidR="0078346A" w:rsidRPr="00DB7156">
        <w:rPr>
          <w:rFonts w:ascii="Arial" w:hAnsi="Arial" w:cs="Arial"/>
          <w:szCs w:val="24"/>
        </w:rPr>
        <w:t xml:space="preserve"> much more quickly than proposed in the Data Requirements Rule. </w:t>
      </w:r>
    </w:p>
    <w:p w14:paraId="7F475B74" w14:textId="77777777" w:rsidR="00C33491" w:rsidRPr="00DB7156" w:rsidRDefault="00C33491" w:rsidP="00DB7156">
      <w:pPr>
        <w:pStyle w:val="BodyText3"/>
        <w:widowControl w:val="0"/>
        <w:jc w:val="both"/>
        <w:rPr>
          <w:rFonts w:ascii="Arial" w:hAnsi="Arial" w:cs="Arial"/>
          <w:szCs w:val="24"/>
        </w:rPr>
      </w:pPr>
    </w:p>
    <w:p w14:paraId="6AE91AD2" w14:textId="4214012F" w:rsidR="004E6F7D" w:rsidRPr="00DB7156" w:rsidRDefault="00FB2844" w:rsidP="00DB7156">
      <w:pPr>
        <w:pStyle w:val="BodyText3"/>
        <w:widowControl w:val="0"/>
        <w:jc w:val="both"/>
        <w:rPr>
          <w:rFonts w:ascii="Arial" w:hAnsi="Arial" w:cs="Arial"/>
        </w:rPr>
      </w:pPr>
      <w:r>
        <w:rPr>
          <w:rFonts w:ascii="Arial" w:hAnsi="Arial" w:cs="Arial"/>
        </w:rPr>
        <w:t>Later in March</w:t>
      </w:r>
      <w:r w:rsidR="004E6F7D" w:rsidRPr="00DB7156">
        <w:rPr>
          <w:rFonts w:ascii="Arial" w:hAnsi="Arial" w:cs="Arial"/>
        </w:rPr>
        <w:t xml:space="preserve"> 2015</w:t>
      </w:r>
      <w:r w:rsidR="00617E9B" w:rsidRPr="00DB7156">
        <w:rPr>
          <w:rFonts w:ascii="Arial" w:hAnsi="Arial" w:cs="Arial"/>
        </w:rPr>
        <w:t>,</w:t>
      </w:r>
      <w:r w:rsidR="004E6F7D" w:rsidRPr="00DB7156">
        <w:rPr>
          <w:rFonts w:ascii="Arial" w:hAnsi="Arial" w:cs="Arial"/>
        </w:rPr>
        <w:t xml:space="preserve"> EPA informed 28 states</w:t>
      </w:r>
      <w:r w:rsidR="00617E9B" w:rsidRPr="00DB7156">
        <w:rPr>
          <w:rFonts w:ascii="Arial" w:hAnsi="Arial" w:cs="Arial"/>
        </w:rPr>
        <w:t>,</w:t>
      </w:r>
      <w:r w:rsidR="004E6F7D" w:rsidRPr="00DB7156">
        <w:rPr>
          <w:rFonts w:ascii="Arial" w:hAnsi="Arial" w:cs="Arial"/>
        </w:rPr>
        <w:t xml:space="preserve"> including Georgia</w:t>
      </w:r>
      <w:r w:rsidR="00617E9B" w:rsidRPr="00DB7156">
        <w:rPr>
          <w:rFonts w:ascii="Arial" w:hAnsi="Arial" w:cs="Arial"/>
        </w:rPr>
        <w:t>,</w:t>
      </w:r>
      <w:r w:rsidR="004E6F7D" w:rsidRPr="00DB7156">
        <w:rPr>
          <w:rFonts w:ascii="Arial" w:hAnsi="Arial" w:cs="Arial"/>
        </w:rPr>
        <w:t xml:space="preserve"> that</w:t>
      </w:r>
      <w:r w:rsidR="00E33CB5" w:rsidRPr="00DB7156">
        <w:rPr>
          <w:rFonts w:ascii="Arial" w:hAnsi="Arial" w:cs="Arial"/>
        </w:rPr>
        <w:t>, as a result of the consent decree,</w:t>
      </w:r>
      <w:r w:rsidR="004E6F7D" w:rsidRPr="00DB7156">
        <w:rPr>
          <w:rFonts w:ascii="Arial" w:hAnsi="Arial" w:cs="Arial"/>
        </w:rPr>
        <w:t xml:space="preserve"> certain areas within their jurisdictions </w:t>
      </w:r>
      <w:r w:rsidR="007533EF" w:rsidRPr="00DB7156">
        <w:rPr>
          <w:rFonts w:ascii="Arial" w:hAnsi="Arial" w:cs="Arial"/>
        </w:rPr>
        <w:t>would</w:t>
      </w:r>
      <w:r w:rsidR="004E6F7D" w:rsidRPr="00DB7156">
        <w:rPr>
          <w:rFonts w:ascii="Arial" w:hAnsi="Arial" w:cs="Arial"/>
        </w:rPr>
        <w:t xml:space="preserve"> be designated as either unclassifiable/attainment, nonattainment, or unclassifiable by July 2016. </w:t>
      </w:r>
      <w:r w:rsidR="0061108F" w:rsidRPr="00DB7156">
        <w:rPr>
          <w:rFonts w:ascii="Arial" w:hAnsi="Arial" w:cs="Arial"/>
        </w:rPr>
        <w:t>Juliette, G</w:t>
      </w:r>
      <w:r w:rsidR="00B04FB8" w:rsidRPr="00DB7156">
        <w:rPr>
          <w:rFonts w:ascii="Arial" w:hAnsi="Arial" w:cs="Arial"/>
        </w:rPr>
        <w:t>A</w:t>
      </w:r>
      <w:r w:rsidR="0061108F" w:rsidRPr="00DB7156">
        <w:rPr>
          <w:rFonts w:ascii="Arial" w:hAnsi="Arial" w:cs="Arial"/>
        </w:rPr>
        <w:t>, t</w:t>
      </w:r>
      <w:r w:rsidR="004E6F7D" w:rsidRPr="00DB7156">
        <w:rPr>
          <w:rFonts w:ascii="Arial" w:hAnsi="Arial" w:cs="Arial"/>
        </w:rPr>
        <w:t>he area around Plant Scherer</w:t>
      </w:r>
      <w:r w:rsidR="00B04FB8" w:rsidRPr="00DB7156">
        <w:rPr>
          <w:rFonts w:ascii="Arial" w:hAnsi="Arial" w:cs="Arial"/>
        </w:rPr>
        <w:t>,</w:t>
      </w:r>
      <w:r w:rsidR="004E6F7D" w:rsidRPr="00DB7156">
        <w:rPr>
          <w:rFonts w:ascii="Arial" w:hAnsi="Arial" w:cs="Arial"/>
        </w:rPr>
        <w:t xml:space="preserve"> </w:t>
      </w:r>
      <w:r w:rsidR="00617E9B" w:rsidRPr="00DB7156">
        <w:rPr>
          <w:rFonts w:ascii="Arial" w:hAnsi="Arial" w:cs="Arial"/>
        </w:rPr>
        <w:t>was</w:t>
      </w:r>
      <w:r w:rsidR="004E6F7D" w:rsidRPr="00DB7156">
        <w:rPr>
          <w:rFonts w:ascii="Arial" w:hAnsi="Arial" w:cs="Arial"/>
        </w:rPr>
        <w:t xml:space="preserve"> </w:t>
      </w:r>
      <w:r w:rsidR="00441FCB">
        <w:rPr>
          <w:rFonts w:ascii="Arial" w:hAnsi="Arial" w:cs="Arial"/>
        </w:rPr>
        <w:t xml:space="preserve">one such area </w:t>
      </w:r>
      <w:r w:rsidR="004E6F7D" w:rsidRPr="00DB7156">
        <w:rPr>
          <w:rFonts w:ascii="Arial" w:hAnsi="Arial" w:cs="Arial"/>
        </w:rPr>
        <w:t>identified based on plant-wide 2012 SO</w:t>
      </w:r>
      <w:r w:rsidR="004E6F7D" w:rsidRPr="00DB7156">
        <w:rPr>
          <w:rFonts w:ascii="Arial" w:hAnsi="Arial" w:cs="Arial"/>
          <w:vertAlign w:val="subscript"/>
        </w:rPr>
        <w:t>2</w:t>
      </w:r>
      <w:r w:rsidR="004E6F7D" w:rsidRPr="00DB7156">
        <w:rPr>
          <w:rFonts w:ascii="Arial" w:hAnsi="Arial" w:cs="Arial"/>
        </w:rPr>
        <w:t xml:space="preserve"> emissions. </w:t>
      </w:r>
      <w:r>
        <w:rPr>
          <w:rFonts w:ascii="Arial" w:hAnsi="Arial" w:cs="Arial"/>
        </w:rPr>
        <w:t>In</w:t>
      </w:r>
      <w:r w:rsidR="00CD4E48" w:rsidRPr="00DB7156">
        <w:rPr>
          <w:rFonts w:ascii="Arial" w:hAnsi="Arial" w:cs="Arial"/>
        </w:rPr>
        <w:t xml:space="preserve"> </w:t>
      </w:r>
      <w:r w:rsidR="00371CC0" w:rsidRPr="00DB7156">
        <w:rPr>
          <w:rFonts w:ascii="Arial" w:hAnsi="Arial" w:cs="Arial"/>
        </w:rPr>
        <w:t>July 2016, the EPA designated Juliette, GA</w:t>
      </w:r>
      <w:r w:rsidR="0061108F" w:rsidRPr="00DB7156">
        <w:rPr>
          <w:rFonts w:ascii="Arial" w:hAnsi="Arial" w:cs="Arial"/>
        </w:rPr>
        <w:t xml:space="preserve"> </w:t>
      </w:r>
      <w:r w:rsidR="00371CC0" w:rsidRPr="00DB7156">
        <w:rPr>
          <w:rFonts w:ascii="Arial" w:hAnsi="Arial" w:cs="Arial"/>
        </w:rPr>
        <w:t xml:space="preserve">as </w:t>
      </w:r>
      <w:r w:rsidR="00A72069" w:rsidRPr="00DB7156">
        <w:rPr>
          <w:rFonts w:ascii="Arial" w:hAnsi="Arial" w:cs="Arial"/>
        </w:rPr>
        <w:t>u</w:t>
      </w:r>
      <w:r w:rsidR="00371CC0" w:rsidRPr="00DB7156">
        <w:rPr>
          <w:rFonts w:ascii="Arial" w:hAnsi="Arial" w:cs="Arial"/>
        </w:rPr>
        <w:t>nclassified/</w:t>
      </w:r>
      <w:r w:rsidR="00A72069" w:rsidRPr="00DB7156">
        <w:rPr>
          <w:rFonts w:ascii="Arial" w:hAnsi="Arial" w:cs="Arial"/>
        </w:rPr>
        <w:t>a</w:t>
      </w:r>
      <w:r w:rsidR="00371CC0" w:rsidRPr="00DB7156">
        <w:rPr>
          <w:rFonts w:ascii="Arial" w:hAnsi="Arial" w:cs="Arial"/>
        </w:rPr>
        <w:t xml:space="preserve">ttainment based on 2012-2014 modeling submitted to EPA by the Georgia </w:t>
      </w:r>
      <w:r w:rsidR="00A72069" w:rsidRPr="00DB7156">
        <w:rPr>
          <w:rFonts w:ascii="Arial" w:hAnsi="Arial" w:cs="Arial"/>
        </w:rPr>
        <w:t>EPD</w:t>
      </w:r>
      <w:r w:rsidR="00A94903" w:rsidRPr="00DB7156">
        <w:rPr>
          <w:rFonts w:ascii="Arial" w:hAnsi="Arial" w:cs="Arial"/>
        </w:rPr>
        <w:t xml:space="preserve"> </w:t>
      </w:r>
      <w:r w:rsidR="00A72069" w:rsidRPr="00DB7156">
        <w:rPr>
          <w:rFonts w:ascii="Arial" w:hAnsi="Arial" w:cs="Arial"/>
        </w:rPr>
        <w:t>showing</w:t>
      </w:r>
      <w:r w:rsidR="00371CC0" w:rsidRPr="00DB7156">
        <w:rPr>
          <w:rFonts w:ascii="Arial" w:hAnsi="Arial" w:cs="Arial"/>
        </w:rPr>
        <w:t xml:space="preserve"> that SO</w:t>
      </w:r>
      <w:r w:rsidR="00371CC0" w:rsidRPr="00DB7156">
        <w:rPr>
          <w:rFonts w:ascii="Arial" w:hAnsi="Arial" w:cs="Arial"/>
          <w:vertAlign w:val="subscript"/>
        </w:rPr>
        <w:t>2</w:t>
      </w:r>
      <w:r w:rsidR="00371CC0" w:rsidRPr="00DB7156">
        <w:rPr>
          <w:rFonts w:ascii="Arial" w:hAnsi="Arial" w:cs="Arial"/>
        </w:rPr>
        <w:t xml:space="preserve"> emissions from Plant Scherer do not cause or contribute to any exceedances of the 1-hour SO</w:t>
      </w:r>
      <w:r w:rsidR="00371CC0" w:rsidRPr="00DB7156">
        <w:rPr>
          <w:rFonts w:ascii="Arial" w:hAnsi="Arial" w:cs="Arial"/>
          <w:vertAlign w:val="subscript"/>
        </w:rPr>
        <w:t>2</w:t>
      </w:r>
      <w:r w:rsidR="00371CC0" w:rsidRPr="00DB7156">
        <w:rPr>
          <w:rFonts w:ascii="Arial" w:hAnsi="Arial" w:cs="Arial"/>
        </w:rPr>
        <w:t xml:space="preserve"> NAAQS.</w:t>
      </w:r>
      <w:r w:rsidR="0061108F" w:rsidRPr="00DB7156">
        <w:rPr>
          <w:rFonts w:ascii="Arial" w:hAnsi="Arial" w:cs="Arial"/>
        </w:rPr>
        <w:t xml:space="preserve"> </w:t>
      </w:r>
    </w:p>
    <w:p w14:paraId="37854D82" w14:textId="5803452C" w:rsidR="00994CDF" w:rsidRPr="00DB7156" w:rsidRDefault="00994CDF" w:rsidP="00DB7156">
      <w:pPr>
        <w:pStyle w:val="BodyText3"/>
        <w:widowControl w:val="0"/>
        <w:jc w:val="both"/>
        <w:rPr>
          <w:rFonts w:ascii="Arial" w:hAnsi="Arial" w:cs="Arial"/>
        </w:rPr>
      </w:pPr>
    </w:p>
    <w:p w14:paraId="175FF9EA" w14:textId="10A77B71" w:rsidR="00994CDF" w:rsidRPr="00DB7156" w:rsidRDefault="00FB2844" w:rsidP="00DB7156">
      <w:pPr>
        <w:pStyle w:val="BodyText3"/>
        <w:widowControl w:val="0"/>
        <w:jc w:val="both"/>
        <w:rPr>
          <w:rFonts w:ascii="Arial" w:hAnsi="Arial" w:cs="Arial"/>
        </w:rPr>
      </w:pPr>
      <w:r>
        <w:rPr>
          <w:rFonts w:ascii="Arial" w:hAnsi="Arial" w:cs="Arial"/>
        </w:rPr>
        <w:t>I</w:t>
      </w:r>
      <w:r w:rsidR="00994CDF" w:rsidRPr="00DB7156">
        <w:rPr>
          <w:rFonts w:ascii="Arial" w:hAnsi="Arial" w:cs="Arial"/>
        </w:rPr>
        <w:t>n August 2015, EPA finalized the Data Requirements Rule</w:t>
      </w:r>
      <w:r w:rsidR="00881A80" w:rsidRPr="00DB7156">
        <w:rPr>
          <w:rFonts w:ascii="Arial" w:hAnsi="Arial" w:cs="Arial"/>
        </w:rPr>
        <w:t>, which</w:t>
      </w:r>
      <w:r w:rsidR="008131D6" w:rsidRPr="00DB7156">
        <w:rPr>
          <w:rFonts w:ascii="Arial" w:hAnsi="Arial" w:cs="Arial"/>
        </w:rPr>
        <w:t xml:space="preserve"> requires states to characterize air quality around sources that emit more than 2,000 tons per year of SO</w:t>
      </w:r>
      <w:r w:rsidR="008131D6" w:rsidRPr="00DB7156">
        <w:rPr>
          <w:rFonts w:ascii="Arial" w:hAnsi="Arial" w:cs="Arial"/>
          <w:vertAlign w:val="subscript"/>
        </w:rPr>
        <w:t>2</w:t>
      </w:r>
      <w:r w:rsidR="00272E61" w:rsidRPr="00DB7156">
        <w:rPr>
          <w:rFonts w:ascii="Arial" w:hAnsi="Arial" w:cs="Arial"/>
        </w:rPr>
        <w:t xml:space="preserve"> using either air quality modeling or monitoring</w:t>
      </w:r>
      <w:r w:rsidR="00C35536" w:rsidRPr="00DB7156">
        <w:rPr>
          <w:rFonts w:ascii="Arial" w:hAnsi="Arial" w:cs="Arial"/>
        </w:rPr>
        <w:t xml:space="preserve">. </w:t>
      </w:r>
      <w:r w:rsidR="00E67CD2" w:rsidRPr="00DB7156">
        <w:rPr>
          <w:rFonts w:ascii="Arial" w:hAnsi="Arial" w:cs="Arial"/>
        </w:rPr>
        <w:t>F</w:t>
      </w:r>
      <w:r w:rsidR="000F2AAA" w:rsidRPr="00DB7156">
        <w:rPr>
          <w:rFonts w:ascii="Arial" w:hAnsi="Arial" w:cs="Arial"/>
        </w:rPr>
        <w:t xml:space="preserve">or sources that </w:t>
      </w:r>
      <w:r w:rsidR="00272E61" w:rsidRPr="00DB7156">
        <w:rPr>
          <w:rFonts w:ascii="Arial" w:hAnsi="Arial" w:cs="Arial"/>
        </w:rPr>
        <w:t xml:space="preserve">elected to </w:t>
      </w:r>
      <w:r w:rsidR="000F2AAA" w:rsidRPr="00DB7156">
        <w:rPr>
          <w:rFonts w:ascii="Arial" w:hAnsi="Arial" w:cs="Arial"/>
        </w:rPr>
        <w:t>characterize</w:t>
      </w:r>
      <w:r w:rsidR="00E67CD2" w:rsidRPr="00DB7156">
        <w:rPr>
          <w:rFonts w:ascii="Arial" w:hAnsi="Arial" w:cs="Arial"/>
        </w:rPr>
        <w:t xml:space="preserve"> ambient air quality </w:t>
      </w:r>
      <w:r w:rsidR="000F2AAA" w:rsidRPr="00DB7156">
        <w:rPr>
          <w:rFonts w:ascii="Arial" w:hAnsi="Arial" w:cs="Arial"/>
        </w:rPr>
        <w:t>via</w:t>
      </w:r>
      <w:r w:rsidR="00E67CD2" w:rsidRPr="00DB7156">
        <w:rPr>
          <w:rFonts w:ascii="Arial" w:hAnsi="Arial" w:cs="Arial"/>
        </w:rPr>
        <w:t xml:space="preserve"> modeling</w:t>
      </w:r>
      <w:r w:rsidR="00A83F74" w:rsidRPr="00DB7156">
        <w:rPr>
          <w:rFonts w:ascii="Arial" w:hAnsi="Arial" w:cs="Arial"/>
        </w:rPr>
        <w:t xml:space="preserve">, modeling </w:t>
      </w:r>
      <w:r w:rsidR="00E67CD2" w:rsidRPr="00DB7156">
        <w:rPr>
          <w:rFonts w:ascii="Arial" w:hAnsi="Arial" w:cs="Arial"/>
        </w:rPr>
        <w:t xml:space="preserve">results </w:t>
      </w:r>
      <w:r w:rsidR="00272E61" w:rsidRPr="00DB7156">
        <w:rPr>
          <w:rFonts w:ascii="Arial" w:hAnsi="Arial" w:cs="Arial"/>
        </w:rPr>
        <w:t xml:space="preserve">were </w:t>
      </w:r>
      <w:r w:rsidR="00E67CD2" w:rsidRPr="00DB7156">
        <w:rPr>
          <w:rFonts w:ascii="Arial" w:hAnsi="Arial" w:cs="Arial"/>
        </w:rPr>
        <w:t>submitted</w:t>
      </w:r>
      <w:r w:rsidR="00881A80" w:rsidRPr="00DB7156">
        <w:rPr>
          <w:rFonts w:ascii="Arial" w:hAnsi="Arial" w:cs="Arial"/>
        </w:rPr>
        <w:t xml:space="preserve"> by the states</w:t>
      </w:r>
      <w:r w:rsidR="00E67CD2" w:rsidRPr="00DB7156">
        <w:rPr>
          <w:rFonts w:ascii="Arial" w:hAnsi="Arial" w:cs="Arial"/>
        </w:rPr>
        <w:t xml:space="preserve"> to EPA</w:t>
      </w:r>
      <w:r w:rsidR="006340F2" w:rsidRPr="00DB7156">
        <w:rPr>
          <w:rFonts w:ascii="Arial" w:hAnsi="Arial" w:cs="Arial"/>
        </w:rPr>
        <w:t xml:space="preserve"> </w:t>
      </w:r>
      <w:r w:rsidR="00A83F74" w:rsidRPr="00DB7156">
        <w:rPr>
          <w:rFonts w:ascii="Arial" w:hAnsi="Arial" w:cs="Arial"/>
        </w:rPr>
        <w:t>by January 2017</w:t>
      </w:r>
      <w:r w:rsidR="00272E61" w:rsidRPr="00DB7156">
        <w:rPr>
          <w:rFonts w:ascii="Arial" w:hAnsi="Arial" w:cs="Arial"/>
        </w:rPr>
        <w:t xml:space="preserve">. </w:t>
      </w:r>
      <w:r w:rsidR="00556D67" w:rsidRPr="00DB7156">
        <w:rPr>
          <w:rFonts w:ascii="Arial" w:hAnsi="Arial" w:cs="Arial"/>
        </w:rPr>
        <w:t xml:space="preserve">In January 2018, </w:t>
      </w:r>
      <w:r w:rsidR="00556D67" w:rsidRPr="00DB7156">
        <w:rPr>
          <w:rFonts w:ascii="Arial" w:hAnsi="Arial" w:cs="Arial"/>
          <w:szCs w:val="24"/>
        </w:rPr>
        <w:t xml:space="preserve">EPA finalized the third </w:t>
      </w:r>
      <w:r w:rsidR="00CE3B60" w:rsidRPr="00DB7156">
        <w:rPr>
          <w:rFonts w:ascii="Arial" w:hAnsi="Arial" w:cs="Arial"/>
          <w:szCs w:val="24"/>
        </w:rPr>
        <w:t xml:space="preserve">round </w:t>
      </w:r>
      <w:r w:rsidR="00556D67" w:rsidRPr="00DB7156">
        <w:rPr>
          <w:rFonts w:ascii="Arial" w:hAnsi="Arial" w:cs="Arial"/>
          <w:szCs w:val="24"/>
        </w:rPr>
        <w:t>of designations for the 2010 SO</w:t>
      </w:r>
      <w:r w:rsidR="00556D67" w:rsidRPr="00DB7156">
        <w:rPr>
          <w:rFonts w:ascii="Arial" w:hAnsi="Arial" w:cs="Arial"/>
          <w:szCs w:val="24"/>
          <w:vertAlign w:val="subscript"/>
        </w:rPr>
        <w:t>2</w:t>
      </w:r>
      <w:r w:rsidR="00556D67" w:rsidRPr="00DB7156">
        <w:rPr>
          <w:rFonts w:ascii="Arial" w:hAnsi="Arial" w:cs="Arial"/>
          <w:szCs w:val="24"/>
        </w:rPr>
        <w:t xml:space="preserve"> NAAQS</w:t>
      </w:r>
      <w:r w:rsidR="00556D67" w:rsidRPr="00DB7156">
        <w:rPr>
          <w:rFonts w:ascii="Arial" w:hAnsi="Arial" w:cs="Arial"/>
        </w:rPr>
        <w:t>.</w:t>
      </w:r>
      <w:r w:rsidR="00A83F74" w:rsidRPr="00DB7156">
        <w:rPr>
          <w:rFonts w:ascii="Arial" w:hAnsi="Arial" w:cs="Arial"/>
        </w:rPr>
        <w:t xml:space="preserve"> </w:t>
      </w:r>
      <w:r w:rsidR="00556D67" w:rsidRPr="00DB7156">
        <w:rPr>
          <w:rFonts w:ascii="Arial" w:hAnsi="Arial" w:cs="Arial"/>
        </w:rPr>
        <w:t>In this action, EPA designated all previously undesignated counties</w:t>
      </w:r>
      <w:r w:rsidR="00B657FD">
        <w:rPr>
          <w:rFonts w:ascii="Arial" w:hAnsi="Arial" w:cs="Arial"/>
        </w:rPr>
        <w:t xml:space="preserve"> in Georgia</w:t>
      </w:r>
      <w:r w:rsidR="00556D67" w:rsidRPr="00DB7156">
        <w:rPr>
          <w:rFonts w:ascii="Arial" w:hAnsi="Arial" w:cs="Arial"/>
        </w:rPr>
        <w:t xml:space="preserve"> as attainment/unclassifiable, </w:t>
      </w:r>
      <w:r w:rsidR="00716889">
        <w:rPr>
          <w:rFonts w:ascii="Arial" w:hAnsi="Arial" w:cs="Arial"/>
        </w:rPr>
        <w:t>except</w:t>
      </w:r>
      <w:r w:rsidR="00716889" w:rsidRPr="00DB7156">
        <w:rPr>
          <w:rFonts w:ascii="Arial" w:hAnsi="Arial" w:cs="Arial"/>
        </w:rPr>
        <w:t xml:space="preserve"> </w:t>
      </w:r>
      <w:r w:rsidR="00556D67" w:rsidRPr="00DB7156">
        <w:rPr>
          <w:rFonts w:ascii="Arial" w:hAnsi="Arial" w:cs="Arial"/>
        </w:rPr>
        <w:t>Floyd County</w:t>
      </w:r>
      <w:r w:rsidR="00BC278A">
        <w:rPr>
          <w:rFonts w:ascii="Arial" w:hAnsi="Arial" w:cs="Arial"/>
        </w:rPr>
        <w:t xml:space="preserve">, and </w:t>
      </w:r>
      <w:r w:rsidR="00441FCB">
        <w:rPr>
          <w:rFonts w:ascii="Arial" w:hAnsi="Arial" w:cs="Arial"/>
        </w:rPr>
        <w:t xml:space="preserve">Washington County, Alabama, where Plant Gaston is located, as unclassifiable. </w:t>
      </w:r>
      <w:r w:rsidR="00946614">
        <w:rPr>
          <w:rFonts w:ascii="Arial" w:hAnsi="Arial" w:cs="Arial"/>
        </w:rPr>
        <w:t>Other than an annual emissions review</w:t>
      </w:r>
      <w:r w:rsidR="008E64B1">
        <w:rPr>
          <w:rFonts w:ascii="Arial" w:hAnsi="Arial" w:cs="Arial"/>
        </w:rPr>
        <w:t xml:space="preserve"> by the state agency</w:t>
      </w:r>
      <w:r w:rsidR="00946614">
        <w:rPr>
          <w:rFonts w:ascii="Arial" w:hAnsi="Arial" w:cs="Arial"/>
        </w:rPr>
        <w:t xml:space="preserve">, no further action is required for these areas. </w:t>
      </w:r>
      <w:r w:rsidR="000F2AAA" w:rsidRPr="00DB7156">
        <w:rPr>
          <w:rFonts w:ascii="Arial" w:hAnsi="Arial" w:cs="Arial"/>
        </w:rPr>
        <w:t xml:space="preserve">For sources that </w:t>
      </w:r>
      <w:r w:rsidR="00272E61" w:rsidRPr="00DB7156">
        <w:rPr>
          <w:rFonts w:ascii="Arial" w:hAnsi="Arial" w:cs="Arial"/>
        </w:rPr>
        <w:t>elected to</w:t>
      </w:r>
      <w:r w:rsidR="000F2AAA" w:rsidRPr="00DB7156">
        <w:rPr>
          <w:rFonts w:ascii="Arial" w:hAnsi="Arial" w:cs="Arial"/>
        </w:rPr>
        <w:t xml:space="preserve"> characterize ambient air quality via monitoring</w:t>
      </w:r>
      <w:r w:rsidR="00A83F74" w:rsidRPr="00DB7156">
        <w:rPr>
          <w:rFonts w:ascii="Arial" w:hAnsi="Arial" w:cs="Arial"/>
        </w:rPr>
        <w:t>, monitors</w:t>
      </w:r>
      <w:r w:rsidR="000F2AAA" w:rsidRPr="00DB7156">
        <w:rPr>
          <w:rFonts w:ascii="Arial" w:hAnsi="Arial" w:cs="Arial"/>
        </w:rPr>
        <w:t xml:space="preserve"> </w:t>
      </w:r>
      <w:r w:rsidR="00272E61" w:rsidRPr="00DB7156">
        <w:rPr>
          <w:rFonts w:ascii="Arial" w:hAnsi="Arial" w:cs="Arial"/>
        </w:rPr>
        <w:t>were</w:t>
      </w:r>
      <w:r w:rsidR="000F2AAA" w:rsidRPr="00DB7156">
        <w:rPr>
          <w:rFonts w:ascii="Arial" w:hAnsi="Arial" w:cs="Arial"/>
        </w:rPr>
        <w:t xml:space="preserve"> installed and operational</w:t>
      </w:r>
      <w:r w:rsidR="00A83F74" w:rsidRPr="00DB7156">
        <w:rPr>
          <w:rFonts w:ascii="Arial" w:hAnsi="Arial" w:cs="Arial"/>
        </w:rPr>
        <w:t xml:space="preserve"> </w:t>
      </w:r>
      <w:r w:rsidR="008D3616" w:rsidRPr="00DB7156">
        <w:rPr>
          <w:rFonts w:ascii="Arial" w:hAnsi="Arial" w:cs="Arial"/>
        </w:rPr>
        <w:t>by January 2017</w:t>
      </w:r>
      <w:r w:rsidR="000F2AAA" w:rsidRPr="00DB7156">
        <w:rPr>
          <w:rFonts w:ascii="Arial" w:hAnsi="Arial" w:cs="Arial"/>
        </w:rPr>
        <w:t>.</w:t>
      </w:r>
      <w:r w:rsidR="00493D8D">
        <w:rPr>
          <w:rFonts w:ascii="Arial" w:hAnsi="Arial" w:cs="Arial"/>
        </w:rPr>
        <w:t xml:space="preserve"> </w:t>
      </w:r>
      <w:r w:rsidR="00716889">
        <w:rPr>
          <w:rFonts w:ascii="Arial" w:hAnsi="Arial" w:cs="Arial"/>
        </w:rPr>
        <w:t>D</w:t>
      </w:r>
      <w:r w:rsidR="000F2AAA" w:rsidRPr="00DB7156">
        <w:rPr>
          <w:rFonts w:ascii="Arial" w:hAnsi="Arial" w:cs="Arial"/>
        </w:rPr>
        <w:t>esignations for these areas will be based on</w:t>
      </w:r>
      <w:r w:rsidR="00A83F74" w:rsidRPr="00DB7156">
        <w:rPr>
          <w:rFonts w:ascii="Arial" w:hAnsi="Arial" w:cs="Arial"/>
        </w:rPr>
        <w:t xml:space="preserve"> three years of monitoring data</w:t>
      </w:r>
      <w:r w:rsidR="000F2AAA" w:rsidRPr="00DB7156">
        <w:rPr>
          <w:rFonts w:ascii="Arial" w:hAnsi="Arial" w:cs="Arial"/>
        </w:rPr>
        <w:t>,</w:t>
      </w:r>
      <w:r w:rsidR="00A83F74" w:rsidRPr="00DB7156">
        <w:rPr>
          <w:rFonts w:ascii="Arial" w:hAnsi="Arial" w:cs="Arial"/>
        </w:rPr>
        <w:t xml:space="preserve"> from 2017 to 2019</w:t>
      </w:r>
      <w:r w:rsidR="000F2AAA" w:rsidRPr="00DB7156">
        <w:rPr>
          <w:rFonts w:ascii="Arial" w:hAnsi="Arial" w:cs="Arial"/>
        </w:rPr>
        <w:t>, and will be finalized</w:t>
      </w:r>
      <w:r w:rsidR="00881A80" w:rsidRPr="00DB7156">
        <w:rPr>
          <w:rFonts w:ascii="Arial" w:hAnsi="Arial" w:cs="Arial"/>
        </w:rPr>
        <w:t xml:space="preserve"> by EPA</w:t>
      </w:r>
      <w:r w:rsidR="000F2AAA" w:rsidRPr="00DB7156">
        <w:rPr>
          <w:rFonts w:ascii="Arial" w:hAnsi="Arial" w:cs="Arial"/>
        </w:rPr>
        <w:t xml:space="preserve"> in December 2020. </w:t>
      </w:r>
      <w:r w:rsidR="00272E61" w:rsidRPr="00DB7156">
        <w:rPr>
          <w:rFonts w:ascii="Arial" w:hAnsi="Arial" w:cs="Arial"/>
        </w:rPr>
        <w:t>Floyd County, which includes Plant Hammond, will be included in this final round of area designations</w:t>
      </w:r>
      <w:r w:rsidR="00946614">
        <w:rPr>
          <w:rFonts w:ascii="Arial" w:hAnsi="Arial" w:cs="Arial"/>
        </w:rPr>
        <w:t xml:space="preserve"> due to monitoring data being collected </w:t>
      </w:r>
      <w:r w:rsidR="008E64B1">
        <w:rPr>
          <w:rFonts w:ascii="Arial" w:hAnsi="Arial" w:cs="Arial"/>
        </w:rPr>
        <w:t>for</w:t>
      </w:r>
      <w:r w:rsidR="00946614">
        <w:rPr>
          <w:rFonts w:ascii="Arial" w:hAnsi="Arial" w:cs="Arial"/>
        </w:rPr>
        <w:t xml:space="preserve"> the International Paper facility in Rome</w:t>
      </w:r>
      <w:r w:rsidR="00272E61" w:rsidRPr="00DB7156">
        <w:rPr>
          <w:rFonts w:ascii="Arial" w:hAnsi="Arial" w:cs="Arial"/>
        </w:rPr>
        <w:t xml:space="preserve">. </w:t>
      </w:r>
      <w:r w:rsidR="00650E0F">
        <w:rPr>
          <w:rFonts w:ascii="Arial" w:hAnsi="Arial" w:cs="Arial"/>
        </w:rPr>
        <w:t>If any areas are designated nonattainment based on monitoring, a</w:t>
      </w:r>
      <w:r w:rsidR="000F2AAA" w:rsidRPr="00DB7156">
        <w:rPr>
          <w:rFonts w:ascii="Arial" w:hAnsi="Arial" w:cs="Arial"/>
        </w:rPr>
        <w:t>ttainment demonstrations will be required by</w:t>
      </w:r>
      <w:r w:rsidR="00A83F74" w:rsidRPr="00DB7156">
        <w:rPr>
          <w:rFonts w:ascii="Arial" w:hAnsi="Arial" w:cs="Arial"/>
        </w:rPr>
        <w:t xml:space="preserve"> August 2022.</w:t>
      </w:r>
    </w:p>
    <w:p w14:paraId="51D6EDD8" w14:textId="2FD8187D" w:rsidR="008B6982" w:rsidRPr="00DB7156" w:rsidRDefault="008B6982" w:rsidP="00DB7156">
      <w:pPr>
        <w:pStyle w:val="BodyText3"/>
        <w:widowControl w:val="0"/>
        <w:jc w:val="both"/>
        <w:rPr>
          <w:rFonts w:ascii="Arial" w:hAnsi="Arial" w:cs="Arial"/>
        </w:rPr>
      </w:pPr>
    </w:p>
    <w:p w14:paraId="3DC4B5E9" w14:textId="225F57F3" w:rsidR="00BA6664" w:rsidRPr="00DB7156" w:rsidRDefault="00493D8D" w:rsidP="00DB7156">
      <w:pPr>
        <w:widowControl w:val="0"/>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r>
        <w:rPr>
          <w:rFonts w:ascii="Arial" w:hAnsi="Arial" w:cs="Arial"/>
          <w:sz w:val="24"/>
          <w:szCs w:val="20"/>
        </w:rPr>
        <w:t>I</w:t>
      </w:r>
      <w:r w:rsidR="009C5EEC" w:rsidRPr="00DB7156">
        <w:rPr>
          <w:rFonts w:ascii="Arial" w:hAnsi="Arial" w:cs="Arial"/>
          <w:sz w:val="24"/>
          <w:szCs w:val="20"/>
        </w:rPr>
        <w:t>n June</w:t>
      </w:r>
      <w:r w:rsidR="00F645C0" w:rsidRPr="00DB7156">
        <w:rPr>
          <w:rFonts w:ascii="Arial" w:hAnsi="Arial" w:cs="Arial"/>
          <w:sz w:val="24"/>
          <w:szCs w:val="20"/>
        </w:rPr>
        <w:t xml:space="preserve"> </w:t>
      </w:r>
      <w:r w:rsidR="00E36FD3" w:rsidRPr="00DB7156">
        <w:rPr>
          <w:rFonts w:ascii="Arial" w:hAnsi="Arial" w:cs="Arial"/>
          <w:sz w:val="24"/>
          <w:szCs w:val="20"/>
        </w:rPr>
        <w:t xml:space="preserve">2018, </w:t>
      </w:r>
      <w:r w:rsidR="00BA6664" w:rsidRPr="00DB7156">
        <w:rPr>
          <w:rFonts w:ascii="Arial" w:hAnsi="Arial" w:cs="Arial"/>
          <w:sz w:val="24"/>
          <w:szCs w:val="20"/>
        </w:rPr>
        <w:t xml:space="preserve">EPA published </w:t>
      </w:r>
      <w:r w:rsidR="00E36FD3" w:rsidRPr="00DB7156">
        <w:rPr>
          <w:rFonts w:ascii="Arial" w:hAnsi="Arial" w:cs="Arial"/>
          <w:sz w:val="24"/>
          <w:szCs w:val="20"/>
        </w:rPr>
        <w:t xml:space="preserve">a </w:t>
      </w:r>
      <w:r w:rsidR="009C5EEC" w:rsidRPr="00DB7156">
        <w:rPr>
          <w:rFonts w:ascii="Arial" w:hAnsi="Arial" w:cs="Arial"/>
          <w:sz w:val="24"/>
          <w:szCs w:val="20"/>
        </w:rPr>
        <w:t>proposal</w:t>
      </w:r>
      <w:r w:rsidR="00E36FD3" w:rsidRPr="00DB7156">
        <w:rPr>
          <w:rFonts w:ascii="Arial" w:hAnsi="Arial" w:cs="Arial"/>
          <w:sz w:val="24"/>
          <w:szCs w:val="20"/>
        </w:rPr>
        <w:t xml:space="preserve"> to retain the primary </w:t>
      </w:r>
      <w:r w:rsidR="0096290F" w:rsidRPr="00DB7156">
        <w:rPr>
          <w:rFonts w:ascii="Arial" w:hAnsi="Arial" w:cs="Arial"/>
          <w:sz w:val="24"/>
          <w:szCs w:val="20"/>
        </w:rPr>
        <w:t>SO</w:t>
      </w:r>
      <w:r w:rsidR="0096290F" w:rsidRPr="00DB7156">
        <w:rPr>
          <w:rFonts w:ascii="Arial" w:hAnsi="Arial" w:cs="Arial"/>
          <w:sz w:val="24"/>
          <w:szCs w:val="20"/>
          <w:vertAlign w:val="subscript"/>
        </w:rPr>
        <w:t xml:space="preserve">2 </w:t>
      </w:r>
      <w:r w:rsidR="0096290F" w:rsidRPr="00DB7156">
        <w:rPr>
          <w:rFonts w:ascii="Arial" w:hAnsi="Arial" w:cs="Arial"/>
          <w:sz w:val="24"/>
          <w:szCs w:val="20"/>
        </w:rPr>
        <w:t>standard without revision</w:t>
      </w:r>
      <w:r w:rsidR="00BA6664" w:rsidRPr="00DB7156">
        <w:rPr>
          <w:rFonts w:ascii="Arial" w:hAnsi="Arial" w:cs="Arial"/>
          <w:sz w:val="24"/>
          <w:szCs w:val="20"/>
        </w:rPr>
        <w:t>.</w:t>
      </w:r>
      <w:r w:rsidR="00D06F1F" w:rsidRPr="00DB7156">
        <w:rPr>
          <w:rFonts w:ascii="Arial" w:hAnsi="Arial" w:cs="Arial"/>
          <w:sz w:val="24"/>
          <w:szCs w:val="20"/>
        </w:rPr>
        <w:t xml:space="preserve"> EPA is under a court-ordered deadline to finalize the SO</w:t>
      </w:r>
      <w:r w:rsidR="00D06F1F" w:rsidRPr="00DB7156">
        <w:rPr>
          <w:rFonts w:ascii="Arial" w:hAnsi="Arial" w:cs="Arial"/>
          <w:sz w:val="24"/>
          <w:szCs w:val="20"/>
          <w:vertAlign w:val="subscript"/>
        </w:rPr>
        <w:t>2</w:t>
      </w:r>
      <w:r w:rsidR="00D06F1F" w:rsidRPr="00DB7156">
        <w:rPr>
          <w:rFonts w:ascii="Arial" w:hAnsi="Arial" w:cs="Arial"/>
          <w:sz w:val="24"/>
          <w:szCs w:val="20"/>
        </w:rPr>
        <w:t xml:space="preserve"> NAAQS review by January 28, 2019.</w:t>
      </w:r>
      <w:r w:rsidR="00BA6664" w:rsidRPr="00DB7156">
        <w:rPr>
          <w:rFonts w:ascii="Arial" w:hAnsi="Arial" w:cs="Arial"/>
          <w:sz w:val="24"/>
          <w:szCs w:val="20"/>
        </w:rPr>
        <w:t xml:space="preserve"> </w:t>
      </w:r>
    </w:p>
    <w:p w14:paraId="22BA4F2B" w14:textId="77777777" w:rsidR="00FC67F9" w:rsidRPr="00DB7156" w:rsidRDefault="00FC67F9" w:rsidP="00DB7156">
      <w:pPr>
        <w:pStyle w:val="BodyText3"/>
        <w:widowControl w:val="0"/>
        <w:jc w:val="both"/>
        <w:rPr>
          <w:rFonts w:ascii="Arial" w:hAnsi="Arial" w:cs="Arial"/>
        </w:rPr>
      </w:pPr>
      <w:r w:rsidRPr="00DB7156">
        <w:rPr>
          <w:rFonts w:ascii="Arial" w:hAnsi="Arial" w:cs="Arial"/>
        </w:rPr>
        <w:t xml:space="preserve"> </w:t>
      </w:r>
    </w:p>
    <w:p w14:paraId="22BA4F2C" w14:textId="3F5DDC1E"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49" w:name="_Toc496107743"/>
      <w:bookmarkStart w:id="50" w:name="_Toc527987331"/>
      <w:bookmarkStart w:id="51" w:name="_Toc527983878"/>
      <w:bookmarkStart w:id="52" w:name="_Toc530487261"/>
      <w:bookmarkStart w:id="53" w:name="_Toc535908129"/>
      <w:r w:rsidRPr="00DB7156">
        <w:rPr>
          <w:rFonts w:ascii="Arial" w:hAnsi="Arial" w:cs="Arial"/>
          <w:b/>
          <w:bCs/>
          <w:color w:val="000080"/>
          <w:sz w:val="24"/>
          <w:szCs w:val="24"/>
        </w:rPr>
        <w:t>2.4</w:t>
      </w:r>
      <w:r w:rsidRPr="00DB7156">
        <w:rPr>
          <w:rFonts w:ascii="Arial" w:hAnsi="Arial" w:cs="Arial"/>
          <w:b/>
          <w:bCs/>
          <w:color w:val="000080"/>
          <w:sz w:val="24"/>
          <w:szCs w:val="24"/>
        </w:rPr>
        <w:tab/>
        <w:t>Regional NO</w:t>
      </w:r>
      <w:r w:rsidRPr="00DB7156">
        <w:rPr>
          <w:rFonts w:ascii="Arial" w:hAnsi="Arial" w:cs="Arial"/>
          <w:b/>
          <w:bCs/>
          <w:color w:val="000080"/>
          <w:sz w:val="24"/>
          <w:szCs w:val="24"/>
          <w:vertAlign w:val="subscript"/>
        </w:rPr>
        <w:t>X</w:t>
      </w:r>
      <w:r w:rsidRPr="00DB7156">
        <w:rPr>
          <w:rFonts w:ascii="Arial" w:hAnsi="Arial" w:cs="Arial"/>
          <w:b/>
          <w:bCs/>
          <w:color w:val="000080"/>
          <w:sz w:val="24"/>
          <w:szCs w:val="24"/>
        </w:rPr>
        <w:t xml:space="preserve"> SIP Call and Budget Trading Program</w:t>
      </w:r>
      <w:bookmarkEnd w:id="49"/>
      <w:bookmarkEnd w:id="50"/>
      <w:bookmarkEnd w:id="51"/>
      <w:bookmarkEnd w:id="52"/>
      <w:bookmarkEnd w:id="53"/>
      <w:r w:rsidR="00C7612C" w:rsidRPr="00DB7156">
        <w:rPr>
          <w:rFonts w:ascii="Arial" w:hAnsi="Arial" w:cs="Arial"/>
          <w:b/>
          <w:bCs/>
          <w:color w:val="000080"/>
          <w:sz w:val="24"/>
          <w:szCs w:val="24"/>
        </w:rPr>
        <w:t xml:space="preserve">  </w:t>
      </w:r>
    </w:p>
    <w:p w14:paraId="22BA4F2D" w14:textId="77777777" w:rsidR="00FC67F9" w:rsidRPr="00DB7156" w:rsidRDefault="00FC67F9"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p>
    <w:p w14:paraId="22BA4F2E" w14:textId="6650BFD7" w:rsidR="00FC67F9" w:rsidRPr="00DB7156" w:rsidRDefault="00FC67F9"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In September 1998, EPA issued the final Regional NO</w:t>
      </w:r>
      <w:r w:rsidRPr="00DB7156">
        <w:rPr>
          <w:rFonts w:ascii="Arial" w:hAnsi="Arial" w:cs="Arial"/>
          <w:sz w:val="24"/>
          <w:szCs w:val="24"/>
          <w:vertAlign w:val="subscript"/>
        </w:rPr>
        <w:t>X</w:t>
      </w:r>
      <w:r w:rsidR="00B7348D">
        <w:rPr>
          <w:rFonts w:ascii="Arial" w:hAnsi="Arial" w:cs="Arial"/>
          <w:sz w:val="24"/>
          <w:szCs w:val="24"/>
        </w:rPr>
        <w:t xml:space="preserve"> SIP Call R</w:t>
      </w:r>
      <w:r w:rsidRPr="00DB7156">
        <w:rPr>
          <w:rFonts w:ascii="Arial" w:hAnsi="Arial" w:cs="Arial"/>
          <w:sz w:val="24"/>
          <w:szCs w:val="24"/>
        </w:rPr>
        <w:t>ule, which required 22 states and the District of Columbia (D.C.) to submit SIPs to address regional transport of the ozone precursor, NO</w:t>
      </w:r>
      <w:r w:rsidRPr="00DB7156">
        <w:rPr>
          <w:rFonts w:ascii="Arial" w:hAnsi="Arial" w:cs="Arial"/>
          <w:sz w:val="24"/>
          <w:szCs w:val="24"/>
          <w:vertAlign w:val="subscript"/>
        </w:rPr>
        <w:t>X</w:t>
      </w:r>
      <w:r w:rsidRPr="00DB7156">
        <w:rPr>
          <w:rFonts w:ascii="Arial" w:hAnsi="Arial" w:cs="Arial"/>
          <w:sz w:val="24"/>
          <w:szCs w:val="24"/>
        </w:rPr>
        <w:t>. The rule requires NO</w:t>
      </w:r>
      <w:r w:rsidRPr="00DB7156">
        <w:rPr>
          <w:rFonts w:ascii="Arial" w:hAnsi="Arial" w:cs="Arial"/>
          <w:sz w:val="24"/>
          <w:szCs w:val="24"/>
          <w:vertAlign w:val="subscript"/>
        </w:rPr>
        <w:t>X</w:t>
      </w:r>
      <w:r w:rsidRPr="00DB7156">
        <w:rPr>
          <w:rFonts w:ascii="Arial" w:hAnsi="Arial" w:cs="Arial"/>
          <w:sz w:val="24"/>
          <w:szCs w:val="24"/>
        </w:rPr>
        <w:t xml:space="preserve"> emission reductions sufficient to meet specified emission budgets for each affected state.  </w:t>
      </w:r>
    </w:p>
    <w:p w14:paraId="22BA4F2F" w14:textId="77777777" w:rsidR="00FC67F9" w:rsidRPr="00DB7156" w:rsidRDefault="00FC67F9"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p>
    <w:p w14:paraId="22BA4F30" w14:textId="014D76C7" w:rsidR="00FC67F9" w:rsidRPr="00DB7156" w:rsidRDefault="00FC67F9"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The rule was challenged in the D.C. Circuit Court of Appeals</w:t>
      </w:r>
      <w:r w:rsidR="00DB6FE4" w:rsidRPr="00DB7156">
        <w:rPr>
          <w:rFonts w:ascii="Arial" w:hAnsi="Arial" w:cs="Arial"/>
          <w:sz w:val="24"/>
          <w:szCs w:val="24"/>
        </w:rPr>
        <w:t>,</w:t>
      </w:r>
      <w:r w:rsidRPr="00DB7156">
        <w:rPr>
          <w:rFonts w:ascii="Arial" w:hAnsi="Arial" w:cs="Arial"/>
          <w:sz w:val="24"/>
          <w:szCs w:val="24"/>
        </w:rPr>
        <w:t xml:space="preserve"> but </w:t>
      </w:r>
      <w:r w:rsidR="00DB6FE4" w:rsidRPr="00DB7156">
        <w:rPr>
          <w:rFonts w:ascii="Arial" w:hAnsi="Arial" w:cs="Arial"/>
          <w:sz w:val="24"/>
          <w:szCs w:val="24"/>
        </w:rPr>
        <w:t xml:space="preserve">was </w:t>
      </w:r>
      <w:r w:rsidRPr="00DB7156">
        <w:rPr>
          <w:rFonts w:ascii="Arial" w:hAnsi="Arial" w:cs="Arial"/>
          <w:sz w:val="24"/>
          <w:szCs w:val="24"/>
        </w:rPr>
        <w:t xml:space="preserve">largely upheld by the Court. However, the Court vacated the rule for Georgia, Missouri, and Wisconsin. </w:t>
      </w:r>
      <w:r w:rsidR="0028097A" w:rsidRPr="00DB7156">
        <w:rPr>
          <w:rFonts w:ascii="Arial" w:hAnsi="Arial" w:cs="Arial"/>
          <w:sz w:val="24"/>
          <w:szCs w:val="24"/>
        </w:rPr>
        <w:t xml:space="preserve"> </w:t>
      </w:r>
      <w:r w:rsidRPr="00DB7156">
        <w:rPr>
          <w:rFonts w:ascii="Arial" w:hAnsi="Arial" w:cs="Arial"/>
          <w:sz w:val="24"/>
          <w:szCs w:val="24"/>
        </w:rPr>
        <w:t>In April 2004, EPA reissued the NO</w:t>
      </w:r>
      <w:r w:rsidRPr="00DB7156">
        <w:rPr>
          <w:rFonts w:ascii="Arial" w:hAnsi="Arial" w:cs="Arial"/>
          <w:sz w:val="24"/>
          <w:szCs w:val="20"/>
          <w:vertAlign w:val="subscript"/>
        </w:rPr>
        <w:t>X</w:t>
      </w:r>
      <w:r w:rsidRPr="00DB7156">
        <w:rPr>
          <w:rFonts w:ascii="Arial" w:hAnsi="Arial" w:cs="Arial"/>
          <w:sz w:val="24"/>
          <w:szCs w:val="24"/>
        </w:rPr>
        <w:t xml:space="preserve"> SIP Call as applied to the northern two-thirds of Georgia and the eastern half of Missouri, in accordance with the Court’s decision. Before issuance of the final rule, however, the two areas Georgia was determined to impact (Birmingham, Alabama and Memphis, Tennessee) came into attainment for the </w:t>
      </w:r>
      <w:r w:rsidR="00224AD4">
        <w:rPr>
          <w:rFonts w:ascii="Arial" w:hAnsi="Arial" w:cs="Arial"/>
          <w:sz w:val="24"/>
          <w:szCs w:val="24"/>
        </w:rPr>
        <w:t>1</w:t>
      </w:r>
      <w:r w:rsidRPr="00DB7156">
        <w:rPr>
          <w:rFonts w:ascii="Arial" w:hAnsi="Arial" w:cs="Arial"/>
          <w:sz w:val="24"/>
          <w:szCs w:val="24"/>
        </w:rPr>
        <w:t xml:space="preserve">-hour ozone standard. On this basis, the Georgia Coalition for Sound Environmental Policy petitioned EPA to reconsider the final rule. EPA granted that petition and stayed the 2004 </w:t>
      </w:r>
      <w:r w:rsidRPr="00DB7156">
        <w:rPr>
          <w:rFonts w:ascii="Arial" w:hAnsi="Arial" w:cs="Arial"/>
          <w:sz w:val="24"/>
          <w:szCs w:val="20"/>
        </w:rPr>
        <w:t>NO</w:t>
      </w:r>
      <w:r w:rsidRPr="00DB7156">
        <w:rPr>
          <w:rFonts w:ascii="Arial" w:hAnsi="Arial" w:cs="Arial"/>
          <w:sz w:val="24"/>
          <w:szCs w:val="20"/>
          <w:vertAlign w:val="subscript"/>
        </w:rPr>
        <w:t>X</w:t>
      </w:r>
      <w:r w:rsidR="00B7348D">
        <w:rPr>
          <w:rFonts w:ascii="Arial" w:hAnsi="Arial" w:cs="Arial"/>
          <w:sz w:val="24"/>
          <w:szCs w:val="24"/>
        </w:rPr>
        <w:t xml:space="preserve"> SIP Call R</w:t>
      </w:r>
      <w:r w:rsidRPr="00DB7156">
        <w:rPr>
          <w:rFonts w:ascii="Arial" w:hAnsi="Arial" w:cs="Arial"/>
          <w:sz w:val="24"/>
          <w:szCs w:val="24"/>
        </w:rPr>
        <w:t>ule as applied to Georgia. Following reconsideration in April 2008, EPA issued a final rule rescinding the NO</w:t>
      </w:r>
      <w:r w:rsidRPr="00DB7156">
        <w:rPr>
          <w:rFonts w:ascii="Arial" w:hAnsi="Arial" w:cs="Arial"/>
          <w:sz w:val="24"/>
          <w:szCs w:val="20"/>
          <w:vertAlign w:val="subscript"/>
        </w:rPr>
        <w:t>X</w:t>
      </w:r>
      <w:r w:rsidRPr="00DB7156">
        <w:rPr>
          <w:rFonts w:ascii="Arial" w:hAnsi="Arial" w:cs="Arial"/>
          <w:sz w:val="24"/>
          <w:szCs w:val="24"/>
        </w:rPr>
        <w:t xml:space="preserve"> SIP Call as applied to Georgia. </w:t>
      </w:r>
      <w:r w:rsidR="00A701CC" w:rsidRPr="00DB7156">
        <w:rPr>
          <w:rFonts w:ascii="Arial" w:hAnsi="Arial" w:cs="Arial"/>
          <w:sz w:val="24"/>
          <w:szCs w:val="24"/>
        </w:rPr>
        <w:t xml:space="preserve">The NOx SIP Call has since been </w:t>
      </w:r>
      <w:r w:rsidR="0067730E" w:rsidRPr="00DB7156">
        <w:rPr>
          <w:rFonts w:ascii="Arial" w:hAnsi="Arial" w:cs="Arial"/>
          <w:sz w:val="24"/>
          <w:szCs w:val="24"/>
        </w:rPr>
        <w:t>superseded</w:t>
      </w:r>
      <w:r w:rsidR="00A701CC" w:rsidRPr="00DB7156">
        <w:rPr>
          <w:rFonts w:ascii="Arial" w:hAnsi="Arial" w:cs="Arial"/>
          <w:sz w:val="24"/>
          <w:szCs w:val="24"/>
        </w:rPr>
        <w:t xml:space="preserve"> by subsequent interstate transport rules, including CAIR and CSAPR.</w:t>
      </w:r>
    </w:p>
    <w:p w14:paraId="22BA4F31" w14:textId="77777777" w:rsidR="00481A98" w:rsidRPr="00DB7156" w:rsidRDefault="00481A98" w:rsidP="00DB7156">
      <w:pPr>
        <w:tabs>
          <w:tab w:val="left" w:pos="900"/>
          <w:tab w:val="num" w:pos="1440"/>
        </w:tabs>
        <w:autoSpaceDE w:val="0"/>
        <w:autoSpaceDN w:val="0"/>
        <w:adjustRightInd w:val="0"/>
        <w:spacing w:after="0" w:line="240" w:lineRule="auto"/>
        <w:jc w:val="both"/>
        <w:outlineLvl w:val="1"/>
        <w:rPr>
          <w:rFonts w:ascii="Arial" w:hAnsi="Arial" w:cs="Arial"/>
          <w:b/>
          <w:bCs/>
          <w:color w:val="000080"/>
          <w:sz w:val="24"/>
          <w:szCs w:val="24"/>
        </w:rPr>
      </w:pPr>
    </w:p>
    <w:p w14:paraId="22BA4F32" w14:textId="77777777" w:rsidR="00FC67F9" w:rsidRPr="00DB7156" w:rsidRDefault="00FC67F9" w:rsidP="00DB7156">
      <w:pPr>
        <w:tabs>
          <w:tab w:val="left" w:pos="900"/>
          <w:tab w:val="num" w:pos="1440"/>
        </w:tabs>
        <w:autoSpaceDE w:val="0"/>
        <w:autoSpaceDN w:val="0"/>
        <w:adjustRightInd w:val="0"/>
        <w:spacing w:after="0" w:line="240" w:lineRule="auto"/>
        <w:jc w:val="both"/>
        <w:outlineLvl w:val="1"/>
        <w:rPr>
          <w:rFonts w:ascii="Arial" w:hAnsi="Arial" w:cs="Arial"/>
          <w:b/>
          <w:bCs/>
          <w:color w:val="000080"/>
          <w:sz w:val="24"/>
          <w:szCs w:val="24"/>
        </w:rPr>
      </w:pPr>
      <w:bookmarkStart w:id="54" w:name="_Toc496107744"/>
      <w:bookmarkStart w:id="55" w:name="_Toc527987332"/>
      <w:bookmarkStart w:id="56" w:name="_Toc527983879"/>
      <w:bookmarkStart w:id="57" w:name="_Toc530487262"/>
      <w:bookmarkStart w:id="58" w:name="_Toc535908130"/>
      <w:r w:rsidRPr="00DB7156">
        <w:rPr>
          <w:rFonts w:ascii="Arial" w:hAnsi="Arial" w:cs="Arial"/>
          <w:b/>
          <w:bCs/>
          <w:color w:val="000080"/>
          <w:sz w:val="24"/>
          <w:szCs w:val="24"/>
        </w:rPr>
        <w:t>2.5</w:t>
      </w:r>
      <w:r w:rsidRPr="00DB7156">
        <w:rPr>
          <w:rFonts w:ascii="Arial" w:hAnsi="Arial" w:cs="Arial"/>
          <w:b/>
          <w:bCs/>
          <w:color w:val="000080"/>
          <w:sz w:val="24"/>
          <w:szCs w:val="24"/>
        </w:rPr>
        <w:tab/>
        <w:t>CAIR/CSAPR</w:t>
      </w:r>
      <w:bookmarkEnd w:id="54"/>
      <w:bookmarkEnd w:id="55"/>
      <w:bookmarkEnd w:id="56"/>
      <w:bookmarkEnd w:id="57"/>
      <w:bookmarkEnd w:id="58"/>
    </w:p>
    <w:p w14:paraId="22BA4F33" w14:textId="77777777" w:rsidR="00FC67F9" w:rsidRPr="00DB7156" w:rsidRDefault="00FC67F9" w:rsidP="00DB7156">
      <w:pPr>
        <w:keepNext/>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p>
    <w:p w14:paraId="22BA4F34" w14:textId="103D46EC" w:rsidR="00FC67F9" w:rsidRPr="00DB7156" w:rsidRDefault="00FC67F9" w:rsidP="00DB7156">
      <w:pPr>
        <w:spacing w:after="0" w:line="240" w:lineRule="auto"/>
        <w:jc w:val="both"/>
        <w:rPr>
          <w:rFonts w:ascii="Arial" w:hAnsi="Arial" w:cs="Arial"/>
          <w:color w:val="000080"/>
          <w:sz w:val="24"/>
          <w:szCs w:val="24"/>
        </w:rPr>
      </w:pPr>
      <w:r w:rsidRPr="00DB7156">
        <w:rPr>
          <w:rFonts w:ascii="Arial" w:hAnsi="Arial" w:cs="Arial"/>
          <w:b/>
          <w:color w:val="000080"/>
          <w:sz w:val="24"/>
          <w:szCs w:val="24"/>
        </w:rPr>
        <w:t>Clean Air Interstate Rule</w:t>
      </w:r>
      <w:r w:rsidR="000957C3" w:rsidRPr="00DB7156">
        <w:rPr>
          <w:rFonts w:ascii="Arial" w:hAnsi="Arial" w:cs="Arial"/>
          <w:b/>
          <w:color w:val="000080"/>
          <w:sz w:val="24"/>
          <w:szCs w:val="24"/>
        </w:rPr>
        <w:t xml:space="preserve"> </w:t>
      </w:r>
    </w:p>
    <w:p w14:paraId="22BA4F35" w14:textId="3A105060"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EPA issued the final CAIR in March 2005. CAIR was designed to reduce SO</w:t>
      </w:r>
      <w:r w:rsidRPr="00DB7156">
        <w:rPr>
          <w:rFonts w:ascii="Arial" w:hAnsi="Arial" w:cs="Arial"/>
          <w:sz w:val="24"/>
          <w:szCs w:val="24"/>
          <w:vertAlign w:val="subscript"/>
        </w:rPr>
        <w:t>2</w:t>
      </w:r>
      <w:r w:rsidRPr="00DB7156">
        <w:rPr>
          <w:rFonts w:ascii="Arial" w:hAnsi="Arial" w:cs="Arial"/>
          <w:sz w:val="24"/>
          <w:szCs w:val="24"/>
        </w:rPr>
        <w:t xml:space="preserve"> and NO</w:t>
      </w:r>
      <w:r w:rsidR="008B42E6" w:rsidRPr="00DB7156">
        <w:rPr>
          <w:rFonts w:ascii="Arial" w:hAnsi="Arial" w:cs="Arial"/>
          <w:sz w:val="24"/>
          <w:szCs w:val="24"/>
          <w:vertAlign w:val="subscript"/>
        </w:rPr>
        <w:t>x</w:t>
      </w:r>
      <w:r w:rsidRPr="00DB7156">
        <w:rPr>
          <w:rFonts w:ascii="Arial" w:hAnsi="Arial" w:cs="Arial"/>
          <w:sz w:val="24"/>
          <w:szCs w:val="24"/>
        </w:rPr>
        <w:t xml:space="preserve"> emissions that contribute to nonattainment of the </w:t>
      </w:r>
      <w:r w:rsidR="00A701CC" w:rsidRPr="00DB7156">
        <w:rPr>
          <w:rFonts w:ascii="Arial" w:hAnsi="Arial" w:cs="Arial"/>
          <w:sz w:val="24"/>
          <w:szCs w:val="24"/>
        </w:rPr>
        <w:t xml:space="preserve">1997 </w:t>
      </w:r>
      <w:r w:rsidRPr="00DB7156">
        <w:rPr>
          <w:rFonts w:ascii="Arial" w:hAnsi="Arial" w:cs="Arial"/>
          <w:sz w:val="24"/>
          <w:szCs w:val="24"/>
        </w:rPr>
        <w:t xml:space="preserve">ozone and </w:t>
      </w:r>
      <w:r w:rsidR="005374D8" w:rsidRPr="00DB7156">
        <w:rPr>
          <w:rFonts w:ascii="Arial" w:hAnsi="Arial" w:cs="Arial"/>
          <w:sz w:val="24"/>
          <w:szCs w:val="24"/>
        </w:rPr>
        <w:t>PM</w:t>
      </w:r>
      <w:r w:rsidR="005374D8" w:rsidRPr="0058129C">
        <w:rPr>
          <w:rFonts w:ascii="Arial" w:hAnsi="Arial" w:cs="Arial"/>
          <w:sz w:val="24"/>
          <w:szCs w:val="24"/>
          <w:vertAlign w:val="subscript"/>
        </w:rPr>
        <w:t>2.5</w:t>
      </w:r>
      <w:r w:rsidRPr="00DB7156">
        <w:rPr>
          <w:rFonts w:ascii="Arial" w:hAnsi="Arial" w:cs="Arial"/>
          <w:sz w:val="24"/>
          <w:szCs w:val="24"/>
        </w:rPr>
        <w:t xml:space="preserve"> NAAQS in </w:t>
      </w:r>
      <w:r w:rsidR="00F42F4B" w:rsidRPr="00DB7156">
        <w:rPr>
          <w:rFonts w:ascii="Arial" w:hAnsi="Arial" w:cs="Arial"/>
          <w:sz w:val="24"/>
          <w:szCs w:val="24"/>
        </w:rPr>
        <w:t>28 e</w:t>
      </w:r>
      <w:r w:rsidRPr="00DB7156">
        <w:rPr>
          <w:rFonts w:ascii="Arial" w:hAnsi="Arial" w:cs="Arial"/>
          <w:sz w:val="24"/>
          <w:szCs w:val="24"/>
        </w:rPr>
        <w:t>astern states</w:t>
      </w:r>
      <w:r w:rsidR="00325011" w:rsidRPr="00DB7156">
        <w:rPr>
          <w:rFonts w:ascii="Arial" w:hAnsi="Arial" w:cs="Arial"/>
          <w:sz w:val="24"/>
          <w:szCs w:val="24"/>
        </w:rPr>
        <w:t>, including Georgia and Alabama</w:t>
      </w:r>
      <w:r w:rsidRPr="00DB7156">
        <w:rPr>
          <w:rFonts w:ascii="Arial" w:hAnsi="Arial" w:cs="Arial"/>
          <w:sz w:val="24"/>
          <w:szCs w:val="24"/>
        </w:rPr>
        <w:t>. It is based on a cap-and-trade regulatory scheme for NO</w:t>
      </w:r>
      <w:r w:rsidRPr="00DB7156">
        <w:rPr>
          <w:rFonts w:ascii="Arial" w:hAnsi="Arial" w:cs="Arial"/>
          <w:sz w:val="24"/>
          <w:szCs w:val="24"/>
          <w:vertAlign w:val="subscript"/>
        </w:rPr>
        <w:t>x</w:t>
      </w:r>
      <w:r w:rsidRPr="00DB7156">
        <w:rPr>
          <w:rFonts w:ascii="Arial" w:hAnsi="Arial" w:cs="Arial"/>
          <w:sz w:val="24"/>
          <w:szCs w:val="24"/>
        </w:rPr>
        <w:t xml:space="preserve"> and SO</w:t>
      </w:r>
      <w:r w:rsidRPr="00DB7156">
        <w:rPr>
          <w:rFonts w:ascii="Arial" w:hAnsi="Arial" w:cs="Arial"/>
          <w:sz w:val="24"/>
          <w:szCs w:val="24"/>
          <w:vertAlign w:val="subscript"/>
        </w:rPr>
        <w:t>2</w:t>
      </w:r>
      <w:r w:rsidRPr="00DB7156">
        <w:rPr>
          <w:rFonts w:ascii="Arial" w:hAnsi="Arial" w:cs="Arial"/>
          <w:sz w:val="24"/>
          <w:szCs w:val="24"/>
        </w:rPr>
        <w:t xml:space="preserve"> that requires sources to hold allowances to </w:t>
      </w:r>
      <w:r w:rsidR="00F42F4B" w:rsidRPr="00DB7156">
        <w:rPr>
          <w:rFonts w:ascii="Arial" w:hAnsi="Arial" w:cs="Arial"/>
          <w:sz w:val="24"/>
          <w:szCs w:val="24"/>
        </w:rPr>
        <w:t xml:space="preserve">cover </w:t>
      </w:r>
      <w:r w:rsidRPr="00DB7156">
        <w:rPr>
          <w:rFonts w:ascii="Arial" w:hAnsi="Arial" w:cs="Arial"/>
          <w:sz w:val="24"/>
          <w:szCs w:val="24"/>
        </w:rPr>
        <w:t xml:space="preserve">their emissions. </w:t>
      </w:r>
      <w:r w:rsidR="000139A9" w:rsidRPr="00DB7156">
        <w:rPr>
          <w:rFonts w:ascii="Arial" w:hAnsi="Arial" w:cs="Arial"/>
          <w:sz w:val="24"/>
          <w:szCs w:val="24"/>
        </w:rPr>
        <w:t>Georgia was subject to CAIR’s annual NOx and SO</w:t>
      </w:r>
      <w:r w:rsidR="000139A9" w:rsidRPr="00DB7156">
        <w:rPr>
          <w:rFonts w:ascii="Arial" w:hAnsi="Arial" w:cs="Arial"/>
          <w:sz w:val="24"/>
          <w:szCs w:val="24"/>
          <w:vertAlign w:val="subscript"/>
        </w:rPr>
        <w:t>2</w:t>
      </w:r>
      <w:r w:rsidR="000139A9" w:rsidRPr="00DB7156">
        <w:rPr>
          <w:rFonts w:ascii="Arial" w:hAnsi="Arial" w:cs="Arial"/>
          <w:sz w:val="24"/>
          <w:szCs w:val="24"/>
        </w:rPr>
        <w:t xml:space="preserve"> reductions under the 1997 PM</w:t>
      </w:r>
      <w:r w:rsidR="000139A9" w:rsidRPr="00DB7156">
        <w:rPr>
          <w:rFonts w:ascii="Arial" w:hAnsi="Arial" w:cs="Arial"/>
          <w:sz w:val="24"/>
          <w:szCs w:val="24"/>
          <w:vertAlign w:val="subscript"/>
        </w:rPr>
        <w:t>2.5</w:t>
      </w:r>
      <w:r w:rsidR="000139A9" w:rsidRPr="00DB7156">
        <w:rPr>
          <w:rFonts w:ascii="Arial" w:hAnsi="Arial" w:cs="Arial"/>
          <w:sz w:val="24"/>
          <w:szCs w:val="24"/>
        </w:rPr>
        <w:t xml:space="preserve"> NAAQS but not the CAIR ozone season NOx reduction requirements under the 1997 ozone NAAQS. Alabama, however, was subject to both the annual and ozone season NOx requirements under CAIR. </w:t>
      </w:r>
      <w:r w:rsidR="000139A9" w:rsidRPr="00DB7156" w:rsidDel="000139A9">
        <w:rPr>
          <w:rFonts w:ascii="Arial" w:hAnsi="Arial" w:cs="Arial"/>
          <w:sz w:val="24"/>
          <w:szCs w:val="24"/>
        </w:rPr>
        <w:t xml:space="preserve"> </w:t>
      </w:r>
    </w:p>
    <w:p w14:paraId="22BA4F36" w14:textId="77777777" w:rsidR="00FC67F9" w:rsidRPr="00DB7156" w:rsidRDefault="00FC67F9" w:rsidP="00DB7156">
      <w:pPr>
        <w:spacing w:after="0" w:line="240" w:lineRule="auto"/>
        <w:jc w:val="both"/>
        <w:rPr>
          <w:rFonts w:ascii="Arial" w:hAnsi="Arial" w:cs="Arial"/>
          <w:sz w:val="24"/>
          <w:szCs w:val="24"/>
        </w:rPr>
      </w:pPr>
    </w:p>
    <w:p w14:paraId="22BA4F37" w14:textId="7C6546C7" w:rsidR="00FC67F9" w:rsidRPr="00DB7156" w:rsidRDefault="00A2651D" w:rsidP="00DB7156">
      <w:pPr>
        <w:spacing w:after="0" w:line="240" w:lineRule="auto"/>
        <w:jc w:val="both"/>
        <w:rPr>
          <w:rFonts w:ascii="Arial" w:hAnsi="Arial" w:cs="Arial"/>
          <w:sz w:val="24"/>
          <w:szCs w:val="24"/>
        </w:rPr>
      </w:pPr>
      <w:r>
        <w:rPr>
          <w:rFonts w:ascii="Arial" w:hAnsi="Arial" w:cs="Arial"/>
        </w:rPr>
        <w:t>I</w:t>
      </w:r>
      <w:r w:rsidR="00FC67F9" w:rsidRPr="00DB7156">
        <w:rPr>
          <w:rFonts w:ascii="Arial" w:hAnsi="Arial" w:cs="Arial"/>
        </w:rPr>
        <w:t xml:space="preserve">n </w:t>
      </w:r>
      <w:r w:rsidR="0067730E" w:rsidRPr="00DB7156">
        <w:rPr>
          <w:rFonts w:ascii="Arial" w:hAnsi="Arial" w:cs="Arial"/>
          <w:sz w:val="24"/>
          <w:szCs w:val="24"/>
        </w:rPr>
        <w:t xml:space="preserve">July </w:t>
      </w:r>
      <w:r w:rsidR="00FC67F9" w:rsidRPr="00DB7156">
        <w:rPr>
          <w:rFonts w:ascii="Arial" w:hAnsi="Arial" w:cs="Arial"/>
          <w:sz w:val="24"/>
          <w:szCs w:val="24"/>
        </w:rPr>
        <w:t xml:space="preserve">2008, in response to petitions brought by certain states and regulated industries challenging particular aspects of CAIR, the </w:t>
      </w:r>
      <w:r w:rsidR="00AF6802">
        <w:rPr>
          <w:rFonts w:ascii="Arial" w:hAnsi="Arial" w:cs="Arial"/>
          <w:sz w:val="24"/>
          <w:szCs w:val="24"/>
        </w:rPr>
        <w:t xml:space="preserve">D.C. </w:t>
      </w:r>
      <w:r w:rsidR="00FC67F9" w:rsidRPr="00DB7156">
        <w:rPr>
          <w:rFonts w:ascii="Arial" w:hAnsi="Arial" w:cs="Arial"/>
          <w:sz w:val="24"/>
          <w:szCs w:val="24"/>
        </w:rPr>
        <w:t>Circuit</w:t>
      </w:r>
      <w:r w:rsidR="00AF6802">
        <w:rPr>
          <w:rFonts w:ascii="Arial" w:hAnsi="Arial" w:cs="Arial"/>
          <w:sz w:val="24"/>
          <w:szCs w:val="24"/>
        </w:rPr>
        <w:t xml:space="preserve"> Court</w:t>
      </w:r>
      <w:r w:rsidR="00FC67F9" w:rsidRPr="00DB7156">
        <w:rPr>
          <w:rFonts w:ascii="Arial" w:hAnsi="Arial" w:cs="Arial"/>
          <w:sz w:val="24"/>
          <w:szCs w:val="24"/>
        </w:rPr>
        <w:t xml:space="preserve"> issued a decision vacating CAIR in its entirety and remanding it to EPA for further action consistent with its opinion</w:t>
      </w:r>
      <w:r w:rsidR="000F032F" w:rsidRPr="00DB7156">
        <w:rPr>
          <w:rFonts w:ascii="Arial" w:hAnsi="Arial" w:cs="Arial"/>
          <w:sz w:val="24"/>
          <w:szCs w:val="24"/>
        </w:rPr>
        <w:t xml:space="preserve">. </w:t>
      </w:r>
      <w:r w:rsidR="00FC67F9" w:rsidRPr="00DB7156">
        <w:rPr>
          <w:rFonts w:ascii="Arial" w:hAnsi="Arial" w:cs="Arial"/>
          <w:sz w:val="24"/>
          <w:szCs w:val="24"/>
        </w:rPr>
        <w:t xml:space="preserve">In December 2008, however, the </w:t>
      </w:r>
      <w:r w:rsidR="00AF36A9">
        <w:rPr>
          <w:rFonts w:ascii="Arial" w:hAnsi="Arial" w:cs="Arial"/>
          <w:sz w:val="24"/>
          <w:szCs w:val="24"/>
        </w:rPr>
        <w:t>D.C. Circuit</w:t>
      </w:r>
      <w:r w:rsidR="00AE66E8">
        <w:rPr>
          <w:rFonts w:ascii="Arial" w:hAnsi="Arial" w:cs="Arial"/>
          <w:sz w:val="24"/>
          <w:szCs w:val="24"/>
        </w:rPr>
        <w:t xml:space="preserve"> Court</w:t>
      </w:r>
      <w:r w:rsidR="00FC67F9" w:rsidRPr="00DB7156">
        <w:rPr>
          <w:rFonts w:ascii="Arial" w:hAnsi="Arial" w:cs="Arial"/>
          <w:sz w:val="24"/>
          <w:szCs w:val="24"/>
        </w:rPr>
        <w:t xml:space="preserve"> amended its July decision in response to the rehearing petitions and remanded CAIR to EPA without vacatur, thereby leaving CAIR compliance requirements in place while EPA develop</w:t>
      </w:r>
      <w:r w:rsidR="001C077F" w:rsidRPr="00DB7156">
        <w:rPr>
          <w:rFonts w:ascii="Arial" w:hAnsi="Arial" w:cs="Arial"/>
          <w:sz w:val="24"/>
          <w:szCs w:val="24"/>
        </w:rPr>
        <w:t>ed</w:t>
      </w:r>
      <w:r w:rsidR="00FC67F9" w:rsidRPr="00DB7156">
        <w:rPr>
          <w:rFonts w:ascii="Arial" w:hAnsi="Arial" w:cs="Arial"/>
          <w:sz w:val="24"/>
          <w:szCs w:val="24"/>
        </w:rPr>
        <w:t xml:space="preserve"> a revised rule. </w:t>
      </w:r>
      <w:r w:rsidR="00801808" w:rsidRPr="00DB7156">
        <w:rPr>
          <w:rFonts w:ascii="Arial" w:hAnsi="Arial" w:cs="Arial"/>
          <w:sz w:val="24"/>
          <w:szCs w:val="24"/>
        </w:rPr>
        <w:t xml:space="preserve">The revised rule EPA developed was called </w:t>
      </w:r>
      <w:r w:rsidR="00DB6FE4" w:rsidRPr="00DB7156">
        <w:rPr>
          <w:rFonts w:ascii="Arial" w:hAnsi="Arial" w:cs="Arial"/>
          <w:sz w:val="24"/>
          <w:szCs w:val="24"/>
        </w:rPr>
        <w:t>CSAPR</w:t>
      </w:r>
      <w:r w:rsidR="00801808" w:rsidRPr="00DB7156">
        <w:rPr>
          <w:rFonts w:ascii="Arial" w:hAnsi="Arial" w:cs="Arial"/>
          <w:sz w:val="24"/>
          <w:szCs w:val="24"/>
        </w:rPr>
        <w:t>.</w:t>
      </w:r>
    </w:p>
    <w:p w14:paraId="22BA4F38" w14:textId="77777777" w:rsidR="00FC67F9" w:rsidRPr="00DB7156" w:rsidRDefault="00FC67F9" w:rsidP="00DB7156">
      <w:pPr>
        <w:tabs>
          <w:tab w:val="left" w:pos="720"/>
          <w:tab w:val="left" w:pos="1428"/>
          <w:tab w:val="left" w:pos="4716"/>
          <w:tab w:val="left" w:pos="4896"/>
          <w:tab w:val="left" w:pos="6718"/>
        </w:tabs>
        <w:suppressAutoHyphens/>
        <w:spacing w:after="0" w:line="240" w:lineRule="auto"/>
        <w:jc w:val="both"/>
        <w:rPr>
          <w:rFonts w:ascii="Arial" w:hAnsi="Arial" w:cs="Arial"/>
        </w:rPr>
      </w:pPr>
    </w:p>
    <w:p w14:paraId="22BA4F39" w14:textId="2080387E" w:rsidR="00FC67F9" w:rsidRPr="00DB7156" w:rsidRDefault="00FC67F9" w:rsidP="00DB7156">
      <w:pPr>
        <w:spacing w:after="0" w:line="240" w:lineRule="auto"/>
        <w:jc w:val="both"/>
        <w:rPr>
          <w:rFonts w:ascii="Arial" w:hAnsi="Arial" w:cs="Arial"/>
          <w:color w:val="000080"/>
          <w:sz w:val="24"/>
          <w:szCs w:val="24"/>
        </w:rPr>
      </w:pPr>
      <w:r w:rsidRPr="00DB7156">
        <w:rPr>
          <w:rFonts w:ascii="Arial" w:hAnsi="Arial" w:cs="Arial"/>
          <w:b/>
          <w:color w:val="000080"/>
          <w:sz w:val="24"/>
          <w:szCs w:val="24"/>
        </w:rPr>
        <w:t>Cross State Air Pollution Rule</w:t>
      </w:r>
    </w:p>
    <w:p w14:paraId="22BA4F3A" w14:textId="14593CC1" w:rsidR="00AA2A9D" w:rsidRPr="00DB7156" w:rsidRDefault="00A2651D" w:rsidP="00DB7156">
      <w:pPr>
        <w:spacing w:after="0" w:line="240" w:lineRule="auto"/>
        <w:jc w:val="both"/>
        <w:rPr>
          <w:rFonts w:ascii="Arial" w:hAnsi="Arial" w:cs="Arial"/>
          <w:sz w:val="24"/>
          <w:szCs w:val="24"/>
        </w:rPr>
      </w:pPr>
      <w:r>
        <w:rPr>
          <w:rFonts w:ascii="Arial" w:hAnsi="Arial" w:cs="Arial"/>
          <w:sz w:val="24"/>
          <w:szCs w:val="24"/>
        </w:rPr>
        <w:t>I</w:t>
      </w:r>
      <w:r w:rsidR="00AA2A9D" w:rsidRPr="00DB7156">
        <w:rPr>
          <w:rFonts w:ascii="Arial" w:hAnsi="Arial" w:cs="Arial"/>
          <w:sz w:val="24"/>
          <w:szCs w:val="24"/>
        </w:rPr>
        <w:t>n July</w:t>
      </w:r>
      <w:r>
        <w:rPr>
          <w:rFonts w:ascii="Arial" w:hAnsi="Arial" w:cs="Arial"/>
          <w:sz w:val="24"/>
          <w:szCs w:val="24"/>
        </w:rPr>
        <w:t xml:space="preserve"> </w:t>
      </w:r>
      <w:r w:rsidR="00AA2A9D" w:rsidRPr="00DB7156">
        <w:rPr>
          <w:rFonts w:ascii="Arial" w:hAnsi="Arial" w:cs="Arial"/>
          <w:sz w:val="24"/>
          <w:szCs w:val="24"/>
        </w:rPr>
        <w:t xml:space="preserve">2011 EPA released the final </w:t>
      </w:r>
      <w:r w:rsidR="00DB6FE4" w:rsidRPr="00DB7156">
        <w:rPr>
          <w:rFonts w:ascii="Arial" w:hAnsi="Arial" w:cs="Arial"/>
          <w:sz w:val="24"/>
          <w:szCs w:val="24"/>
        </w:rPr>
        <w:t>CSAPR</w:t>
      </w:r>
      <w:r w:rsidR="002D4930" w:rsidRPr="00DB7156">
        <w:rPr>
          <w:rFonts w:ascii="Arial" w:hAnsi="Arial" w:cs="Arial"/>
          <w:sz w:val="24"/>
          <w:szCs w:val="24"/>
        </w:rPr>
        <w:t xml:space="preserve"> </w:t>
      </w:r>
      <w:r w:rsidR="00AA2A9D" w:rsidRPr="00DB7156">
        <w:rPr>
          <w:rFonts w:ascii="Arial" w:hAnsi="Arial" w:cs="Arial"/>
          <w:sz w:val="24"/>
          <w:szCs w:val="24"/>
        </w:rPr>
        <w:t>as a replacement to CAIR. The final rule applie</w:t>
      </w:r>
      <w:r w:rsidR="001C077F" w:rsidRPr="00DB7156">
        <w:rPr>
          <w:rFonts w:ascii="Arial" w:hAnsi="Arial" w:cs="Arial"/>
          <w:sz w:val="24"/>
          <w:szCs w:val="24"/>
        </w:rPr>
        <w:t>d</w:t>
      </w:r>
      <w:r w:rsidR="00AA2A9D" w:rsidRPr="00DB7156">
        <w:rPr>
          <w:rFonts w:ascii="Arial" w:hAnsi="Arial" w:cs="Arial"/>
          <w:sz w:val="24"/>
          <w:szCs w:val="24"/>
        </w:rPr>
        <w:t xml:space="preserve"> to 27 states, including Georgia and </w:t>
      </w:r>
      <w:r w:rsidR="00D55B47" w:rsidRPr="00DB7156">
        <w:rPr>
          <w:rFonts w:ascii="Arial" w:hAnsi="Arial" w:cs="Arial"/>
          <w:sz w:val="24"/>
          <w:szCs w:val="24"/>
        </w:rPr>
        <w:t>Alabama</w:t>
      </w:r>
      <w:r w:rsidR="00AA2A9D" w:rsidRPr="00DB7156">
        <w:rPr>
          <w:rFonts w:ascii="Arial" w:hAnsi="Arial" w:cs="Arial"/>
          <w:sz w:val="24"/>
          <w:szCs w:val="24"/>
        </w:rPr>
        <w:t>. Like CAIR, CSAPR establishe</w:t>
      </w:r>
      <w:r w:rsidR="002D4930" w:rsidRPr="00DB7156">
        <w:rPr>
          <w:rFonts w:ascii="Arial" w:hAnsi="Arial" w:cs="Arial"/>
          <w:sz w:val="24"/>
          <w:szCs w:val="24"/>
        </w:rPr>
        <w:t>d</w:t>
      </w:r>
      <w:r w:rsidR="00AA2A9D" w:rsidRPr="00DB7156">
        <w:rPr>
          <w:rFonts w:ascii="Arial" w:hAnsi="Arial" w:cs="Arial"/>
          <w:sz w:val="24"/>
          <w:szCs w:val="24"/>
        </w:rPr>
        <w:t xml:space="preserve"> annual allowance trading program</w:t>
      </w:r>
      <w:r w:rsidR="00AF36A9">
        <w:rPr>
          <w:rFonts w:ascii="Arial" w:hAnsi="Arial" w:cs="Arial"/>
          <w:sz w:val="24"/>
          <w:szCs w:val="24"/>
        </w:rPr>
        <w:t>s</w:t>
      </w:r>
      <w:r w:rsidR="00AA2A9D" w:rsidRPr="00DB7156">
        <w:rPr>
          <w:rFonts w:ascii="Arial" w:hAnsi="Arial" w:cs="Arial"/>
          <w:sz w:val="24"/>
          <w:szCs w:val="24"/>
        </w:rPr>
        <w:t xml:space="preserve"> for SO</w:t>
      </w:r>
      <w:r w:rsidR="00555788" w:rsidRPr="00DB7156">
        <w:rPr>
          <w:rFonts w:ascii="Arial" w:hAnsi="Arial" w:cs="Arial"/>
          <w:sz w:val="24"/>
          <w:szCs w:val="24"/>
          <w:vertAlign w:val="subscript"/>
        </w:rPr>
        <w:t>2</w:t>
      </w:r>
      <w:r w:rsidR="00AA2A9D" w:rsidRPr="00DB7156">
        <w:rPr>
          <w:rFonts w:ascii="Arial" w:hAnsi="Arial" w:cs="Arial"/>
          <w:sz w:val="24"/>
          <w:szCs w:val="24"/>
        </w:rPr>
        <w:t xml:space="preserve"> and NOx to reduce transport of fine particulate matter </w:t>
      </w:r>
      <w:r w:rsidR="000139A9" w:rsidRPr="00DB7156">
        <w:rPr>
          <w:rFonts w:ascii="Arial" w:hAnsi="Arial" w:cs="Arial"/>
          <w:sz w:val="24"/>
          <w:szCs w:val="24"/>
        </w:rPr>
        <w:t xml:space="preserve">under the 1997 NAAQS </w:t>
      </w:r>
      <w:r w:rsidR="00AA2A9D" w:rsidRPr="00DB7156">
        <w:rPr>
          <w:rFonts w:ascii="Arial" w:hAnsi="Arial" w:cs="Arial"/>
          <w:sz w:val="24"/>
          <w:szCs w:val="24"/>
        </w:rPr>
        <w:t>and a separate ozone season NO</w:t>
      </w:r>
      <w:r w:rsidR="00555788" w:rsidRPr="00DB7156">
        <w:rPr>
          <w:rFonts w:ascii="Arial" w:hAnsi="Arial" w:cs="Arial"/>
          <w:sz w:val="24"/>
          <w:szCs w:val="24"/>
          <w:vertAlign w:val="subscript"/>
        </w:rPr>
        <w:t>x</w:t>
      </w:r>
      <w:r w:rsidR="00AA2A9D" w:rsidRPr="00DB7156">
        <w:rPr>
          <w:rFonts w:ascii="Arial" w:hAnsi="Arial" w:cs="Arial"/>
          <w:sz w:val="24"/>
          <w:szCs w:val="24"/>
        </w:rPr>
        <w:t xml:space="preserve"> allowance trading program to reduce ground-level ozone</w:t>
      </w:r>
      <w:r w:rsidR="000139A9" w:rsidRPr="00DB7156">
        <w:rPr>
          <w:rFonts w:ascii="Arial" w:hAnsi="Arial" w:cs="Arial"/>
          <w:sz w:val="24"/>
          <w:szCs w:val="24"/>
        </w:rPr>
        <w:t xml:space="preserve"> under the 1997 standard</w:t>
      </w:r>
      <w:r w:rsidR="00AA2A9D" w:rsidRPr="00DB7156">
        <w:rPr>
          <w:rFonts w:ascii="Arial" w:hAnsi="Arial" w:cs="Arial"/>
          <w:sz w:val="24"/>
          <w:szCs w:val="24"/>
        </w:rPr>
        <w:t xml:space="preserve">. However, </w:t>
      </w:r>
      <w:r>
        <w:rPr>
          <w:rFonts w:ascii="Arial" w:hAnsi="Arial" w:cs="Arial"/>
          <w:sz w:val="24"/>
          <w:szCs w:val="24"/>
        </w:rPr>
        <w:t>i</w:t>
      </w:r>
      <w:r w:rsidR="00AA2A9D" w:rsidRPr="00DB7156">
        <w:rPr>
          <w:rFonts w:ascii="Arial" w:hAnsi="Arial" w:cs="Arial"/>
          <w:sz w:val="24"/>
          <w:szCs w:val="24"/>
        </w:rPr>
        <w:t>n a significant departure from past federal allowance trading programs, CSAPR only allow</w:t>
      </w:r>
      <w:r w:rsidR="001C077F" w:rsidRPr="00DB7156">
        <w:rPr>
          <w:rFonts w:ascii="Arial" w:hAnsi="Arial" w:cs="Arial"/>
          <w:sz w:val="24"/>
          <w:szCs w:val="24"/>
        </w:rPr>
        <w:t>ed</w:t>
      </w:r>
      <w:r w:rsidR="00AA2A9D" w:rsidRPr="00DB7156">
        <w:rPr>
          <w:rFonts w:ascii="Arial" w:hAnsi="Arial" w:cs="Arial"/>
          <w:sz w:val="24"/>
          <w:szCs w:val="24"/>
        </w:rPr>
        <w:t xml:space="preserve"> for limited interstate trading. </w:t>
      </w:r>
      <w:r w:rsidR="003A268C" w:rsidRPr="00DB7156">
        <w:rPr>
          <w:rFonts w:ascii="Arial" w:hAnsi="Arial" w:cs="Arial"/>
          <w:sz w:val="24"/>
          <w:szCs w:val="24"/>
        </w:rPr>
        <w:t>T</w:t>
      </w:r>
      <w:r w:rsidR="00AA2A9D" w:rsidRPr="00DB7156">
        <w:rPr>
          <w:rFonts w:ascii="Arial" w:hAnsi="Arial" w:cs="Arial"/>
          <w:sz w:val="24"/>
          <w:szCs w:val="24"/>
        </w:rPr>
        <w:t>he rule divide</w:t>
      </w:r>
      <w:r w:rsidR="001C077F" w:rsidRPr="00DB7156">
        <w:rPr>
          <w:rFonts w:ascii="Arial" w:hAnsi="Arial" w:cs="Arial"/>
          <w:sz w:val="24"/>
          <w:szCs w:val="24"/>
        </w:rPr>
        <w:t>d</w:t>
      </w:r>
      <w:r w:rsidR="00AA2A9D" w:rsidRPr="00DB7156">
        <w:rPr>
          <w:rFonts w:ascii="Arial" w:hAnsi="Arial" w:cs="Arial"/>
          <w:sz w:val="24"/>
          <w:szCs w:val="24"/>
        </w:rPr>
        <w:t xml:space="preserve"> states into two groups for purposes of SO</w:t>
      </w:r>
      <w:r w:rsidR="00555788" w:rsidRPr="00DB7156">
        <w:rPr>
          <w:rFonts w:ascii="Arial" w:hAnsi="Arial" w:cs="Arial"/>
          <w:sz w:val="24"/>
          <w:szCs w:val="24"/>
          <w:vertAlign w:val="subscript"/>
        </w:rPr>
        <w:t>2</w:t>
      </w:r>
      <w:r w:rsidR="00AA2A9D" w:rsidRPr="00DB7156">
        <w:rPr>
          <w:rFonts w:ascii="Arial" w:hAnsi="Arial" w:cs="Arial"/>
          <w:sz w:val="24"/>
          <w:szCs w:val="24"/>
        </w:rPr>
        <w:t xml:space="preserve"> allowance trading – Group 1 and Group 2. </w:t>
      </w:r>
      <w:r>
        <w:rPr>
          <w:rFonts w:ascii="Arial" w:hAnsi="Arial" w:cs="Arial"/>
          <w:sz w:val="24"/>
          <w:szCs w:val="24"/>
        </w:rPr>
        <w:t>T</w:t>
      </w:r>
      <w:r w:rsidR="00AA2A9D" w:rsidRPr="00DB7156">
        <w:rPr>
          <w:rFonts w:ascii="Arial" w:hAnsi="Arial" w:cs="Arial"/>
          <w:sz w:val="24"/>
          <w:szCs w:val="24"/>
        </w:rPr>
        <w:t>he rule prohibit</w:t>
      </w:r>
      <w:r w:rsidR="001C077F" w:rsidRPr="00DB7156">
        <w:rPr>
          <w:rFonts w:ascii="Arial" w:hAnsi="Arial" w:cs="Arial"/>
          <w:sz w:val="24"/>
          <w:szCs w:val="24"/>
        </w:rPr>
        <w:t>ed</w:t>
      </w:r>
      <w:r w:rsidR="00AA2A9D" w:rsidRPr="00DB7156">
        <w:rPr>
          <w:rFonts w:ascii="Arial" w:hAnsi="Arial" w:cs="Arial"/>
          <w:sz w:val="24"/>
          <w:szCs w:val="24"/>
        </w:rPr>
        <w:t xml:space="preserve"> trading across the two groups.  In addition, like CAIR, CSAPR establishe</w:t>
      </w:r>
      <w:r w:rsidR="001C077F" w:rsidRPr="00DB7156">
        <w:rPr>
          <w:rFonts w:ascii="Arial" w:hAnsi="Arial" w:cs="Arial"/>
          <w:sz w:val="24"/>
          <w:szCs w:val="24"/>
        </w:rPr>
        <w:t>d</w:t>
      </w:r>
      <w:r w:rsidR="00AA2A9D" w:rsidRPr="00DB7156">
        <w:rPr>
          <w:rFonts w:ascii="Arial" w:hAnsi="Arial" w:cs="Arial"/>
          <w:sz w:val="24"/>
          <w:szCs w:val="24"/>
        </w:rPr>
        <w:t xml:space="preserve"> SO</w:t>
      </w:r>
      <w:r w:rsidR="00555788" w:rsidRPr="00DB7156">
        <w:rPr>
          <w:rFonts w:ascii="Arial" w:hAnsi="Arial" w:cs="Arial"/>
          <w:sz w:val="24"/>
          <w:szCs w:val="24"/>
          <w:vertAlign w:val="subscript"/>
        </w:rPr>
        <w:t>2</w:t>
      </w:r>
      <w:r w:rsidR="00AA2A9D" w:rsidRPr="00DB7156">
        <w:rPr>
          <w:rFonts w:ascii="Arial" w:hAnsi="Arial" w:cs="Arial"/>
          <w:sz w:val="24"/>
          <w:szCs w:val="24"/>
        </w:rPr>
        <w:t xml:space="preserve"> and NO</w:t>
      </w:r>
      <w:r w:rsidR="00555788" w:rsidRPr="00DB7156">
        <w:rPr>
          <w:rFonts w:ascii="Arial" w:hAnsi="Arial" w:cs="Arial"/>
          <w:sz w:val="24"/>
          <w:szCs w:val="24"/>
          <w:vertAlign w:val="subscript"/>
        </w:rPr>
        <w:t>x</w:t>
      </w:r>
      <w:r w:rsidR="00AA2A9D" w:rsidRPr="00DB7156">
        <w:rPr>
          <w:rFonts w:ascii="Arial" w:hAnsi="Arial" w:cs="Arial"/>
          <w:sz w:val="24"/>
          <w:szCs w:val="24"/>
        </w:rPr>
        <w:t xml:space="preserve"> emissions budgets for each affected state but CSAPR prohibit</w:t>
      </w:r>
      <w:r w:rsidR="001C077F" w:rsidRPr="00DB7156">
        <w:rPr>
          <w:rFonts w:ascii="Arial" w:hAnsi="Arial" w:cs="Arial"/>
          <w:sz w:val="24"/>
          <w:szCs w:val="24"/>
        </w:rPr>
        <w:t>ed</w:t>
      </w:r>
      <w:r w:rsidR="00AA2A9D" w:rsidRPr="00DB7156">
        <w:rPr>
          <w:rFonts w:ascii="Arial" w:hAnsi="Arial" w:cs="Arial"/>
          <w:sz w:val="24"/>
          <w:szCs w:val="24"/>
        </w:rPr>
        <w:t xml:space="preserve"> states from exceeding their state-wide budgets by more than a set percentage, referred to as the “variability limit.” </w:t>
      </w:r>
      <w:r w:rsidR="00AF2AC7" w:rsidRPr="00DB7156">
        <w:rPr>
          <w:rFonts w:ascii="Arial" w:hAnsi="Arial" w:cs="Arial"/>
          <w:sz w:val="24"/>
          <w:szCs w:val="24"/>
        </w:rPr>
        <w:t>In other words, CSAPR was not an unlimited cap</w:t>
      </w:r>
      <w:r w:rsidR="00043EB3">
        <w:rPr>
          <w:rFonts w:ascii="Arial" w:hAnsi="Arial" w:cs="Arial"/>
          <w:sz w:val="24"/>
          <w:szCs w:val="24"/>
        </w:rPr>
        <w:t xml:space="preserve"> </w:t>
      </w:r>
      <w:r w:rsidR="00AF2AC7" w:rsidRPr="00DB7156">
        <w:rPr>
          <w:rFonts w:ascii="Arial" w:hAnsi="Arial" w:cs="Arial"/>
          <w:sz w:val="24"/>
          <w:szCs w:val="24"/>
        </w:rPr>
        <w:t>and</w:t>
      </w:r>
      <w:r w:rsidR="00043EB3">
        <w:rPr>
          <w:rFonts w:ascii="Arial" w:hAnsi="Arial" w:cs="Arial"/>
          <w:sz w:val="24"/>
          <w:szCs w:val="24"/>
        </w:rPr>
        <w:t xml:space="preserve"> </w:t>
      </w:r>
      <w:r w:rsidR="00AF2AC7" w:rsidRPr="00DB7156">
        <w:rPr>
          <w:rFonts w:ascii="Arial" w:hAnsi="Arial" w:cs="Arial"/>
          <w:sz w:val="24"/>
          <w:szCs w:val="24"/>
        </w:rPr>
        <w:t xml:space="preserve">trade program like CAIR. </w:t>
      </w:r>
      <w:r w:rsidR="00AA2A9D" w:rsidRPr="00DB7156">
        <w:rPr>
          <w:rFonts w:ascii="Arial" w:hAnsi="Arial" w:cs="Arial"/>
          <w:sz w:val="24"/>
          <w:szCs w:val="24"/>
        </w:rPr>
        <w:t xml:space="preserve">The final rule </w:t>
      </w:r>
      <w:r w:rsidR="001C077F" w:rsidRPr="00DB7156">
        <w:rPr>
          <w:rFonts w:ascii="Arial" w:hAnsi="Arial" w:cs="Arial"/>
          <w:sz w:val="24"/>
          <w:szCs w:val="24"/>
        </w:rPr>
        <w:t>wa</w:t>
      </w:r>
      <w:r w:rsidR="00AA2A9D" w:rsidRPr="00DB7156">
        <w:rPr>
          <w:rFonts w:ascii="Arial" w:hAnsi="Arial" w:cs="Arial"/>
          <w:sz w:val="24"/>
          <w:szCs w:val="24"/>
        </w:rPr>
        <w:t>s structured as a Federal Implementation Plan (</w:t>
      </w:r>
      <w:r w:rsidR="00043EB3">
        <w:rPr>
          <w:rFonts w:ascii="Arial" w:hAnsi="Arial" w:cs="Arial"/>
          <w:sz w:val="24"/>
          <w:szCs w:val="24"/>
        </w:rPr>
        <w:t>“</w:t>
      </w:r>
      <w:r w:rsidR="00AA2A9D" w:rsidRPr="00DB7156">
        <w:rPr>
          <w:rFonts w:ascii="Arial" w:hAnsi="Arial" w:cs="Arial"/>
          <w:sz w:val="24"/>
          <w:szCs w:val="24"/>
        </w:rPr>
        <w:t>FIP</w:t>
      </w:r>
      <w:r w:rsidR="00043EB3">
        <w:rPr>
          <w:rFonts w:ascii="Arial" w:hAnsi="Arial" w:cs="Arial"/>
          <w:sz w:val="24"/>
          <w:szCs w:val="24"/>
        </w:rPr>
        <w:t>”</w:t>
      </w:r>
      <w:r w:rsidR="00AA2A9D" w:rsidRPr="00DB7156">
        <w:rPr>
          <w:rFonts w:ascii="Arial" w:hAnsi="Arial" w:cs="Arial"/>
          <w:sz w:val="24"/>
          <w:szCs w:val="24"/>
        </w:rPr>
        <w:t>). States ha</w:t>
      </w:r>
      <w:r w:rsidR="001C077F" w:rsidRPr="00DB7156">
        <w:rPr>
          <w:rFonts w:ascii="Arial" w:hAnsi="Arial" w:cs="Arial"/>
          <w:sz w:val="24"/>
          <w:szCs w:val="24"/>
        </w:rPr>
        <w:t>d</w:t>
      </w:r>
      <w:r w:rsidR="00AA2A9D" w:rsidRPr="00DB7156">
        <w:rPr>
          <w:rFonts w:ascii="Arial" w:hAnsi="Arial" w:cs="Arial"/>
          <w:sz w:val="24"/>
          <w:szCs w:val="24"/>
        </w:rPr>
        <w:t xml:space="preserve"> the option of adopting a </w:t>
      </w:r>
      <w:r w:rsidR="00F42F4B" w:rsidRPr="00DB7156">
        <w:rPr>
          <w:rFonts w:ascii="Arial" w:hAnsi="Arial" w:cs="Arial"/>
          <w:sz w:val="24"/>
          <w:szCs w:val="24"/>
        </w:rPr>
        <w:t>SIP</w:t>
      </w:r>
      <w:r w:rsidR="00AA2A9D" w:rsidRPr="00DB7156">
        <w:rPr>
          <w:rFonts w:ascii="Arial" w:hAnsi="Arial" w:cs="Arial"/>
          <w:sz w:val="24"/>
          <w:szCs w:val="24"/>
        </w:rPr>
        <w:t>, but not for initial compliance.</w:t>
      </w:r>
      <w:r w:rsidR="00DE637D" w:rsidRPr="00DB7156">
        <w:rPr>
          <w:rFonts w:ascii="Arial" w:hAnsi="Arial" w:cs="Arial"/>
          <w:sz w:val="24"/>
          <w:szCs w:val="24"/>
        </w:rPr>
        <w:t xml:space="preserve"> CSAPR require</w:t>
      </w:r>
      <w:r w:rsidR="001C077F" w:rsidRPr="00DB7156">
        <w:rPr>
          <w:rFonts w:ascii="Arial" w:hAnsi="Arial" w:cs="Arial"/>
          <w:sz w:val="24"/>
          <w:szCs w:val="24"/>
        </w:rPr>
        <w:t>d</w:t>
      </w:r>
      <w:r w:rsidR="00DE637D" w:rsidRPr="00DB7156">
        <w:rPr>
          <w:rFonts w:ascii="Arial" w:hAnsi="Arial" w:cs="Arial"/>
          <w:sz w:val="24"/>
          <w:szCs w:val="24"/>
        </w:rPr>
        <w:t xml:space="preserve"> </w:t>
      </w:r>
      <w:r w:rsidR="00D06F1F" w:rsidRPr="00DB7156">
        <w:rPr>
          <w:rFonts w:ascii="Arial" w:hAnsi="Arial" w:cs="Arial"/>
          <w:sz w:val="24"/>
          <w:szCs w:val="24"/>
        </w:rPr>
        <w:t xml:space="preserve">substantial </w:t>
      </w:r>
      <w:r w:rsidR="00DE637D" w:rsidRPr="00DB7156">
        <w:rPr>
          <w:rFonts w:ascii="Arial" w:hAnsi="Arial" w:cs="Arial"/>
          <w:sz w:val="24"/>
          <w:szCs w:val="24"/>
        </w:rPr>
        <w:t>emission reductions by 2012</w:t>
      </w:r>
      <w:r w:rsidR="001A6F2E" w:rsidRPr="00DB7156">
        <w:rPr>
          <w:rFonts w:ascii="Arial" w:hAnsi="Arial" w:cs="Arial"/>
          <w:sz w:val="24"/>
          <w:szCs w:val="24"/>
        </w:rPr>
        <w:t xml:space="preserve"> (Phase 1)</w:t>
      </w:r>
      <w:r w:rsidR="00DE637D" w:rsidRPr="00DB7156">
        <w:rPr>
          <w:rFonts w:ascii="Arial" w:hAnsi="Arial" w:cs="Arial"/>
          <w:sz w:val="24"/>
          <w:szCs w:val="24"/>
        </w:rPr>
        <w:t>, just six months after issuance of the final rule</w:t>
      </w:r>
      <w:r w:rsidR="00D55B47" w:rsidRPr="00DB7156">
        <w:rPr>
          <w:rFonts w:ascii="Arial" w:hAnsi="Arial" w:cs="Arial"/>
          <w:sz w:val="24"/>
          <w:szCs w:val="24"/>
        </w:rPr>
        <w:t>, with another significant reduction required for many states, including Georgia, starting in 2014</w:t>
      </w:r>
      <w:r w:rsidR="001A6F2E" w:rsidRPr="00DB7156">
        <w:rPr>
          <w:rFonts w:ascii="Arial" w:hAnsi="Arial" w:cs="Arial"/>
          <w:sz w:val="24"/>
          <w:szCs w:val="24"/>
        </w:rPr>
        <w:t xml:space="preserve"> (Phase 2)</w:t>
      </w:r>
      <w:r w:rsidR="00DE637D" w:rsidRPr="00DB7156">
        <w:rPr>
          <w:rFonts w:ascii="Arial" w:hAnsi="Arial" w:cs="Arial"/>
          <w:sz w:val="24"/>
          <w:szCs w:val="24"/>
        </w:rPr>
        <w:t xml:space="preserve">. </w:t>
      </w:r>
      <w:r w:rsidR="00DA6A12" w:rsidRPr="00DB7156">
        <w:rPr>
          <w:rFonts w:ascii="Arial" w:hAnsi="Arial" w:cs="Arial"/>
          <w:sz w:val="24"/>
          <w:szCs w:val="24"/>
        </w:rPr>
        <w:t xml:space="preserve"> </w:t>
      </w:r>
    </w:p>
    <w:p w14:paraId="22BA4F3B" w14:textId="77777777" w:rsidR="00AA2A9D" w:rsidRPr="00DB7156" w:rsidRDefault="00AA2A9D" w:rsidP="00DB7156">
      <w:pPr>
        <w:spacing w:after="0" w:line="240" w:lineRule="auto"/>
        <w:jc w:val="both"/>
        <w:rPr>
          <w:rFonts w:ascii="Arial" w:hAnsi="Arial" w:cs="Arial"/>
          <w:sz w:val="24"/>
          <w:szCs w:val="24"/>
        </w:rPr>
      </w:pPr>
    </w:p>
    <w:p w14:paraId="22BA4F3C" w14:textId="1F67D838" w:rsidR="00B27CA2" w:rsidRPr="00DB7156" w:rsidRDefault="00555788" w:rsidP="00DB7156">
      <w:pPr>
        <w:spacing w:after="0" w:line="240" w:lineRule="auto"/>
        <w:jc w:val="both"/>
        <w:rPr>
          <w:rFonts w:ascii="Arial" w:hAnsi="Arial" w:cs="Arial"/>
          <w:sz w:val="24"/>
        </w:rPr>
      </w:pPr>
      <w:r w:rsidRPr="00DB7156">
        <w:rPr>
          <w:rFonts w:ascii="Arial" w:hAnsi="Arial" w:cs="Arial"/>
          <w:sz w:val="24"/>
        </w:rPr>
        <w:t xml:space="preserve">In addition to </w:t>
      </w:r>
      <w:r w:rsidR="00D06F1F" w:rsidRPr="00DB7156">
        <w:rPr>
          <w:rFonts w:ascii="Arial" w:hAnsi="Arial" w:cs="Arial"/>
          <w:sz w:val="24"/>
        </w:rPr>
        <w:t xml:space="preserve">stringent </w:t>
      </w:r>
      <w:r w:rsidRPr="00DB7156">
        <w:rPr>
          <w:rFonts w:ascii="Arial" w:hAnsi="Arial" w:cs="Arial"/>
          <w:sz w:val="24"/>
        </w:rPr>
        <w:t>deadlines and requirements, the final CSAPR contained numerous and significant errors</w:t>
      </w:r>
      <w:r w:rsidR="00D06F1F" w:rsidRPr="00DB7156">
        <w:rPr>
          <w:rFonts w:ascii="Arial" w:hAnsi="Arial" w:cs="Arial"/>
          <w:sz w:val="24"/>
        </w:rPr>
        <w:t xml:space="preserve"> in the determination of state budgets</w:t>
      </w:r>
      <w:r w:rsidRPr="00DB7156">
        <w:rPr>
          <w:rFonts w:ascii="Arial" w:hAnsi="Arial" w:cs="Arial"/>
          <w:sz w:val="24"/>
        </w:rPr>
        <w:t>. These underlying flaws</w:t>
      </w:r>
      <w:r w:rsidR="0062641B" w:rsidRPr="00DB7156">
        <w:rPr>
          <w:rFonts w:ascii="Arial" w:hAnsi="Arial" w:cs="Arial"/>
          <w:sz w:val="24"/>
        </w:rPr>
        <w:t xml:space="preserve"> </w:t>
      </w:r>
      <w:r w:rsidR="00DB6FE4" w:rsidRPr="00DB7156">
        <w:rPr>
          <w:rFonts w:ascii="Arial" w:hAnsi="Arial" w:cs="Arial"/>
          <w:sz w:val="24"/>
        </w:rPr>
        <w:t>prompted</w:t>
      </w:r>
      <w:r w:rsidRPr="00DB7156">
        <w:rPr>
          <w:rFonts w:ascii="Arial" w:hAnsi="Arial" w:cs="Arial"/>
          <w:sz w:val="24"/>
        </w:rPr>
        <w:t xml:space="preserve"> numerous states, industry organizations, and utilities to challenge the rule. </w:t>
      </w:r>
      <w:r w:rsidR="006E444E" w:rsidRPr="00DB7156">
        <w:rPr>
          <w:rFonts w:ascii="Arial" w:hAnsi="Arial" w:cs="Arial"/>
          <w:sz w:val="24"/>
        </w:rPr>
        <w:t xml:space="preserve"> </w:t>
      </w:r>
      <w:r w:rsidRPr="00DB7156">
        <w:rPr>
          <w:rFonts w:ascii="Arial" w:hAnsi="Arial" w:cs="Arial"/>
          <w:sz w:val="24"/>
        </w:rPr>
        <w:t xml:space="preserve">Southern Company and its subsidiaries filed both a petition for administrative reconsideration and a petition for judicial review. </w:t>
      </w:r>
      <w:r w:rsidR="003E10AE" w:rsidRPr="00DB7156">
        <w:rPr>
          <w:rFonts w:ascii="Arial" w:hAnsi="Arial" w:cs="Arial"/>
          <w:sz w:val="24"/>
        </w:rPr>
        <w:t>On December 30, 2011</w:t>
      </w:r>
      <w:r w:rsidR="0062641B" w:rsidRPr="00DB7156">
        <w:rPr>
          <w:rFonts w:ascii="Arial" w:hAnsi="Arial" w:cs="Arial"/>
          <w:sz w:val="24"/>
        </w:rPr>
        <w:t xml:space="preserve">, </w:t>
      </w:r>
      <w:r w:rsidRPr="00DB7156">
        <w:rPr>
          <w:rFonts w:ascii="Arial" w:hAnsi="Arial" w:cs="Arial"/>
          <w:sz w:val="24"/>
        </w:rPr>
        <w:t xml:space="preserve">the D.C. Circuit Court </w:t>
      </w:r>
      <w:r w:rsidR="004F7E66" w:rsidRPr="00DB7156">
        <w:rPr>
          <w:rFonts w:ascii="Arial" w:hAnsi="Arial" w:cs="Arial"/>
          <w:sz w:val="24"/>
        </w:rPr>
        <w:t>stayed the</w:t>
      </w:r>
      <w:r w:rsidR="003E10AE" w:rsidRPr="00DB7156">
        <w:rPr>
          <w:rFonts w:ascii="Arial" w:hAnsi="Arial" w:cs="Arial"/>
          <w:sz w:val="24"/>
        </w:rPr>
        <w:t xml:space="preserve"> rule pending resolution of the litigation </w:t>
      </w:r>
      <w:r w:rsidR="00042BB9" w:rsidRPr="00DB7156">
        <w:rPr>
          <w:rFonts w:ascii="Arial" w:hAnsi="Arial" w:cs="Arial"/>
          <w:sz w:val="24"/>
        </w:rPr>
        <w:t xml:space="preserve">and </w:t>
      </w:r>
      <w:r w:rsidRPr="00DB7156">
        <w:rPr>
          <w:rFonts w:ascii="Arial" w:hAnsi="Arial" w:cs="Arial"/>
          <w:sz w:val="24"/>
        </w:rPr>
        <w:t xml:space="preserve">ordered EPA to continue administering CAIR </w:t>
      </w:r>
      <w:r w:rsidR="003E10AE" w:rsidRPr="00DB7156">
        <w:rPr>
          <w:rFonts w:ascii="Arial" w:hAnsi="Arial" w:cs="Arial"/>
          <w:sz w:val="24"/>
        </w:rPr>
        <w:t>in the interim</w:t>
      </w:r>
      <w:r w:rsidRPr="00DB7156">
        <w:rPr>
          <w:rFonts w:ascii="Arial" w:hAnsi="Arial" w:cs="Arial"/>
          <w:sz w:val="24"/>
        </w:rPr>
        <w:t>.</w:t>
      </w:r>
    </w:p>
    <w:p w14:paraId="22BA4F3D" w14:textId="77777777" w:rsidR="002A0CD0" w:rsidRPr="00DB7156" w:rsidRDefault="002A0CD0" w:rsidP="00DB7156">
      <w:pPr>
        <w:spacing w:after="0" w:line="240" w:lineRule="auto"/>
        <w:jc w:val="both"/>
        <w:rPr>
          <w:rFonts w:ascii="Arial" w:hAnsi="Arial" w:cs="Arial"/>
          <w:sz w:val="24"/>
        </w:rPr>
      </w:pPr>
    </w:p>
    <w:p w14:paraId="75B5D563" w14:textId="3F171E14" w:rsidR="00933A40" w:rsidRPr="00DB7156" w:rsidRDefault="0088552F" w:rsidP="00DB7156">
      <w:pPr>
        <w:spacing w:after="0" w:line="240" w:lineRule="auto"/>
        <w:jc w:val="both"/>
        <w:rPr>
          <w:rFonts w:ascii="Arial" w:hAnsi="Arial" w:cs="Arial"/>
          <w:sz w:val="24"/>
        </w:rPr>
      </w:pPr>
      <w:r>
        <w:rPr>
          <w:rFonts w:ascii="Arial" w:hAnsi="Arial" w:cs="Arial"/>
          <w:sz w:val="24"/>
        </w:rPr>
        <w:t>I</w:t>
      </w:r>
      <w:r w:rsidR="006D2DDC" w:rsidRPr="00DB7156">
        <w:rPr>
          <w:rFonts w:ascii="Arial" w:hAnsi="Arial" w:cs="Arial"/>
          <w:sz w:val="24"/>
        </w:rPr>
        <w:t xml:space="preserve">n August 2012, the D.C. Circuit </w:t>
      </w:r>
      <w:r w:rsidR="00F42F4B" w:rsidRPr="00DB7156">
        <w:rPr>
          <w:rFonts w:ascii="Arial" w:hAnsi="Arial" w:cs="Arial"/>
          <w:sz w:val="24"/>
        </w:rPr>
        <w:t xml:space="preserve">Court </w:t>
      </w:r>
      <w:r w:rsidR="006D2DDC" w:rsidRPr="00DB7156">
        <w:rPr>
          <w:rFonts w:ascii="Arial" w:hAnsi="Arial" w:cs="Arial"/>
          <w:sz w:val="24"/>
        </w:rPr>
        <w:t>vacat</w:t>
      </w:r>
      <w:r w:rsidR="003E10AE" w:rsidRPr="00DB7156">
        <w:rPr>
          <w:rFonts w:ascii="Arial" w:hAnsi="Arial" w:cs="Arial"/>
          <w:sz w:val="24"/>
        </w:rPr>
        <w:t>ed</w:t>
      </w:r>
      <w:r w:rsidR="006D2DDC" w:rsidRPr="00DB7156">
        <w:rPr>
          <w:rFonts w:ascii="Arial" w:hAnsi="Arial" w:cs="Arial"/>
          <w:sz w:val="24"/>
        </w:rPr>
        <w:t xml:space="preserve"> and remand</w:t>
      </w:r>
      <w:r w:rsidR="003E10AE" w:rsidRPr="00DB7156">
        <w:rPr>
          <w:rFonts w:ascii="Arial" w:hAnsi="Arial" w:cs="Arial"/>
          <w:sz w:val="24"/>
        </w:rPr>
        <w:t>ed</w:t>
      </w:r>
      <w:r w:rsidR="006D2DDC" w:rsidRPr="00DB7156">
        <w:rPr>
          <w:rFonts w:ascii="Arial" w:hAnsi="Arial" w:cs="Arial"/>
          <w:sz w:val="24"/>
        </w:rPr>
        <w:t xml:space="preserve"> CSAPR and direct</w:t>
      </w:r>
      <w:r w:rsidR="003E10AE" w:rsidRPr="00DB7156">
        <w:rPr>
          <w:rFonts w:ascii="Arial" w:hAnsi="Arial" w:cs="Arial"/>
          <w:sz w:val="24"/>
        </w:rPr>
        <w:t>ed</w:t>
      </w:r>
      <w:r w:rsidR="006D2DDC" w:rsidRPr="00DB7156">
        <w:rPr>
          <w:rFonts w:ascii="Arial" w:hAnsi="Arial" w:cs="Arial"/>
          <w:sz w:val="24"/>
        </w:rPr>
        <w:t xml:space="preserve"> EPA to continue administering CAIR pending completion of a remand rulemaking to replace CSAPR with a valid rule. </w:t>
      </w:r>
      <w:r>
        <w:rPr>
          <w:rFonts w:ascii="Arial" w:hAnsi="Arial" w:cs="Arial"/>
          <w:sz w:val="24"/>
        </w:rPr>
        <w:t>I</w:t>
      </w:r>
      <w:r w:rsidR="005804C5" w:rsidRPr="00DB7156">
        <w:rPr>
          <w:rFonts w:ascii="Arial" w:hAnsi="Arial" w:cs="Arial"/>
          <w:sz w:val="24"/>
        </w:rPr>
        <w:t>n April 2014</w:t>
      </w:r>
      <w:r w:rsidR="00F42F4B" w:rsidRPr="00DB7156">
        <w:rPr>
          <w:rFonts w:ascii="Arial" w:hAnsi="Arial" w:cs="Arial"/>
          <w:sz w:val="24"/>
        </w:rPr>
        <w:t>,</w:t>
      </w:r>
      <w:r w:rsidR="005804C5" w:rsidRPr="00DB7156">
        <w:rPr>
          <w:rFonts w:ascii="Arial" w:hAnsi="Arial" w:cs="Arial"/>
          <w:sz w:val="24"/>
        </w:rPr>
        <w:t xml:space="preserve"> the U.S. Supreme Court reversed the D.C. Circuit </w:t>
      </w:r>
      <w:r w:rsidR="003652A6">
        <w:rPr>
          <w:rFonts w:ascii="Arial" w:hAnsi="Arial" w:cs="Arial"/>
          <w:sz w:val="24"/>
        </w:rPr>
        <w:t xml:space="preserve">Court </w:t>
      </w:r>
      <w:r w:rsidR="00A62818" w:rsidRPr="00DB7156">
        <w:rPr>
          <w:rFonts w:ascii="Arial" w:hAnsi="Arial" w:cs="Arial"/>
          <w:sz w:val="24"/>
        </w:rPr>
        <w:t>vacatur of</w:t>
      </w:r>
      <w:r w:rsidR="005B0FF4" w:rsidRPr="00DB7156">
        <w:rPr>
          <w:rFonts w:ascii="Arial" w:hAnsi="Arial" w:cs="Arial"/>
          <w:sz w:val="24"/>
        </w:rPr>
        <w:t xml:space="preserve"> </w:t>
      </w:r>
      <w:r w:rsidR="005804C5" w:rsidRPr="00DB7156">
        <w:rPr>
          <w:rFonts w:ascii="Arial" w:hAnsi="Arial" w:cs="Arial"/>
          <w:sz w:val="24"/>
        </w:rPr>
        <w:t xml:space="preserve">CSAPR and </w:t>
      </w:r>
      <w:r w:rsidR="002E1512" w:rsidRPr="00DB7156">
        <w:rPr>
          <w:rFonts w:ascii="Arial" w:hAnsi="Arial" w:cs="Arial"/>
          <w:sz w:val="24"/>
        </w:rPr>
        <w:t xml:space="preserve">remanded </w:t>
      </w:r>
      <w:r w:rsidR="005804C5" w:rsidRPr="00DB7156">
        <w:rPr>
          <w:rFonts w:ascii="Arial" w:hAnsi="Arial" w:cs="Arial"/>
          <w:sz w:val="24"/>
        </w:rPr>
        <w:t xml:space="preserve">the case back to the D.C. Circuit </w:t>
      </w:r>
      <w:r w:rsidR="00D06F1F" w:rsidRPr="00DB7156">
        <w:rPr>
          <w:rFonts w:ascii="Arial" w:hAnsi="Arial" w:cs="Arial"/>
          <w:sz w:val="24"/>
        </w:rPr>
        <w:t>C</w:t>
      </w:r>
      <w:r w:rsidR="005804C5" w:rsidRPr="00DB7156">
        <w:rPr>
          <w:rFonts w:ascii="Arial" w:hAnsi="Arial" w:cs="Arial"/>
          <w:sz w:val="24"/>
        </w:rPr>
        <w:t xml:space="preserve">ourt for further proceedings. </w:t>
      </w:r>
      <w:r>
        <w:rPr>
          <w:rFonts w:ascii="Arial" w:hAnsi="Arial" w:cs="Arial"/>
          <w:sz w:val="24"/>
        </w:rPr>
        <w:t>I</w:t>
      </w:r>
      <w:r w:rsidR="004E6F7D" w:rsidRPr="00DB7156">
        <w:rPr>
          <w:rFonts w:ascii="Arial" w:hAnsi="Arial" w:cs="Arial"/>
          <w:sz w:val="24"/>
        </w:rPr>
        <w:t>n October 2014, the D.C. Circuit</w:t>
      </w:r>
      <w:r w:rsidR="003652A6">
        <w:rPr>
          <w:rFonts w:ascii="Arial" w:hAnsi="Arial" w:cs="Arial"/>
          <w:sz w:val="24"/>
        </w:rPr>
        <w:t xml:space="preserve"> Court</w:t>
      </w:r>
      <w:r w:rsidR="004E6F7D" w:rsidRPr="00DB7156">
        <w:rPr>
          <w:rFonts w:ascii="Arial" w:hAnsi="Arial" w:cs="Arial"/>
          <w:sz w:val="24"/>
        </w:rPr>
        <w:t xml:space="preserve"> granted EPA's motion to lift the stay of CSAPR and toll the compliance deadlines by three years, so that CSAPR's Phase 1 emission budgets would apply in 2015 and Phase 2 emission budgets would apply in 2017 and subsequent years</w:t>
      </w:r>
      <w:r w:rsidR="005B0FF4" w:rsidRPr="00DB7156">
        <w:rPr>
          <w:rFonts w:ascii="Arial" w:hAnsi="Arial" w:cs="Arial"/>
          <w:sz w:val="24"/>
        </w:rPr>
        <w:t>.</w:t>
      </w:r>
      <w:r w:rsidR="005804C5" w:rsidRPr="00DB7156">
        <w:rPr>
          <w:rFonts w:ascii="Arial" w:hAnsi="Arial" w:cs="Arial"/>
          <w:sz w:val="24"/>
        </w:rPr>
        <w:t xml:space="preserve"> </w:t>
      </w:r>
      <w:r w:rsidR="00A62818" w:rsidRPr="00DB7156">
        <w:rPr>
          <w:rFonts w:ascii="Arial" w:hAnsi="Arial" w:cs="Arial"/>
          <w:sz w:val="24"/>
        </w:rPr>
        <w:t>This reinstatement of CSAPR replace</w:t>
      </w:r>
      <w:r w:rsidR="00F05981" w:rsidRPr="00DB7156">
        <w:rPr>
          <w:rFonts w:ascii="Arial" w:hAnsi="Arial" w:cs="Arial"/>
          <w:sz w:val="24"/>
        </w:rPr>
        <w:t>d</w:t>
      </w:r>
      <w:r w:rsidR="00A62818" w:rsidRPr="00DB7156">
        <w:rPr>
          <w:rFonts w:ascii="Arial" w:hAnsi="Arial" w:cs="Arial"/>
          <w:sz w:val="24"/>
        </w:rPr>
        <w:t xml:space="preserve"> CAIR.</w:t>
      </w:r>
    </w:p>
    <w:p w14:paraId="2B2A1C19" w14:textId="77777777" w:rsidR="00933A40" w:rsidRPr="00DB7156" w:rsidRDefault="00933A40" w:rsidP="00DB7156">
      <w:pPr>
        <w:pStyle w:val="Style1"/>
        <w:tabs>
          <w:tab w:val="num" w:pos="720"/>
        </w:tabs>
        <w:jc w:val="both"/>
        <w:rPr>
          <w:rFonts w:ascii="Arial" w:hAnsi="Arial" w:cs="Arial"/>
          <w:b w:val="0"/>
          <w:bCs w:val="0"/>
          <w:color w:val="auto"/>
          <w:szCs w:val="22"/>
        </w:rPr>
      </w:pPr>
    </w:p>
    <w:p w14:paraId="3F305F01" w14:textId="675395A6" w:rsidR="005C4C0E" w:rsidRPr="00DB7156" w:rsidRDefault="0088552F" w:rsidP="00DB7156">
      <w:pPr>
        <w:pStyle w:val="Style1"/>
        <w:keepNext w:val="0"/>
        <w:tabs>
          <w:tab w:val="num" w:pos="720"/>
        </w:tabs>
        <w:autoSpaceDE/>
        <w:autoSpaceDN/>
        <w:adjustRightInd/>
        <w:jc w:val="both"/>
        <w:rPr>
          <w:rFonts w:ascii="Arial" w:hAnsi="Arial" w:cs="Arial"/>
          <w:b w:val="0"/>
          <w:bCs w:val="0"/>
          <w:color w:val="auto"/>
          <w:szCs w:val="22"/>
        </w:rPr>
      </w:pPr>
      <w:bookmarkStart w:id="59" w:name="_Hlk494801379"/>
      <w:r>
        <w:rPr>
          <w:rFonts w:ascii="Arial" w:hAnsi="Arial" w:cs="Arial"/>
          <w:b w:val="0"/>
          <w:bCs w:val="0"/>
          <w:color w:val="auto"/>
          <w:szCs w:val="22"/>
        </w:rPr>
        <w:t>I</w:t>
      </w:r>
      <w:r w:rsidR="00933A40" w:rsidRPr="00DB7156">
        <w:rPr>
          <w:rFonts w:ascii="Arial" w:hAnsi="Arial" w:cs="Arial"/>
          <w:b w:val="0"/>
          <w:bCs w:val="0"/>
          <w:color w:val="auto"/>
          <w:szCs w:val="22"/>
        </w:rPr>
        <w:t xml:space="preserve">n July 2015, the </w:t>
      </w:r>
      <w:r w:rsidR="00E94DBF" w:rsidRPr="00DB7156">
        <w:rPr>
          <w:rFonts w:ascii="Arial" w:hAnsi="Arial" w:cs="Arial"/>
          <w:b w:val="0"/>
          <w:bCs w:val="0"/>
          <w:color w:val="auto"/>
          <w:szCs w:val="22"/>
        </w:rPr>
        <w:t>D.C.</w:t>
      </w:r>
      <w:r w:rsidR="00933A40" w:rsidRPr="00DB7156">
        <w:rPr>
          <w:rFonts w:ascii="Arial" w:hAnsi="Arial" w:cs="Arial"/>
          <w:b w:val="0"/>
          <w:bCs w:val="0"/>
          <w:color w:val="auto"/>
          <w:szCs w:val="22"/>
        </w:rPr>
        <w:t xml:space="preserve"> Circuit </w:t>
      </w:r>
      <w:r w:rsidR="00E94DBF" w:rsidRPr="00DB7156">
        <w:rPr>
          <w:rFonts w:ascii="Arial" w:hAnsi="Arial" w:cs="Arial"/>
          <w:b w:val="0"/>
          <w:bCs w:val="0"/>
          <w:color w:val="auto"/>
          <w:szCs w:val="22"/>
        </w:rPr>
        <w:t xml:space="preserve">Court </w:t>
      </w:r>
      <w:r w:rsidR="00933A40" w:rsidRPr="00DB7156">
        <w:rPr>
          <w:rFonts w:ascii="Arial" w:hAnsi="Arial" w:cs="Arial"/>
          <w:b w:val="0"/>
          <w:bCs w:val="0"/>
          <w:color w:val="auto"/>
          <w:szCs w:val="22"/>
        </w:rPr>
        <w:t>issued</w:t>
      </w:r>
      <w:r w:rsidR="009A5BE8" w:rsidRPr="00DB7156">
        <w:rPr>
          <w:rFonts w:ascii="Arial" w:hAnsi="Arial" w:cs="Arial"/>
          <w:b w:val="0"/>
          <w:bCs w:val="0"/>
          <w:color w:val="auto"/>
          <w:szCs w:val="22"/>
        </w:rPr>
        <w:t xml:space="preserve"> its opinion</w:t>
      </w:r>
      <w:bookmarkEnd w:id="59"/>
      <w:r w:rsidR="009A5BE8" w:rsidRPr="00DB7156">
        <w:rPr>
          <w:rFonts w:ascii="Arial" w:hAnsi="Arial" w:cs="Arial"/>
          <w:b w:val="0"/>
          <w:bCs w:val="0"/>
          <w:color w:val="auto"/>
          <w:szCs w:val="22"/>
        </w:rPr>
        <w:t xml:space="preserve">, upon remand from the </w:t>
      </w:r>
      <w:r w:rsidR="0088573B">
        <w:rPr>
          <w:rFonts w:ascii="Arial" w:hAnsi="Arial" w:cs="Arial"/>
          <w:b w:val="0"/>
          <w:bCs w:val="0"/>
          <w:color w:val="auto"/>
          <w:szCs w:val="22"/>
        </w:rPr>
        <w:t xml:space="preserve">U.S. </w:t>
      </w:r>
      <w:r w:rsidR="009A5BE8" w:rsidRPr="00DB7156">
        <w:rPr>
          <w:rFonts w:ascii="Arial" w:hAnsi="Arial" w:cs="Arial"/>
          <w:b w:val="0"/>
          <w:bCs w:val="0"/>
          <w:color w:val="auto"/>
          <w:szCs w:val="22"/>
        </w:rPr>
        <w:t>Supreme Court,</w:t>
      </w:r>
      <w:r w:rsidR="00933A40" w:rsidRPr="00DB7156">
        <w:rPr>
          <w:rFonts w:ascii="Arial" w:hAnsi="Arial" w:cs="Arial"/>
          <w:b w:val="0"/>
          <w:bCs w:val="0"/>
          <w:color w:val="auto"/>
          <w:szCs w:val="22"/>
        </w:rPr>
        <w:t xml:space="preserve"> invalidating EPA</w:t>
      </w:r>
      <w:r w:rsidR="007533EF" w:rsidRPr="00DB7156">
        <w:rPr>
          <w:rFonts w:ascii="Arial" w:hAnsi="Arial" w:cs="Arial"/>
          <w:b w:val="0"/>
          <w:bCs w:val="0"/>
          <w:color w:val="auto"/>
          <w:szCs w:val="22"/>
        </w:rPr>
        <w:t>’s</w:t>
      </w:r>
      <w:r w:rsidR="00933A40" w:rsidRPr="00DB7156">
        <w:rPr>
          <w:rFonts w:ascii="Arial" w:hAnsi="Arial" w:cs="Arial"/>
          <w:b w:val="0"/>
          <w:bCs w:val="0"/>
          <w:color w:val="auto"/>
          <w:szCs w:val="22"/>
        </w:rPr>
        <w:t xml:space="preserve"> Phase </w:t>
      </w:r>
      <w:r w:rsidR="009A5BE8" w:rsidRPr="00DB7156">
        <w:rPr>
          <w:rFonts w:ascii="Arial" w:hAnsi="Arial" w:cs="Arial"/>
          <w:b w:val="0"/>
          <w:bCs w:val="0"/>
          <w:color w:val="auto"/>
          <w:szCs w:val="22"/>
        </w:rPr>
        <w:t>2</w:t>
      </w:r>
      <w:r w:rsidR="00933A40" w:rsidRPr="00DB7156">
        <w:rPr>
          <w:rFonts w:ascii="Arial" w:hAnsi="Arial" w:cs="Arial"/>
          <w:b w:val="0"/>
          <w:bCs w:val="0"/>
          <w:color w:val="auto"/>
          <w:szCs w:val="22"/>
        </w:rPr>
        <w:t xml:space="preserve"> </w:t>
      </w:r>
      <w:r w:rsidR="007533EF" w:rsidRPr="00DB7156">
        <w:rPr>
          <w:rFonts w:ascii="Arial" w:hAnsi="Arial" w:cs="Arial"/>
          <w:b w:val="0"/>
          <w:bCs w:val="0"/>
          <w:color w:val="auto"/>
          <w:szCs w:val="22"/>
        </w:rPr>
        <w:t xml:space="preserve">ozone season </w:t>
      </w:r>
      <w:r w:rsidR="00933A40" w:rsidRPr="00DB7156">
        <w:rPr>
          <w:rFonts w:ascii="Arial" w:hAnsi="Arial" w:cs="Arial"/>
          <w:b w:val="0"/>
          <w:bCs w:val="0"/>
          <w:color w:val="auto"/>
          <w:szCs w:val="22"/>
        </w:rPr>
        <w:t xml:space="preserve">emissions budgets under CSAPR for </w:t>
      </w:r>
      <w:r w:rsidR="007533EF" w:rsidRPr="00DB7156">
        <w:rPr>
          <w:rFonts w:ascii="Arial" w:hAnsi="Arial" w:cs="Arial"/>
          <w:b w:val="0"/>
          <w:bCs w:val="0"/>
          <w:color w:val="auto"/>
          <w:szCs w:val="22"/>
        </w:rPr>
        <w:t xml:space="preserve">11 </w:t>
      </w:r>
      <w:r w:rsidR="00933A40" w:rsidRPr="00DB7156">
        <w:rPr>
          <w:rFonts w:ascii="Arial" w:hAnsi="Arial" w:cs="Arial"/>
          <w:b w:val="0"/>
          <w:bCs w:val="0"/>
          <w:color w:val="auto"/>
          <w:szCs w:val="22"/>
        </w:rPr>
        <w:t xml:space="preserve">states, including Alabama, </w:t>
      </w:r>
      <w:r w:rsidR="00F05981" w:rsidRPr="00DB7156">
        <w:rPr>
          <w:rFonts w:ascii="Arial" w:hAnsi="Arial" w:cs="Arial"/>
          <w:b w:val="0"/>
          <w:bCs w:val="0"/>
          <w:color w:val="auto"/>
          <w:szCs w:val="22"/>
        </w:rPr>
        <w:t>and required</w:t>
      </w:r>
      <w:r w:rsidR="009A5BE8" w:rsidRPr="00DB7156">
        <w:rPr>
          <w:rFonts w:ascii="Arial" w:hAnsi="Arial" w:cs="Arial"/>
          <w:b w:val="0"/>
          <w:bCs w:val="0"/>
          <w:color w:val="auto"/>
          <w:szCs w:val="22"/>
        </w:rPr>
        <w:t xml:space="preserve"> EPA </w:t>
      </w:r>
      <w:r w:rsidR="00F05981" w:rsidRPr="00DB7156">
        <w:rPr>
          <w:rFonts w:ascii="Arial" w:hAnsi="Arial" w:cs="Arial"/>
          <w:b w:val="0"/>
          <w:bCs w:val="0"/>
          <w:color w:val="auto"/>
          <w:szCs w:val="22"/>
        </w:rPr>
        <w:t xml:space="preserve">to </w:t>
      </w:r>
      <w:r w:rsidR="009A5BE8" w:rsidRPr="00DB7156">
        <w:rPr>
          <w:rFonts w:ascii="Arial" w:hAnsi="Arial" w:cs="Arial"/>
          <w:b w:val="0"/>
          <w:bCs w:val="0"/>
          <w:color w:val="auto"/>
          <w:szCs w:val="22"/>
        </w:rPr>
        <w:t>reconsider the Phase 2 annual SO</w:t>
      </w:r>
      <w:r w:rsidR="009A5BE8" w:rsidRPr="00AE66E8">
        <w:rPr>
          <w:rFonts w:ascii="Arial" w:hAnsi="Arial" w:cs="Arial"/>
          <w:b w:val="0"/>
          <w:color w:val="auto"/>
          <w:szCs w:val="22"/>
          <w:vertAlign w:val="subscript"/>
        </w:rPr>
        <w:t>2</w:t>
      </w:r>
      <w:r w:rsidR="009A5BE8" w:rsidRPr="00DB7156">
        <w:rPr>
          <w:rFonts w:ascii="Arial" w:hAnsi="Arial" w:cs="Arial"/>
          <w:b w:val="0"/>
          <w:bCs w:val="0"/>
          <w:color w:val="auto"/>
          <w:szCs w:val="22"/>
        </w:rPr>
        <w:t xml:space="preserve"> emission budgets for </w:t>
      </w:r>
      <w:r w:rsidR="00D04CBA" w:rsidRPr="00DB7156">
        <w:rPr>
          <w:rFonts w:ascii="Arial" w:hAnsi="Arial" w:cs="Arial"/>
          <w:b w:val="0"/>
          <w:bCs w:val="0"/>
          <w:color w:val="auto"/>
          <w:szCs w:val="22"/>
        </w:rPr>
        <w:t xml:space="preserve">4 states, including </w:t>
      </w:r>
      <w:r w:rsidR="009A5BE8" w:rsidRPr="00DB7156">
        <w:rPr>
          <w:rFonts w:ascii="Arial" w:hAnsi="Arial" w:cs="Arial"/>
          <w:b w:val="0"/>
          <w:bCs w:val="0"/>
          <w:color w:val="auto"/>
          <w:szCs w:val="22"/>
        </w:rPr>
        <w:t xml:space="preserve">Georgia and Alabama. </w:t>
      </w:r>
      <w:r w:rsidR="00933A40" w:rsidRPr="00DB7156">
        <w:rPr>
          <w:rFonts w:ascii="Arial" w:hAnsi="Arial" w:cs="Arial"/>
          <w:b w:val="0"/>
          <w:bCs w:val="0"/>
          <w:color w:val="auto"/>
          <w:szCs w:val="22"/>
        </w:rPr>
        <w:t xml:space="preserve">The court's decision </w:t>
      </w:r>
      <w:r w:rsidR="00970E95" w:rsidRPr="00DB7156">
        <w:rPr>
          <w:rFonts w:ascii="Arial" w:hAnsi="Arial" w:cs="Arial"/>
          <w:b w:val="0"/>
          <w:bCs w:val="0"/>
          <w:color w:val="auto"/>
          <w:szCs w:val="22"/>
        </w:rPr>
        <w:t xml:space="preserve">left </w:t>
      </w:r>
      <w:r w:rsidR="00933A40" w:rsidRPr="00DB7156">
        <w:rPr>
          <w:rFonts w:ascii="Arial" w:hAnsi="Arial" w:cs="Arial"/>
          <w:b w:val="0"/>
          <w:bCs w:val="0"/>
          <w:color w:val="auto"/>
          <w:szCs w:val="22"/>
        </w:rPr>
        <w:t>the budgets in place and remand</w:t>
      </w:r>
      <w:r w:rsidR="00970E95" w:rsidRPr="00DB7156">
        <w:rPr>
          <w:rFonts w:ascii="Arial" w:hAnsi="Arial" w:cs="Arial"/>
          <w:b w:val="0"/>
          <w:bCs w:val="0"/>
          <w:color w:val="auto"/>
          <w:szCs w:val="22"/>
        </w:rPr>
        <w:t>ed</w:t>
      </w:r>
      <w:r w:rsidR="00933A40" w:rsidRPr="00DB7156">
        <w:rPr>
          <w:rFonts w:ascii="Arial" w:hAnsi="Arial" w:cs="Arial"/>
          <w:b w:val="0"/>
          <w:bCs w:val="0"/>
          <w:color w:val="auto"/>
          <w:szCs w:val="22"/>
        </w:rPr>
        <w:t xml:space="preserve"> the rule to EPA for further action consistent with the court's decision. </w:t>
      </w:r>
      <w:r w:rsidR="00F858F0" w:rsidRPr="00DB7156">
        <w:rPr>
          <w:rFonts w:ascii="Arial" w:hAnsi="Arial" w:cs="Arial"/>
          <w:b w:val="0"/>
          <w:bCs w:val="0"/>
          <w:color w:val="auto"/>
          <w:szCs w:val="22"/>
        </w:rPr>
        <w:t xml:space="preserve">However, </w:t>
      </w:r>
      <w:r w:rsidR="001A6F2E" w:rsidRPr="00DB7156">
        <w:rPr>
          <w:rFonts w:ascii="Arial" w:hAnsi="Arial" w:cs="Arial"/>
          <w:b w:val="0"/>
          <w:bCs w:val="0"/>
          <w:color w:val="auto"/>
          <w:szCs w:val="22"/>
        </w:rPr>
        <w:t>subsequent revisions to CSAPR and actions by Alabama and Georgia to adopt CSAPR programs into their states SIPs have made these issues moot for Georgia Power facilities.</w:t>
      </w:r>
    </w:p>
    <w:p w14:paraId="3239B1B9" w14:textId="77777777" w:rsidR="005C4C0E" w:rsidRPr="00DB7156" w:rsidRDefault="005C4C0E" w:rsidP="00DB7156">
      <w:pPr>
        <w:pStyle w:val="Style1"/>
        <w:keepNext w:val="0"/>
        <w:tabs>
          <w:tab w:val="num" w:pos="720"/>
        </w:tabs>
        <w:autoSpaceDE/>
        <w:autoSpaceDN/>
        <w:adjustRightInd/>
        <w:jc w:val="both"/>
        <w:rPr>
          <w:rFonts w:ascii="Arial" w:hAnsi="Arial" w:cs="Arial"/>
          <w:b w:val="0"/>
          <w:bCs w:val="0"/>
          <w:color w:val="auto"/>
          <w:szCs w:val="22"/>
        </w:rPr>
      </w:pPr>
    </w:p>
    <w:p w14:paraId="0694FAC5" w14:textId="5F1D1699" w:rsidR="00025A95" w:rsidRPr="00DB7156" w:rsidRDefault="00461F15" w:rsidP="00DB7156">
      <w:pPr>
        <w:pStyle w:val="Style1"/>
        <w:keepNext w:val="0"/>
        <w:tabs>
          <w:tab w:val="num" w:pos="720"/>
        </w:tabs>
        <w:autoSpaceDE/>
        <w:autoSpaceDN/>
        <w:adjustRightInd/>
        <w:jc w:val="both"/>
        <w:rPr>
          <w:rFonts w:ascii="Arial" w:hAnsi="Arial" w:cs="Arial"/>
          <w:b w:val="0"/>
          <w:bCs w:val="0"/>
          <w:color w:val="auto"/>
          <w:szCs w:val="22"/>
        </w:rPr>
      </w:pPr>
      <w:r w:rsidRPr="00DB7156">
        <w:rPr>
          <w:rFonts w:ascii="Arial" w:hAnsi="Arial" w:cs="Arial"/>
          <w:b w:val="0"/>
          <w:bCs w:val="0"/>
          <w:color w:val="auto"/>
          <w:szCs w:val="22"/>
        </w:rPr>
        <w:t xml:space="preserve">EPA has </w:t>
      </w:r>
      <w:r w:rsidR="00F05981" w:rsidRPr="00DB7156">
        <w:rPr>
          <w:rFonts w:ascii="Arial" w:hAnsi="Arial" w:cs="Arial"/>
          <w:b w:val="0"/>
          <w:bCs w:val="0"/>
          <w:color w:val="auto"/>
          <w:szCs w:val="22"/>
        </w:rPr>
        <w:t xml:space="preserve">also </w:t>
      </w:r>
      <w:r w:rsidR="00AC5972" w:rsidRPr="00DB7156">
        <w:rPr>
          <w:rFonts w:ascii="Arial" w:hAnsi="Arial" w:cs="Arial"/>
          <w:b w:val="0"/>
          <w:bCs w:val="0"/>
          <w:color w:val="auto"/>
          <w:szCs w:val="22"/>
        </w:rPr>
        <w:t xml:space="preserve">updated and revised CSAPR recently </w:t>
      </w:r>
      <w:r w:rsidR="00CC2AF9" w:rsidRPr="00DB7156">
        <w:rPr>
          <w:rFonts w:ascii="Arial" w:hAnsi="Arial" w:cs="Arial"/>
          <w:b w:val="0"/>
          <w:bCs w:val="0"/>
          <w:color w:val="auto"/>
          <w:szCs w:val="22"/>
        </w:rPr>
        <w:t>to address</w:t>
      </w:r>
      <w:r w:rsidR="005B0FF4" w:rsidRPr="00DB7156">
        <w:rPr>
          <w:rFonts w:ascii="Arial" w:hAnsi="Arial" w:cs="Arial"/>
          <w:b w:val="0"/>
          <w:bCs w:val="0"/>
          <w:color w:val="auto"/>
          <w:szCs w:val="22"/>
        </w:rPr>
        <w:t xml:space="preserve"> </w:t>
      </w:r>
      <w:r w:rsidRPr="00DB7156">
        <w:rPr>
          <w:rFonts w:ascii="Arial" w:hAnsi="Arial" w:cs="Arial"/>
          <w:b w:val="0"/>
          <w:bCs w:val="0"/>
          <w:color w:val="auto"/>
          <w:szCs w:val="22"/>
        </w:rPr>
        <w:t xml:space="preserve">interstate transport </w:t>
      </w:r>
      <w:r w:rsidR="00CC2AF9" w:rsidRPr="00DB7156">
        <w:rPr>
          <w:rFonts w:ascii="Arial" w:hAnsi="Arial" w:cs="Arial"/>
          <w:b w:val="0"/>
          <w:color w:val="auto"/>
        </w:rPr>
        <w:t>for downwind areas that have nonattainment issues associated with the 2008 ozone NAAQS</w:t>
      </w:r>
      <w:r w:rsidRPr="00DB7156">
        <w:rPr>
          <w:rFonts w:ascii="Arial" w:hAnsi="Arial" w:cs="Arial"/>
          <w:b w:val="0"/>
          <w:bCs w:val="0"/>
          <w:color w:val="auto"/>
          <w:szCs w:val="22"/>
        </w:rPr>
        <w:t>.</w:t>
      </w:r>
      <w:r w:rsidR="00025A95" w:rsidRPr="00DB7156">
        <w:rPr>
          <w:rFonts w:ascii="Arial" w:hAnsi="Arial" w:cs="Arial"/>
          <w:b w:val="0"/>
          <w:bCs w:val="0"/>
          <w:color w:val="auto"/>
          <w:szCs w:val="22"/>
        </w:rPr>
        <w:t xml:space="preserve"> </w:t>
      </w:r>
      <w:r w:rsidR="00801EED" w:rsidRPr="00DB7156">
        <w:rPr>
          <w:rFonts w:ascii="Arial" w:hAnsi="Arial" w:cs="Arial"/>
          <w:b w:val="0"/>
          <w:bCs w:val="0"/>
          <w:color w:val="auto"/>
          <w:szCs w:val="22"/>
        </w:rPr>
        <w:t xml:space="preserve"> </w:t>
      </w:r>
      <w:r w:rsidR="0088552F">
        <w:rPr>
          <w:rFonts w:ascii="Arial" w:hAnsi="Arial" w:cs="Arial"/>
          <w:b w:val="0"/>
          <w:bCs w:val="0"/>
          <w:color w:val="auto"/>
          <w:szCs w:val="22"/>
        </w:rPr>
        <w:t>I</w:t>
      </w:r>
      <w:r w:rsidR="00025A95" w:rsidRPr="00DB7156">
        <w:rPr>
          <w:rFonts w:ascii="Arial" w:hAnsi="Arial" w:cs="Arial"/>
          <w:b w:val="0"/>
          <w:bCs w:val="0"/>
          <w:color w:val="auto"/>
          <w:szCs w:val="22"/>
        </w:rPr>
        <w:t>n July 2015, EPA issued a finding that 24 states</w:t>
      </w:r>
      <w:r w:rsidR="00CC2AF9" w:rsidRPr="00DB7156">
        <w:rPr>
          <w:rFonts w:ascii="Arial" w:hAnsi="Arial" w:cs="Arial"/>
          <w:b w:val="0"/>
          <w:bCs w:val="0"/>
          <w:color w:val="auto"/>
          <w:szCs w:val="22"/>
        </w:rPr>
        <w:t>,</w:t>
      </w:r>
      <w:r w:rsidR="00025A95" w:rsidRPr="00DB7156">
        <w:rPr>
          <w:rFonts w:ascii="Arial" w:hAnsi="Arial" w:cs="Arial"/>
          <w:b w:val="0"/>
          <w:bCs w:val="0"/>
          <w:color w:val="auto"/>
          <w:szCs w:val="22"/>
        </w:rPr>
        <w:t xml:space="preserve"> including Georgia</w:t>
      </w:r>
      <w:r w:rsidR="00CC2AF9" w:rsidRPr="00DB7156">
        <w:rPr>
          <w:rFonts w:ascii="Arial" w:hAnsi="Arial" w:cs="Arial"/>
          <w:b w:val="0"/>
          <w:bCs w:val="0"/>
          <w:color w:val="auto"/>
          <w:szCs w:val="22"/>
        </w:rPr>
        <w:t>,</w:t>
      </w:r>
      <w:r w:rsidR="00025A95" w:rsidRPr="00DB7156">
        <w:rPr>
          <w:rFonts w:ascii="Arial" w:hAnsi="Arial" w:cs="Arial"/>
          <w:b w:val="0"/>
          <w:bCs w:val="0"/>
          <w:color w:val="auto"/>
          <w:szCs w:val="22"/>
        </w:rPr>
        <w:t xml:space="preserve"> failed to submit an interstate transport SIP for the 2008 ozone NAAQS. This action start</w:t>
      </w:r>
      <w:r w:rsidR="00CC2AF9" w:rsidRPr="00DB7156">
        <w:rPr>
          <w:rFonts w:ascii="Arial" w:hAnsi="Arial" w:cs="Arial"/>
          <w:b w:val="0"/>
          <w:bCs w:val="0"/>
          <w:color w:val="auto"/>
          <w:szCs w:val="22"/>
        </w:rPr>
        <w:t>ed</w:t>
      </w:r>
      <w:r w:rsidR="00025A95" w:rsidRPr="00DB7156">
        <w:rPr>
          <w:rFonts w:ascii="Arial" w:hAnsi="Arial" w:cs="Arial"/>
          <w:b w:val="0"/>
          <w:bCs w:val="0"/>
          <w:color w:val="auto"/>
          <w:szCs w:val="22"/>
        </w:rPr>
        <w:t xml:space="preserve"> a 2-year clock for EPA to promulgate a </w:t>
      </w:r>
      <w:r w:rsidR="00F05981" w:rsidRPr="00DB7156">
        <w:rPr>
          <w:rFonts w:ascii="Arial" w:hAnsi="Arial" w:cs="Arial"/>
          <w:b w:val="0"/>
          <w:bCs w:val="0"/>
          <w:color w:val="auto"/>
          <w:szCs w:val="22"/>
        </w:rPr>
        <w:t>FIP</w:t>
      </w:r>
      <w:r w:rsidR="00025A95" w:rsidRPr="00DB7156">
        <w:rPr>
          <w:rFonts w:ascii="Arial" w:hAnsi="Arial" w:cs="Arial"/>
          <w:b w:val="0"/>
          <w:bCs w:val="0"/>
          <w:color w:val="auto"/>
          <w:szCs w:val="22"/>
        </w:rPr>
        <w:t xml:space="preserve"> for each of these states unless, prior to EPA issuing the FIP, the state submits and EPA approves a SIP that meets the requirements of section 110 of the CAA. </w:t>
      </w:r>
    </w:p>
    <w:p w14:paraId="1C132766" w14:textId="77777777" w:rsidR="005C4C0E" w:rsidRPr="00DB7156" w:rsidRDefault="005C4C0E" w:rsidP="00DB7156">
      <w:pPr>
        <w:autoSpaceDN w:val="0"/>
        <w:spacing w:after="0" w:line="240" w:lineRule="auto"/>
        <w:jc w:val="both"/>
        <w:rPr>
          <w:rFonts w:ascii="Arial" w:hAnsi="Arial" w:cs="Arial"/>
          <w:sz w:val="24"/>
        </w:rPr>
      </w:pPr>
    </w:p>
    <w:p w14:paraId="05F1545C" w14:textId="44BC2837" w:rsidR="00D768F8" w:rsidRPr="00DB7156" w:rsidRDefault="00940C46" w:rsidP="00DB7156">
      <w:pPr>
        <w:autoSpaceDN w:val="0"/>
        <w:spacing w:after="0" w:line="240" w:lineRule="auto"/>
        <w:jc w:val="both"/>
        <w:rPr>
          <w:rFonts w:ascii="Arial" w:hAnsi="Arial" w:cs="Arial"/>
          <w:sz w:val="24"/>
        </w:rPr>
      </w:pPr>
      <w:r w:rsidRPr="00DB7156">
        <w:rPr>
          <w:rFonts w:ascii="Arial" w:hAnsi="Arial" w:cs="Arial"/>
          <w:sz w:val="24"/>
        </w:rPr>
        <w:t xml:space="preserve">On December 3, 2015, EPA proposed </w:t>
      </w:r>
      <w:r w:rsidR="00CC2AF9" w:rsidRPr="00DB7156">
        <w:rPr>
          <w:rFonts w:ascii="Arial" w:hAnsi="Arial" w:cs="Arial"/>
          <w:sz w:val="24"/>
        </w:rPr>
        <w:t xml:space="preserve">a </w:t>
      </w:r>
      <w:r w:rsidRPr="00DB7156">
        <w:rPr>
          <w:rFonts w:ascii="Arial" w:hAnsi="Arial" w:cs="Arial"/>
          <w:sz w:val="24"/>
        </w:rPr>
        <w:t>rule</w:t>
      </w:r>
      <w:r w:rsidR="00D04CBA" w:rsidRPr="00DB7156">
        <w:rPr>
          <w:rFonts w:ascii="Arial" w:hAnsi="Arial" w:cs="Arial"/>
          <w:sz w:val="24"/>
        </w:rPr>
        <w:t>, known as the CSAPR Update Rule,</w:t>
      </w:r>
      <w:r w:rsidRPr="00DB7156">
        <w:rPr>
          <w:rFonts w:ascii="Arial" w:hAnsi="Arial" w:cs="Arial"/>
          <w:sz w:val="24"/>
        </w:rPr>
        <w:t xml:space="preserve"> </w:t>
      </w:r>
      <w:r w:rsidR="00CC2AF9" w:rsidRPr="00DB7156">
        <w:rPr>
          <w:rFonts w:ascii="Arial" w:hAnsi="Arial" w:cs="Arial"/>
          <w:sz w:val="24"/>
        </w:rPr>
        <w:t>which would impose</w:t>
      </w:r>
      <w:r w:rsidRPr="00DB7156">
        <w:rPr>
          <w:rFonts w:ascii="Arial" w:hAnsi="Arial" w:cs="Arial"/>
          <w:sz w:val="24"/>
        </w:rPr>
        <w:t xml:space="preserve"> </w:t>
      </w:r>
      <w:r w:rsidR="00AF6D3D" w:rsidRPr="00DB7156">
        <w:rPr>
          <w:rFonts w:ascii="Arial" w:hAnsi="Arial" w:cs="Arial"/>
          <w:sz w:val="24"/>
        </w:rPr>
        <w:t xml:space="preserve">FIPs </w:t>
      </w:r>
      <w:r w:rsidRPr="00DB7156">
        <w:rPr>
          <w:rFonts w:ascii="Arial" w:hAnsi="Arial" w:cs="Arial"/>
          <w:sz w:val="24"/>
        </w:rPr>
        <w:t xml:space="preserve">for 23 states, including Alabama, </w:t>
      </w:r>
      <w:r w:rsidR="00D04CBA" w:rsidRPr="00DB7156">
        <w:rPr>
          <w:rFonts w:ascii="Arial" w:hAnsi="Arial" w:cs="Arial"/>
          <w:sz w:val="24"/>
        </w:rPr>
        <w:t xml:space="preserve">and </w:t>
      </w:r>
      <w:r w:rsidRPr="00DB7156">
        <w:rPr>
          <w:rFonts w:ascii="Arial" w:hAnsi="Arial" w:cs="Arial"/>
          <w:sz w:val="24"/>
        </w:rPr>
        <w:t>establish or update the existing 2017 CSAPR NO</w:t>
      </w:r>
      <w:r w:rsidRPr="00AE66E8">
        <w:rPr>
          <w:rFonts w:ascii="Arial" w:hAnsi="Arial" w:cs="Arial"/>
          <w:sz w:val="24"/>
          <w:vertAlign w:val="subscript"/>
        </w:rPr>
        <w:t>x</w:t>
      </w:r>
      <w:r w:rsidRPr="00DB7156">
        <w:rPr>
          <w:rFonts w:ascii="Arial" w:hAnsi="Arial" w:cs="Arial"/>
          <w:sz w:val="24"/>
        </w:rPr>
        <w:t xml:space="preserve"> ozone season emissions budgets for EGUs.  </w:t>
      </w:r>
    </w:p>
    <w:p w14:paraId="3757D77E" w14:textId="77777777" w:rsidR="00D768F8" w:rsidRPr="00DB7156" w:rsidRDefault="00D768F8" w:rsidP="00DB7156">
      <w:pPr>
        <w:autoSpaceDN w:val="0"/>
        <w:spacing w:after="0" w:line="240" w:lineRule="auto"/>
        <w:jc w:val="both"/>
        <w:rPr>
          <w:rFonts w:ascii="Arial" w:hAnsi="Arial" w:cs="Arial"/>
          <w:sz w:val="24"/>
        </w:rPr>
      </w:pPr>
    </w:p>
    <w:p w14:paraId="2EF963A3" w14:textId="37C31441" w:rsidR="00940C46" w:rsidRPr="00DB7156" w:rsidRDefault="0088552F" w:rsidP="00DB7156">
      <w:pPr>
        <w:autoSpaceDN w:val="0"/>
        <w:spacing w:after="0" w:line="240" w:lineRule="auto"/>
        <w:jc w:val="both"/>
        <w:rPr>
          <w:rFonts w:ascii="Arial" w:hAnsi="Arial" w:cs="Arial"/>
          <w:color w:val="1F497D"/>
          <w:sz w:val="24"/>
        </w:rPr>
      </w:pPr>
      <w:r>
        <w:rPr>
          <w:rFonts w:ascii="Arial" w:hAnsi="Arial" w:cs="Arial"/>
          <w:sz w:val="24"/>
        </w:rPr>
        <w:t>I</w:t>
      </w:r>
      <w:r w:rsidR="00D768F8" w:rsidRPr="00DB7156">
        <w:rPr>
          <w:rFonts w:ascii="Arial" w:hAnsi="Arial" w:cs="Arial"/>
          <w:sz w:val="24"/>
        </w:rPr>
        <w:t>n September</w:t>
      </w:r>
      <w:r>
        <w:rPr>
          <w:rFonts w:ascii="Arial" w:hAnsi="Arial" w:cs="Arial"/>
          <w:sz w:val="24"/>
        </w:rPr>
        <w:t xml:space="preserve"> </w:t>
      </w:r>
      <w:r w:rsidR="00D768F8" w:rsidRPr="00DB7156">
        <w:rPr>
          <w:rFonts w:ascii="Arial" w:hAnsi="Arial" w:cs="Arial"/>
          <w:sz w:val="24"/>
        </w:rPr>
        <w:t>2016, EPA finalized the CSAPR Update Rule. The final rule impose</w:t>
      </w:r>
      <w:r w:rsidR="00D06F1F" w:rsidRPr="00DB7156">
        <w:rPr>
          <w:rFonts w:ascii="Arial" w:hAnsi="Arial" w:cs="Arial"/>
          <w:sz w:val="24"/>
        </w:rPr>
        <w:t>d</w:t>
      </w:r>
      <w:r w:rsidR="00D768F8" w:rsidRPr="00DB7156">
        <w:rPr>
          <w:rFonts w:ascii="Arial" w:hAnsi="Arial" w:cs="Arial"/>
          <w:sz w:val="24"/>
        </w:rPr>
        <w:t xml:space="preserve"> FIPs </w:t>
      </w:r>
      <w:r w:rsidR="00AC5972" w:rsidRPr="00DB7156">
        <w:rPr>
          <w:rFonts w:ascii="Arial" w:hAnsi="Arial" w:cs="Arial"/>
          <w:sz w:val="24"/>
        </w:rPr>
        <w:t>and significant reductions in ozone season NO</w:t>
      </w:r>
      <w:r w:rsidR="00AC5972" w:rsidRPr="00AE66E8">
        <w:rPr>
          <w:rFonts w:ascii="Arial" w:hAnsi="Arial" w:cs="Arial"/>
          <w:sz w:val="24"/>
          <w:vertAlign w:val="subscript"/>
        </w:rPr>
        <w:t>x</w:t>
      </w:r>
      <w:r w:rsidR="00AC5972" w:rsidRPr="00DB7156">
        <w:rPr>
          <w:rFonts w:ascii="Arial" w:hAnsi="Arial" w:cs="Arial"/>
          <w:sz w:val="24"/>
        </w:rPr>
        <w:t xml:space="preserve"> emissions allowances </w:t>
      </w:r>
      <w:r w:rsidR="00D768F8" w:rsidRPr="00DB7156">
        <w:rPr>
          <w:rFonts w:ascii="Arial" w:hAnsi="Arial" w:cs="Arial"/>
          <w:sz w:val="24"/>
        </w:rPr>
        <w:t>for 22 states</w:t>
      </w:r>
      <w:r w:rsidR="00F05981" w:rsidRPr="00DB7156">
        <w:rPr>
          <w:rFonts w:ascii="Arial" w:hAnsi="Arial" w:cs="Arial"/>
          <w:sz w:val="24"/>
        </w:rPr>
        <w:t>,</w:t>
      </w:r>
      <w:r w:rsidR="00D768F8" w:rsidRPr="00DB7156">
        <w:rPr>
          <w:rFonts w:ascii="Arial" w:hAnsi="Arial" w:cs="Arial"/>
          <w:sz w:val="24"/>
        </w:rPr>
        <w:t xml:space="preserve"> including Alabama. </w:t>
      </w:r>
      <w:r w:rsidR="00564D51">
        <w:rPr>
          <w:rFonts w:ascii="Arial" w:hAnsi="Arial" w:cs="Arial"/>
          <w:sz w:val="24"/>
        </w:rPr>
        <w:t>EPA determined that emissions from Georgia did not significantly contribute to downwind ozone nonattainment or maintenance problems</w:t>
      </w:r>
      <w:r w:rsidR="002B7C0A">
        <w:rPr>
          <w:rFonts w:ascii="Arial" w:hAnsi="Arial" w:cs="Arial"/>
          <w:sz w:val="24"/>
        </w:rPr>
        <w:t xml:space="preserve"> related to the 2008 ozone NAAQS</w:t>
      </w:r>
      <w:r w:rsidR="00564D51">
        <w:rPr>
          <w:rFonts w:ascii="Arial" w:hAnsi="Arial" w:cs="Arial"/>
          <w:sz w:val="24"/>
        </w:rPr>
        <w:t xml:space="preserve"> and therefore Georgia </w:t>
      </w:r>
      <w:r w:rsidR="00EB1C8E">
        <w:rPr>
          <w:rFonts w:ascii="Arial" w:hAnsi="Arial" w:cs="Arial"/>
          <w:sz w:val="24"/>
        </w:rPr>
        <w:t>was not impacted by</w:t>
      </w:r>
      <w:r w:rsidR="00564D51">
        <w:rPr>
          <w:rFonts w:ascii="Arial" w:hAnsi="Arial" w:cs="Arial"/>
          <w:sz w:val="24"/>
        </w:rPr>
        <w:t xml:space="preserve"> the Update Rule. </w:t>
      </w:r>
      <w:r w:rsidR="00D768F8" w:rsidRPr="00DB7156">
        <w:rPr>
          <w:rFonts w:ascii="Arial" w:hAnsi="Arial" w:cs="Arial"/>
          <w:sz w:val="24"/>
        </w:rPr>
        <w:t>The final rule update</w:t>
      </w:r>
      <w:r w:rsidR="00DD744C" w:rsidRPr="00DB7156">
        <w:rPr>
          <w:rFonts w:ascii="Arial" w:hAnsi="Arial" w:cs="Arial"/>
          <w:sz w:val="24"/>
        </w:rPr>
        <w:t>d</w:t>
      </w:r>
      <w:r w:rsidR="00D768F8" w:rsidRPr="00DB7156">
        <w:rPr>
          <w:rFonts w:ascii="Arial" w:hAnsi="Arial" w:cs="Arial"/>
          <w:sz w:val="24"/>
        </w:rPr>
        <w:t xml:space="preserve"> the CSAPR NO</w:t>
      </w:r>
      <w:r w:rsidR="006348E6" w:rsidRPr="00AE66E8">
        <w:rPr>
          <w:rFonts w:ascii="Arial" w:hAnsi="Arial" w:cs="Arial"/>
          <w:sz w:val="24"/>
          <w:vertAlign w:val="subscript"/>
        </w:rPr>
        <w:t>x</w:t>
      </w:r>
      <w:r w:rsidR="00D768F8" w:rsidRPr="00DB7156">
        <w:rPr>
          <w:rFonts w:ascii="Arial" w:hAnsi="Arial" w:cs="Arial"/>
          <w:sz w:val="24"/>
        </w:rPr>
        <w:t xml:space="preserve"> ozone-season emissions budgets for EGUs in affected states beginning in May 2017. </w:t>
      </w:r>
      <w:r>
        <w:rPr>
          <w:rFonts w:ascii="Arial" w:hAnsi="Arial" w:cs="Arial"/>
          <w:sz w:val="24"/>
        </w:rPr>
        <w:t>T</w:t>
      </w:r>
      <w:r w:rsidR="00F858F0" w:rsidRPr="00DB7156">
        <w:rPr>
          <w:rFonts w:ascii="Arial" w:hAnsi="Arial" w:cs="Arial"/>
          <w:sz w:val="24"/>
        </w:rPr>
        <w:t xml:space="preserve">he CSAPR Update Rule prevents power plants in Georgia from trading allowances with sources in other states. While several states, industry groups, and environmental groups have challenged the CSAPR Update Rule and/or filed requests with EPA to reconsider the rule, the new program remains in effect.  </w:t>
      </w:r>
      <w:r w:rsidR="00DD744C" w:rsidRPr="00DB7156">
        <w:rPr>
          <w:rFonts w:ascii="Arial" w:hAnsi="Arial" w:cs="Arial"/>
          <w:sz w:val="24"/>
        </w:rPr>
        <w:t>Figure 2.5-1 shows the states that are covered by CSAPR and the CSAPR Update</w:t>
      </w:r>
      <w:r w:rsidR="00D04CBA" w:rsidRPr="00DB7156">
        <w:rPr>
          <w:rFonts w:ascii="Arial" w:hAnsi="Arial" w:cs="Arial"/>
          <w:sz w:val="24"/>
        </w:rPr>
        <w:t xml:space="preserve"> Rule</w:t>
      </w:r>
      <w:r w:rsidR="00DD744C" w:rsidRPr="00DB7156">
        <w:rPr>
          <w:rFonts w:ascii="Arial" w:hAnsi="Arial" w:cs="Arial"/>
          <w:sz w:val="24"/>
        </w:rPr>
        <w:t>.</w:t>
      </w:r>
    </w:p>
    <w:p w14:paraId="6EA4AEDB" w14:textId="61870BEE" w:rsidR="003C2DF8" w:rsidRPr="00DB7156" w:rsidRDefault="003C2DF8" w:rsidP="00DB7156">
      <w:pPr>
        <w:pStyle w:val="Style1"/>
        <w:keepNext w:val="0"/>
        <w:tabs>
          <w:tab w:val="num" w:pos="720"/>
        </w:tabs>
        <w:autoSpaceDE/>
        <w:autoSpaceDN/>
        <w:adjustRightInd/>
        <w:jc w:val="both"/>
        <w:rPr>
          <w:rFonts w:ascii="Arial" w:hAnsi="Arial" w:cs="Arial"/>
          <w:b w:val="0"/>
          <w:bCs w:val="0"/>
          <w:color w:val="auto"/>
          <w:szCs w:val="22"/>
        </w:rPr>
      </w:pPr>
    </w:p>
    <w:p w14:paraId="22BA4F44" w14:textId="5CA60E2B" w:rsidR="00FC67F9" w:rsidRPr="00DB7156" w:rsidRDefault="00D768F8"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noProof/>
        </w:rPr>
        <w:drawing>
          <wp:inline distT="0" distB="0" distL="0" distR="0" wp14:anchorId="20C88130" wp14:editId="21170AB3">
            <wp:extent cx="5942933" cy="4038600"/>
            <wp:effectExtent l="0" t="0" r="1270" b="0"/>
            <wp:docPr id="15" name="Picture 15" descr="Map showing states affected by the CSAPR 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p showing states affected by the CSAPR Update"/>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5943600" cy="4039053"/>
                    </a:xfrm>
                    <a:prstGeom prst="rect">
                      <a:avLst/>
                    </a:prstGeom>
                    <a:noFill/>
                    <a:ln>
                      <a:noFill/>
                    </a:ln>
                    <a:extLst>
                      <a:ext uri="{53640926-AAD7-44D8-BBD7-CCE9431645EC}">
                        <a14:shadowObscured xmlns:a14="http://schemas.microsoft.com/office/drawing/2010/main"/>
                      </a:ext>
                    </a:extLst>
                  </pic:spPr>
                </pic:pic>
              </a:graphicData>
            </a:graphic>
          </wp:inline>
        </w:drawing>
      </w:r>
    </w:p>
    <w:p w14:paraId="22BA4F45" w14:textId="089C531E" w:rsidR="00FC67F9" w:rsidRPr="002A5004" w:rsidRDefault="00FC67F9" w:rsidP="00DB7156">
      <w:pPr>
        <w:tabs>
          <w:tab w:val="left" w:pos="720"/>
          <w:tab w:val="left" w:pos="1428"/>
          <w:tab w:val="left" w:pos="4716"/>
          <w:tab w:val="left" w:pos="4896"/>
          <w:tab w:val="left" w:pos="6718"/>
        </w:tabs>
        <w:suppressAutoHyphens/>
        <w:spacing w:after="0" w:line="240" w:lineRule="auto"/>
        <w:jc w:val="both"/>
        <w:rPr>
          <w:rFonts w:ascii="Arial" w:hAnsi="Arial" w:cs="Arial"/>
          <w:b/>
          <w:sz w:val="24"/>
          <w:szCs w:val="20"/>
        </w:rPr>
      </w:pPr>
      <w:r w:rsidRPr="002A5004">
        <w:rPr>
          <w:rFonts w:ascii="Arial" w:hAnsi="Arial" w:cs="Arial"/>
          <w:b/>
          <w:sz w:val="24"/>
          <w:szCs w:val="20"/>
        </w:rPr>
        <w:t xml:space="preserve">Figure 2.5-1 States Covered by the </w:t>
      </w:r>
      <w:r w:rsidR="00BD709B" w:rsidRPr="002A5004">
        <w:rPr>
          <w:rFonts w:ascii="Arial" w:hAnsi="Arial" w:cs="Arial"/>
          <w:b/>
          <w:sz w:val="24"/>
          <w:szCs w:val="20"/>
        </w:rPr>
        <w:t>CSAPR and the CSAPR Update Rule</w:t>
      </w:r>
    </w:p>
    <w:p w14:paraId="22BA4F46" w14:textId="77777777" w:rsidR="00F30E62" w:rsidRPr="00DB7156" w:rsidRDefault="00F30E62" w:rsidP="00DB7156">
      <w:pPr>
        <w:autoSpaceDE w:val="0"/>
        <w:autoSpaceDN w:val="0"/>
        <w:adjustRightInd w:val="0"/>
        <w:spacing w:after="0" w:line="240" w:lineRule="auto"/>
        <w:jc w:val="both"/>
        <w:outlineLvl w:val="1"/>
        <w:rPr>
          <w:rFonts w:ascii="Arial" w:hAnsi="Arial" w:cs="Arial"/>
          <w:b/>
          <w:bCs/>
          <w:color w:val="000080"/>
          <w:sz w:val="24"/>
          <w:szCs w:val="24"/>
        </w:rPr>
      </w:pPr>
    </w:p>
    <w:p w14:paraId="751A7D89" w14:textId="77777777" w:rsidR="002A5004" w:rsidRDefault="002A5004" w:rsidP="00DB7156">
      <w:pPr>
        <w:autoSpaceDE w:val="0"/>
        <w:autoSpaceDN w:val="0"/>
        <w:adjustRightInd w:val="0"/>
        <w:spacing w:after="0" w:line="240" w:lineRule="auto"/>
        <w:jc w:val="both"/>
        <w:outlineLvl w:val="1"/>
        <w:rPr>
          <w:rFonts w:ascii="Arial" w:hAnsi="Arial" w:cs="Arial"/>
          <w:b/>
          <w:bCs/>
          <w:color w:val="000080"/>
          <w:sz w:val="24"/>
          <w:szCs w:val="24"/>
        </w:rPr>
      </w:pPr>
      <w:bookmarkStart w:id="60" w:name="_Toc496107745"/>
      <w:bookmarkStart w:id="61" w:name="_Toc527987333"/>
      <w:bookmarkStart w:id="62" w:name="_Toc527983880"/>
      <w:bookmarkStart w:id="63" w:name="_Toc530487263"/>
    </w:p>
    <w:p w14:paraId="22BA4F47" w14:textId="0412F976"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64" w:name="_Toc535908131"/>
      <w:r w:rsidRPr="00DB7156">
        <w:rPr>
          <w:rFonts w:ascii="Arial" w:hAnsi="Arial" w:cs="Arial"/>
          <w:b/>
          <w:bCs/>
          <w:color w:val="000080"/>
          <w:sz w:val="24"/>
          <w:szCs w:val="24"/>
        </w:rPr>
        <w:t>2.6</w:t>
      </w:r>
      <w:r w:rsidRPr="00DB7156">
        <w:rPr>
          <w:rFonts w:ascii="Arial" w:hAnsi="Arial" w:cs="Arial"/>
          <w:b/>
          <w:bCs/>
          <w:color w:val="000080"/>
          <w:sz w:val="24"/>
          <w:szCs w:val="24"/>
        </w:rPr>
        <w:tab/>
      </w:r>
      <w:r w:rsidR="00657780" w:rsidRPr="00DB7156">
        <w:rPr>
          <w:rFonts w:ascii="Arial" w:hAnsi="Arial" w:cs="Arial"/>
          <w:b/>
          <w:bCs/>
          <w:color w:val="000080"/>
          <w:sz w:val="24"/>
          <w:szCs w:val="24"/>
        </w:rPr>
        <w:t>Mercury and Air Toxics Standar</w:t>
      </w:r>
      <w:r w:rsidR="002A0CD0" w:rsidRPr="00DB7156">
        <w:rPr>
          <w:rFonts w:ascii="Arial" w:hAnsi="Arial" w:cs="Arial"/>
          <w:b/>
          <w:bCs/>
          <w:color w:val="000080"/>
          <w:sz w:val="24"/>
          <w:szCs w:val="24"/>
        </w:rPr>
        <w:t>d</w:t>
      </w:r>
      <w:r w:rsidR="00657780" w:rsidRPr="00DB7156">
        <w:rPr>
          <w:rFonts w:ascii="Arial" w:hAnsi="Arial" w:cs="Arial"/>
          <w:b/>
          <w:bCs/>
          <w:color w:val="000080"/>
          <w:sz w:val="24"/>
          <w:szCs w:val="24"/>
        </w:rPr>
        <w:t>s</w:t>
      </w:r>
      <w:r w:rsidR="003E290B" w:rsidRPr="00DB7156">
        <w:rPr>
          <w:rFonts w:ascii="Arial" w:hAnsi="Arial" w:cs="Arial"/>
          <w:b/>
          <w:bCs/>
          <w:color w:val="000080"/>
          <w:sz w:val="24"/>
          <w:szCs w:val="24"/>
        </w:rPr>
        <w:t xml:space="preserve"> and New</w:t>
      </w:r>
      <w:r w:rsidR="001F2597">
        <w:rPr>
          <w:rFonts w:ascii="Arial" w:hAnsi="Arial" w:cs="Arial"/>
          <w:b/>
          <w:bCs/>
          <w:color w:val="000080"/>
          <w:sz w:val="24"/>
          <w:szCs w:val="24"/>
        </w:rPr>
        <w:t xml:space="preserve"> Source Performance Standards </w:t>
      </w:r>
      <w:r w:rsidR="003E290B" w:rsidRPr="00DB7156">
        <w:rPr>
          <w:rFonts w:ascii="Arial" w:hAnsi="Arial" w:cs="Arial"/>
          <w:b/>
          <w:bCs/>
          <w:color w:val="000080"/>
          <w:sz w:val="24"/>
          <w:szCs w:val="24"/>
        </w:rPr>
        <w:t>for Coal-Fired EGUs</w:t>
      </w:r>
      <w:bookmarkEnd w:id="60"/>
      <w:bookmarkEnd w:id="61"/>
      <w:bookmarkEnd w:id="62"/>
      <w:bookmarkEnd w:id="63"/>
      <w:bookmarkEnd w:id="64"/>
    </w:p>
    <w:p w14:paraId="22BA4F48" w14:textId="77777777" w:rsidR="00FC67F9" w:rsidRPr="00DB7156" w:rsidRDefault="00FC67F9" w:rsidP="00DB7156">
      <w:pPr>
        <w:autoSpaceDE w:val="0"/>
        <w:autoSpaceDN w:val="0"/>
        <w:adjustRightInd w:val="0"/>
        <w:spacing w:after="0" w:line="240" w:lineRule="auto"/>
        <w:jc w:val="both"/>
        <w:rPr>
          <w:rFonts w:ascii="Arial" w:hAnsi="Arial" w:cs="Arial"/>
          <w:color w:val="231F20"/>
          <w:sz w:val="20"/>
          <w:szCs w:val="20"/>
        </w:rPr>
      </w:pPr>
    </w:p>
    <w:p w14:paraId="22BA4F49" w14:textId="3E7C8331" w:rsidR="004865FF" w:rsidRPr="00DB7156" w:rsidRDefault="00B7348D" w:rsidP="00DB7156">
      <w:pPr>
        <w:tabs>
          <w:tab w:val="left" w:pos="360"/>
        </w:tabs>
        <w:spacing w:after="0" w:line="240" w:lineRule="auto"/>
        <w:ind w:right="240"/>
        <w:jc w:val="both"/>
        <w:rPr>
          <w:rFonts w:ascii="Arial" w:hAnsi="Arial" w:cs="Arial"/>
          <w:sz w:val="24"/>
          <w:szCs w:val="24"/>
        </w:rPr>
      </w:pPr>
      <w:r>
        <w:rPr>
          <w:rFonts w:ascii="Arial" w:hAnsi="Arial" w:cs="Arial"/>
          <w:bCs/>
          <w:sz w:val="24"/>
          <w:szCs w:val="24"/>
        </w:rPr>
        <w:t>EPA issued the MATS R</w:t>
      </w:r>
      <w:r w:rsidR="0088552F" w:rsidRPr="00DB7156">
        <w:rPr>
          <w:rFonts w:ascii="Arial" w:hAnsi="Arial" w:cs="Arial"/>
          <w:bCs/>
          <w:sz w:val="24"/>
          <w:szCs w:val="24"/>
        </w:rPr>
        <w:t>ule under Section 112 of the CAA</w:t>
      </w:r>
      <w:r w:rsidR="0088552F">
        <w:rPr>
          <w:rFonts w:ascii="Arial" w:hAnsi="Arial" w:cs="Arial"/>
          <w:bCs/>
          <w:sz w:val="24"/>
          <w:szCs w:val="24"/>
        </w:rPr>
        <w:t>.</w:t>
      </w:r>
      <w:r w:rsidR="0088552F" w:rsidRPr="00DB7156">
        <w:rPr>
          <w:rFonts w:ascii="Arial" w:hAnsi="Arial" w:cs="Arial"/>
          <w:sz w:val="24"/>
          <w:szCs w:val="24"/>
        </w:rPr>
        <w:t xml:space="preserve"> </w:t>
      </w:r>
      <w:r w:rsidR="00F05981" w:rsidRPr="00DB7156">
        <w:rPr>
          <w:rFonts w:ascii="Arial" w:hAnsi="Arial" w:cs="Arial"/>
          <w:sz w:val="24"/>
          <w:szCs w:val="24"/>
        </w:rPr>
        <w:t xml:space="preserve">The MATS </w:t>
      </w:r>
      <w:r>
        <w:rPr>
          <w:rFonts w:ascii="Arial" w:hAnsi="Arial" w:cs="Arial"/>
          <w:sz w:val="24"/>
          <w:szCs w:val="24"/>
        </w:rPr>
        <w:t>R</w:t>
      </w:r>
      <w:r w:rsidR="00F05981" w:rsidRPr="00DB7156">
        <w:rPr>
          <w:rFonts w:ascii="Arial" w:hAnsi="Arial" w:cs="Arial"/>
          <w:sz w:val="24"/>
          <w:szCs w:val="24"/>
        </w:rPr>
        <w:t xml:space="preserve">ule, which was finalized in April 2012, </w:t>
      </w:r>
      <w:r w:rsidR="0088552F" w:rsidRPr="00DB7156">
        <w:rPr>
          <w:rFonts w:ascii="Arial" w:hAnsi="Arial" w:cs="Arial"/>
          <w:bCs/>
          <w:sz w:val="24"/>
          <w:szCs w:val="24"/>
        </w:rPr>
        <w:t>is a technology-based</w:t>
      </w:r>
      <w:r w:rsidR="0088552F">
        <w:rPr>
          <w:rFonts w:ascii="Arial" w:hAnsi="Arial" w:cs="Arial"/>
          <w:bCs/>
          <w:sz w:val="24"/>
          <w:szCs w:val="24"/>
        </w:rPr>
        <w:t xml:space="preserve"> command-and-control rule that</w:t>
      </w:r>
      <w:r w:rsidR="0088552F" w:rsidRPr="00DB7156">
        <w:rPr>
          <w:rFonts w:ascii="Arial" w:hAnsi="Arial" w:cs="Arial"/>
          <w:sz w:val="24"/>
          <w:szCs w:val="24"/>
        </w:rPr>
        <w:t xml:space="preserve"> </w:t>
      </w:r>
      <w:r w:rsidR="00F05981" w:rsidRPr="00DB7156">
        <w:rPr>
          <w:rFonts w:ascii="Arial" w:hAnsi="Arial" w:cs="Arial"/>
          <w:sz w:val="24"/>
          <w:szCs w:val="24"/>
        </w:rPr>
        <w:t>regulates</w:t>
      </w:r>
      <w:r w:rsidR="004865FF" w:rsidRPr="00DB7156">
        <w:rPr>
          <w:rFonts w:ascii="Arial" w:hAnsi="Arial" w:cs="Arial"/>
          <w:sz w:val="24"/>
          <w:szCs w:val="24"/>
        </w:rPr>
        <w:t xml:space="preserve"> mercury, acid gases and certain metal emissions from coal- and oil-fired utility boilers. </w:t>
      </w:r>
      <w:r w:rsidR="00F05981" w:rsidRPr="00DB7156">
        <w:rPr>
          <w:rFonts w:ascii="Arial" w:hAnsi="Arial" w:cs="Arial"/>
          <w:sz w:val="24"/>
          <w:szCs w:val="24"/>
        </w:rPr>
        <w:t>MATS</w:t>
      </w:r>
      <w:r w:rsidR="004865FF" w:rsidRPr="00DB7156">
        <w:rPr>
          <w:rFonts w:ascii="Arial" w:hAnsi="Arial" w:cs="Arial"/>
          <w:sz w:val="24"/>
          <w:szCs w:val="24"/>
        </w:rPr>
        <w:t xml:space="preserve"> establishes stringent emission limits based on </w:t>
      </w:r>
      <w:r w:rsidR="00F05981" w:rsidRPr="00DB7156">
        <w:rPr>
          <w:rFonts w:ascii="Arial" w:hAnsi="Arial" w:cs="Arial"/>
          <w:sz w:val="24"/>
          <w:szCs w:val="24"/>
        </w:rPr>
        <w:t>MACT</w:t>
      </w:r>
      <w:r w:rsidR="006E444E" w:rsidRPr="00DB7156">
        <w:rPr>
          <w:rFonts w:ascii="Arial" w:hAnsi="Arial" w:cs="Arial"/>
          <w:sz w:val="24"/>
          <w:szCs w:val="24"/>
        </w:rPr>
        <w:t xml:space="preserve"> </w:t>
      </w:r>
      <w:r w:rsidR="004865FF" w:rsidRPr="00DB7156">
        <w:rPr>
          <w:rFonts w:ascii="Arial" w:hAnsi="Arial" w:cs="Arial"/>
          <w:sz w:val="24"/>
          <w:szCs w:val="24"/>
        </w:rPr>
        <w:t xml:space="preserve">for </w:t>
      </w:r>
      <w:r w:rsidR="00FF6184" w:rsidRPr="00DB7156">
        <w:rPr>
          <w:rFonts w:ascii="Arial" w:hAnsi="Arial" w:cs="Arial"/>
          <w:sz w:val="24"/>
          <w:szCs w:val="24"/>
        </w:rPr>
        <w:t>hazardous air pollutants</w:t>
      </w:r>
      <w:r w:rsidR="004865FF" w:rsidRPr="00DB7156">
        <w:rPr>
          <w:rFonts w:ascii="Arial" w:hAnsi="Arial" w:cs="Arial"/>
          <w:sz w:val="24"/>
          <w:szCs w:val="24"/>
        </w:rPr>
        <w:t>. While the rule contains limited emissions averaging provisions, in general</w:t>
      </w:r>
      <w:r w:rsidR="001E0D8C" w:rsidRPr="00DB7156">
        <w:rPr>
          <w:rFonts w:ascii="Arial" w:hAnsi="Arial" w:cs="Arial"/>
          <w:sz w:val="24"/>
          <w:szCs w:val="24"/>
        </w:rPr>
        <w:t>,</w:t>
      </w:r>
      <w:r w:rsidR="004865FF" w:rsidRPr="00DB7156">
        <w:rPr>
          <w:rFonts w:ascii="Arial" w:hAnsi="Arial" w:cs="Arial"/>
          <w:sz w:val="24"/>
          <w:szCs w:val="24"/>
        </w:rPr>
        <w:t xml:space="preserve"> the limits must be met on a unit-by-unit basis</w:t>
      </w:r>
      <w:r w:rsidR="00125195" w:rsidRPr="00DB7156">
        <w:rPr>
          <w:rFonts w:ascii="Arial" w:hAnsi="Arial" w:cs="Arial"/>
          <w:sz w:val="24"/>
          <w:szCs w:val="24"/>
        </w:rPr>
        <w:t>.</w:t>
      </w:r>
    </w:p>
    <w:p w14:paraId="22BA4F4E" w14:textId="77777777" w:rsidR="00042BB9" w:rsidRPr="00DB7156" w:rsidRDefault="00042BB9" w:rsidP="00DB7156">
      <w:pPr>
        <w:spacing w:after="0" w:line="240" w:lineRule="auto"/>
        <w:jc w:val="both"/>
        <w:rPr>
          <w:rFonts w:ascii="Arial" w:hAnsi="Arial" w:cs="Arial"/>
          <w:bCs/>
          <w:sz w:val="24"/>
          <w:szCs w:val="24"/>
        </w:rPr>
      </w:pPr>
    </w:p>
    <w:p w14:paraId="22BA4F4F" w14:textId="095FAAA6" w:rsidR="004D21A3" w:rsidRPr="00DB7156" w:rsidRDefault="00555788" w:rsidP="00DB7156">
      <w:pPr>
        <w:spacing w:after="0" w:line="240" w:lineRule="auto"/>
        <w:jc w:val="both"/>
        <w:rPr>
          <w:rFonts w:ascii="Arial" w:hAnsi="Arial" w:cs="Arial"/>
          <w:sz w:val="24"/>
        </w:rPr>
      </w:pPr>
      <w:r w:rsidRPr="00DB7156">
        <w:rPr>
          <w:rFonts w:ascii="Arial" w:hAnsi="Arial" w:cs="Arial"/>
          <w:sz w:val="24"/>
        </w:rPr>
        <w:t xml:space="preserve">EPA signed the proposed </w:t>
      </w:r>
      <w:r w:rsidR="005374D8" w:rsidRPr="00DB7156">
        <w:rPr>
          <w:rFonts w:ascii="Arial" w:hAnsi="Arial" w:cs="Arial"/>
          <w:sz w:val="24"/>
        </w:rPr>
        <w:t xml:space="preserve">MATS </w:t>
      </w:r>
      <w:r w:rsidR="00B7348D">
        <w:rPr>
          <w:rFonts w:ascii="Arial" w:hAnsi="Arial" w:cs="Arial"/>
          <w:sz w:val="24"/>
        </w:rPr>
        <w:t>R</w:t>
      </w:r>
      <w:r w:rsidR="005374D8" w:rsidRPr="00DB7156">
        <w:rPr>
          <w:rFonts w:ascii="Arial" w:hAnsi="Arial" w:cs="Arial"/>
          <w:sz w:val="24"/>
        </w:rPr>
        <w:t>ule</w:t>
      </w:r>
      <w:r w:rsidR="00E707B8">
        <w:rPr>
          <w:rFonts w:ascii="Arial" w:hAnsi="Arial" w:cs="Arial"/>
          <w:sz w:val="24"/>
        </w:rPr>
        <w:t xml:space="preserve"> in March 2011</w:t>
      </w:r>
      <w:r w:rsidRPr="00DB7156">
        <w:rPr>
          <w:rFonts w:ascii="Arial" w:hAnsi="Arial" w:cs="Arial"/>
          <w:sz w:val="24"/>
        </w:rPr>
        <w:t>.</w:t>
      </w:r>
      <w:r w:rsidR="00C53C9F" w:rsidRPr="00DB7156">
        <w:rPr>
          <w:rFonts w:ascii="Arial" w:hAnsi="Arial" w:cs="Arial"/>
          <w:sz w:val="24"/>
        </w:rPr>
        <w:t xml:space="preserve"> </w:t>
      </w:r>
      <w:r w:rsidRPr="00DB7156">
        <w:rPr>
          <w:rFonts w:ascii="Arial" w:hAnsi="Arial" w:cs="Arial"/>
          <w:sz w:val="24"/>
        </w:rPr>
        <w:t xml:space="preserve">The proposed rule </w:t>
      </w:r>
      <w:r w:rsidR="00F36A74" w:rsidRPr="00DB7156">
        <w:rPr>
          <w:rFonts w:ascii="Arial" w:hAnsi="Arial" w:cs="Arial"/>
          <w:sz w:val="24"/>
        </w:rPr>
        <w:t>covered both</w:t>
      </w:r>
      <w:r w:rsidRPr="00DB7156">
        <w:rPr>
          <w:rFonts w:ascii="Arial" w:hAnsi="Arial" w:cs="Arial"/>
          <w:sz w:val="24"/>
        </w:rPr>
        <w:t xml:space="preserve"> new and existing coal- and oil-fired electric utility steam generating units and require</w:t>
      </w:r>
      <w:r w:rsidR="005374D8" w:rsidRPr="00DB7156">
        <w:rPr>
          <w:rFonts w:ascii="Arial" w:hAnsi="Arial" w:cs="Arial"/>
          <w:sz w:val="24"/>
        </w:rPr>
        <w:t>d</w:t>
      </w:r>
      <w:r w:rsidRPr="00DB7156">
        <w:rPr>
          <w:rFonts w:ascii="Arial" w:hAnsi="Arial" w:cs="Arial"/>
          <w:sz w:val="24"/>
        </w:rPr>
        <w:t xml:space="preserve"> each unit to meet stringent emission limits for mercury, </w:t>
      </w:r>
      <w:r w:rsidR="00564D51">
        <w:rPr>
          <w:rFonts w:ascii="Arial" w:hAnsi="Arial" w:cs="Arial"/>
          <w:sz w:val="24"/>
        </w:rPr>
        <w:t>PM</w:t>
      </w:r>
      <w:r w:rsidR="00FF6184" w:rsidRPr="00DB7156">
        <w:rPr>
          <w:rFonts w:ascii="Arial" w:hAnsi="Arial" w:cs="Arial"/>
          <w:sz w:val="24"/>
        </w:rPr>
        <w:t xml:space="preserve"> (as a surrogate for certain metals)</w:t>
      </w:r>
      <w:r w:rsidRPr="00DB7156">
        <w:rPr>
          <w:rFonts w:ascii="Arial" w:hAnsi="Arial" w:cs="Arial"/>
          <w:sz w:val="24"/>
        </w:rPr>
        <w:t>, and acid gases.</w:t>
      </w:r>
      <w:r w:rsidR="00303A5E" w:rsidRPr="00DB7156">
        <w:rPr>
          <w:rFonts w:ascii="Arial" w:hAnsi="Arial" w:cs="Arial"/>
          <w:sz w:val="24"/>
        </w:rPr>
        <w:t xml:space="preserve"> </w:t>
      </w:r>
      <w:r w:rsidR="00BB18CB" w:rsidRPr="00DB7156">
        <w:rPr>
          <w:rFonts w:ascii="Arial" w:hAnsi="Arial" w:cs="Arial"/>
          <w:sz w:val="24"/>
        </w:rPr>
        <w:t>While all three categories of limits were very stringent, t</w:t>
      </w:r>
      <w:r w:rsidR="00303A5E" w:rsidRPr="00DB7156">
        <w:rPr>
          <w:rFonts w:ascii="Arial" w:hAnsi="Arial" w:cs="Arial"/>
          <w:sz w:val="24"/>
        </w:rPr>
        <w:t>he particulate matter limit, in particular, included especially onerous compliance requirements. The proposed rule required units to</w:t>
      </w:r>
      <w:r w:rsidR="00F02FFC" w:rsidRPr="00DB7156">
        <w:rPr>
          <w:rFonts w:ascii="Arial" w:hAnsi="Arial" w:cs="Arial"/>
          <w:sz w:val="24"/>
        </w:rPr>
        <w:t xml:space="preserve"> </w:t>
      </w:r>
      <w:r w:rsidR="000D4863" w:rsidRPr="00DB7156">
        <w:rPr>
          <w:rFonts w:ascii="Arial" w:hAnsi="Arial" w:cs="Arial"/>
          <w:sz w:val="24"/>
        </w:rPr>
        <w:t>not only</w:t>
      </w:r>
      <w:r w:rsidR="00F02FFC" w:rsidRPr="00DB7156">
        <w:rPr>
          <w:rFonts w:ascii="Arial" w:hAnsi="Arial" w:cs="Arial"/>
          <w:sz w:val="24"/>
        </w:rPr>
        <w:t xml:space="preserve"> comply with a standard numerical total particulate limit</w:t>
      </w:r>
      <w:r w:rsidR="00EB418E" w:rsidRPr="00DB7156">
        <w:rPr>
          <w:rFonts w:ascii="Arial" w:hAnsi="Arial" w:cs="Arial"/>
          <w:sz w:val="24"/>
        </w:rPr>
        <w:t xml:space="preserve"> (filterable + condensable)</w:t>
      </w:r>
      <w:r w:rsidR="000D4863" w:rsidRPr="00DB7156">
        <w:rPr>
          <w:rFonts w:ascii="Arial" w:hAnsi="Arial" w:cs="Arial"/>
          <w:sz w:val="24"/>
        </w:rPr>
        <w:t>, but also required units to comply with</w:t>
      </w:r>
      <w:r w:rsidR="00303A5E" w:rsidRPr="00DB7156">
        <w:rPr>
          <w:rFonts w:ascii="Arial" w:hAnsi="Arial" w:cs="Arial"/>
          <w:sz w:val="24"/>
        </w:rPr>
        <w:t xml:space="preserve"> unit-specific limits on</w:t>
      </w:r>
      <w:r w:rsidR="00F02FFC" w:rsidRPr="00DB7156">
        <w:rPr>
          <w:rFonts w:ascii="Arial" w:hAnsi="Arial" w:cs="Arial"/>
          <w:sz w:val="24"/>
        </w:rPr>
        <w:t xml:space="preserve"> filterable </w:t>
      </w:r>
      <w:r w:rsidR="00564D51">
        <w:rPr>
          <w:rFonts w:ascii="Arial" w:hAnsi="Arial" w:cs="Arial"/>
          <w:sz w:val="24"/>
        </w:rPr>
        <w:t>PM</w:t>
      </w:r>
      <w:r w:rsidR="000D4863" w:rsidRPr="00DB7156">
        <w:rPr>
          <w:rFonts w:ascii="Arial" w:hAnsi="Arial" w:cs="Arial"/>
          <w:sz w:val="24"/>
        </w:rPr>
        <w:t xml:space="preserve">. These proposed requirements essentially </w:t>
      </w:r>
      <w:r w:rsidR="00303A5E" w:rsidRPr="00DB7156">
        <w:rPr>
          <w:rFonts w:ascii="Arial" w:hAnsi="Arial" w:cs="Arial"/>
          <w:sz w:val="24"/>
        </w:rPr>
        <w:t>remov</w:t>
      </w:r>
      <w:r w:rsidR="000D4863" w:rsidRPr="00DB7156">
        <w:rPr>
          <w:rFonts w:ascii="Arial" w:hAnsi="Arial" w:cs="Arial"/>
          <w:sz w:val="24"/>
        </w:rPr>
        <w:t>ed</w:t>
      </w:r>
      <w:r w:rsidR="00303A5E" w:rsidRPr="00DB7156">
        <w:rPr>
          <w:rFonts w:ascii="Arial" w:hAnsi="Arial" w:cs="Arial"/>
          <w:sz w:val="24"/>
        </w:rPr>
        <w:t xml:space="preserve"> all compliance margin </w:t>
      </w:r>
      <w:r w:rsidR="00BB18CB" w:rsidRPr="00DB7156">
        <w:rPr>
          <w:rFonts w:ascii="Arial" w:hAnsi="Arial" w:cs="Arial"/>
          <w:sz w:val="24"/>
        </w:rPr>
        <w:t xml:space="preserve">built into existing controls </w:t>
      </w:r>
      <w:r w:rsidR="00303A5E" w:rsidRPr="00DB7156">
        <w:rPr>
          <w:rFonts w:ascii="Arial" w:hAnsi="Arial" w:cs="Arial"/>
          <w:sz w:val="24"/>
        </w:rPr>
        <w:t xml:space="preserve">without accounting for </w:t>
      </w:r>
      <w:r w:rsidR="000D4863" w:rsidRPr="00DB7156">
        <w:rPr>
          <w:rFonts w:ascii="Arial" w:hAnsi="Arial" w:cs="Arial"/>
          <w:sz w:val="24"/>
        </w:rPr>
        <w:t xml:space="preserve">the </w:t>
      </w:r>
      <w:r w:rsidR="00303A5E" w:rsidRPr="00DB7156">
        <w:rPr>
          <w:rFonts w:ascii="Arial" w:hAnsi="Arial" w:cs="Arial"/>
          <w:sz w:val="24"/>
        </w:rPr>
        <w:t xml:space="preserve">natural variation in operation of a generating unit. </w:t>
      </w:r>
    </w:p>
    <w:p w14:paraId="22BA4F50" w14:textId="36226092" w:rsidR="009E421B" w:rsidRPr="00DB7156" w:rsidRDefault="00555788" w:rsidP="00DB7156">
      <w:pPr>
        <w:spacing w:before="240" w:line="240" w:lineRule="auto"/>
        <w:jc w:val="both"/>
        <w:rPr>
          <w:rFonts w:ascii="Arial" w:hAnsi="Arial" w:cs="Arial"/>
          <w:sz w:val="24"/>
        </w:rPr>
      </w:pPr>
      <w:r w:rsidRPr="00DB7156">
        <w:rPr>
          <w:rFonts w:ascii="Arial" w:hAnsi="Arial" w:cs="Arial"/>
          <w:sz w:val="24"/>
        </w:rPr>
        <w:t>Numerous</w:t>
      </w:r>
      <w:r w:rsidR="00F86063" w:rsidRPr="00DB7156">
        <w:rPr>
          <w:rFonts w:ascii="Arial" w:hAnsi="Arial" w:cs="Arial"/>
          <w:sz w:val="24"/>
        </w:rPr>
        <w:t xml:space="preserve">, </w:t>
      </w:r>
      <w:r w:rsidRPr="00DB7156">
        <w:rPr>
          <w:rFonts w:ascii="Arial" w:hAnsi="Arial" w:cs="Arial"/>
          <w:sz w:val="24"/>
        </w:rPr>
        <w:t xml:space="preserve">significant concerns were raised over the stringency of the proposed emission limits and the ability to install the necessary control technologies by the compliance deadlines. </w:t>
      </w:r>
      <w:r w:rsidR="00AF2AC7" w:rsidRPr="00DB7156">
        <w:rPr>
          <w:rFonts w:ascii="Arial" w:hAnsi="Arial" w:cs="Arial"/>
          <w:sz w:val="24"/>
        </w:rPr>
        <w:t>Many i</w:t>
      </w:r>
      <w:r w:rsidRPr="00DB7156">
        <w:rPr>
          <w:rFonts w:ascii="Arial" w:hAnsi="Arial" w:cs="Arial"/>
          <w:sz w:val="24"/>
        </w:rPr>
        <w:t>ndustry, reliability organizations, and states filed comments on the rule suggesting that the results of this regulation could have a substantial impact on the reliability and affordability of electricity in the United States.</w:t>
      </w:r>
      <w:r w:rsidR="00C53C9F" w:rsidRPr="00DB7156">
        <w:rPr>
          <w:rFonts w:ascii="Arial" w:hAnsi="Arial" w:cs="Arial"/>
          <w:sz w:val="24"/>
        </w:rPr>
        <w:t xml:space="preserve"> </w:t>
      </w:r>
      <w:r w:rsidRPr="00DB7156">
        <w:rPr>
          <w:rFonts w:ascii="Arial" w:hAnsi="Arial" w:cs="Arial"/>
          <w:sz w:val="24"/>
        </w:rPr>
        <w:t>In total, more than 150 industry comments were submitted on the proposed rule, and more than 27 states and 1 territory sought major changes or withdrawal of the rule.</w:t>
      </w:r>
      <w:r w:rsidR="009E421B" w:rsidRPr="00DB7156">
        <w:rPr>
          <w:rFonts w:ascii="Arial" w:hAnsi="Arial" w:cs="Arial"/>
          <w:sz w:val="24"/>
        </w:rPr>
        <w:t xml:space="preserve">  </w:t>
      </w:r>
    </w:p>
    <w:p w14:paraId="424E124E" w14:textId="412B5AA3" w:rsidR="00560030" w:rsidRPr="00DB7156" w:rsidRDefault="00E707B8" w:rsidP="00DB7156">
      <w:pPr>
        <w:spacing w:after="0" w:line="240" w:lineRule="auto"/>
        <w:jc w:val="both"/>
        <w:rPr>
          <w:rFonts w:ascii="Arial" w:hAnsi="Arial" w:cs="Arial"/>
          <w:sz w:val="24"/>
        </w:rPr>
      </w:pPr>
      <w:r>
        <w:rPr>
          <w:rFonts w:ascii="Arial" w:hAnsi="Arial" w:cs="Arial"/>
          <w:sz w:val="24"/>
        </w:rPr>
        <w:t>I</w:t>
      </w:r>
      <w:r w:rsidR="00555788" w:rsidRPr="00DB7156">
        <w:rPr>
          <w:rFonts w:ascii="Arial" w:hAnsi="Arial" w:cs="Arial"/>
          <w:sz w:val="24"/>
        </w:rPr>
        <w:t xml:space="preserve">n December 2011, EPA </w:t>
      </w:r>
      <w:r w:rsidR="00885474" w:rsidRPr="00DB7156">
        <w:rPr>
          <w:rFonts w:ascii="Arial" w:hAnsi="Arial" w:cs="Arial"/>
          <w:sz w:val="24"/>
        </w:rPr>
        <w:t>signed</w:t>
      </w:r>
      <w:r w:rsidR="00555788" w:rsidRPr="00DB7156">
        <w:rPr>
          <w:rFonts w:ascii="Arial" w:hAnsi="Arial" w:cs="Arial"/>
          <w:sz w:val="24"/>
        </w:rPr>
        <w:t xml:space="preserve"> the final MATS</w:t>
      </w:r>
      <w:r w:rsidR="00B7348D">
        <w:rPr>
          <w:rFonts w:ascii="Arial" w:hAnsi="Arial" w:cs="Arial"/>
          <w:sz w:val="24"/>
        </w:rPr>
        <w:t xml:space="preserve"> R</w:t>
      </w:r>
      <w:r w:rsidR="00B477E5" w:rsidRPr="00DB7156">
        <w:rPr>
          <w:rFonts w:ascii="Arial" w:hAnsi="Arial" w:cs="Arial"/>
          <w:sz w:val="24"/>
        </w:rPr>
        <w:t>ule</w:t>
      </w:r>
      <w:r w:rsidR="00555788" w:rsidRPr="00DB7156">
        <w:rPr>
          <w:rFonts w:ascii="Arial" w:hAnsi="Arial" w:cs="Arial"/>
          <w:sz w:val="24"/>
        </w:rPr>
        <w:t xml:space="preserve">. The rule was published in the Federal Register on </w:t>
      </w:r>
      <w:r w:rsidR="00321D60" w:rsidRPr="00DB7156">
        <w:rPr>
          <w:rFonts w:ascii="Arial" w:hAnsi="Arial" w:cs="Arial"/>
          <w:sz w:val="24"/>
        </w:rPr>
        <w:t>February 16, 2012 and</w:t>
      </w:r>
      <w:r w:rsidR="00555788" w:rsidRPr="00DB7156">
        <w:rPr>
          <w:rFonts w:ascii="Arial" w:hAnsi="Arial" w:cs="Arial"/>
          <w:sz w:val="24"/>
        </w:rPr>
        <w:t xml:space="preserve"> became effective on April 16, 2012. </w:t>
      </w:r>
      <w:r w:rsidR="00AF2AC7" w:rsidRPr="00DB7156">
        <w:rPr>
          <w:rFonts w:ascii="Arial" w:hAnsi="Arial" w:cs="Arial"/>
          <w:sz w:val="24"/>
        </w:rPr>
        <w:t xml:space="preserve">The </w:t>
      </w:r>
      <w:r w:rsidR="00F05981" w:rsidRPr="00DB7156">
        <w:rPr>
          <w:rFonts w:ascii="Arial" w:hAnsi="Arial" w:cs="Arial"/>
          <w:sz w:val="24"/>
        </w:rPr>
        <w:t>CAA</w:t>
      </w:r>
      <w:r w:rsidR="00AF2AC7" w:rsidRPr="00DB7156">
        <w:rPr>
          <w:rFonts w:ascii="Arial" w:hAnsi="Arial" w:cs="Arial"/>
          <w:sz w:val="24"/>
        </w:rPr>
        <w:t xml:space="preserve"> specifies that MACT compliance for existing sources begins </w:t>
      </w:r>
      <w:r w:rsidR="00C53C9F" w:rsidRPr="00DB7156">
        <w:rPr>
          <w:rFonts w:ascii="Arial" w:hAnsi="Arial" w:cs="Arial"/>
          <w:sz w:val="24"/>
        </w:rPr>
        <w:t xml:space="preserve">within </w:t>
      </w:r>
      <w:r w:rsidR="00F05981" w:rsidRPr="00DB7156">
        <w:rPr>
          <w:rFonts w:ascii="Arial" w:hAnsi="Arial" w:cs="Arial"/>
          <w:sz w:val="24"/>
        </w:rPr>
        <w:t xml:space="preserve">three </w:t>
      </w:r>
      <w:r w:rsidR="00AF2AC7" w:rsidRPr="00DB7156">
        <w:rPr>
          <w:rFonts w:ascii="Arial" w:hAnsi="Arial" w:cs="Arial"/>
          <w:sz w:val="24"/>
        </w:rPr>
        <w:t xml:space="preserve">years after the effective date of the final rule with </w:t>
      </w:r>
      <w:r w:rsidR="00F05981" w:rsidRPr="00DB7156">
        <w:rPr>
          <w:rFonts w:ascii="Arial" w:hAnsi="Arial" w:cs="Arial"/>
          <w:sz w:val="24"/>
        </w:rPr>
        <w:t>specific requirements</w:t>
      </w:r>
      <w:r w:rsidR="00AF2AC7" w:rsidRPr="00DB7156">
        <w:rPr>
          <w:rFonts w:ascii="Arial" w:hAnsi="Arial" w:cs="Arial"/>
          <w:sz w:val="24"/>
        </w:rPr>
        <w:t xml:space="preserve"> for compliance extensions.  </w:t>
      </w:r>
      <w:r w:rsidR="003469EF" w:rsidRPr="00DB7156">
        <w:rPr>
          <w:rFonts w:ascii="Arial" w:hAnsi="Arial" w:cs="Arial"/>
          <w:sz w:val="24"/>
        </w:rPr>
        <w:t xml:space="preserve">Despite numerous requests </w:t>
      </w:r>
      <w:r w:rsidR="00F05981" w:rsidRPr="00DB7156">
        <w:rPr>
          <w:rFonts w:ascii="Arial" w:hAnsi="Arial" w:cs="Arial"/>
          <w:sz w:val="24"/>
        </w:rPr>
        <w:t xml:space="preserve">by industry </w:t>
      </w:r>
      <w:r w:rsidR="003469EF" w:rsidRPr="00DB7156">
        <w:rPr>
          <w:rFonts w:ascii="Arial" w:hAnsi="Arial" w:cs="Arial"/>
          <w:sz w:val="24"/>
        </w:rPr>
        <w:t>for additional compliance time</w:t>
      </w:r>
      <w:r w:rsidR="00F05981" w:rsidRPr="00DB7156">
        <w:rPr>
          <w:rFonts w:ascii="Arial" w:hAnsi="Arial" w:cs="Arial"/>
          <w:sz w:val="24"/>
        </w:rPr>
        <w:t xml:space="preserve"> due to the complex nature of the compliance requirements</w:t>
      </w:r>
      <w:r w:rsidR="003469EF" w:rsidRPr="00DB7156">
        <w:rPr>
          <w:rFonts w:ascii="Arial" w:hAnsi="Arial" w:cs="Arial"/>
          <w:sz w:val="24"/>
        </w:rPr>
        <w:t>, EPA finalized the rule with a</w:t>
      </w:r>
      <w:r w:rsidR="00F05981" w:rsidRPr="00DB7156">
        <w:rPr>
          <w:rFonts w:ascii="Arial" w:hAnsi="Arial" w:cs="Arial"/>
          <w:sz w:val="24"/>
        </w:rPr>
        <w:t xml:space="preserve"> </w:t>
      </w:r>
      <w:r w:rsidR="0067730E" w:rsidRPr="00DB7156">
        <w:rPr>
          <w:rFonts w:ascii="Arial" w:hAnsi="Arial" w:cs="Arial"/>
          <w:sz w:val="24"/>
        </w:rPr>
        <w:t>three-year</w:t>
      </w:r>
      <w:r w:rsidR="003469EF" w:rsidRPr="00DB7156">
        <w:rPr>
          <w:rFonts w:ascii="Arial" w:hAnsi="Arial" w:cs="Arial"/>
          <w:sz w:val="24"/>
        </w:rPr>
        <w:t xml:space="preserve"> c</w:t>
      </w:r>
      <w:r w:rsidR="00555788" w:rsidRPr="00DB7156">
        <w:rPr>
          <w:rFonts w:ascii="Arial" w:hAnsi="Arial" w:cs="Arial"/>
          <w:sz w:val="24"/>
        </w:rPr>
        <w:t xml:space="preserve">ompliance </w:t>
      </w:r>
      <w:r w:rsidR="003469EF" w:rsidRPr="00DB7156">
        <w:rPr>
          <w:rFonts w:ascii="Arial" w:hAnsi="Arial" w:cs="Arial"/>
          <w:sz w:val="24"/>
        </w:rPr>
        <w:t xml:space="preserve">deadline for existing sources of </w:t>
      </w:r>
      <w:r w:rsidR="00555788" w:rsidRPr="00DB7156">
        <w:rPr>
          <w:rFonts w:ascii="Arial" w:hAnsi="Arial" w:cs="Arial"/>
          <w:sz w:val="24"/>
        </w:rPr>
        <w:t>April 16, 2015</w:t>
      </w:r>
      <w:r w:rsidR="009E0DC4" w:rsidRPr="00DB7156">
        <w:rPr>
          <w:rFonts w:ascii="Arial" w:hAnsi="Arial" w:cs="Arial"/>
          <w:sz w:val="24"/>
        </w:rPr>
        <w:t xml:space="preserve">. </w:t>
      </w:r>
      <w:r w:rsidR="00303A5E" w:rsidRPr="00DB7156">
        <w:rPr>
          <w:rFonts w:ascii="Arial" w:hAnsi="Arial" w:cs="Arial"/>
          <w:sz w:val="24"/>
        </w:rPr>
        <w:t xml:space="preserve">In a change from the proposed rule, however, EPA stated in the final rule </w:t>
      </w:r>
      <w:r w:rsidR="004304A1" w:rsidRPr="00DB7156">
        <w:rPr>
          <w:rFonts w:ascii="Arial" w:hAnsi="Arial" w:cs="Arial"/>
          <w:sz w:val="24"/>
        </w:rPr>
        <w:t xml:space="preserve">supporting </w:t>
      </w:r>
      <w:r w:rsidR="00303A5E" w:rsidRPr="00DB7156">
        <w:rPr>
          <w:rFonts w:ascii="Arial" w:hAnsi="Arial" w:cs="Arial"/>
          <w:sz w:val="24"/>
        </w:rPr>
        <w:t xml:space="preserve">documents that the </w:t>
      </w:r>
      <w:r w:rsidR="00555788" w:rsidRPr="00DB7156">
        <w:rPr>
          <w:rFonts w:ascii="Arial" w:hAnsi="Arial" w:cs="Arial"/>
          <w:sz w:val="24"/>
        </w:rPr>
        <w:t>one-year case-by-case extension from the state permitting authority</w:t>
      </w:r>
      <w:r w:rsidR="00303A5E" w:rsidRPr="00DB7156">
        <w:rPr>
          <w:rFonts w:ascii="Arial" w:hAnsi="Arial" w:cs="Arial"/>
          <w:sz w:val="24"/>
        </w:rPr>
        <w:t xml:space="preserve"> should be “broadly available” for units installing controls as well as for units that are in the process of being replaced or retired but that are necessary for maintaining system reliability</w:t>
      </w:r>
      <w:r w:rsidR="00F36A74" w:rsidRPr="00DB7156">
        <w:rPr>
          <w:rFonts w:ascii="Arial" w:hAnsi="Arial" w:cs="Arial"/>
          <w:sz w:val="24"/>
        </w:rPr>
        <w:t xml:space="preserve">. </w:t>
      </w:r>
      <w:r w:rsidR="00A83C2D" w:rsidRPr="00DB7156">
        <w:rPr>
          <w:rFonts w:ascii="Arial" w:hAnsi="Arial" w:cs="Arial"/>
          <w:sz w:val="24"/>
        </w:rPr>
        <w:t>Approximately 142 GW of coal-fired capacity nationwide, including all G</w:t>
      </w:r>
      <w:r w:rsidR="0088573B">
        <w:rPr>
          <w:rFonts w:ascii="Arial" w:hAnsi="Arial" w:cs="Arial"/>
          <w:sz w:val="24"/>
        </w:rPr>
        <w:t xml:space="preserve">eorgia Power </w:t>
      </w:r>
      <w:r w:rsidR="00A83C2D" w:rsidRPr="00DB7156">
        <w:rPr>
          <w:rFonts w:ascii="Arial" w:hAnsi="Arial" w:cs="Arial"/>
          <w:sz w:val="24"/>
        </w:rPr>
        <w:t xml:space="preserve">units subject to MATS, applied for and were granted one-year compliance extensions. </w:t>
      </w:r>
    </w:p>
    <w:p w14:paraId="0C5B4149" w14:textId="77777777" w:rsidR="00560030" w:rsidRPr="00DB7156" w:rsidRDefault="00560030" w:rsidP="00DB7156">
      <w:pPr>
        <w:spacing w:after="0" w:line="240" w:lineRule="auto"/>
        <w:jc w:val="both"/>
        <w:rPr>
          <w:rFonts w:ascii="Arial" w:hAnsi="Arial" w:cs="Arial"/>
          <w:sz w:val="24"/>
        </w:rPr>
      </w:pPr>
    </w:p>
    <w:p w14:paraId="22BA4F51" w14:textId="0495B635" w:rsidR="00931475" w:rsidRPr="00DB7156" w:rsidRDefault="00564E3C" w:rsidP="00DB7156">
      <w:pPr>
        <w:spacing w:after="0" w:line="240" w:lineRule="auto"/>
        <w:jc w:val="both"/>
        <w:rPr>
          <w:rFonts w:ascii="Arial" w:hAnsi="Arial" w:cs="Arial"/>
          <w:sz w:val="24"/>
        </w:rPr>
      </w:pPr>
      <w:r w:rsidRPr="00DB7156">
        <w:rPr>
          <w:rFonts w:ascii="Arial" w:hAnsi="Arial" w:cs="Arial"/>
          <w:sz w:val="24"/>
        </w:rPr>
        <w:t>While many provisions, such as the mercury and acid gas limits</w:t>
      </w:r>
      <w:r w:rsidR="002113DD" w:rsidRPr="00DB7156">
        <w:rPr>
          <w:rFonts w:ascii="Arial" w:hAnsi="Arial" w:cs="Arial"/>
          <w:sz w:val="24"/>
        </w:rPr>
        <w:t>,</w:t>
      </w:r>
      <w:r w:rsidRPr="00DB7156">
        <w:rPr>
          <w:rFonts w:ascii="Arial" w:hAnsi="Arial" w:cs="Arial"/>
          <w:sz w:val="24"/>
        </w:rPr>
        <w:t xml:space="preserve"> were </w:t>
      </w:r>
      <w:r w:rsidR="00555788" w:rsidRPr="00DB7156">
        <w:rPr>
          <w:rFonts w:ascii="Arial" w:hAnsi="Arial" w:cs="Arial"/>
          <w:sz w:val="24"/>
        </w:rPr>
        <w:t xml:space="preserve">largely unchanged from the proposed rule, EPA did </w:t>
      </w:r>
      <w:r w:rsidR="0096513C" w:rsidRPr="00DB7156">
        <w:rPr>
          <w:rFonts w:ascii="Arial" w:hAnsi="Arial" w:cs="Arial"/>
          <w:sz w:val="24"/>
        </w:rPr>
        <w:t>make key change</w:t>
      </w:r>
      <w:r w:rsidR="00111378" w:rsidRPr="00DB7156">
        <w:rPr>
          <w:rFonts w:ascii="Arial" w:hAnsi="Arial" w:cs="Arial"/>
          <w:sz w:val="24"/>
        </w:rPr>
        <w:t>s</w:t>
      </w:r>
      <w:r w:rsidR="00F02FFC" w:rsidRPr="00DB7156">
        <w:rPr>
          <w:rFonts w:ascii="Arial" w:hAnsi="Arial" w:cs="Arial"/>
          <w:sz w:val="24"/>
        </w:rPr>
        <w:t xml:space="preserve"> in the </w:t>
      </w:r>
      <w:r w:rsidR="00564D51">
        <w:rPr>
          <w:rFonts w:ascii="Arial" w:hAnsi="Arial" w:cs="Arial"/>
          <w:sz w:val="24"/>
        </w:rPr>
        <w:t xml:space="preserve">PM </w:t>
      </w:r>
      <w:r w:rsidR="00F02FFC" w:rsidRPr="00DB7156">
        <w:rPr>
          <w:rFonts w:ascii="Arial" w:hAnsi="Arial" w:cs="Arial"/>
          <w:sz w:val="24"/>
        </w:rPr>
        <w:t>requirements</w:t>
      </w:r>
      <w:r w:rsidR="001A61A1" w:rsidRPr="00DB7156">
        <w:rPr>
          <w:rFonts w:ascii="Arial" w:hAnsi="Arial" w:cs="Arial"/>
          <w:sz w:val="24"/>
        </w:rPr>
        <w:t xml:space="preserve"> that ultimately led to changes in the compliance strategy</w:t>
      </w:r>
      <w:r w:rsidR="0096513C" w:rsidRPr="00DB7156">
        <w:rPr>
          <w:rFonts w:ascii="Arial" w:hAnsi="Arial" w:cs="Arial"/>
          <w:sz w:val="24"/>
        </w:rPr>
        <w:t xml:space="preserve"> for Georgia Power</w:t>
      </w:r>
      <w:r w:rsidR="00555788" w:rsidRPr="00DB7156">
        <w:rPr>
          <w:rFonts w:ascii="Arial" w:hAnsi="Arial" w:cs="Arial"/>
          <w:sz w:val="24"/>
        </w:rPr>
        <w:t>.</w:t>
      </w:r>
      <w:r w:rsidR="00F02FFC" w:rsidRPr="00DB7156">
        <w:rPr>
          <w:rFonts w:ascii="Arial" w:hAnsi="Arial" w:cs="Arial"/>
          <w:sz w:val="24"/>
        </w:rPr>
        <w:t xml:space="preserve">  In the final rule, EPA </w:t>
      </w:r>
      <w:r w:rsidR="000D4863" w:rsidRPr="00DB7156">
        <w:rPr>
          <w:rFonts w:ascii="Arial" w:hAnsi="Arial" w:cs="Arial"/>
          <w:sz w:val="24"/>
        </w:rPr>
        <w:t xml:space="preserve">changed the </w:t>
      </w:r>
      <w:r w:rsidR="00F02FFC" w:rsidRPr="00DB7156">
        <w:rPr>
          <w:rFonts w:ascii="Arial" w:hAnsi="Arial" w:cs="Arial"/>
          <w:sz w:val="24"/>
        </w:rPr>
        <w:t xml:space="preserve">form of the </w:t>
      </w:r>
      <w:r w:rsidR="00564D51">
        <w:rPr>
          <w:rFonts w:ascii="Arial" w:hAnsi="Arial" w:cs="Arial"/>
          <w:sz w:val="24"/>
        </w:rPr>
        <w:t xml:space="preserve">PM </w:t>
      </w:r>
      <w:r w:rsidR="00F02FFC" w:rsidRPr="00DB7156">
        <w:rPr>
          <w:rFonts w:ascii="Arial" w:hAnsi="Arial" w:cs="Arial"/>
          <w:sz w:val="24"/>
        </w:rPr>
        <w:t>limit</w:t>
      </w:r>
      <w:r w:rsidR="000D4863" w:rsidRPr="00DB7156">
        <w:rPr>
          <w:rFonts w:ascii="Arial" w:hAnsi="Arial" w:cs="Arial"/>
          <w:sz w:val="24"/>
        </w:rPr>
        <w:t xml:space="preserve"> from the more uncertain total </w:t>
      </w:r>
      <w:r w:rsidR="00564D51">
        <w:rPr>
          <w:rFonts w:ascii="Arial" w:hAnsi="Arial" w:cs="Arial"/>
          <w:sz w:val="24"/>
        </w:rPr>
        <w:t xml:space="preserve">PM </w:t>
      </w:r>
      <w:r w:rsidR="000D4863" w:rsidRPr="00DB7156">
        <w:rPr>
          <w:rFonts w:ascii="Arial" w:hAnsi="Arial" w:cs="Arial"/>
          <w:sz w:val="24"/>
        </w:rPr>
        <w:t xml:space="preserve">to the more commonly and reliably measured filterable </w:t>
      </w:r>
      <w:r w:rsidR="00564D51">
        <w:rPr>
          <w:rFonts w:ascii="Arial" w:hAnsi="Arial" w:cs="Arial"/>
          <w:sz w:val="24"/>
        </w:rPr>
        <w:t>PM</w:t>
      </w:r>
      <w:r w:rsidR="00F02FFC" w:rsidRPr="00DB7156">
        <w:rPr>
          <w:rFonts w:ascii="Arial" w:hAnsi="Arial" w:cs="Arial"/>
          <w:sz w:val="24"/>
        </w:rPr>
        <w:t xml:space="preserve"> and </w:t>
      </w:r>
      <w:r w:rsidR="002C527D" w:rsidRPr="00DB7156">
        <w:rPr>
          <w:rFonts w:ascii="Arial" w:hAnsi="Arial" w:cs="Arial"/>
          <w:sz w:val="24"/>
        </w:rPr>
        <w:t>eliminated</w:t>
      </w:r>
      <w:r w:rsidR="00F02FFC" w:rsidRPr="00DB7156">
        <w:rPr>
          <w:rFonts w:ascii="Arial" w:hAnsi="Arial" w:cs="Arial"/>
          <w:sz w:val="24"/>
        </w:rPr>
        <w:t xml:space="preserve"> the </w:t>
      </w:r>
      <w:r w:rsidR="002C527D" w:rsidRPr="00DB7156">
        <w:rPr>
          <w:rFonts w:ascii="Arial" w:hAnsi="Arial" w:cs="Arial"/>
          <w:sz w:val="24"/>
        </w:rPr>
        <w:t>requirement to have</w:t>
      </w:r>
      <w:r w:rsidR="00F02FFC" w:rsidRPr="00DB7156">
        <w:rPr>
          <w:rFonts w:ascii="Arial" w:hAnsi="Arial" w:cs="Arial"/>
          <w:sz w:val="24"/>
        </w:rPr>
        <w:t xml:space="preserve"> unit-specific </w:t>
      </w:r>
      <w:r w:rsidR="00B41989" w:rsidRPr="00DB7156">
        <w:rPr>
          <w:rFonts w:ascii="Arial" w:hAnsi="Arial" w:cs="Arial"/>
          <w:sz w:val="24"/>
        </w:rPr>
        <w:t xml:space="preserve">operating </w:t>
      </w:r>
      <w:r w:rsidR="00F02FFC" w:rsidRPr="00DB7156">
        <w:rPr>
          <w:rFonts w:ascii="Arial" w:hAnsi="Arial" w:cs="Arial"/>
          <w:sz w:val="24"/>
        </w:rPr>
        <w:t xml:space="preserve">limits.  </w:t>
      </w:r>
      <w:r w:rsidR="00555788" w:rsidRPr="00DB7156">
        <w:rPr>
          <w:rFonts w:ascii="Arial" w:hAnsi="Arial" w:cs="Arial"/>
          <w:sz w:val="24"/>
        </w:rPr>
        <w:t xml:space="preserve"> </w:t>
      </w:r>
    </w:p>
    <w:p w14:paraId="22BA4F52" w14:textId="77777777" w:rsidR="001A61A1" w:rsidRPr="00DB7156" w:rsidRDefault="001A61A1" w:rsidP="00DB7156">
      <w:pPr>
        <w:spacing w:after="0" w:line="240" w:lineRule="auto"/>
        <w:jc w:val="both"/>
        <w:rPr>
          <w:rFonts w:ascii="Arial" w:hAnsi="Arial" w:cs="Arial"/>
          <w:sz w:val="24"/>
        </w:rPr>
      </w:pPr>
    </w:p>
    <w:p w14:paraId="7FD9B6E7" w14:textId="77777777" w:rsidR="00A40796" w:rsidRDefault="001A61A1" w:rsidP="00DB7156">
      <w:pPr>
        <w:spacing w:after="0" w:line="240" w:lineRule="auto"/>
        <w:jc w:val="both"/>
        <w:rPr>
          <w:rFonts w:ascii="Arial" w:hAnsi="Arial" w:cs="Arial"/>
          <w:sz w:val="24"/>
        </w:rPr>
      </w:pPr>
      <w:r w:rsidRPr="00DB7156">
        <w:rPr>
          <w:rFonts w:ascii="Arial" w:hAnsi="Arial" w:cs="Arial"/>
          <w:sz w:val="24"/>
        </w:rPr>
        <w:t>On April 16, 2012, Southern Company</w:t>
      </w:r>
      <w:r w:rsidR="00E13977" w:rsidRPr="00DB7156">
        <w:rPr>
          <w:rFonts w:ascii="Arial" w:hAnsi="Arial" w:cs="Arial"/>
          <w:sz w:val="24"/>
        </w:rPr>
        <w:t>,</w:t>
      </w:r>
      <w:r w:rsidRPr="00DB7156">
        <w:rPr>
          <w:rFonts w:ascii="Arial" w:hAnsi="Arial" w:cs="Arial"/>
          <w:sz w:val="24"/>
        </w:rPr>
        <w:t xml:space="preserve"> as well as </w:t>
      </w:r>
      <w:r w:rsidR="00B7348D">
        <w:rPr>
          <w:rFonts w:ascii="Arial" w:hAnsi="Arial" w:cs="Arial"/>
          <w:sz w:val="24"/>
        </w:rPr>
        <w:t>Utility Air Regulatory Group (</w:t>
      </w:r>
      <w:r w:rsidR="00564D51">
        <w:rPr>
          <w:rFonts w:ascii="Arial" w:hAnsi="Arial" w:cs="Arial"/>
          <w:sz w:val="24"/>
        </w:rPr>
        <w:t>“</w:t>
      </w:r>
      <w:r w:rsidRPr="00DB7156">
        <w:rPr>
          <w:rFonts w:ascii="Arial" w:hAnsi="Arial" w:cs="Arial"/>
          <w:sz w:val="24"/>
        </w:rPr>
        <w:t>UARG</w:t>
      </w:r>
      <w:r w:rsidR="00564D51">
        <w:rPr>
          <w:rFonts w:ascii="Arial" w:hAnsi="Arial" w:cs="Arial"/>
          <w:sz w:val="24"/>
        </w:rPr>
        <w:t>”</w:t>
      </w:r>
      <w:r w:rsidR="00B7348D">
        <w:rPr>
          <w:rFonts w:ascii="Arial" w:hAnsi="Arial" w:cs="Arial"/>
          <w:sz w:val="24"/>
        </w:rPr>
        <w:t>)</w:t>
      </w:r>
      <w:r w:rsidR="00933A40" w:rsidRPr="00DB7156">
        <w:rPr>
          <w:rFonts w:ascii="Arial" w:hAnsi="Arial" w:cs="Arial"/>
          <w:sz w:val="24"/>
        </w:rPr>
        <w:t>,</w:t>
      </w:r>
      <w:r w:rsidRPr="00DB7156">
        <w:rPr>
          <w:rFonts w:ascii="Arial" w:hAnsi="Arial" w:cs="Arial"/>
          <w:sz w:val="24"/>
        </w:rPr>
        <w:t xml:space="preserve"> filed a petition for reconsideration of certain aspects of the final rule. </w:t>
      </w:r>
      <w:r w:rsidR="004F2384" w:rsidRPr="00DB7156">
        <w:rPr>
          <w:rFonts w:ascii="Arial" w:hAnsi="Arial" w:cs="Arial"/>
          <w:sz w:val="24"/>
        </w:rPr>
        <w:t xml:space="preserve"> </w:t>
      </w:r>
      <w:r w:rsidRPr="00DB7156">
        <w:rPr>
          <w:rFonts w:ascii="Arial" w:hAnsi="Arial" w:cs="Arial"/>
          <w:sz w:val="24"/>
        </w:rPr>
        <w:t xml:space="preserve">UARG also filed a petition for judicial review with the D.C. Circuit Court. </w:t>
      </w:r>
      <w:r w:rsidR="00400C4B" w:rsidRPr="00DB7156">
        <w:rPr>
          <w:rFonts w:ascii="Arial" w:hAnsi="Arial" w:cs="Arial"/>
          <w:sz w:val="24"/>
        </w:rPr>
        <w:t>On April 15, 2014, the D</w:t>
      </w:r>
      <w:r w:rsidR="002C1424" w:rsidRPr="00DB7156">
        <w:rPr>
          <w:rFonts w:ascii="Arial" w:hAnsi="Arial" w:cs="Arial"/>
          <w:sz w:val="24"/>
        </w:rPr>
        <w:t>.</w:t>
      </w:r>
      <w:r w:rsidR="00400C4B" w:rsidRPr="00DB7156">
        <w:rPr>
          <w:rFonts w:ascii="Arial" w:hAnsi="Arial" w:cs="Arial"/>
          <w:sz w:val="24"/>
        </w:rPr>
        <w:t>C</w:t>
      </w:r>
      <w:r w:rsidR="002C1424" w:rsidRPr="00DB7156">
        <w:rPr>
          <w:rFonts w:ascii="Arial" w:hAnsi="Arial" w:cs="Arial"/>
          <w:sz w:val="24"/>
        </w:rPr>
        <w:t>.</w:t>
      </w:r>
      <w:r w:rsidR="00400C4B" w:rsidRPr="00DB7156">
        <w:rPr>
          <w:rFonts w:ascii="Arial" w:hAnsi="Arial" w:cs="Arial"/>
          <w:sz w:val="24"/>
        </w:rPr>
        <w:t xml:space="preserve"> Circuit </w:t>
      </w:r>
      <w:r w:rsidR="003652A6">
        <w:rPr>
          <w:rFonts w:ascii="Arial" w:hAnsi="Arial" w:cs="Arial"/>
          <w:sz w:val="24"/>
        </w:rPr>
        <w:t xml:space="preserve">Court </w:t>
      </w:r>
      <w:r w:rsidR="00400C4B" w:rsidRPr="00DB7156">
        <w:rPr>
          <w:rFonts w:ascii="Arial" w:hAnsi="Arial" w:cs="Arial"/>
          <w:sz w:val="24"/>
        </w:rPr>
        <w:t>issued its opinion, denying all petit</w:t>
      </w:r>
      <w:r w:rsidR="00B7348D">
        <w:rPr>
          <w:rFonts w:ascii="Arial" w:hAnsi="Arial" w:cs="Arial"/>
          <w:sz w:val="24"/>
        </w:rPr>
        <w:t>ioners’ challenges to the MATS R</w:t>
      </w:r>
      <w:r w:rsidR="00400C4B" w:rsidRPr="00DB7156">
        <w:rPr>
          <w:rFonts w:ascii="Arial" w:hAnsi="Arial" w:cs="Arial"/>
          <w:sz w:val="24"/>
        </w:rPr>
        <w:t xml:space="preserve">ule that were before the court. </w:t>
      </w:r>
      <w:r w:rsidR="00025A95" w:rsidRPr="00DB7156">
        <w:rPr>
          <w:rFonts w:ascii="Arial" w:hAnsi="Arial" w:cs="Arial"/>
          <w:sz w:val="24"/>
        </w:rPr>
        <w:t>After several petitions were submitted by state and industry groups, on November 25, 2014</w:t>
      </w:r>
      <w:r w:rsidR="00933A40" w:rsidRPr="00DB7156">
        <w:rPr>
          <w:rFonts w:ascii="Arial" w:hAnsi="Arial" w:cs="Arial"/>
          <w:sz w:val="24"/>
        </w:rPr>
        <w:t>,</w:t>
      </w:r>
      <w:r w:rsidR="00025A95" w:rsidRPr="00DB7156">
        <w:rPr>
          <w:rFonts w:ascii="Arial" w:hAnsi="Arial" w:cs="Arial"/>
          <w:sz w:val="24"/>
        </w:rPr>
        <w:t xml:space="preserve"> the </w:t>
      </w:r>
      <w:r w:rsidR="0088573B">
        <w:rPr>
          <w:rFonts w:ascii="Arial" w:hAnsi="Arial" w:cs="Arial"/>
          <w:sz w:val="24"/>
        </w:rPr>
        <w:t xml:space="preserve">U.S. </w:t>
      </w:r>
      <w:r w:rsidR="00025A95" w:rsidRPr="00DB7156">
        <w:rPr>
          <w:rFonts w:ascii="Arial" w:hAnsi="Arial" w:cs="Arial"/>
          <w:sz w:val="24"/>
        </w:rPr>
        <w:t xml:space="preserve">Supreme Court granted writ of certiorari </w:t>
      </w:r>
      <w:r w:rsidR="000139A9" w:rsidRPr="00DB7156">
        <w:rPr>
          <w:rFonts w:ascii="Arial" w:hAnsi="Arial" w:cs="Arial"/>
          <w:sz w:val="24"/>
        </w:rPr>
        <w:t xml:space="preserve">on the </w:t>
      </w:r>
      <w:r w:rsidR="00025A95" w:rsidRPr="00DB7156">
        <w:rPr>
          <w:rFonts w:ascii="Arial" w:hAnsi="Arial" w:cs="Arial"/>
          <w:sz w:val="24"/>
        </w:rPr>
        <w:t xml:space="preserve">limited question of whether EPA unreasonably refused to consider cost in determining whether it was appropriate and necessary to regulate </w:t>
      </w:r>
      <w:r w:rsidR="00933A40" w:rsidRPr="00DB7156">
        <w:rPr>
          <w:rFonts w:ascii="Arial" w:hAnsi="Arial" w:cs="Arial"/>
          <w:sz w:val="24"/>
        </w:rPr>
        <w:t>HAPs from coal- and oil-fired electric generating units</w:t>
      </w:r>
      <w:r w:rsidR="00025A95" w:rsidRPr="00DB7156">
        <w:rPr>
          <w:rFonts w:ascii="Arial" w:hAnsi="Arial" w:cs="Arial"/>
          <w:sz w:val="24"/>
        </w:rPr>
        <w:t xml:space="preserve">. </w:t>
      </w:r>
    </w:p>
    <w:p w14:paraId="75BDB062" w14:textId="77777777" w:rsidR="00A40796" w:rsidRDefault="00A40796" w:rsidP="00DB7156">
      <w:pPr>
        <w:spacing w:after="0" w:line="240" w:lineRule="auto"/>
        <w:jc w:val="both"/>
        <w:rPr>
          <w:rFonts w:ascii="Arial" w:hAnsi="Arial" w:cs="Arial"/>
          <w:sz w:val="24"/>
        </w:rPr>
      </w:pPr>
    </w:p>
    <w:p w14:paraId="0BB56030" w14:textId="5E4AC6E9" w:rsidR="00A40796" w:rsidRDefault="00025A95" w:rsidP="00DB7156">
      <w:pPr>
        <w:spacing w:after="0" w:line="240" w:lineRule="auto"/>
        <w:jc w:val="both"/>
        <w:rPr>
          <w:rFonts w:ascii="Arial" w:hAnsi="Arial" w:cs="Arial"/>
          <w:sz w:val="24"/>
        </w:rPr>
      </w:pPr>
      <w:r w:rsidRPr="00DB7156">
        <w:rPr>
          <w:rFonts w:ascii="Arial" w:hAnsi="Arial" w:cs="Arial"/>
          <w:sz w:val="24"/>
        </w:rPr>
        <w:t xml:space="preserve">On </w:t>
      </w:r>
      <w:r w:rsidR="0067730E" w:rsidRPr="00DB7156">
        <w:rPr>
          <w:rFonts w:ascii="Arial" w:hAnsi="Arial" w:cs="Arial"/>
          <w:sz w:val="24"/>
        </w:rPr>
        <w:t>June 29, 2015,</w:t>
      </w:r>
      <w:r w:rsidRPr="00DB7156">
        <w:rPr>
          <w:rFonts w:ascii="Arial" w:hAnsi="Arial" w:cs="Arial"/>
          <w:sz w:val="24"/>
        </w:rPr>
        <w:t xml:space="preserve"> the </w:t>
      </w:r>
      <w:r w:rsidR="0088573B">
        <w:rPr>
          <w:rFonts w:ascii="Arial" w:hAnsi="Arial" w:cs="Arial"/>
          <w:sz w:val="24"/>
        </w:rPr>
        <w:t xml:space="preserve">U.S. </w:t>
      </w:r>
      <w:r w:rsidRPr="00DB7156">
        <w:rPr>
          <w:rFonts w:ascii="Arial" w:hAnsi="Arial" w:cs="Arial"/>
          <w:sz w:val="24"/>
        </w:rPr>
        <w:t>Supreme Court issued its decision</w:t>
      </w:r>
      <w:r w:rsidR="00E13977" w:rsidRPr="00DB7156">
        <w:rPr>
          <w:rFonts w:ascii="Arial" w:hAnsi="Arial" w:cs="Arial"/>
          <w:sz w:val="24"/>
        </w:rPr>
        <w:t>, finding</w:t>
      </w:r>
      <w:r w:rsidRPr="00DB7156">
        <w:rPr>
          <w:rFonts w:ascii="Arial" w:hAnsi="Arial" w:cs="Arial"/>
          <w:sz w:val="24"/>
        </w:rPr>
        <w:t xml:space="preserve"> that EPA interpreted the CAA unreasonably when it deemed cost irrelevant to the decision of whether regulation of power plants under section 112 is “appropriate and necessary</w:t>
      </w:r>
      <w:r w:rsidR="00E13977" w:rsidRPr="00DB7156">
        <w:rPr>
          <w:rFonts w:ascii="Arial" w:hAnsi="Arial" w:cs="Arial"/>
          <w:sz w:val="24"/>
        </w:rPr>
        <w:t>,</w:t>
      </w:r>
      <w:r w:rsidRPr="00DB7156">
        <w:rPr>
          <w:rFonts w:ascii="Arial" w:hAnsi="Arial" w:cs="Arial"/>
          <w:sz w:val="24"/>
        </w:rPr>
        <w:t>”</w:t>
      </w:r>
      <w:r w:rsidR="00E13977" w:rsidRPr="00DB7156">
        <w:rPr>
          <w:rFonts w:ascii="Arial" w:hAnsi="Arial" w:cs="Arial"/>
          <w:sz w:val="24"/>
        </w:rPr>
        <w:t xml:space="preserve"> and reversed and remanded the lower court’s decision</w:t>
      </w:r>
      <w:r w:rsidRPr="00DB7156">
        <w:rPr>
          <w:rFonts w:ascii="Arial" w:hAnsi="Arial" w:cs="Arial"/>
          <w:sz w:val="24"/>
        </w:rPr>
        <w:t xml:space="preserve">. While the </w:t>
      </w:r>
      <w:r w:rsidR="0088573B">
        <w:rPr>
          <w:rFonts w:ascii="Arial" w:hAnsi="Arial" w:cs="Arial"/>
          <w:sz w:val="24"/>
        </w:rPr>
        <w:t xml:space="preserve">U.S. </w:t>
      </w:r>
      <w:r w:rsidR="000139A9" w:rsidRPr="00DB7156">
        <w:rPr>
          <w:rFonts w:ascii="Arial" w:hAnsi="Arial" w:cs="Arial"/>
          <w:sz w:val="24"/>
        </w:rPr>
        <w:t xml:space="preserve">Supreme </w:t>
      </w:r>
      <w:r w:rsidRPr="00DB7156">
        <w:rPr>
          <w:rFonts w:ascii="Arial" w:hAnsi="Arial" w:cs="Arial"/>
          <w:sz w:val="24"/>
        </w:rPr>
        <w:t>Court directed that EPA must consider cost before deciding whether regulation of power plants is “appropriate and necessary,</w:t>
      </w:r>
      <w:r w:rsidR="00AE66E8">
        <w:rPr>
          <w:rFonts w:ascii="Arial" w:hAnsi="Arial" w:cs="Arial"/>
          <w:sz w:val="24"/>
        </w:rPr>
        <w:t>”</w:t>
      </w:r>
      <w:r w:rsidRPr="00DB7156">
        <w:rPr>
          <w:rFonts w:ascii="Arial" w:hAnsi="Arial" w:cs="Arial"/>
          <w:sz w:val="24"/>
        </w:rPr>
        <w:t xml:space="preserve"> the Court left it up to EPA to decide how to account for cost </w:t>
      </w:r>
      <w:r w:rsidR="000139A9" w:rsidRPr="00DB7156">
        <w:rPr>
          <w:rFonts w:ascii="Arial" w:hAnsi="Arial" w:cs="Arial"/>
          <w:sz w:val="24"/>
        </w:rPr>
        <w:t>and remanded the case to the D.C. Circuit Court for further proceedings</w:t>
      </w:r>
      <w:r w:rsidRPr="00DB7156">
        <w:rPr>
          <w:rFonts w:ascii="Arial" w:hAnsi="Arial" w:cs="Arial"/>
          <w:sz w:val="24"/>
        </w:rPr>
        <w:t xml:space="preserve">. </w:t>
      </w:r>
      <w:r w:rsidR="00AA58B7" w:rsidRPr="00DB7156">
        <w:rPr>
          <w:rFonts w:ascii="Arial" w:hAnsi="Arial" w:cs="Arial"/>
          <w:sz w:val="24"/>
        </w:rPr>
        <w:t>On December 1, 2015, EPA issued its proposed finding that</w:t>
      </w:r>
      <w:r w:rsidR="00E13977" w:rsidRPr="00DB7156">
        <w:rPr>
          <w:rFonts w:ascii="Arial" w:hAnsi="Arial" w:cs="Arial"/>
          <w:sz w:val="24"/>
        </w:rPr>
        <w:t>, after considering cost,</w:t>
      </w:r>
      <w:r w:rsidR="00AA58B7" w:rsidRPr="00DB7156">
        <w:rPr>
          <w:rFonts w:ascii="Arial" w:hAnsi="Arial" w:cs="Arial"/>
          <w:sz w:val="24"/>
        </w:rPr>
        <w:t xml:space="preserve"> it </w:t>
      </w:r>
      <w:r w:rsidR="00E13977" w:rsidRPr="00DB7156">
        <w:rPr>
          <w:rFonts w:ascii="Arial" w:hAnsi="Arial" w:cs="Arial"/>
          <w:sz w:val="24"/>
        </w:rPr>
        <w:t>remains</w:t>
      </w:r>
      <w:r w:rsidR="00AA58B7" w:rsidRPr="00DB7156">
        <w:rPr>
          <w:rFonts w:ascii="Arial" w:hAnsi="Arial" w:cs="Arial"/>
          <w:sz w:val="24"/>
        </w:rPr>
        <w:t xml:space="preserve"> appropriate and necessary to regulate </w:t>
      </w:r>
      <w:r w:rsidR="00564D51">
        <w:rPr>
          <w:rFonts w:ascii="Arial" w:hAnsi="Arial" w:cs="Arial"/>
          <w:sz w:val="24"/>
        </w:rPr>
        <w:t>HAPs</w:t>
      </w:r>
      <w:r w:rsidR="00AA58B7" w:rsidRPr="00DB7156">
        <w:rPr>
          <w:rFonts w:ascii="Arial" w:hAnsi="Arial" w:cs="Arial"/>
          <w:sz w:val="24"/>
        </w:rPr>
        <w:t xml:space="preserve"> from EGUs</w:t>
      </w:r>
      <w:r w:rsidR="00E13977" w:rsidRPr="00DB7156">
        <w:rPr>
          <w:rFonts w:ascii="Arial" w:hAnsi="Arial" w:cs="Arial"/>
          <w:sz w:val="24"/>
        </w:rPr>
        <w:t xml:space="preserve"> under Section 112</w:t>
      </w:r>
      <w:r w:rsidR="00AA58B7" w:rsidRPr="00DB7156">
        <w:rPr>
          <w:rFonts w:ascii="Arial" w:hAnsi="Arial" w:cs="Arial"/>
          <w:sz w:val="24"/>
        </w:rPr>
        <w:t xml:space="preserve">. In light of EPA’s proposal, the D.C. Circuit </w:t>
      </w:r>
      <w:r w:rsidR="003652A6">
        <w:rPr>
          <w:rFonts w:ascii="Arial" w:hAnsi="Arial" w:cs="Arial"/>
          <w:sz w:val="24"/>
        </w:rPr>
        <w:t xml:space="preserve">Court </w:t>
      </w:r>
      <w:r w:rsidR="00AA58B7" w:rsidRPr="00DB7156">
        <w:rPr>
          <w:rFonts w:ascii="Arial" w:hAnsi="Arial" w:cs="Arial"/>
          <w:sz w:val="24"/>
        </w:rPr>
        <w:t>issued an order on Decemb</w:t>
      </w:r>
      <w:r w:rsidR="00B7348D">
        <w:rPr>
          <w:rFonts w:ascii="Arial" w:hAnsi="Arial" w:cs="Arial"/>
          <w:sz w:val="24"/>
        </w:rPr>
        <w:t>er 15, 2015 remanding the MATS R</w:t>
      </w:r>
      <w:r w:rsidR="00AA58B7" w:rsidRPr="00DB7156">
        <w:rPr>
          <w:rFonts w:ascii="Arial" w:hAnsi="Arial" w:cs="Arial"/>
          <w:sz w:val="24"/>
        </w:rPr>
        <w:t>ule to EPA to finish the pending rulemaking, without vacatur of t</w:t>
      </w:r>
      <w:r w:rsidR="00B7348D">
        <w:rPr>
          <w:rFonts w:ascii="Arial" w:hAnsi="Arial" w:cs="Arial"/>
          <w:sz w:val="24"/>
        </w:rPr>
        <w:t>he rule. As a result, the MATS R</w:t>
      </w:r>
      <w:r w:rsidR="00AA58B7" w:rsidRPr="00DB7156">
        <w:rPr>
          <w:rFonts w:ascii="Arial" w:hAnsi="Arial" w:cs="Arial"/>
          <w:sz w:val="24"/>
        </w:rPr>
        <w:t>ule remain</w:t>
      </w:r>
      <w:r w:rsidR="00560030" w:rsidRPr="00DB7156">
        <w:rPr>
          <w:rFonts w:ascii="Arial" w:hAnsi="Arial" w:cs="Arial"/>
          <w:sz w:val="24"/>
        </w:rPr>
        <w:t>ed</w:t>
      </w:r>
      <w:r w:rsidR="00AA58B7" w:rsidRPr="00DB7156">
        <w:rPr>
          <w:rFonts w:ascii="Arial" w:hAnsi="Arial" w:cs="Arial"/>
          <w:sz w:val="24"/>
        </w:rPr>
        <w:t xml:space="preserve"> in effect </w:t>
      </w:r>
      <w:r w:rsidR="00D04CBA" w:rsidRPr="00DB7156">
        <w:rPr>
          <w:rFonts w:ascii="Arial" w:hAnsi="Arial" w:cs="Arial"/>
          <w:sz w:val="24"/>
        </w:rPr>
        <w:t xml:space="preserve">with </w:t>
      </w:r>
      <w:r w:rsidR="00560030" w:rsidRPr="00DB7156">
        <w:rPr>
          <w:rFonts w:ascii="Arial" w:hAnsi="Arial" w:cs="Arial"/>
          <w:sz w:val="24"/>
        </w:rPr>
        <w:t xml:space="preserve">no change to the </w:t>
      </w:r>
      <w:r w:rsidR="00AA58B7" w:rsidRPr="00DB7156">
        <w:rPr>
          <w:rFonts w:ascii="Arial" w:hAnsi="Arial" w:cs="Arial"/>
          <w:sz w:val="24"/>
        </w:rPr>
        <w:t xml:space="preserve">compliance </w:t>
      </w:r>
      <w:r w:rsidR="00560030" w:rsidRPr="00DB7156">
        <w:rPr>
          <w:rFonts w:ascii="Arial" w:hAnsi="Arial" w:cs="Arial"/>
          <w:sz w:val="24"/>
        </w:rPr>
        <w:t>date or requirements</w:t>
      </w:r>
      <w:r w:rsidR="00AA58B7" w:rsidRPr="00DB7156">
        <w:rPr>
          <w:rFonts w:ascii="Arial" w:hAnsi="Arial" w:cs="Arial"/>
          <w:sz w:val="24"/>
        </w:rPr>
        <w:t>.</w:t>
      </w:r>
      <w:r w:rsidR="00D04CBA" w:rsidRPr="00DB7156">
        <w:rPr>
          <w:rFonts w:ascii="Arial" w:hAnsi="Arial" w:cs="Arial"/>
          <w:sz w:val="24"/>
        </w:rPr>
        <w:t xml:space="preserve"> </w:t>
      </w:r>
    </w:p>
    <w:p w14:paraId="1DE91DED" w14:textId="77777777" w:rsidR="00A40796" w:rsidRDefault="00A40796" w:rsidP="00DB7156">
      <w:pPr>
        <w:spacing w:after="0" w:line="240" w:lineRule="auto"/>
        <w:jc w:val="both"/>
        <w:rPr>
          <w:rFonts w:ascii="Arial" w:hAnsi="Arial" w:cs="Arial"/>
          <w:sz w:val="24"/>
        </w:rPr>
      </w:pPr>
    </w:p>
    <w:p w14:paraId="5D4758D0" w14:textId="77777777" w:rsidR="00A40796" w:rsidRDefault="00D04CBA" w:rsidP="00DB7156">
      <w:pPr>
        <w:spacing w:after="0" w:line="240" w:lineRule="auto"/>
        <w:jc w:val="both"/>
        <w:rPr>
          <w:rFonts w:ascii="Arial" w:hAnsi="Arial" w:cs="Arial"/>
          <w:sz w:val="24"/>
        </w:rPr>
      </w:pPr>
      <w:r w:rsidRPr="00DB7156">
        <w:rPr>
          <w:rFonts w:ascii="Arial" w:hAnsi="Arial" w:cs="Arial"/>
          <w:sz w:val="24"/>
        </w:rPr>
        <w:t>In April 2016, EPA final</w:t>
      </w:r>
      <w:r w:rsidR="00C4745E" w:rsidRPr="00DB7156">
        <w:rPr>
          <w:rFonts w:ascii="Arial" w:hAnsi="Arial" w:cs="Arial"/>
          <w:sz w:val="24"/>
        </w:rPr>
        <w:t xml:space="preserve">ized the </w:t>
      </w:r>
      <w:r w:rsidRPr="00DB7156">
        <w:rPr>
          <w:rFonts w:ascii="Arial" w:hAnsi="Arial" w:cs="Arial"/>
          <w:sz w:val="24"/>
        </w:rPr>
        <w:t>“Supplemental Finding”</w:t>
      </w:r>
      <w:r w:rsidR="00C4745E" w:rsidRPr="00DB7156">
        <w:rPr>
          <w:rFonts w:ascii="Arial" w:hAnsi="Arial" w:cs="Arial"/>
          <w:sz w:val="24"/>
        </w:rPr>
        <w:t xml:space="preserve"> after consideration of cost</w:t>
      </w:r>
      <w:r w:rsidRPr="00DB7156">
        <w:rPr>
          <w:rFonts w:ascii="Arial" w:hAnsi="Arial" w:cs="Arial"/>
          <w:sz w:val="24"/>
        </w:rPr>
        <w:t xml:space="preserve">, which was challenged </w:t>
      </w:r>
      <w:r w:rsidR="00FF6AB7">
        <w:rPr>
          <w:rFonts w:ascii="Arial" w:hAnsi="Arial" w:cs="Arial"/>
          <w:sz w:val="24"/>
        </w:rPr>
        <w:t>at the D.C. Circuit Court</w:t>
      </w:r>
      <w:r w:rsidRPr="00DB7156">
        <w:rPr>
          <w:rFonts w:ascii="Arial" w:hAnsi="Arial" w:cs="Arial"/>
          <w:sz w:val="24"/>
        </w:rPr>
        <w:t xml:space="preserve"> by numerous parties, including states, trade associations, and coal and utility companies, including Southern Company and its operating companies</w:t>
      </w:r>
      <w:r w:rsidR="0067730E" w:rsidRPr="00DB7156">
        <w:rPr>
          <w:rFonts w:ascii="Arial" w:hAnsi="Arial" w:cs="Arial"/>
          <w:sz w:val="24"/>
        </w:rPr>
        <w:t>.</w:t>
      </w:r>
      <w:r w:rsidRPr="00DB7156">
        <w:rPr>
          <w:rFonts w:ascii="Arial" w:hAnsi="Arial" w:cs="Arial"/>
          <w:sz w:val="24"/>
        </w:rPr>
        <w:t xml:space="preserve"> The pending legal challenge is being held in abeyance, however, while EPA, under the new Administration, evaluates whether to maintain, modify, or reconsider </w:t>
      </w:r>
      <w:r w:rsidR="00564D51">
        <w:rPr>
          <w:rFonts w:ascii="Arial" w:hAnsi="Arial" w:cs="Arial"/>
          <w:sz w:val="24"/>
        </w:rPr>
        <w:t>the MATS Rule</w:t>
      </w:r>
      <w:r w:rsidRPr="00DB7156">
        <w:rPr>
          <w:rFonts w:ascii="Arial" w:hAnsi="Arial" w:cs="Arial"/>
          <w:sz w:val="24"/>
        </w:rPr>
        <w:t xml:space="preserve">. </w:t>
      </w:r>
    </w:p>
    <w:p w14:paraId="184676E1" w14:textId="77777777" w:rsidR="00A40796" w:rsidRDefault="00A40796" w:rsidP="00DB7156">
      <w:pPr>
        <w:spacing w:after="0" w:line="240" w:lineRule="auto"/>
        <w:jc w:val="both"/>
        <w:rPr>
          <w:rFonts w:ascii="Arial" w:hAnsi="Arial" w:cs="Arial"/>
          <w:sz w:val="24"/>
        </w:rPr>
      </w:pPr>
    </w:p>
    <w:p w14:paraId="22BA4F55" w14:textId="15271B13" w:rsidR="001A61A1" w:rsidRPr="00DB7156" w:rsidRDefault="00FF6AB7" w:rsidP="00DB7156">
      <w:pPr>
        <w:spacing w:after="0" w:line="240" w:lineRule="auto"/>
        <w:jc w:val="both"/>
        <w:rPr>
          <w:rFonts w:ascii="Arial" w:hAnsi="Arial" w:cs="Arial"/>
          <w:sz w:val="24"/>
        </w:rPr>
      </w:pPr>
      <w:r>
        <w:rPr>
          <w:rFonts w:ascii="Arial" w:hAnsi="Arial" w:cs="Arial"/>
          <w:sz w:val="24"/>
        </w:rPr>
        <w:t xml:space="preserve">On December 27, 2018, EPA </w:t>
      </w:r>
      <w:r w:rsidR="00AE3726">
        <w:rPr>
          <w:rFonts w:ascii="Arial" w:hAnsi="Arial" w:cs="Arial"/>
          <w:sz w:val="24"/>
        </w:rPr>
        <w:t xml:space="preserve">Acting </w:t>
      </w:r>
      <w:r>
        <w:rPr>
          <w:rFonts w:ascii="Arial" w:hAnsi="Arial" w:cs="Arial"/>
          <w:sz w:val="24"/>
        </w:rPr>
        <w:t xml:space="preserve">Administrator Andrew Wheeler signed a proposed </w:t>
      </w:r>
      <w:r w:rsidR="007344BB">
        <w:rPr>
          <w:rFonts w:ascii="Arial" w:hAnsi="Arial" w:cs="Arial"/>
          <w:sz w:val="24"/>
        </w:rPr>
        <w:t>rule titled, “</w:t>
      </w:r>
      <w:r w:rsidR="007344BB" w:rsidRPr="007344BB">
        <w:rPr>
          <w:rFonts w:ascii="Arial" w:hAnsi="Arial" w:cs="Arial"/>
          <w:sz w:val="24"/>
        </w:rPr>
        <w:t xml:space="preserve">National Emission Standards for Hazardous Air Pollutants: Coal- and Oil-Fired Electric Utility Steam Generating Units -- Reconsideration of Supplemental Finding and Residual Risk and Technology Review </w:t>
      </w:r>
      <w:r>
        <w:rPr>
          <w:rFonts w:ascii="Arial" w:hAnsi="Arial" w:cs="Arial"/>
          <w:sz w:val="24"/>
        </w:rPr>
        <w:t>reconsideration</w:t>
      </w:r>
      <w:r w:rsidR="007344BB">
        <w:rPr>
          <w:rFonts w:ascii="Arial" w:hAnsi="Arial" w:cs="Arial"/>
          <w:sz w:val="24"/>
        </w:rPr>
        <w:t xml:space="preserve">.” </w:t>
      </w:r>
      <w:r w:rsidR="00311161" w:rsidRPr="00311161">
        <w:rPr>
          <w:rFonts w:ascii="Arial" w:hAnsi="Arial" w:cs="Arial"/>
          <w:sz w:val="24"/>
        </w:rPr>
        <w:t xml:space="preserve">EPA </w:t>
      </w:r>
      <w:r w:rsidR="007344BB">
        <w:rPr>
          <w:rFonts w:ascii="Arial" w:hAnsi="Arial" w:cs="Arial"/>
          <w:sz w:val="24"/>
        </w:rPr>
        <w:t>is proposing</w:t>
      </w:r>
      <w:r w:rsidR="00311161" w:rsidRPr="00311161">
        <w:rPr>
          <w:rFonts w:ascii="Arial" w:hAnsi="Arial" w:cs="Arial"/>
          <w:sz w:val="24"/>
        </w:rPr>
        <w:t xml:space="preserve"> to correct what it identifies as flaws in the cost analyses conducted in the </w:t>
      </w:r>
      <w:r w:rsidR="007344BB">
        <w:rPr>
          <w:rFonts w:ascii="Arial" w:hAnsi="Arial" w:cs="Arial"/>
          <w:sz w:val="24"/>
        </w:rPr>
        <w:t xml:space="preserve">2016 </w:t>
      </w:r>
      <w:r w:rsidR="00311161" w:rsidRPr="00311161">
        <w:rPr>
          <w:rFonts w:ascii="Arial" w:hAnsi="Arial" w:cs="Arial"/>
          <w:sz w:val="24"/>
        </w:rPr>
        <w:t xml:space="preserve">Supplemental Finding (i.e., the cost/benefit analysis </w:t>
      </w:r>
      <w:r w:rsidR="00311161">
        <w:rPr>
          <w:rFonts w:ascii="Arial" w:hAnsi="Arial" w:cs="Arial"/>
          <w:sz w:val="24"/>
        </w:rPr>
        <w:t>EPA used to determine that</w:t>
      </w:r>
      <w:r w:rsidR="00311161" w:rsidRPr="00311161">
        <w:rPr>
          <w:rFonts w:ascii="Arial" w:hAnsi="Arial" w:cs="Arial"/>
          <w:sz w:val="24"/>
        </w:rPr>
        <w:t xml:space="preserve"> it is appropriate and necessary to regulate), now relying on a comparison of direct benefits of </w:t>
      </w:r>
      <w:r w:rsidR="00112CD5">
        <w:rPr>
          <w:rFonts w:ascii="Arial" w:hAnsi="Arial" w:cs="Arial"/>
          <w:sz w:val="24"/>
        </w:rPr>
        <w:t>HAP</w:t>
      </w:r>
      <w:r w:rsidR="00311161" w:rsidRPr="00311161">
        <w:rPr>
          <w:rFonts w:ascii="Arial" w:hAnsi="Arial" w:cs="Arial"/>
          <w:sz w:val="24"/>
        </w:rPr>
        <w:t xml:space="preserve"> controls to costs of compliance</w:t>
      </w:r>
      <w:r w:rsidR="00311161">
        <w:rPr>
          <w:rFonts w:ascii="Arial" w:hAnsi="Arial" w:cs="Arial"/>
          <w:sz w:val="24"/>
        </w:rPr>
        <w:t xml:space="preserve">, </w:t>
      </w:r>
      <w:r w:rsidR="00311161" w:rsidRPr="00311161">
        <w:rPr>
          <w:rFonts w:ascii="Arial" w:hAnsi="Arial" w:cs="Arial"/>
          <w:sz w:val="24"/>
        </w:rPr>
        <w:t>conclud</w:t>
      </w:r>
      <w:r w:rsidR="00D43829">
        <w:rPr>
          <w:rFonts w:ascii="Arial" w:hAnsi="Arial" w:cs="Arial"/>
          <w:sz w:val="24"/>
        </w:rPr>
        <w:t>ing</w:t>
      </w:r>
      <w:r w:rsidR="00311161" w:rsidRPr="00311161">
        <w:rPr>
          <w:rFonts w:ascii="Arial" w:hAnsi="Arial" w:cs="Arial"/>
          <w:sz w:val="24"/>
        </w:rPr>
        <w:t xml:space="preserve"> that it is not appropriate and necessary to regulate HAP emissions from EGUs. </w:t>
      </w:r>
      <w:r w:rsidR="00D43829">
        <w:rPr>
          <w:rFonts w:ascii="Arial" w:hAnsi="Arial" w:cs="Arial"/>
          <w:sz w:val="24"/>
        </w:rPr>
        <w:t xml:space="preserve">However, </w:t>
      </w:r>
      <w:r w:rsidR="00D43829" w:rsidRPr="00D43829">
        <w:rPr>
          <w:rFonts w:ascii="Arial" w:hAnsi="Arial" w:cs="Arial"/>
          <w:sz w:val="24"/>
        </w:rPr>
        <w:t>EPA conclude</w:t>
      </w:r>
      <w:r w:rsidR="00D43829">
        <w:rPr>
          <w:rFonts w:ascii="Arial" w:hAnsi="Arial" w:cs="Arial"/>
          <w:sz w:val="24"/>
        </w:rPr>
        <w:t>s</w:t>
      </w:r>
      <w:r w:rsidR="00D43829" w:rsidRPr="00D43829">
        <w:rPr>
          <w:rFonts w:ascii="Arial" w:hAnsi="Arial" w:cs="Arial"/>
          <w:sz w:val="24"/>
        </w:rPr>
        <w:t xml:space="preserve"> that, in light of a 200</w:t>
      </w:r>
      <w:r w:rsidR="00BB6875">
        <w:rPr>
          <w:rFonts w:ascii="Arial" w:hAnsi="Arial" w:cs="Arial"/>
          <w:sz w:val="24"/>
        </w:rPr>
        <w:t>8</w:t>
      </w:r>
      <w:r w:rsidR="00D43829" w:rsidRPr="00D43829">
        <w:rPr>
          <w:rFonts w:ascii="Arial" w:hAnsi="Arial" w:cs="Arial"/>
          <w:sz w:val="24"/>
        </w:rPr>
        <w:t xml:space="preserve"> D.C. Circuit</w:t>
      </w:r>
      <w:r w:rsidR="00D43829">
        <w:rPr>
          <w:rFonts w:ascii="Arial" w:hAnsi="Arial" w:cs="Arial"/>
          <w:sz w:val="24"/>
        </w:rPr>
        <w:t xml:space="preserve"> Court</w:t>
      </w:r>
      <w:r w:rsidR="00D43829" w:rsidRPr="00D43829">
        <w:rPr>
          <w:rFonts w:ascii="Arial" w:hAnsi="Arial" w:cs="Arial"/>
          <w:sz w:val="24"/>
        </w:rPr>
        <w:t xml:space="preserve"> opinion in </w:t>
      </w:r>
      <w:r w:rsidR="00D43829" w:rsidRPr="00D43829">
        <w:rPr>
          <w:rFonts w:ascii="Arial" w:hAnsi="Arial" w:cs="Arial"/>
          <w:i/>
          <w:sz w:val="24"/>
        </w:rPr>
        <w:t>New Jersey v. EPA</w:t>
      </w:r>
      <w:r w:rsidR="00D43829" w:rsidRPr="00D43829">
        <w:rPr>
          <w:rFonts w:ascii="Arial" w:hAnsi="Arial" w:cs="Arial"/>
          <w:sz w:val="24"/>
        </w:rPr>
        <w:t xml:space="preserve">, finalizing this determination will not remove coal- and oil-fired EGUs from sources listed and regulated under Section 112, nor will it affect the MATS standards. </w:t>
      </w:r>
      <w:r w:rsidR="00D43829">
        <w:rPr>
          <w:rFonts w:ascii="Arial" w:hAnsi="Arial" w:cs="Arial"/>
          <w:sz w:val="24"/>
        </w:rPr>
        <w:t xml:space="preserve">Nevertheless, </w:t>
      </w:r>
      <w:r w:rsidR="00D43829" w:rsidRPr="00D43829">
        <w:rPr>
          <w:rFonts w:ascii="Arial" w:hAnsi="Arial" w:cs="Arial"/>
          <w:sz w:val="24"/>
        </w:rPr>
        <w:t>EPA is taking comment on whether</w:t>
      </w:r>
      <w:r w:rsidR="00D43829">
        <w:rPr>
          <w:rFonts w:ascii="Arial" w:hAnsi="Arial" w:cs="Arial"/>
          <w:sz w:val="24"/>
        </w:rPr>
        <w:t xml:space="preserve">, </w:t>
      </w:r>
      <w:r w:rsidR="00D43829" w:rsidRPr="00D43829">
        <w:rPr>
          <w:rFonts w:ascii="Arial" w:hAnsi="Arial" w:cs="Arial"/>
          <w:sz w:val="24"/>
        </w:rPr>
        <w:t>in light of the revised finding</w:t>
      </w:r>
      <w:r w:rsidR="00D43829">
        <w:rPr>
          <w:rFonts w:ascii="Arial" w:hAnsi="Arial" w:cs="Arial"/>
          <w:sz w:val="24"/>
        </w:rPr>
        <w:t>,</w:t>
      </w:r>
      <w:r w:rsidR="00D43829" w:rsidRPr="00D43829">
        <w:rPr>
          <w:rFonts w:ascii="Arial" w:hAnsi="Arial" w:cs="Arial"/>
          <w:sz w:val="24"/>
        </w:rPr>
        <w:t xml:space="preserve"> EPA would have the authority and/or obligation to rescind MATS or remove EGUs from the list of sources regulated under Section 112. </w:t>
      </w:r>
      <w:r w:rsidR="00D04CBA" w:rsidRPr="00DB7156">
        <w:rPr>
          <w:rFonts w:ascii="Arial" w:hAnsi="Arial" w:cs="Arial"/>
          <w:sz w:val="24"/>
        </w:rPr>
        <w:t xml:space="preserve">Pending resolution of these issues, the MATS </w:t>
      </w:r>
      <w:r w:rsidR="00B7348D">
        <w:rPr>
          <w:rFonts w:ascii="Arial" w:hAnsi="Arial" w:cs="Arial"/>
          <w:sz w:val="24"/>
        </w:rPr>
        <w:t>R</w:t>
      </w:r>
      <w:r w:rsidR="00D04CBA" w:rsidRPr="00DB7156">
        <w:rPr>
          <w:rFonts w:ascii="Arial" w:hAnsi="Arial" w:cs="Arial"/>
          <w:sz w:val="24"/>
        </w:rPr>
        <w:t xml:space="preserve">ule remains in effect with no change to the </w:t>
      </w:r>
      <w:r w:rsidR="00311161">
        <w:rPr>
          <w:rFonts w:ascii="Arial" w:hAnsi="Arial" w:cs="Arial"/>
          <w:sz w:val="24"/>
        </w:rPr>
        <w:t xml:space="preserve">requirements for </w:t>
      </w:r>
      <w:r w:rsidR="00D04CBA" w:rsidRPr="00DB7156">
        <w:rPr>
          <w:rFonts w:ascii="Arial" w:hAnsi="Arial" w:cs="Arial"/>
          <w:sz w:val="24"/>
        </w:rPr>
        <w:t>compliance.</w:t>
      </w:r>
    </w:p>
    <w:p w14:paraId="7120B7F3" w14:textId="77777777" w:rsidR="002113DD" w:rsidRPr="00DB7156" w:rsidRDefault="002113DD" w:rsidP="00DB7156">
      <w:pPr>
        <w:spacing w:after="0" w:line="240" w:lineRule="auto"/>
        <w:jc w:val="both"/>
        <w:rPr>
          <w:rFonts w:ascii="Arial" w:hAnsi="Arial" w:cs="Arial"/>
          <w:sz w:val="24"/>
        </w:rPr>
      </w:pPr>
    </w:p>
    <w:p w14:paraId="5CA408A7" w14:textId="37FF5C4D" w:rsidR="00560030" w:rsidRPr="00DB7156" w:rsidRDefault="0076045A" w:rsidP="00DB7156">
      <w:pPr>
        <w:spacing w:after="0" w:line="240" w:lineRule="auto"/>
        <w:jc w:val="both"/>
        <w:rPr>
          <w:rFonts w:ascii="Arial" w:hAnsi="Arial" w:cs="Arial"/>
          <w:sz w:val="24"/>
        </w:rPr>
      </w:pPr>
      <w:r>
        <w:rPr>
          <w:rFonts w:ascii="Arial" w:hAnsi="Arial" w:cs="Arial"/>
          <w:sz w:val="24"/>
        </w:rPr>
        <w:t>Since MATS was finalized in 2012</w:t>
      </w:r>
      <w:r w:rsidR="00666B57" w:rsidRPr="00DB7156">
        <w:rPr>
          <w:rFonts w:ascii="Arial" w:hAnsi="Arial" w:cs="Arial"/>
          <w:sz w:val="24"/>
        </w:rPr>
        <w:t xml:space="preserve">, EPA </w:t>
      </w:r>
      <w:r>
        <w:rPr>
          <w:rFonts w:ascii="Arial" w:hAnsi="Arial" w:cs="Arial"/>
          <w:sz w:val="24"/>
        </w:rPr>
        <w:t>has</w:t>
      </w:r>
      <w:r w:rsidR="00666B57" w:rsidRPr="00DB7156">
        <w:rPr>
          <w:rFonts w:ascii="Arial" w:hAnsi="Arial" w:cs="Arial"/>
          <w:sz w:val="24"/>
        </w:rPr>
        <w:t xml:space="preserve"> proposed and finalized several revisions to </w:t>
      </w:r>
      <w:r>
        <w:rPr>
          <w:rFonts w:ascii="Arial" w:hAnsi="Arial" w:cs="Arial"/>
          <w:sz w:val="24"/>
        </w:rPr>
        <w:t>the rule</w:t>
      </w:r>
      <w:r w:rsidR="00666B57" w:rsidRPr="00DB7156">
        <w:rPr>
          <w:rFonts w:ascii="Arial" w:hAnsi="Arial" w:cs="Arial"/>
          <w:sz w:val="24"/>
        </w:rPr>
        <w:t xml:space="preserve">. </w:t>
      </w:r>
      <w:r w:rsidR="005C15B1" w:rsidRPr="00DB7156">
        <w:rPr>
          <w:rFonts w:ascii="Arial" w:hAnsi="Arial" w:cs="Arial"/>
          <w:sz w:val="24"/>
        </w:rPr>
        <w:t xml:space="preserve">On November 30, 2012, EPA proposed a reconsideration of certain new source provisions and for startup and shutdown issues for existing sources. EPA completed its reconsideration rulemaking for new sources in April 2013, but deferred acting on the existing source reconsideration. </w:t>
      </w:r>
      <w:r w:rsidR="00025A95" w:rsidRPr="00DB7156">
        <w:rPr>
          <w:rFonts w:ascii="Arial" w:hAnsi="Arial" w:cs="Arial"/>
          <w:sz w:val="24"/>
        </w:rPr>
        <w:t>On November 19, 2014, EPA issued the Final Reconsideration Rule on Startup/Shutdown Issues, finalizing an alternative startup definition</w:t>
      </w:r>
      <w:r w:rsidR="009026F9" w:rsidRPr="00DB7156">
        <w:rPr>
          <w:rFonts w:ascii="Arial" w:hAnsi="Arial" w:cs="Arial"/>
          <w:sz w:val="24"/>
        </w:rPr>
        <w:t>,</w:t>
      </w:r>
      <w:r w:rsidR="00025A95" w:rsidRPr="00DB7156">
        <w:rPr>
          <w:rFonts w:ascii="Arial" w:hAnsi="Arial" w:cs="Arial"/>
          <w:sz w:val="24"/>
        </w:rPr>
        <w:t xml:space="preserve"> including additional work practice standards, monitoring, and reporting requirements</w:t>
      </w:r>
      <w:r w:rsidR="009026F9" w:rsidRPr="00DB7156">
        <w:rPr>
          <w:rFonts w:ascii="Arial" w:hAnsi="Arial" w:cs="Arial"/>
          <w:sz w:val="24"/>
        </w:rPr>
        <w:t>, and making numerous other significant changes to the rule</w:t>
      </w:r>
      <w:r w:rsidR="00025A95" w:rsidRPr="00DB7156">
        <w:rPr>
          <w:rFonts w:ascii="Arial" w:hAnsi="Arial" w:cs="Arial"/>
          <w:sz w:val="24"/>
        </w:rPr>
        <w:t>.</w:t>
      </w:r>
      <w:r w:rsidR="00666B57" w:rsidRPr="00DB7156">
        <w:rPr>
          <w:rFonts w:ascii="Arial" w:hAnsi="Arial" w:cs="Arial"/>
          <w:sz w:val="24"/>
        </w:rPr>
        <w:t xml:space="preserve"> </w:t>
      </w:r>
      <w:r w:rsidR="009026F9" w:rsidRPr="00DB7156">
        <w:rPr>
          <w:rFonts w:ascii="Arial" w:hAnsi="Arial" w:cs="Arial"/>
          <w:sz w:val="24"/>
        </w:rPr>
        <w:t xml:space="preserve">On December 19, 2014, </w:t>
      </w:r>
      <w:r w:rsidR="00025A95" w:rsidRPr="00DB7156">
        <w:rPr>
          <w:rFonts w:ascii="Arial" w:hAnsi="Arial" w:cs="Arial"/>
          <w:sz w:val="24"/>
        </w:rPr>
        <w:t>EPA signed a proposed MATS Technical Corrections Rule, which propose</w:t>
      </w:r>
      <w:r w:rsidR="00C4745E" w:rsidRPr="00DB7156">
        <w:rPr>
          <w:rFonts w:ascii="Arial" w:hAnsi="Arial" w:cs="Arial"/>
          <w:sz w:val="24"/>
        </w:rPr>
        <w:t>d</w:t>
      </w:r>
      <w:r w:rsidR="00025A95" w:rsidRPr="00DB7156">
        <w:rPr>
          <w:rFonts w:ascii="Arial" w:hAnsi="Arial" w:cs="Arial"/>
          <w:sz w:val="24"/>
        </w:rPr>
        <w:t xml:space="preserve"> to correct certain ambiguous and unworkable compliance requirements, both from the Final 2012 Rule and the </w:t>
      </w:r>
      <w:r w:rsidR="00933A40" w:rsidRPr="00DB7156">
        <w:rPr>
          <w:rFonts w:ascii="Arial" w:hAnsi="Arial" w:cs="Arial"/>
          <w:sz w:val="24"/>
        </w:rPr>
        <w:t xml:space="preserve">2014 </w:t>
      </w:r>
      <w:r w:rsidR="00025A95" w:rsidRPr="00DB7156">
        <w:rPr>
          <w:rFonts w:ascii="Arial" w:hAnsi="Arial" w:cs="Arial"/>
          <w:sz w:val="24"/>
        </w:rPr>
        <w:t xml:space="preserve">Startup/Shutdown Reconsideration Rule. </w:t>
      </w:r>
      <w:r w:rsidR="009E54AD" w:rsidRPr="00DB7156">
        <w:rPr>
          <w:rFonts w:ascii="Arial" w:hAnsi="Arial" w:cs="Arial"/>
          <w:sz w:val="24"/>
        </w:rPr>
        <w:t xml:space="preserve">The Final MATS Technical Corrections Rule became effective on April 6, 2016. </w:t>
      </w:r>
      <w:r w:rsidR="00666B57" w:rsidRPr="00DB7156">
        <w:rPr>
          <w:rFonts w:ascii="Arial" w:hAnsi="Arial" w:cs="Arial"/>
          <w:sz w:val="24"/>
        </w:rPr>
        <w:t xml:space="preserve">In addition, EPA is expected to make additional revisions to electronic reporting requirements for MATS in the future. </w:t>
      </w:r>
    </w:p>
    <w:p w14:paraId="49EF2FE6" w14:textId="77777777" w:rsidR="00560030" w:rsidRPr="00DB7156" w:rsidRDefault="00560030" w:rsidP="00DB7156">
      <w:pPr>
        <w:spacing w:after="0" w:line="240" w:lineRule="auto"/>
        <w:jc w:val="both"/>
        <w:rPr>
          <w:rFonts w:ascii="Arial" w:hAnsi="Arial" w:cs="Arial"/>
          <w:sz w:val="24"/>
        </w:rPr>
      </w:pPr>
    </w:p>
    <w:p w14:paraId="2A7FEFCD" w14:textId="2297A4AC" w:rsidR="00E8654D" w:rsidRPr="00DB7156" w:rsidRDefault="009E54AD" w:rsidP="00DB7156">
      <w:pPr>
        <w:spacing w:after="0" w:line="240" w:lineRule="auto"/>
        <w:jc w:val="both"/>
        <w:rPr>
          <w:rFonts w:ascii="Arial" w:hAnsi="Arial" w:cs="Arial"/>
          <w:sz w:val="24"/>
        </w:rPr>
      </w:pPr>
      <w:r w:rsidRPr="00DB7156">
        <w:rPr>
          <w:rFonts w:ascii="Arial" w:hAnsi="Arial" w:cs="Arial"/>
          <w:sz w:val="24"/>
        </w:rPr>
        <w:t xml:space="preserve">EPA is required to conduct a </w:t>
      </w:r>
      <w:r w:rsidR="00142066">
        <w:rPr>
          <w:rFonts w:ascii="Arial" w:hAnsi="Arial" w:cs="Arial"/>
          <w:sz w:val="24"/>
        </w:rPr>
        <w:t xml:space="preserve">Residual </w:t>
      </w:r>
      <w:r w:rsidR="008E6691" w:rsidRPr="00DB7156">
        <w:rPr>
          <w:rFonts w:ascii="Arial" w:hAnsi="Arial" w:cs="Arial"/>
          <w:sz w:val="24"/>
        </w:rPr>
        <w:t xml:space="preserve">RTR </w:t>
      </w:r>
      <w:r w:rsidR="00560030" w:rsidRPr="00DB7156">
        <w:rPr>
          <w:rFonts w:ascii="Arial" w:hAnsi="Arial" w:cs="Arial"/>
          <w:sz w:val="24"/>
        </w:rPr>
        <w:t>of</w:t>
      </w:r>
      <w:r w:rsidR="00B7348D">
        <w:rPr>
          <w:rFonts w:ascii="Arial" w:hAnsi="Arial" w:cs="Arial"/>
          <w:sz w:val="24"/>
        </w:rPr>
        <w:t xml:space="preserve"> the MATS R</w:t>
      </w:r>
      <w:r w:rsidRPr="00DB7156">
        <w:rPr>
          <w:rFonts w:ascii="Arial" w:hAnsi="Arial" w:cs="Arial"/>
          <w:sz w:val="24"/>
        </w:rPr>
        <w:t xml:space="preserve">ule within </w:t>
      </w:r>
      <w:r w:rsidR="00560030" w:rsidRPr="00DB7156">
        <w:rPr>
          <w:rFonts w:ascii="Arial" w:hAnsi="Arial" w:cs="Arial"/>
          <w:sz w:val="24"/>
        </w:rPr>
        <w:t>eight</w:t>
      </w:r>
      <w:r w:rsidRPr="00DB7156">
        <w:rPr>
          <w:rFonts w:ascii="Arial" w:hAnsi="Arial" w:cs="Arial"/>
          <w:sz w:val="24"/>
        </w:rPr>
        <w:t xml:space="preserve"> years after the original standards are finalized (i.e</w:t>
      </w:r>
      <w:r w:rsidR="00666B57" w:rsidRPr="00DB7156">
        <w:rPr>
          <w:rFonts w:ascii="Arial" w:hAnsi="Arial" w:cs="Arial"/>
          <w:sz w:val="24"/>
        </w:rPr>
        <w:t>.,</w:t>
      </w:r>
      <w:r w:rsidRPr="00DB7156">
        <w:rPr>
          <w:rFonts w:ascii="Arial" w:hAnsi="Arial" w:cs="Arial"/>
          <w:sz w:val="24"/>
        </w:rPr>
        <w:t xml:space="preserve"> by 2020). This review must account for technology developments and address residual health risk for standards set under Section 112, </w:t>
      </w:r>
      <w:r w:rsidR="00142066">
        <w:rPr>
          <w:rFonts w:ascii="Arial" w:hAnsi="Arial" w:cs="Arial"/>
          <w:sz w:val="24"/>
        </w:rPr>
        <w:t>such as</w:t>
      </w:r>
      <w:r w:rsidRPr="00DB7156">
        <w:rPr>
          <w:rFonts w:ascii="Arial" w:hAnsi="Arial" w:cs="Arial"/>
          <w:sz w:val="24"/>
        </w:rPr>
        <w:t xml:space="preserve"> MATS.</w:t>
      </w:r>
      <w:r w:rsidR="00025A95" w:rsidRPr="00DB7156">
        <w:rPr>
          <w:rFonts w:ascii="Arial" w:hAnsi="Arial" w:cs="Arial"/>
          <w:sz w:val="24"/>
        </w:rPr>
        <w:t xml:space="preserve"> </w:t>
      </w:r>
      <w:r w:rsidR="00142066">
        <w:rPr>
          <w:rFonts w:ascii="Arial" w:hAnsi="Arial" w:cs="Arial"/>
          <w:sz w:val="24"/>
        </w:rPr>
        <w:t>As noted above, on December 27, 2018, EPA Acting Administrator Andrew Wheeler signed a propos</w:t>
      </w:r>
      <w:r w:rsidR="00F445AA">
        <w:rPr>
          <w:rFonts w:ascii="Arial" w:hAnsi="Arial" w:cs="Arial"/>
          <w:sz w:val="24"/>
        </w:rPr>
        <w:t>ed rule</w:t>
      </w:r>
      <w:r w:rsidR="00142066">
        <w:rPr>
          <w:rFonts w:ascii="Arial" w:hAnsi="Arial" w:cs="Arial"/>
          <w:sz w:val="24"/>
        </w:rPr>
        <w:t xml:space="preserve"> that</w:t>
      </w:r>
      <w:r w:rsidR="00B965AE">
        <w:rPr>
          <w:rFonts w:ascii="Arial" w:hAnsi="Arial" w:cs="Arial"/>
          <w:sz w:val="24"/>
        </w:rPr>
        <w:t>, in addition to reconsidering the Supplemental Finding,</w:t>
      </w:r>
      <w:r w:rsidR="00142066">
        <w:rPr>
          <w:rFonts w:ascii="Arial" w:hAnsi="Arial" w:cs="Arial"/>
          <w:sz w:val="24"/>
        </w:rPr>
        <w:t xml:space="preserve"> includes the required</w:t>
      </w:r>
      <w:r w:rsidR="00142066" w:rsidRPr="007344BB">
        <w:rPr>
          <w:rFonts w:ascii="Arial" w:hAnsi="Arial" w:cs="Arial"/>
          <w:sz w:val="24"/>
        </w:rPr>
        <w:t xml:space="preserve"> </w:t>
      </w:r>
      <w:r w:rsidR="00142066">
        <w:rPr>
          <w:rFonts w:ascii="Arial" w:hAnsi="Arial" w:cs="Arial"/>
          <w:sz w:val="24"/>
        </w:rPr>
        <w:t>RTR.</w:t>
      </w:r>
      <w:r w:rsidR="00B965AE">
        <w:rPr>
          <w:rFonts w:ascii="Arial" w:hAnsi="Arial" w:cs="Arial"/>
          <w:sz w:val="24"/>
        </w:rPr>
        <w:t xml:space="preserve">  Based on EPA’s residual risk assessment, the agency </w:t>
      </w:r>
      <w:r w:rsidR="00642A8E">
        <w:rPr>
          <w:rFonts w:ascii="Arial" w:hAnsi="Arial" w:cs="Arial"/>
          <w:sz w:val="24"/>
        </w:rPr>
        <w:t xml:space="preserve">proposes to </w:t>
      </w:r>
      <w:r w:rsidR="00B965AE">
        <w:rPr>
          <w:rFonts w:ascii="Arial" w:hAnsi="Arial" w:cs="Arial"/>
          <w:sz w:val="24"/>
        </w:rPr>
        <w:t xml:space="preserve">conclude that the remaining risk from HAP emissions from EGUs </w:t>
      </w:r>
      <w:r w:rsidR="003A735B">
        <w:rPr>
          <w:rFonts w:ascii="Arial" w:hAnsi="Arial" w:cs="Arial"/>
          <w:sz w:val="24"/>
        </w:rPr>
        <w:t>is</w:t>
      </w:r>
      <w:r w:rsidR="00B965AE">
        <w:rPr>
          <w:rFonts w:ascii="Arial" w:hAnsi="Arial" w:cs="Arial"/>
          <w:sz w:val="24"/>
        </w:rPr>
        <w:t xml:space="preserve"> acceptable and that the current standards are adequate.  Furthermore, EPA concludes</w:t>
      </w:r>
      <w:r w:rsidR="00BB4CAC">
        <w:rPr>
          <w:rFonts w:ascii="Arial" w:hAnsi="Arial" w:cs="Arial"/>
          <w:sz w:val="24"/>
        </w:rPr>
        <w:t xml:space="preserve"> under the technology review that</w:t>
      </w:r>
      <w:r w:rsidR="00B965AE">
        <w:rPr>
          <w:rFonts w:ascii="Arial" w:hAnsi="Arial" w:cs="Arial"/>
          <w:sz w:val="24"/>
        </w:rPr>
        <w:t xml:space="preserve"> n</w:t>
      </w:r>
      <w:r w:rsidR="00B965AE" w:rsidRPr="00B965AE">
        <w:rPr>
          <w:rFonts w:ascii="Arial" w:hAnsi="Arial" w:cs="Arial"/>
          <w:sz w:val="24"/>
        </w:rPr>
        <w:t xml:space="preserve">o new developments in HAP emission controls </w:t>
      </w:r>
      <w:r w:rsidR="00BB4CAC">
        <w:rPr>
          <w:rFonts w:ascii="Arial" w:hAnsi="Arial" w:cs="Arial"/>
          <w:sz w:val="24"/>
        </w:rPr>
        <w:t>warrant more stringent standards</w:t>
      </w:r>
      <w:r w:rsidR="00B965AE" w:rsidRPr="00B965AE">
        <w:rPr>
          <w:rFonts w:ascii="Arial" w:hAnsi="Arial" w:cs="Arial"/>
          <w:sz w:val="24"/>
        </w:rPr>
        <w:t>.</w:t>
      </w:r>
    </w:p>
    <w:p w14:paraId="33CCB664" w14:textId="77777777" w:rsidR="00E8654D" w:rsidRPr="00DB7156" w:rsidRDefault="00E8654D" w:rsidP="00DB7156">
      <w:pPr>
        <w:spacing w:after="0" w:line="240" w:lineRule="auto"/>
        <w:jc w:val="both"/>
        <w:rPr>
          <w:rFonts w:ascii="Arial" w:hAnsi="Arial" w:cs="Arial"/>
          <w:sz w:val="24"/>
        </w:rPr>
      </w:pPr>
    </w:p>
    <w:p w14:paraId="22BA4F5B" w14:textId="0C7B5A8B" w:rsidR="0081596B" w:rsidRPr="00DB7156" w:rsidRDefault="00D04CBA" w:rsidP="00DB7156">
      <w:pPr>
        <w:autoSpaceDE w:val="0"/>
        <w:autoSpaceDN w:val="0"/>
        <w:adjustRightInd w:val="0"/>
        <w:spacing w:after="0" w:line="240" w:lineRule="auto"/>
        <w:jc w:val="both"/>
        <w:rPr>
          <w:rFonts w:ascii="Arial" w:hAnsi="Arial" w:cs="Arial"/>
          <w:color w:val="000000"/>
          <w:sz w:val="24"/>
          <w:szCs w:val="24"/>
        </w:rPr>
      </w:pPr>
      <w:r w:rsidRPr="00DB7156">
        <w:rPr>
          <w:rFonts w:ascii="Arial" w:hAnsi="Arial" w:cs="Arial"/>
          <w:color w:val="000000"/>
          <w:sz w:val="24"/>
          <w:szCs w:val="24"/>
        </w:rPr>
        <w:t xml:space="preserve">The CAA also requires EPA to review and update as necessary its </w:t>
      </w:r>
      <w:r w:rsidR="001F2597">
        <w:rPr>
          <w:rFonts w:ascii="Arial" w:hAnsi="Arial" w:cs="Arial"/>
          <w:color w:val="000000"/>
          <w:sz w:val="24"/>
          <w:szCs w:val="24"/>
        </w:rPr>
        <w:t>New Source Performance Standards (“</w:t>
      </w:r>
      <w:r w:rsidR="00AB5F6B">
        <w:rPr>
          <w:rFonts w:ascii="Arial" w:hAnsi="Arial" w:cs="Arial"/>
          <w:color w:val="000000"/>
          <w:sz w:val="24"/>
          <w:szCs w:val="24"/>
        </w:rPr>
        <w:t>NSPS</w:t>
      </w:r>
      <w:r w:rsidR="001F2597">
        <w:rPr>
          <w:rFonts w:ascii="Arial" w:hAnsi="Arial" w:cs="Arial"/>
          <w:color w:val="000000"/>
          <w:sz w:val="24"/>
          <w:szCs w:val="24"/>
        </w:rPr>
        <w:t>”)</w:t>
      </w:r>
      <w:r w:rsidRPr="00DB7156">
        <w:rPr>
          <w:rFonts w:ascii="Arial" w:hAnsi="Arial" w:cs="Arial"/>
          <w:color w:val="000000"/>
          <w:sz w:val="24"/>
          <w:szCs w:val="24"/>
        </w:rPr>
        <w:t xml:space="preserve"> under the Act, which are designed to facilitate compliance with the NAAQS.</w:t>
      </w:r>
      <w:r w:rsidR="003E290B" w:rsidRPr="00DB7156">
        <w:rPr>
          <w:rFonts w:ascii="Arial" w:hAnsi="Arial" w:cs="Arial"/>
          <w:color w:val="000000"/>
          <w:sz w:val="24"/>
          <w:szCs w:val="24"/>
        </w:rPr>
        <w:t xml:space="preserve"> </w:t>
      </w:r>
      <w:r w:rsidR="0081596B" w:rsidRPr="00DB7156">
        <w:rPr>
          <w:rFonts w:ascii="Arial" w:hAnsi="Arial" w:cs="Arial"/>
          <w:color w:val="000000"/>
          <w:sz w:val="24"/>
          <w:szCs w:val="24"/>
        </w:rPr>
        <w:t xml:space="preserve">The impact of these rules is usually limited to new power plants, but </w:t>
      </w:r>
      <w:r w:rsidRPr="00DB7156">
        <w:rPr>
          <w:rFonts w:ascii="Arial" w:hAnsi="Arial" w:cs="Arial"/>
          <w:color w:val="000000"/>
          <w:sz w:val="24"/>
          <w:szCs w:val="24"/>
        </w:rPr>
        <w:t xml:space="preserve">NSPS </w:t>
      </w:r>
      <w:r w:rsidR="0081596B" w:rsidRPr="00DB7156">
        <w:rPr>
          <w:rFonts w:ascii="Arial" w:hAnsi="Arial" w:cs="Arial"/>
          <w:color w:val="000000"/>
          <w:sz w:val="24"/>
          <w:szCs w:val="24"/>
        </w:rPr>
        <w:t xml:space="preserve">can </w:t>
      </w:r>
      <w:r w:rsidR="00206EC6" w:rsidRPr="00DB7156">
        <w:rPr>
          <w:rFonts w:ascii="Arial" w:hAnsi="Arial" w:cs="Arial"/>
          <w:color w:val="000000"/>
          <w:sz w:val="24"/>
          <w:szCs w:val="24"/>
        </w:rPr>
        <w:t xml:space="preserve">also impact </w:t>
      </w:r>
      <w:r w:rsidR="0081596B" w:rsidRPr="00DB7156">
        <w:rPr>
          <w:rFonts w:ascii="Arial" w:hAnsi="Arial" w:cs="Arial"/>
          <w:color w:val="000000"/>
          <w:sz w:val="24"/>
          <w:szCs w:val="24"/>
        </w:rPr>
        <w:t xml:space="preserve">existing plants </w:t>
      </w:r>
      <w:r w:rsidR="00206EC6" w:rsidRPr="00DB7156">
        <w:rPr>
          <w:rFonts w:ascii="Arial" w:hAnsi="Arial" w:cs="Arial"/>
          <w:color w:val="000000"/>
          <w:sz w:val="24"/>
          <w:szCs w:val="24"/>
        </w:rPr>
        <w:t>under certain circumstances</w:t>
      </w:r>
      <w:r w:rsidR="0081596B" w:rsidRPr="00DB7156">
        <w:rPr>
          <w:rFonts w:ascii="Arial" w:hAnsi="Arial" w:cs="Arial"/>
          <w:color w:val="000000"/>
          <w:sz w:val="24"/>
          <w:szCs w:val="24"/>
        </w:rPr>
        <w:t>.</w:t>
      </w:r>
      <w:r w:rsidRPr="00DB7156">
        <w:rPr>
          <w:rFonts w:ascii="Arial" w:hAnsi="Arial" w:cs="Arial"/>
          <w:color w:val="000000"/>
          <w:sz w:val="24"/>
          <w:szCs w:val="24"/>
        </w:rPr>
        <w:t xml:space="preserve"> I</w:t>
      </w:r>
      <w:r w:rsidR="0081596B" w:rsidRPr="00DB7156">
        <w:rPr>
          <w:rFonts w:ascii="Arial" w:hAnsi="Arial" w:cs="Arial"/>
          <w:color w:val="000000"/>
          <w:sz w:val="24"/>
          <w:szCs w:val="24"/>
        </w:rPr>
        <w:t>n conjunction with the MATS rulemaking, EPA released final revisions to the NSPS for Electric Utility Steam Generating Units in December 2011. The revisions included more stringent limits for NOx and SO</w:t>
      </w:r>
      <w:r w:rsidR="0081596B" w:rsidRPr="00DB7156">
        <w:rPr>
          <w:rFonts w:ascii="Arial" w:hAnsi="Arial" w:cs="Arial"/>
          <w:color w:val="000000"/>
          <w:sz w:val="24"/>
          <w:szCs w:val="24"/>
          <w:vertAlign w:val="subscript"/>
        </w:rPr>
        <w:t>2</w:t>
      </w:r>
      <w:r w:rsidR="0081596B" w:rsidRPr="00DB7156">
        <w:rPr>
          <w:rFonts w:ascii="Arial" w:hAnsi="Arial" w:cs="Arial"/>
          <w:color w:val="000000"/>
          <w:sz w:val="24"/>
          <w:szCs w:val="24"/>
        </w:rPr>
        <w:t xml:space="preserve"> for new coal-fired power plants, as well as some minor revisions affecting compliance options for both existing and new plants subject to the </w:t>
      </w:r>
      <w:r w:rsidR="00762381" w:rsidRPr="00DB7156">
        <w:rPr>
          <w:rFonts w:ascii="Arial" w:hAnsi="Arial" w:cs="Arial"/>
          <w:color w:val="000000"/>
          <w:sz w:val="24"/>
          <w:szCs w:val="24"/>
        </w:rPr>
        <w:t xml:space="preserve">NSPS </w:t>
      </w:r>
      <w:r w:rsidR="0081596B" w:rsidRPr="00DB7156">
        <w:rPr>
          <w:rFonts w:ascii="Arial" w:hAnsi="Arial" w:cs="Arial"/>
          <w:color w:val="000000"/>
          <w:sz w:val="24"/>
          <w:szCs w:val="24"/>
        </w:rPr>
        <w:t>rule.</w:t>
      </w:r>
    </w:p>
    <w:p w14:paraId="22BA4F5C" w14:textId="77777777" w:rsidR="0081596B" w:rsidRPr="00DB7156" w:rsidRDefault="0081596B" w:rsidP="00DB7156">
      <w:pPr>
        <w:autoSpaceDE w:val="0"/>
        <w:autoSpaceDN w:val="0"/>
        <w:adjustRightInd w:val="0"/>
        <w:spacing w:after="0" w:line="240" w:lineRule="auto"/>
        <w:jc w:val="both"/>
        <w:rPr>
          <w:rFonts w:ascii="Arial" w:hAnsi="Arial" w:cs="Arial"/>
          <w:color w:val="000000"/>
          <w:sz w:val="24"/>
          <w:szCs w:val="24"/>
        </w:rPr>
      </w:pPr>
    </w:p>
    <w:p w14:paraId="5865BB09" w14:textId="09249458" w:rsidR="003E290B" w:rsidRPr="00DB7156" w:rsidRDefault="003E290B" w:rsidP="00DB7156">
      <w:pPr>
        <w:autoSpaceDE w:val="0"/>
        <w:autoSpaceDN w:val="0"/>
        <w:adjustRightInd w:val="0"/>
        <w:spacing w:after="0" w:line="240" w:lineRule="auto"/>
        <w:jc w:val="both"/>
        <w:outlineLvl w:val="1"/>
        <w:rPr>
          <w:rFonts w:ascii="Arial" w:hAnsi="Arial" w:cs="Arial"/>
          <w:b/>
          <w:bCs/>
          <w:color w:val="000080"/>
          <w:sz w:val="24"/>
          <w:szCs w:val="24"/>
        </w:rPr>
      </w:pPr>
      <w:bookmarkStart w:id="65" w:name="_Toc496107746"/>
      <w:bookmarkStart w:id="66" w:name="_Toc527987334"/>
      <w:bookmarkStart w:id="67" w:name="_Toc527983881"/>
      <w:bookmarkStart w:id="68" w:name="_Toc530487264"/>
      <w:bookmarkStart w:id="69" w:name="_Toc535908132"/>
      <w:r w:rsidRPr="00DB7156">
        <w:rPr>
          <w:rFonts w:ascii="Arial" w:hAnsi="Arial" w:cs="Arial"/>
          <w:b/>
          <w:bCs/>
          <w:color w:val="000080"/>
          <w:sz w:val="24"/>
          <w:szCs w:val="24"/>
        </w:rPr>
        <w:t>2.7</w:t>
      </w:r>
      <w:r w:rsidRPr="00DB7156">
        <w:rPr>
          <w:rFonts w:ascii="Arial" w:hAnsi="Arial" w:cs="Arial"/>
          <w:b/>
          <w:bCs/>
          <w:color w:val="000080"/>
          <w:sz w:val="24"/>
          <w:szCs w:val="24"/>
        </w:rPr>
        <w:tab/>
        <w:t>Combustion Turbine NSPS and MACT</w:t>
      </w:r>
      <w:bookmarkEnd w:id="65"/>
      <w:bookmarkEnd w:id="66"/>
      <w:bookmarkEnd w:id="67"/>
      <w:bookmarkEnd w:id="68"/>
      <w:bookmarkEnd w:id="69"/>
    </w:p>
    <w:p w14:paraId="51C51F43" w14:textId="77777777" w:rsidR="003E290B" w:rsidRPr="00DB7156" w:rsidRDefault="003E290B" w:rsidP="00DB7156">
      <w:pPr>
        <w:autoSpaceDE w:val="0"/>
        <w:autoSpaceDN w:val="0"/>
        <w:adjustRightInd w:val="0"/>
        <w:spacing w:after="0" w:line="240" w:lineRule="auto"/>
        <w:jc w:val="both"/>
        <w:rPr>
          <w:rFonts w:ascii="Arial" w:hAnsi="Arial" w:cs="Arial"/>
          <w:color w:val="000000"/>
          <w:sz w:val="24"/>
          <w:szCs w:val="24"/>
        </w:rPr>
      </w:pPr>
    </w:p>
    <w:p w14:paraId="4E015986" w14:textId="37AFEDC3" w:rsidR="003E290B" w:rsidRPr="00DB7156" w:rsidRDefault="003E290B" w:rsidP="00DB7156">
      <w:pPr>
        <w:autoSpaceDE w:val="0"/>
        <w:autoSpaceDN w:val="0"/>
        <w:adjustRightInd w:val="0"/>
        <w:spacing w:after="0" w:line="240" w:lineRule="auto"/>
        <w:jc w:val="both"/>
        <w:rPr>
          <w:rFonts w:ascii="Arial" w:hAnsi="Arial" w:cs="Arial"/>
          <w:color w:val="000000"/>
          <w:sz w:val="24"/>
          <w:szCs w:val="24"/>
        </w:rPr>
      </w:pPr>
      <w:r w:rsidRPr="00DB7156">
        <w:rPr>
          <w:rFonts w:ascii="Arial" w:hAnsi="Arial" w:cs="Arial"/>
          <w:color w:val="000000"/>
          <w:sz w:val="24"/>
          <w:szCs w:val="24"/>
        </w:rPr>
        <w:t xml:space="preserve">Simple-cycle and combined-cycle combustion turbines can be subject to existing requirements under MACT and/or NSPS rules, reviews of which are pending. </w:t>
      </w:r>
      <w:r w:rsidR="00D04CBA" w:rsidRPr="00DB7156">
        <w:rPr>
          <w:rFonts w:ascii="Arial" w:hAnsi="Arial" w:cs="Arial"/>
          <w:color w:val="000000"/>
          <w:sz w:val="24"/>
          <w:szCs w:val="24"/>
        </w:rPr>
        <w:t>In August 2012,</w:t>
      </w:r>
      <w:r w:rsidR="00206EC6" w:rsidRPr="00DB7156">
        <w:rPr>
          <w:rFonts w:ascii="Arial" w:hAnsi="Arial" w:cs="Arial"/>
          <w:color w:val="000000"/>
          <w:sz w:val="24"/>
          <w:szCs w:val="24"/>
        </w:rPr>
        <w:t xml:space="preserve"> </w:t>
      </w:r>
      <w:r w:rsidR="0081596B" w:rsidRPr="00DB7156">
        <w:rPr>
          <w:rFonts w:ascii="Arial" w:hAnsi="Arial" w:cs="Arial"/>
          <w:color w:val="000000"/>
          <w:sz w:val="24"/>
          <w:szCs w:val="24"/>
        </w:rPr>
        <w:t>EPA proposed revisions to the NSPS for Stationary Co</w:t>
      </w:r>
      <w:r w:rsidR="00AD00B8" w:rsidRPr="00DB7156">
        <w:rPr>
          <w:rFonts w:ascii="Arial" w:hAnsi="Arial" w:cs="Arial"/>
          <w:color w:val="000000"/>
          <w:sz w:val="24"/>
          <w:szCs w:val="24"/>
        </w:rPr>
        <w:t>mbustion Turbines</w:t>
      </w:r>
      <w:r w:rsidR="0081596B" w:rsidRPr="00DB7156">
        <w:rPr>
          <w:rFonts w:ascii="Arial" w:hAnsi="Arial" w:cs="Arial"/>
          <w:color w:val="000000"/>
          <w:sz w:val="24"/>
          <w:szCs w:val="24"/>
        </w:rPr>
        <w:t>. While the proposed revisions make few changes to the numerical NOx and SO</w:t>
      </w:r>
      <w:r w:rsidR="0081596B" w:rsidRPr="00DB7156">
        <w:rPr>
          <w:rFonts w:ascii="Arial" w:hAnsi="Arial" w:cs="Arial"/>
          <w:color w:val="000000"/>
          <w:sz w:val="24"/>
          <w:szCs w:val="24"/>
          <w:vertAlign w:val="subscript"/>
        </w:rPr>
        <w:t>2</w:t>
      </w:r>
      <w:r w:rsidR="0081596B" w:rsidRPr="00DB7156">
        <w:rPr>
          <w:rFonts w:ascii="Arial" w:hAnsi="Arial" w:cs="Arial"/>
          <w:color w:val="000000"/>
          <w:sz w:val="24"/>
          <w:szCs w:val="24"/>
        </w:rPr>
        <w:t xml:space="preserve"> emission limits, EPA</w:t>
      </w:r>
      <w:r w:rsidR="00206EC6" w:rsidRPr="00DB7156">
        <w:rPr>
          <w:rFonts w:ascii="Arial" w:hAnsi="Arial" w:cs="Arial"/>
          <w:color w:val="000000"/>
          <w:sz w:val="24"/>
          <w:szCs w:val="24"/>
        </w:rPr>
        <w:t>’s proposal would</w:t>
      </w:r>
      <w:r w:rsidR="0081596B" w:rsidRPr="00DB7156">
        <w:rPr>
          <w:rFonts w:ascii="Arial" w:hAnsi="Arial" w:cs="Arial"/>
          <w:color w:val="000000"/>
          <w:sz w:val="24"/>
          <w:szCs w:val="24"/>
        </w:rPr>
        <w:t xml:space="preserve"> make some key changes to certain compliance demonstrations.  For example, while the rule typically only applies to new power plants, EPA propose</w:t>
      </w:r>
      <w:r w:rsidR="00C4745E" w:rsidRPr="00DB7156">
        <w:rPr>
          <w:rFonts w:ascii="Arial" w:hAnsi="Arial" w:cs="Arial"/>
          <w:color w:val="000000"/>
          <w:sz w:val="24"/>
          <w:szCs w:val="24"/>
        </w:rPr>
        <w:t>d</w:t>
      </w:r>
      <w:r w:rsidR="0081596B" w:rsidRPr="00DB7156">
        <w:rPr>
          <w:rFonts w:ascii="Arial" w:hAnsi="Arial" w:cs="Arial"/>
          <w:color w:val="000000"/>
          <w:sz w:val="24"/>
          <w:szCs w:val="24"/>
        </w:rPr>
        <w:t xml:space="preserve"> to drastically change the way that </w:t>
      </w:r>
      <w:r w:rsidR="00206EC6" w:rsidRPr="00DB7156">
        <w:rPr>
          <w:rFonts w:ascii="Arial" w:hAnsi="Arial" w:cs="Arial"/>
          <w:color w:val="000000"/>
          <w:sz w:val="24"/>
          <w:szCs w:val="24"/>
        </w:rPr>
        <w:t xml:space="preserve">projects at an </w:t>
      </w:r>
      <w:r w:rsidR="0081596B" w:rsidRPr="00DB7156">
        <w:rPr>
          <w:rFonts w:ascii="Arial" w:hAnsi="Arial" w:cs="Arial"/>
          <w:color w:val="000000"/>
          <w:sz w:val="24"/>
          <w:szCs w:val="24"/>
        </w:rPr>
        <w:t xml:space="preserve">existing unit </w:t>
      </w:r>
      <w:r w:rsidR="00206EC6" w:rsidRPr="00DB7156">
        <w:rPr>
          <w:rFonts w:ascii="Arial" w:hAnsi="Arial" w:cs="Arial"/>
          <w:color w:val="000000"/>
          <w:sz w:val="24"/>
          <w:szCs w:val="24"/>
        </w:rPr>
        <w:t>must be evaluated to determine whether the unit has been</w:t>
      </w:r>
      <w:r w:rsidR="0081596B" w:rsidRPr="00DB7156">
        <w:rPr>
          <w:rFonts w:ascii="Arial" w:hAnsi="Arial" w:cs="Arial"/>
          <w:color w:val="000000"/>
          <w:sz w:val="24"/>
          <w:szCs w:val="24"/>
        </w:rPr>
        <w:t xml:space="preserve"> “reconstructed”</w:t>
      </w:r>
      <w:r w:rsidR="003F2B7C" w:rsidRPr="00DB7156">
        <w:rPr>
          <w:rFonts w:ascii="Arial" w:hAnsi="Arial" w:cs="Arial"/>
          <w:color w:val="000000"/>
          <w:sz w:val="24"/>
          <w:szCs w:val="24"/>
        </w:rPr>
        <w:t>,</w:t>
      </w:r>
      <w:r w:rsidR="0081596B" w:rsidRPr="00DB7156">
        <w:rPr>
          <w:rFonts w:ascii="Arial" w:hAnsi="Arial" w:cs="Arial"/>
          <w:color w:val="000000"/>
          <w:sz w:val="24"/>
          <w:szCs w:val="24"/>
        </w:rPr>
        <w:t xml:space="preserve"> thus trigger</w:t>
      </w:r>
      <w:r w:rsidR="00206EC6" w:rsidRPr="00DB7156">
        <w:rPr>
          <w:rFonts w:ascii="Arial" w:hAnsi="Arial" w:cs="Arial"/>
          <w:color w:val="000000"/>
          <w:sz w:val="24"/>
          <w:szCs w:val="24"/>
        </w:rPr>
        <w:t>ing</w:t>
      </w:r>
      <w:r w:rsidR="0081596B" w:rsidRPr="00DB7156">
        <w:rPr>
          <w:rFonts w:ascii="Arial" w:hAnsi="Arial" w:cs="Arial"/>
          <w:color w:val="000000"/>
          <w:sz w:val="24"/>
          <w:szCs w:val="24"/>
        </w:rPr>
        <w:t xml:space="preserve"> applicability of the rule. </w:t>
      </w:r>
      <w:r w:rsidR="00BE0F1B">
        <w:rPr>
          <w:rFonts w:ascii="Arial" w:hAnsi="Arial" w:cs="Arial"/>
          <w:color w:val="000000"/>
          <w:sz w:val="24"/>
          <w:szCs w:val="24"/>
        </w:rPr>
        <w:t>I</w:t>
      </w:r>
      <w:r w:rsidR="00902543" w:rsidRPr="00DB7156">
        <w:rPr>
          <w:rFonts w:ascii="Arial" w:hAnsi="Arial" w:cs="Arial"/>
          <w:color w:val="000000"/>
          <w:sz w:val="24"/>
          <w:szCs w:val="24"/>
        </w:rPr>
        <w:t>n June 2017, EPA officially withdrew the proposed revisions to the NSPS for Stationary Combustion Turbines.</w:t>
      </w:r>
    </w:p>
    <w:p w14:paraId="7CF00557" w14:textId="77777777" w:rsidR="003E290B" w:rsidRPr="00DB7156" w:rsidRDefault="003E290B" w:rsidP="00DB7156">
      <w:pPr>
        <w:autoSpaceDE w:val="0"/>
        <w:autoSpaceDN w:val="0"/>
        <w:adjustRightInd w:val="0"/>
        <w:spacing w:after="0" w:line="240" w:lineRule="auto"/>
        <w:jc w:val="both"/>
        <w:rPr>
          <w:rFonts w:ascii="Arial" w:hAnsi="Arial" w:cs="Arial"/>
          <w:color w:val="000000"/>
          <w:sz w:val="24"/>
          <w:szCs w:val="24"/>
        </w:rPr>
      </w:pPr>
    </w:p>
    <w:p w14:paraId="22BA4F5D" w14:textId="5D1999BE" w:rsidR="0081596B" w:rsidRPr="00DB7156" w:rsidRDefault="003E290B"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EPA is als</w:t>
      </w:r>
      <w:r w:rsidR="008F6989">
        <w:rPr>
          <w:rFonts w:ascii="Arial" w:hAnsi="Arial" w:cs="Arial"/>
          <w:sz w:val="24"/>
          <w:szCs w:val="24"/>
        </w:rPr>
        <w:t>o under court order from the D.</w:t>
      </w:r>
      <w:r w:rsidRPr="00DB7156">
        <w:rPr>
          <w:rFonts w:ascii="Arial" w:hAnsi="Arial" w:cs="Arial"/>
          <w:sz w:val="24"/>
          <w:szCs w:val="24"/>
        </w:rPr>
        <w:t xml:space="preserve">C. Circuit Court to finalize its review of the combustion turbine MACT requirements by March 2020. </w:t>
      </w:r>
      <w:r w:rsidR="00D96EB5" w:rsidRPr="00DB7156">
        <w:rPr>
          <w:rFonts w:ascii="Arial" w:hAnsi="Arial" w:cs="Arial"/>
          <w:sz w:val="24"/>
          <w:szCs w:val="24"/>
        </w:rPr>
        <w:t xml:space="preserve">The Court agreed with environmental groups that EPA should be placed on a schedule to finalize the </w:t>
      </w:r>
      <w:r w:rsidR="00262588">
        <w:rPr>
          <w:rFonts w:ascii="Arial" w:hAnsi="Arial" w:cs="Arial"/>
          <w:sz w:val="24"/>
        </w:rPr>
        <w:t>RTR</w:t>
      </w:r>
      <w:r w:rsidR="00D96EB5" w:rsidRPr="00DB7156">
        <w:rPr>
          <w:rFonts w:ascii="Arial" w:hAnsi="Arial" w:cs="Arial"/>
          <w:sz w:val="24"/>
        </w:rPr>
        <w:t xml:space="preserve"> for this rule that is overdue. </w:t>
      </w:r>
      <w:r w:rsidR="00D96EB5" w:rsidRPr="00DB7156">
        <w:rPr>
          <w:rFonts w:ascii="Arial" w:hAnsi="Arial" w:cs="Arial"/>
          <w:sz w:val="24"/>
          <w:szCs w:val="24"/>
        </w:rPr>
        <w:t>EPA has not yet issued a proposed rule to respond to this court order</w:t>
      </w:r>
      <w:r w:rsidR="00B27EB4" w:rsidRPr="00DB7156">
        <w:rPr>
          <w:rFonts w:ascii="Arial" w:hAnsi="Arial" w:cs="Arial"/>
          <w:sz w:val="24"/>
          <w:szCs w:val="24"/>
        </w:rPr>
        <w:t xml:space="preserve">, but is expected to do so by </w:t>
      </w:r>
      <w:r w:rsidR="007D03F0">
        <w:rPr>
          <w:rFonts w:ascii="Arial" w:hAnsi="Arial" w:cs="Arial"/>
          <w:sz w:val="24"/>
          <w:szCs w:val="24"/>
        </w:rPr>
        <w:t>February</w:t>
      </w:r>
      <w:r w:rsidR="00B27EB4" w:rsidRPr="00DB7156">
        <w:rPr>
          <w:rFonts w:ascii="Arial" w:hAnsi="Arial" w:cs="Arial"/>
          <w:sz w:val="24"/>
          <w:szCs w:val="24"/>
        </w:rPr>
        <w:t xml:space="preserve"> 2019</w:t>
      </w:r>
      <w:r w:rsidR="00D96EB5" w:rsidRPr="00DB7156">
        <w:rPr>
          <w:rFonts w:ascii="Arial" w:hAnsi="Arial" w:cs="Arial"/>
          <w:sz w:val="24"/>
          <w:szCs w:val="24"/>
        </w:rPr>
        <w:t xml:space="preserve">. </w:t>
      </w:r>
      <w:r w:rsidRPr="00DB7156">
        <w:rPr>
          <w:rFonts w:ascii="Arial" w:hAnsi="Arial" w:cs="Arial"/>
          <w:sz w:val="24"/>
          <w:szCs w:val="24"/>
        </w:rPr>
        <w:t xml:space="preserve"> </w:t>
      </w:r>
      <w:r w:rsidR="0081596B" w:rsidRPr="00DB7156">
        <w:rPr>
          <w:rFonts w:ascii="Arial" w:hAnsi="Arial" w:cs="Arial"/>
          <w:sz w:val="24"/>
          <w:szCs w:val="24"/>
        </w:rPr>
        <w:t xml:space="preserve">        </w:t>
      </w:r>
    </w:p>
    <w:p w14:paraId="22BA4F5E" w14:textId="77777777" w:rsidR="0081596B" w:rsidRPr="00DB7156" w:rsidRDefault="0081596B" w:rsidP="00DB7156">
      <w:pPr>
        <w:autoSpaceDE w:val="0"/>
        <w:autoSpaceDN w:val="0"/>
        <w:adjustRightInd w:val="0"/>
        <w:spacing w:after="0" w:line="240" w:lineRule="auto"/>
        <w:jc w:val="both"/>
        <w:outlineLvl w:val="1"/>
        <w:rPr>
          <w:rFonts w:ascii="Arial" w:hAnsi="Arial" w:cs="Arial"/>
          <w:b/>
          <w:bCs/>
          <w:color w:val="000080"/>
          <w:sz w:val="24"/>
          <w:szCs w:val="24"/>
        </w:rPr>
      </w:pPr>
    </w:p>
    <w:p w14:paraId="22BA4F5F" w14:textId="236C2886" w:rsidR="00562DEB" w:rsidRPr="00DB7156" w:rsidRDefault="0081596B" w:rsidP="00DB7156">
      <w:pPr>
        <w:autoSpaceDE w:val="0"/>
        <w:autoSpaceDN w:val="0"/>
        <w:adjustRightInd w:val="0"/>
        <w:spacing w:after="0" w:line="240" w:lineRule="auto"/>
        <w:jc w:val="both"/>
        <w:outlineLvl w:val="1"/>
        <w:rPr>
          <w:rFonts w:ascii="Arial" w:hAnsi="Arial" w:cs="Arial"/>
          <w:b/>
          <w:bCs/>
          <w:color w:val="000080"/>
          <w:sz w:val="24"/>
          <w:szCs w:val="24"/>
        </w:rPr>
      </w:pPr>
      <w:bookmarkStart w:id="70" w:name="_Toc496107747"/>
      <w:bookmarkStart w:id="71" w:name="_Toc527987335"/>
      <w:bookmarkStart w:id="72" w:name="_Toc527983882"/>
      <w:bookmarkStart w:id="73" w:name="_Toc530487265"/>
      <w:bookmarkStart w:id="74" w:name="_Toc535908133"/>
      <w:r w:rsidRPr="00DB7156">
        <w:rPr>
          <w:rFonts w:ascii="Arial" w:hAnsi="Arial" w:cs="Arial"/>
          <w:b/>
          <w:bCs/>
          <w:color w:val="000080"/>
          <w:sz w:val="24"/>
          <w:szCs w:val="24"/>
        </w:rPr>
        <w:t>2.8</w:t>
      </w:r>
      <w:r w:rsidRPr="00DB7156">
        <w:rPr>
          <w:rFonts w:ascii="Arial" w:hAnsi="Arial" w:cs="Arial"/>
          <w:b/>
          <w:bCs/>
          <w:color w:val="000080"/>
          <w:sz w:val="24"/>
          <w:szCs w:val="24"/>
        </w:rPr>
        <w:tab/>
      </w:r>
      <w:r w:rsidR="00FC67F9" w:rsidRPr="00DB7156">
        <w:rPr>
          <w:rFonts w:ascii="Arial" w:hAnsi="Arial" w:cs="Arial"/>
          <w:b/>
          <w:bCs/>
          <w:color w:val="000080"/>
          <w:sz w:val="24"/>
          <w:szCs w:val="24"/>
        </w:rPr>
        <w:t>Industrial Boiler MACT</w:t>
      </w:r>
      <w:bookmarkEnd w:id="70"/>
      <w:bookmarkEnd w:id="71"/>
      <w:bookmarkEnd w:id="72"/>
      <w:bookmarkEnd w:id="73"/>
      <w:bookmarkEnd w:id="74"/>
    </w:p>
    <w:p w14:paraId="22BA4F60" w14:textId="77777777" w:rsidR="00220DB6" w:rsidRPr="00DB7156" w:rsidRDefault="00220DB6" w:rsidP="00DB7156">
      <w:pPr>
        <w:spacing w:after="0" w:line="240" w:lineRule="auto"/>
        <w:jc w:val="both"/>
        <w:rPr>
          <w:rFonts w:ascii="Arial" w:hAnsi="Arial" w:cs="Arial"/>
          <w:sz w:val="24"/>
          <w:szCs w:val="24"/>
        </w:rPr>
      </w:pPr>
    </w:p>
    <w:p w14:paraId="22BA4F61" w14:textId="4CEA964A"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 xml:space="preserve">In February 2004, EPA finalized the Industrial Boiler </w:t>
      </w:r>
      <w:r w:rsidR="00560030" w:rsidRPr="00DB7156">
        <w:rPr>
          <w:rFonts w:ascii="Arial" w:hAnsi="Arial" w:cs="Arial"/>
          <w:sz w:val="24"/>
          <w:szCs w:val="24"/>
        </w:rPr>
        <w:t>(</w:t>
      </w:r>
      <w:r w:rsidR="008F6989">
        <w:rPr>
          <w:rFonts w:ascii="Arial" w:hAnsi="Arial" w:cs="Arial"/>
          <w:sz w:val="24"/>
          <w:szCs w:val="24"/>
        </w:rPr>
        <w:t>“</w:t>
      </w:r>
      <w:r w:rsidR="00560030" w:rsidRPr="00DB7156">
        <w:rPr>
          <w:rFonts w:ascii="Arial" w:hAnsi="Arial" w:cs="Arial"/>
          <w:sz w:val="24"/>
          <w:szCs w:val="24"/>
        </w:rPr>
        <w:t>IB</w:t>
      </w:r>
      <w:r w:rsidR="008F6989">
        <w:rPr>
          <w:rFonts w:ascii="Arial" w:hAnsi="Arial" w:cs="Arial"/>
          <w:sz w:val="24"/>
          <w:szCs w:val="24"/>
        </w:rPr>
        <w:t>”</w:t>
      </w:r>
      <w:r w:rsidR="00560030" w:rsidRPr="00DB7156">
        <w:rPr>
          <w:rFonts w:ascii="Arial" w:hAnsi="Arial" w:cs="Arial"/>
          <w:sz w:val="24"/>
          <w:szCs w:val="24"/>
        </w:rPr>
        <w:t xml:space="preserve">) </w:t>
      </w:r>
      <w:r w:rsidRPr="00DB7156">
        <w:rPr>
          <w:rFonts w:ascii="Arial" w:hAnsi="Arial" w:cs="Arial"/>
          <w:sz w:val="24"/>
          <w:szCs w:val="24"/>
        </w:rPr>
        <w:t xml:space="preserve">MACT rule to impose limits on </w:t>
      </w:r>
      <w:r w:rsidR="00262588">
        <w:rPr>
          <w:rFonts w:ascii="Arial" w:hAnsi="Arial" w:cs="Arial"/>
          <w:sz w:val="24"/>
          <w:szCs w:val="24"/>
        </w:rPr>
        <w:t>HAPs</w:t>
      </w:r>
      <w:r w:rsidRPr="00DB7156">
        <w:rPr>
          <w:rFonts w:ascii="Arial" w:hAnsi="Arial" w:cs="Arial"/>
          <w:sz w:val="24"/>
          <w:szCs w:val="24"/>
        </w:rPr>
        <w:t xml:space="preserve"> from industrial boilers, including biomass</w:t>
      </w:r>
      <w:r w:rsidR="00092BD0" w:rsidRPr="00DB7156">
        <w:rPr>
          <w:rFonts w:ascii="Arial" w:hAnsi="Arial" w:cs="Arial"/>
          <w:sz w:val="24"/>
          <w:szCs w:val="24"/>
        </w:rPr>
        <w:t xml:space="preserve">-fired </w:t>
      </w:r>
      <w:r w:rsidRPr="00DB7156">
        <w:rPr>
          <w:rFonts w:ascii="Arial" w:hAnsi="Arial" w:cs="Arial"/>
          <w:sz w:val="24"/>
          <w:szCs w:val="24"/>
        </w:rPr>
        <w:t xml:space="preserve">boilers </w:t>
      </w:r>
      <w:r w:rsidR="00092BD0" w:rsidRPr="00DB7156">
        <w:rPr>
          <w:rFonts w:ascii="Arial" w:hAnsi="Arial" w:cs="Arial"/>
          <w:sz w:val="24"/>
          <w:szCs w:val="24"/>
        </w:rPr>
        <w:t>used for electricity generation</w:t>
      </w:r>
      <w:r w:rsidRPr="00DB7156">
        <w:rPr>
          <w:rFonts w:ascii="Arial" w:hAnsi="Arial" w:cs="Arial"/>
          <w:sz w:val="24"/>
          <w:szCs w:val="24"/>
        </w:rPr>
        <w:t>. Compliance with the final rule was scheduled to begin in September 2007; however, in response to challenges to the final rule, the D.C. Circuit</w:t>
      </w:r>
      <w:r w:rsidR="003652A6">
        <w:rPr>
          <w:rFonts w:ascii="Arial" w:hAnsi="Arial" w:cs="Arial"/>
          <w:sz w:val="24"/>
          <w:szCs w:val="24"/>
        </w:rPr>
        <w:t xml:space="preserve"> Court</w:t>
      </w:r>
      <w:r w:rsidRPr="00DB7156">
        <w:rPr>
          <w:rFonts w:ascii="Arial" w:hAnsi="Arial" w:cs="Arial"/>
          <w:sz w:val="24"/>
          <w:szCs w:val="24"/>
        </w:rPr>
        <w:t xml:space="preserve"> vacated the rule in its entirety in July 2007.  </w:t>
      </w:r>
    </w:p>
    <w:p w14:paraId="22BA4F62" w14:textId="77777777" w:rsidR="00FC67F9" w:rsidRPr="00DB7156" w:rsidRDefault="00FC67F9" w:rsidP="00DB7156">
      <w:pPr>
        <w:spacing w:after="0" w:line="240" w:lineRule="auto"/>
        <w:jc w:val="both"/>
        <w:rPr>
          <w:rFonts w:ascii="Arial" w:hAnsi="Arial" w:cs="Arial"/>
          <w:sz w:val="24"/>
          <w:szCs w:val="24"/>
        </w:rPr>
      </w:pPr>
    </w:p>
    <w:p w14:paraId="4C36CA29" w14:textId="77CA96E0" w:rsidR="001A2D85"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In response to the court’s ruling, EPA began development of a new IB MACT</w:t>
      </w:r>
      <w:r w:rsidR="001A2D85" w:rsidRPr="00DB7156">
        <w:rPr>
          <w:rFonts w:ascii="Arial" w:hAnsi="Arial" w:cs="Arial"/>
          <w:sz w:val="24"/>
          <w:szCs w:val="24"/>
        </w:rPr>
        <w:t>,</w:t>
      </w:r>
      <w:r w:rsidRPr="00DB7156">
        <w:rPr>
          <w:rFonts w:ascii="Arial" w:hAnsi="Arial" w:cs="Arial"/>
          <w:sz w:val="24"/>
          <w:szCs w:val="24"/>
        </w:rPr>
        <w:t xml:space="preserve"> establish</w:t>
      </w:r>
      <w:r w:rsidR="001A2D85" w:rsidRPr="00DB7156">
        <w:rPr>
          <w:rFonts w:ascii="Arial" w:hAnsi="Arial" w:cs="Arial"/>
          <w:sz w:val="24"/>
          <w:szCs w:val="24"/>
        </w:rPr>
        <w:t>ing</w:t>
      </w:r>
      <w:r w:rsidRPr="00DB7156">
        <w:rPr>
          <w:rFonts w:ascii="Arial" w:hAnsi="Arial" w:cs="Arial"/>
          <w:sz w:val="24"/>
          <w:szCs w:val="24"/>
        </w:rPr>
        <w:t xml:space="preserve"> emissions limits for different subcategories of boilers, including natural gas-fired boilers, oil-fired boilers, biomass stoker boilers, and biomass fluidized bed boilers among others. </w:t>
      </w:r>
      <w:r w:rsidR="001A2D85" w:rsidRPr="00DB7156">
        <w:rPr>
          <w:rFonts w:ascii="Arial" w:hAnsi="Arial" w:cs="Arial"/>
          <w:sz w:val="24"/>
          <w:szCs w:val="24"/>
        </w:rPr>
        <w:t xml:space="preserve">EPA issued a final rule in February 2011, but it has since reconsidered and revised that rule several times. </w:t>
      </w:r>
      <w:r w:rsidRPr="00DB7156">
        <w:rPr>
          <w:rFonts w:ascii="Arial" w:hAnsi="Arial" w:cs="Arial"/>
          <w:sz w:val="24"/>
          <w:szCs w:val="24"/>
        </w:rPr>
        <w:t xml:space="preserve">The limits in the new IB MACT are much more stringent than the IB MACT that was vacated in 2007.  </w:t>
      </w:r>
    </w:p>
    <w:p w14:paraId="419C6CF9" w14:textId="77777777" w:rsidR="001A2D85" w:rsidRPr="00DB7156" w:rsidRDefault="001A2D85" w:rsidP="00DB7156">
      <w:pPr>
        <w:spacing w:after="0" w:line="240" w:lineRule="auto"/>
        <w:jc w:val="both"/>
        <w:rPr>
          <w:rFonts w:ascii="Arial" w:hAnsi="Arial" w:cs="Arial"/>
          <w:sz w:val="24"/>
          <w:szCs w:val="24"/>
        </w:rPr>
      </w:pPr>
    </w:p>
    <w:p w14:paraId="54E8BA11" w14:textId="668F38B0" w:rsidR="009B0509" w:rsidRPr="00DB7156" w:rsidRDefault="001A2D85" w:rsidP="00DB7156">
      <w:pPr>
        <w:spacing w:after="0" w:line="240" w:lineRule="auto"/>
        <w:jc w:val="both"/>
        <w:rPr>
          <w:rFonts w:ascii="Arial" w:hAnsi="Arial" w:cs="Arial"/>
          <w:sz w:val="24"/>
          <w:szCs w:val="24"/>
        </w:rPr>
      </w:pPr>
      <w:r w:rsidRPr="00DB7156">
        <w:rPr>
          <w:rFonts w:ascii="Arial" w:hAnsi="Arial" w:cs="Arial"/>
          <w:sz w:val="24"/>
          <w:szCs w:val="24"/>
        </w:rPr>
        <w:t xml:space="preserve">The first of EPA’s reconsideration rules was published in the Federal Register </w:t>
      </w:r>
      <w:r w:rsidR="00BE0F1B">
        <w:rPr>
          <w:rFonts w:ascii="Arial" w:hAnsi="Arial" w:cs="Arial"/>
          <w:sz w:val="24"/>
          <w:szCs w:val="24"/>
        </w:rPr>
        <w:t>i</w:t>
      </w:r>
      <w:r w:rsidR="002666CE" w:rsidRPr="00DB7156">
        <w:rPr>
          <w:rFonts w:ascii="Arial" w:hAnsi="Arial" w:cs="Arial"/>
          <w:sz w:val="24"/>
          <w:szCs w:val="24"/>
        </w:rPr>
        <w:t xml:space="preserve">n January 2013, </w:t>
      </w:r>
      <w:r w:rsidR="00560030" w:rsidRPr="00DB7156">
        <w:rPr>
          <w:rFonts w:ascii="Arial" w:hAnsi="Arial" w:cs="Arial"/>
          <w:sz w:val="24"/>
          <w:szCs w:val="24"/>
        </w:rPr>
        <w:t>with</w:t>
      </w:r>
      <w:r w:rsidR="002666CE" w:rsidRPr="00DB7156">
        <w:rPr>
          <w:rFonts w:ascii="Arial" w:hAnsi="Arial" w:cs="Arial"/>
          <w:sz w:val="24"/>
          <w:szCs w:val="24"/>
        </w:rPr>
        <w:t xml:space="preserve"> </w:t>
      </w:r>
      <w:r w:rsidR="00560030" w:rsidRPr="00DB7156">
        <w:rPr>
          <w:rFonts w:ascii="Arial" w:hAnsi="Arial" w:cs="Arial"/>
          <w:sz w:val="24"/>
          <w:szCs w:val="24"/>
        </w:rPr>
        <w:t>c</w:t>
      </w:r>
      <w:r w:rsidR="002666CE" w:rsidRPr="00DB7156">
        <w:rPr>
          <w:rFonts w:ascii="Arial" w:hAnsi="Arial" w:cs="Arial"/>
          <w:sz w:val="24"/>
          <w:szCs w:val="24"/>
        </w:rPr>
        <w:t xml:space="preserve">ompliance for existing sources </w:t>
      </w:r>
      <w:r w:rsidR="00560030" w:rsidRPr="00DB7156">
        <w:rPr>
          <w:rFonts w:ascii="Arial" w:hAnsi="Arial" w:cs="Arial"/>
          <w:sz w:val="24"/>
          <w:szCs w:val="24"/>
        </w:rPr>
        <w:t xml:space="preserve">required </w:t>
      </w:r>
      <w:r w:rsidR="00BE0F1B">
        <w:rPr>
          <w:rFonts w:ascii="Arial" w:hAnsi="Arial" w:cs="Arial"/>
          <w:sz w:val="24"/>
          <w:szCs w:val="24"/>
        </w:rPr>
        <w:t>in</w:t>
      </w:r>
      <w:r w:rsidR="002666CE" w:rsidRPr="00DB7156">
        <w:rPr>
          <w:rFonts w:ascii="Arial" w:hAnsi="Arial" w:cs="Arial"/>
          <w:sz w:val="24"/>
          <w:szCs w:val="24"/>
        </w:rPr>
        <w:t xml:space="preserve"> January 2016</w:t>
      </w:r>
      <w:r w:rsidRPr="00DB7156">
        <w:rPr>
          <w:rFonts w:ascii="Arial" w:hAnsi="Arial" w:cs="Arial"/>
          <w:sz w:val="24"/>
          <w:szCs w:val="24"/>
        </w:rPr>
        <w:t xml:space="preserve"> and c</w:t>
      </w:r>
      <w:r w:rsidR="002666CE" w:rsidRPr="00DB7156">
        <w:rPr>
          <w:rFonts w:ascii="Arial" w:hAnsi="Arial" w:cs="Arial"/>
          <w:sz w:val="24"/>
          <w:szCs w:val="24"/>
        </w:rPr>
        <w:t xml:space="preserve">ompliance for new sources </w:t>
      </w:r>
      <w:r w:rsidRPr="00DB7156">
        <w:rPr>
          <w:rFonts w:ascii="Arial" w:hAnsi="Arial" w:cs="Arial"/>
          <w:sz w:val="24"/>
          <w:szCs w:val="24"/>
        </w:rPr>
        <w:t xml:space="preserve">required </w:t>
      </w:r>
      <w:r w:rsidR="002666CE" w:rsidRPr="00DB7156">
        <w:rPr>
          <w:rFonts w:ascii="Arial" w:hAnsi="Arial" w:cs="Arial"/>
          <w:sz w:val="24"/>
          <w:szCs w:val="24"/>
        </w:rPr>
        <w:t>upon startup.</w:t>
      </w:r>
      <w:r w:rsidR="00DD0BC1" w:rsidRPr="00DB7156">
        <w:rPr>
          <w:rFonts w:ascii="Arial" w:hAnsi="Arial" w:cs="Arial"/>
          <w:sz w:val="24"/>
          <w:szCs w:val="24"/>
        </w:rPr>
        <w:t xml:space="preserve"> </w:t>
      </w:r>
      <w:r w:rsidR="002666CE" w:rsidRPr="00DB7156">
        <w:rPr>
          <w:rFonts w:ascii="Arial" w:hAnsi="Arial" w:cs="Arial"/>
          <w:sz w:val="24"/>
          <w:szCs w:val="24"/>
        </w:rPr>
        <w:t xml:space="preserve">While the final rule published in January 2013 is less stringent than </w:t>
      </w:r>
      <w:r w:rsidRPr="00DB7156">
        <w:rPr>
          <w:rFonts w:ascii="Arial" w:hAnsi="Arial" w:cs="Arial"/>
          <w:sz w:val="24"/>
          <w:szCs w:val="24"/>
        </w:rPr>
        <w:t>the 2011 rule</w:t>
      </w:r>
      <w:r w:rsidR="002666CE" w:rsidRPr="00DB7156">
        <w:rPr>
          <w:rFonts w:ascii="Arial" w:hAnsi="Arial" w:cs="Arial"/>
          <w:sz w:val="24"/>
          <w:szCs w:val="24"/>
        </w:rPr>
        <w:t xml:space="preserve">, </w:t>
      </w:r>
      <w:r w:rsidRPr="00DB7156">
        <w:rPr>
          <w:rFonts w:ascii="Arial" w:hAnsi="Arial" w:cs="Arial"/>
          <w:sz w:val="24"/>
          <w:szCs w:val="24"/>
        </w:rPr>
        <w:t xml:space="preserve">continued </w:t>
      </w:r>
      <w:r w:rsidR="002666CE" w:rsidRPr="00DB7156">
        <w:rPr>
          <w:rFonts w:ascii="Arial" w:hAnsi="Arial" w:cs="Arial"/>
          <w:sz w:val="24"/>
          <w:szCs w:val="24"/>
        </w:rPr>
        <w:t>concerns over the stringency of the emission limits for</w:t>
      </w:r>
      <w:r w:rsidR="0078346A" w:rsidRPr="00DB7156">
        <w:rPr>
          <w:rFonts w:ascii="Arial" w:hAnsi="Arial" w:cs="Arial"/>
          <w:sz w:val="24"/>
          <w:szCs w:val="24"/>
        </w:rPr>
        <w:t xml:space="preserve"> </w:t>
      </w:r>
      <w:r w:rsidR="0001743A" w:rsidRPr="00DB7156">
        <w:rPr>
          <w:rFonts w:ascii="Arial" w:hAnsi="Arial" w:cs="Arial"/>
          <w:sz w:val="24"/>
          <w:szCs w:val="24"/>
        </w:rPr>
        <w:t xml:space="preserve">many </w:t>
      </w:r>
      <w:r w:rsidR="009B0509" w:rsidRPr="00DB7156">
        <w:rPr>
          <w:rFonts w:ascii="Arial" w:hAnsi="Arial" w:cs="Arial"/>
          <w:sz w:val="24"/>
          <w:szCs w:val="24"/>
        </w:rPr>
        <w:t>types of boilers led EPA to propose and finalize additional revisions in 2015 and 2016</w:t>
      </w:r>
      <w:r w:rsidR="002666CE" w:rsidRPr="00DB7156">
        <w:rPr>
          <w:rFonts w:ascii="Arial" w:hAnsi="Arial" w:cs="Arial"/>
          <w:sz w:val="24"/>
          <w:szCs w:val="24"/>
        </w:rPr>
        <w:t xml:space="preserve">. </w:t>
      </w:r>
      <w:r w:rsidR="0022174F" w:rsidRPr="00DB7156">
        <w:rPr>
          <w:rFonts w:ascii="Arial" w:hAnsi="Arial" w:cs="Arial"/>
          <w:sz w:val="24"/>
          <w:szCs w:val="24"/>
        </w:rPr>
        <w:t xml:space="preserve"> </w:t>
      </w:r>
    </w:p>
    <w:p w14:paraId="7BC6F842" w14:textId="77777777" w:rsidR="009B0509" w:rsidRPr="00DB7156" w:rsidRDefault="009B0509" w:rsidP="00DB7156">
      <w:pPr>
        <w:spacing w:after="0" w:line="240" w:lineRule="auto"/>
        <w:jc w:val="both"/>
        <w:rPr>
          <w:rFonts w:ascii="Arial" w:hAnsi="Arial" w:cs="Arial"/>
          <w:sz w:val="24"/>
          <w:szCs w:val="24"/>
        </w:rPr>
      </w:pPr>
    </w:p>
    <w:p w14:paraId="6ABD4EC5" w14:textId="1AA78DB2" w:rsidR="00427741" w:rsidRPr="00DB7156" w:rsidRDefault="00AE04EE" w:rsidP="00DB7156">
      <w:pPr>
        <w:spacing w:after="0" w:line="240" w:lineRule="auto"/>
        <w:jc w:val="both"/>
        <w:rPr>
          <w:rFonts w:ascii="Arial" w:hAnsi="Arial" w:cs="Arial"/>
          <w:sz w:val="24"/>
          <w:szCs w:val="24"/>
        </w:rPr>
      </w:pPr>
      <w:r w:rsidRPr="00DB7156">
        <w:rPr>
          <w:rFonts w:ascii="Arial" w:hAnsi="Arial" w:cs="Arial"/>
          <w:sz w:val="24"/>
          <w:szCs w:val="24"/>
        </w:rPr>
        <w:t>This series of IB MACT</w:t>
      </w:r>
      <w:r w:rsidR="009B0509" w:rsidRPr="00DB7156">
        <w:rPr>
          <w:rFonts w:ascii="Arial" w:hAnsi="Arial" w:cs="Arial"/>
          <w:sz w:val="24"/>
          <w:szCs w:val="24"/>
        </w:rPr>
        <w:t xml:space="preserve"> rules has been challenged</w:t>
      </w:r>
      <w:r w:rsidR="008F6989">
        <w:rPr>
          <w:rFonts w:ascii="Arial" w:hAnsi="Arial" w:cs="Arial"/>
          <w:sz w:val="24"/>
          <w:szCs w:val="24"/>
        </w:rPr>
        <w:t xml:space="preserve"> in multiple lawsuits in the D.</w:t>
      </w:r>
      <w:r w:rsidR="009B0509" w:rsidRPr="00DB7156">
        <w:rPr>
          <w:rFonts w:ascii="Arial" w:hAnsi="Arial" w:cs="Arial"/>
          <w:sz w:val="24"/>
          <w:szCs w:val="24"/>
        </w:rPr>
        <w:t>C. C</w:t>
      </w:r>
      <w:r w:rsidR="008F6989">
        <w:rPr>
          <w:rFonts w:ascii="Arial" w:hAnsi="Arial" w:cs="Arial"/>
          <w:sz w:val="24"/>
          <w:szCs w:val="24"/>
        </w:rPr>
        <w:t>ircuit Court of Appeals. The D.</w:t>
      </w:r>
      <w:r w:rsidR="009B0509" w:rsidRPr="00DB7156">
        <w:rPr>
          <w:rFonts w:ascii="Arial" w:hAnsi="Arial" w:cs="Arial"/>
          <w:sz w:val="24"/>
          <w:szCs w:val="24"/>
        </w:rPr>
        <w:t>C. Circuit</w:t>
      </w:r>
      <w:r w:rsidR="003652A6">
        <w:rPr>
          <w:rFonts w:ascii="Arial" w:hAnsi="Arial" w:cs="Arial"/>
          <w:sz w:val="24"/>
          <w:szCs w:val="24"/>
        </w:rPr>
        <w:t xml:space="preserve"> Court</w:t>
      </w:r>
      <w:r w:rsidR="009B0509" w:rsidRPr="00DB7156">
        <w:rPr>
          <w:rFonts w:ascii="Arial" w:hAnsi="Arial" w:cs="Arial"/>
          <w:sz w:val="24"/>
          <w:szCs w:val="24"/>
        </w:rPr>
        <w:t xml:space="preserve"> addressed most of the challengers’ claims in a decision issued </w:t>
      </w:r>
      <w:r w:rsidR="00BE0F1B">
        <w:rPr>
          <w:rFonts w:ascii="Arial" w:hAnsi="Arial" w:cs="Arial"/>
          <w:sz w:val="24"/>
          <w:szCs w:val="24"/>
        </w:rPr>
        <w:t>i</w:t>
      </w:r>
      <w:r w:rsidR="009B0509" w:rsidRPr="00DB7156">
        <w:rPr>
          <w:rFonts w:ascii="Arial" w:hAnsi="Arial" w:cs="Arial"/>
          <w:sz w:val="24"/>
          <w:szCs w:val="24"/>
        </w:rPr>
        <w:t>n July 2016, in which the court denied most, but granted a few, of the challenges raised. However, even where the court agreed with the challengers’ arguments, the court only remanded a portion of the rules and allowed the rules to remain in place while EPA addresses the identified concerns.</w:t>
      </w:r>
      <w:r w:rsidR="00BE0F1B">
        <w:rPr>
          <w:rFonts w:ascii="Arial" w:hAnsi="Arial" w:cs="Arial"/>
          <w:sz w:val="24"/>
          <w:szCs w:val="24"/>
        </w:rPr>
        <w:t xml:space="preserve"> I</w:t>
      </w:r>
      <w:r w:rsidR="00B27EB4" w:rsidRPr="00DB7156">
        <w:rPr>
          <w:rFonts w:ascii="Arial" w:hAnsi="Arial" w:cs="Arial"/>
          <w:sz w:val="24"/>
          <w:szCs w:val="24"/>
        </w:rPr>
        <w:t>n March 2018, the D.C. Circuit Court issued its opinion upholding the “startup definition 2” work practice standard</w:t>
      </w:r>
      <w:r w:rsidR="00BE0F1B">
        <w:rPr>
          <w:rFonts w:ascii="Arial" w:hAnsi="Arial" w:cs="Arial"/>
          <w:sz w:val="24"/>
          <w:szCs w:val="24"/>
        </w:rPr>
        <w:t xml:space="preserve"> </w:t>
      </w:r>
      <w:r w:rsidR="00B27EB4" w:rsidRPr="00DB7156">
        <w:rPr>
          <w:rFonts w:ascii="Arial" w:hAnsi="Arial" w:cs="Arial"/>
          <w:sz w:val="24"/>
          <w:szCs w:val="24"/>
        </w:rPr>
        <w:t>and remanding the CO standard to EPA for further proceedings to justify its use as a surrogate for organic HAPs.</w:t>
      </w:r>
    </w:p>
    <w:p w14:paraId="22BA4F64" w14:textId="23051EB1" w:rsidR="00400C4B" w:rsidRPr="00DB7156" w:rsidRDefault="002A1582" w:rsidP="00DB7156">
      <w:pPr>
        <w:spacing w:after="0" w:line="240" w:lineRule="auto"/>
        <w:jc w:val="both"/>
        <w:rPr>
          <w:rFonts w:ascii="Arial" w:hAnsi="Arial" w:cs="Arial"/>
          <w:sz w:val="24"/>
          <w:szCs w:val="24"/>
        </w:rPr>
      </w:pPr>
      <w:r w:rsidRPr="00DB7156">
        <w:rPr>
          <w:rFonts w:ascii="Arial" w:hAnsi="Arial" w:cs="Arial"/>
          <w:sz w:val="24"/>
        </w:rPr>
        <w:t xml:space="preserve"> </w:t>
      </w:r>
    </w:p>
    <w:p w14:paraId="22BA4F65" w14:textId="6697C775"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75" w:name="_Toc535908134"/>
      <w:bookmarkStart w:id="76" w:name="_Toc496107748"/>
      <w:bookmarkStart w:id="77" w:name="_Toc527987336"/>
      <w:bookmarkStart w:id="78" w:name="_Toc527983883"/>
      <w:bookmarkStart w:id="79" w:name="_Toc530487266"/>
      <w:r w:rsidRPr="00DB7156">
        <w:rPr>
          <w:rFonts w:ascii="Arial" w:hAnsi="Arial" w:cs="Arial"/>
          <w:b/>
          <w:bCs/>
          <w:color w:val="000080"/>
          <w:sz w:val="24"/>
          <w:szCs w:val="24"/>
        </w:rPr>
        <w:t>2.</w:t>
      </w:r>
      <w:r w:rsidR="0081596B" w:rsidRPr="00DB7156">
        <w:rPr>
          <w:rFonts w:ascii="Arial" w:hAnsi="Arial" w:cs="Arial"/>
          <w:b/>
          <w:bCs/>
          <w:color w:val="000080"/>
          <w:sz w:val="24"/>
          <w:szCs w:val="24"/>
        </w:rPr>
        <w:t>9</w:t>
      </w:r>
      <w:r w:rsidRPr="00DB7156">
        <w:rPr>
          <w:rFonts w:ascii="Arial" w:hAnsi="Arial" w:cs="Arial"/>
          <w:b/>
          <w:bCs/>
          <w:color w:val="000080"/>
          <w:sz w:val="24"/>
          <w:szCs w:val="24"/>
        </w:rPr>
        <w:tab/>
        <w:t>Clean Air Visibility Rule</w:t>
      </w:r>
      <w:bookmarkEnd w:id="75"/>
      <w:r w:rsidR="00802D7F" w:rsidRPr="00DB7156">
        <w:rPr>
          <w:rFonts w:ascii="Arial" w:hAnsi="Arial" w:cs="Arial"/>
          <w:b/>
          <w:bCs/>
          <w:color w:val="000080"/>
          <w:sz w:val="24"/>
          <w:szCs w:val="24"/>
        </w:rPr>
        <w:t xml:space="preserve"> </w:t>
      </w:r>
      <w:bookmarkEnd w:id="76"/>
      <w:bookmarkEnd w:id="77"/>
      <w:bookmarkEnd w:id="78"/>
      <w:bookmarkEnd w:id="79"/>
    </w:p>
    <w:p w14:paraId="22BA4F66" w14:textId="77777777" w:rsidR="00FC67F9" w:rsidRPr="00DB7156" w:rsidRDefault="00FC67F9" w:rsidP="00DB7156">
      <w:pPr>
        <w:spacing w:after="0" w:line="240" w:lineRule="auto"/>
        <w:jc w:val="both"/>
        <w:rPr>
          <w:rFonts w:ascii="Arial" w:hAnsi="Arial" w:cs="Arial"/>
          <w:sz w:val="24"/>
          <w:szCs w:val="24"/>
        </w:rPr>
      </w:pPr>
    </w:p>
    <w:p w14:paraId="22BA4F67" w14:textId="6DE63039" w:rsidR="00481699" w:rsidRPr="00DB7156" w:rsidRDefault="00FC67F9" w:rsidP="00DB7156">
      <w:pPr>
        <w:autoSpaceDE w:val="0"/>
        <w:autoSpaceDN w:val="0"/>
        <w:adjustRightInd w:val="0"/>
        <w:spacing w:after="0" w:line="240" w:lineRule="auto"/>
        <w:jc w:val="both"/>
        <w:rPr>
          <w:rFonts w:ascii="Arial" w:hAnsi="Arial" w:cs="Arial"/>
          <w:color w:val="000000"/>
          <w:sz w:val="24"/>
          <w:szCs w:val="24"/>
        </w:rPr>
      </w:pPr>
      <w:r w:rsidRPr="00DB7156">
        <w:rPr>
          <w:rFonts w:ascii="Arial" w:hAnsi="Arial" w:cs="Arial"/>
          <w:color w:val="000000"/>
          <w:sz w:val="24"/>
          <w:szCs w:val="24"/>
        </w:rPr>
        <w:t>CAVR (</w:t>
      </w:r>
      <w:r w:rsidR="001A2D85" w:rsidRPr="00DB7156">
        <w:rPr>
          <w:rFonts w:ascii="Arial" w:hAnsi="Arial" w:cs="Arial"/>
          <w:color w:val="000000"/>
          <w:sz w:val="24"/>
          <w:szCs w:val="24"/>
        </w:rPr>
        <w:t xml:space="preserve">also known as </w:t>
      </w:r>
      <w:r w:rsidRPr="00DB7156">
        <w:rPr>
          <w:rFonts w:ascii="Arial" w:hAnsi="Arial" w:cs="Arial"/>
          <w:color w:val="000000"/>
          <w:sz w:val="24"/>
          <w:szCs w:val="24"/>
        </w:rPr>
        <w:t xml:space="preserve">the Regional Haze Rule) was finalized in July 2005. The goal of this rule is to restore natural visibility conditions in specified “Class 1” areas (primarily national parks and wilderness areas) by 2064. The rule involves: </w:t>
      </w:r>
      <w:r w:rsidR="007757DA" w:rsidRPr="00DB7156">
        <w:rPr>
          <w:rFonts w:ascii="Arial" w:hAnsi="Arial" w:cs="Arial"/>
          <w:color w:val="000000"/>
          <w:sz w:val="24"/>
          <w:szCs w:val="24"/>
        </w:rPr>
        <w:t xml:space="preserve"> </w:t>
      </w:r>
      <w:r w:rsidRPr="00DB7156">
        <w:rPr>
          <w:rFonts w:ascii="Arial" w:hAnsi="Arial" w:cs="Arial"/>
          <w:color w:val="000000"/>
          <w:sz w:val="24"/>
          <w:szCs w:val="24"/>
        </w:rPr>
        <w:t>(1) the application of BART to certain sources built between 1962 and 1977, and (</w:t>
      </w:r>
      <w:r w:rsidRPr="00DB7156">
        <w:rPr>
          <w:rFonts w:ascii="Arial" w:hAnsi="Arial" w:cs="Arial"/>
          <w:sz w:val="24"/>
          <w:szCs w:val="24"/>
        </w:rPr>
        <w:t>2) the application of any additional emissions reductions which may be deemed necessary for each designated area to achieve reasonable progress toward the natural conditions goal by 2018</w:t>
      </w:r>
      <w:r w:rsidR="005F49BC">
        <w:rPr>
          <w:rFonts w:ascii="Arial" w:hAnsi="Arial" w:cs="Arial"/>
          <w:sz w:val="24"/>
          <w:szCs w:val="24"/>
        </w:rPr>
        <w:t>, the end of the first planning period</w:t>
      </w:r>
      <w:r w:rsidRPr="00DB7156">
        <w:rPr>
          <w:rFonts w:ascii="Arial" w:hAnsi="Arial" w:cs="Arial"/>
          <w:sz w:val="24"/>
          <w:szCs w:val="24"/>
        </w:rPr>
        <w:t>. Thereafter, for each 10-year planning period, additional emissions reductions will be required to</w:t>
      </w:r>
      <w:r w:rsidRPr="00DB7156">
        <w:rPr>
          <w:rFonts w:ascii="Arial" w:hAnsi="Arial" w:cs="Arial"/>
          <w:color w:val="000000"/>
          <w:sz w:val="24"/>
          <w:szCs w:val="24"/>
        </w:rPr>
        <w:t xml:space="preserve"> continue to demonstrate reasonable progress</w:t>
      </w:r>
      <w:r w:rsidRPr="00DB7156">
        <w:rPr>
          <w:rFonts w:ascii="Arial" w:hAnsi="Arial" w:cs="Arial"/>
          <w:color w:val="0000FF"/>
          <w:sz w:val="24"/>
          <w:szCs w:val="24"/>
        </w:rPr>
        <w:t xml:space="preserve"> </w:t>
      </w:r>
      <w:r w:rsidRPr="00DB7156">
        <w:rPr>
          <w:rFonts w:ascii="Arial" w:hAnsi="Arial" w:cs="Arial"/>
          <w:color w:val="000000"/>
          <w:sz w:val="24"/>
          <w:szCs w:val="24"/>
        </w:rPr>
        <w:t xml:space="preserve">in each area. For power plants, states </w:t>
      </w:r>
      <w:r w:rsidR="00A90D1E">
        <w:rPr>
          <w:rFonts w:ascii="Arial" w:hAnsi="Arial" w:cs="Arial"/>
          <w:color w:val="000000"/>
          <w:sz w:val="24"/>
          <w:szCs w:val="24"/>
        </w:rPr>
        <w:t>may</w:t>
      </w:r>
      <w:r w:rsidRPr="00DB7156">
        <w:rPr>
          <w:rFonts w:ascii="Arial" w:hAnsi="Arial" w:cs="Arial"/>
          <w:color w:val="000000"/>
          <w:sz w:val="24"/>
          <w:szCs w:val="24"/>
        </w:rPr>
        <w:t xml:space="preserve"> determine that C</w:t>
      </w:r>
      <w:r w:rsidR="00A90D1E">
        <w:rPr>
          <w:rFonts w:ascii="Arial" w:hAnsi="Arial" w:cs="Arial"/>
          <w:color w:val="000000"/>
          <w:sz w:val="24"/>
          <w:szCs w:val="24"/>
        </w:rPr>
        <w:t>SAPR</w:t>
      </w:r>
      <w:r w:rsidRPr="00DB7156">
        <w:rPr>
          <w:rFonts w:ascii="Arial" w:hAnsi="Arial" w:cs="Arial"/>
          <w:color w:val="000000"/>
          <w:sz w:val="24"/>
          <w:szCs w:val="24"/>
        </w:rPr>
        <w:t xml:space="preserve"> satisfi</w:t>
      </w:r>
      <w:r w:rsidR="00A90D1E">
        <w:rPr>
          <w:rFonts w:ascii="Arial" w:hAnsi="Arial" w:cs="Arial"/>
          <w:color w:val="000000"/>
          <w:sz w:val="24"/>
          <w:szCs w:val="24"/>
        </w:rPr>
        <w:t>es</w:t>
      </w:r>
      <w:r w:rsidRPr="00DB7156">
        <w:rPr>
          <w:rFonts w:ascii="Arial" w:hAnsi="Arial" w:cs="Arial"/>
          <w:color w:val="000000"/>
          <w:sz w:val="24"/>
          <w:szCs w:val="24"/>
        </w:rPr>
        <w:t xml:space="preserve"> BART requirements for SO</w:t>
      </w:r>
      <w:r w:rsidRPr="00DB7156">
        <w:rPr>
          <w:rFonts w:ascii="Arial" w:hAnsi="Arial" w:cs="Arial"/>
          <w:sz w:val="24"/>
          <w:szCs w:val="24"/>
          <w:vertAlign w:val="subscript"/>
        </w:rPr>
        <w:t>2</w:t>
      </w:r>
      <w:r w:rsidRPr="00DB7156">
        <w:rPr>
          <w:rFonts w:ascii="Arial" w:hAnsi="Arial" w:cs="Arial"/>
          <w:color w:val="000000"/>
          <w:sz w:val="24"/>
          <w:szCs w:val="24"/>
        </w:rPr>
        <w:t xml:space="preserve"> and NOx.  </w:t>
      </w:r>
    </w:p>
    <w:p w14:paraId="0C0EE6C0" w14:textId="446EDED7" w:rsidR="00A90D1E" w:rsidRDefault="00A90D1E" w:rsidP="00DB7156">
      <w:pPr>
        <w:autoSpaceDE w:val="0"/>
        <w:autoSpaceDN w:val="0"/>
        <w:adjustRightInd w:val="0"/>
        <w:spacing w:after="0" w:line="240" w:lineRule="auto"/>
        <w:jc w:val="both"/>
        <w:rPr>
          <w:rFonts w:ascii="Arial" w:hAnsi="Arial" w:cs="Arial"/>
          <w:color w:val="000000"/>
          <w:sz w:val="24"/>
          <w:szCs w:val="24"/>
        </w:rPr>
      </w:pPr>
    </w:p>
    <w:p w14:paraId="22BA4F6D" w14:textId="32D4FE35" w:rsidR="00F30E62" w:rsidRPr="00DB7156" w:rsidRDefault="00262588" w:rsidP="00DB7156">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In</w:t>
      </w:r>
      <w:r w:rsidR="00EF6822" w:rsidRPr="00DB7156">
        <w:rPr>
          <w:rFonts w:ascii="Arial" w:hAnsi="Arial" w:cs="Arial"/>
          <w:color w:val="000000"/>
          <w:sz w:val="24"/>
          <w:szCs w:val="24"/>
        </w:rPr>
        <w:t xml:space="preserve"> March 2018, the D.C. Circuit Court upheld EPA’s determination that</w:t>
      </w:r>
      <w:r>
        <w:rPr>
          <w:rFonts w:ascii="Arial" w:hAnsi="Arial" w:cs="Arial"/>
          <w:color w:val="000000"/>
          <w:sz w:val="24"/>
          <w:szCs w:val="24"/>
        </w:rPr>
        <w:t xml:space="preserve"> compliance with</w:t>
      </w:r>
      <w:r w:rsidR="00EF6822" w:rsidRPr="00DB7156">
        <w:rPr>
          <w:rFonts w:ascii="Arial" w:hAnsi="Arial" w:cs="Arial"/>
          <w:color w:val="000000"/>
          <w:sz w:val="24"/>
          <w:szCs w:val="24"/>
        </w:rPr>
        <w:t xml:space="preserve"> CSAPR would satisfy BART.</w:t>
      </w:r>
    </w:p>
    <w:p w14:paraId="0C08E7A9" w14:textId="510BE6BB" w:rsidR="002A1582" w:rsidRPr="00DB7156" w:rsidRDefault="002A1582" w:rsidP="00DB7156">
      <w:pPr>
        <w:autoSpaceDE w:val="0"/>
        <w:autoSpaceDN w:val="0"/>
        <w:adjustRightInd w:val="0"/>
        <w:spacing w:after="0" w:line="240" w:lineRule="auto"/>
        <w:jc w:val="both"/>
        <w:rPr>
          <w:rFonts w:ascii="Arial" w:hAnsi="Arial" w:cs="Arial"/>
          <w:color w:val="000000"/>
          <w:sz w:val="24"/>
          <w:szCs w:val="24"/>
        </w:rPr>
      </w:pPr>
    </w:p>
    <w:p w14:paraId="40DD6944" w14:textId="719B802E" w:rsidR="002A1582" w:rsidRPr="00DB7156" w:rsidRDefault="00A90D1E" w:rsidP="00DB7156">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I</w:t>
      </w:r>
      <w:r w:rsidR="002A1582" w:rsidRPr="00DB7156">
        <w:rPr>
          <w:rFonts w:ascii="Arial" w:hAnsi="Arial" w:cs="Arial"/>
          <w:color w:val="000000"/>
          <w:sz w:val="24"/>
          <w:szCs w:val="24"/>
        </w:rPr>
        <w:t xml:space="preserve">n January 2017, EPA finalized revisions to the </w:t>
      </w:r>
      <w:r w:rsidRPr="00DB7156">
        <w:rPr>
          <w:rFonts w:ascii="Arial" w:hAnsi="Arial" w:cs="Arial"/>
          <w:color w:val="000000"/>
          <w:sz w:val="24"/>
          <w:szCs w:val="24"/>
        </w:rPr>
        <w:t xml:space="preserve">second planning period under the regional haze </w:t>
      </w:r>
      <w:r w:rsidR="002A1582" w:rsidRPr="00DB7156">
        <w:rPr>
          <w:rFonts w:ascii="Arial" w:hAnsi="Arial" w:cs="Arial"/>
          <w:color w:val="000000"/>
          <w:sz w:val="24"/>
          <w:szCs w:val="24"/>
        </w:rPr>
        <w:t>rule</w:t>
      </w:r>
      <w:r w:rsidR="00DA23F7" w:rsidRPr="00DB7156">
        <w:rPr>
          <w:rFonts w:ascii="Arial" w:hAnsi="Arial" w:cs="Arial"/>
          <w:color w:val="000000"/>
          <w:sz w:val="24"/>
          <w:szCs w:val="24"/>
        </w:rPr>
        <w:t xml:space="preserve">, </w:t>
      </w:r>
      <w:r w:rsidRPr="00DB7156">
        <w:rPr>
          <w:rFonts w:ascii="Arial" w:hAnsi="Arial" w:cs="Arial"/>
          <w:color w:val="000000"/>
          <w:sz w:val="24"/>
          <w:szCs w:val="24"/>
        </w:rPr>
        <w:t>covering the period 2019-2028</w:t>
      </w:r>
      <w:r>
        <w:rPr>
          <w:rFonts w:ascii="Arial" w:hAnsi="Arial" w:cs="Arial"/>
          <w:color w:val="000000"/>
          <w:sz w:val="24"/>
          <w:szCs w:val="24"/>
        </w:rPr>
        <w:t>. These</w:t>
      </w:r>
      <w:r w:rsidR="00DA23F7" w:rsidRPr="00DB7156">
        <w:rPr>
          <w:rFonts w:ascii="Arial" w:hAnsi="Arial" w:cs="Arial"/>
          <w:color w:val="000000"/>
          <w:sz w:val="24"/>
          <w:szCs w:val="24"/>
        </w:rPr>
        <w:t xml:space="preserve"> include e</w:t>
      </w:r>
      <w:r w:rsidR="002A1582" w:rsidRPr="00DB7156">
        <w:rPr>
          <w:rFonts w:ascii="Arial" w:hAnsi="Arial" w:cs="Arial"/>
          <w:color w:val="000000"/>
          <w:sz w:val="24"/>
          <w:szCs w:val="24"/>
        </w:rPr>
        <w:t>xten</w:t>
      </w:r>
      <w:r w:rsidR="00DA23F7" w:rsidRPr="00DB7156">
        <w:rPr>
          <w:rFonts w:ascii="Arial" w:hAnsi="Arial" w:cs="Arial"/>
          <w:color w:val="000000"/>
          <w:sz w:val="24"/>
          <w:szCs w:val="24"/>
        </w:rPr>
        <w:t>sion of</w:t>
      </w:r>
      <w:r w:rsidR="002A1582" w:rsidRPr="00DB7156">
        <w:rPr>
          <w:rFonts w:ascii="Arial" w:hAnsi="Arial" w:cs="Arial"/>
          <w:color w:val="000000"/>
          <w:sz w:val="24"/>
          <w:szCs w:val="24"/>
        </w:rPr>
        <w:t xml:space="preserve"> </w:t>
      </w:r>
      <w:r w:rsidR="000F11BB" w:rsidRPr="00DB7156">
        <w:rPr>
          <w:rFonts w:ascii="Arial" w:hAnsi="Arial" w:cs="Arial"/>
          <w:color w:val="000000"/>
          <w:sz w:val="24"/>
          <w:szCs w:val="24"/>
        </w:rPr>
        <w:t xml:space="preserve">the </w:t>
      </w:r>
      <w:r w:rsidR="002A1582" w:rsidRPr="00DB7156">
        <w:rPr>
          <w:rFonts w:ascii="Arial" w:hAnsi="Arial" w:cs="Arial"/>
          <w:color w:val="000000"/>
          <w:sz w:val="24"/>
          <w:szCs w:val="24"/>
        </w:rPr>
        <w:t>deadline for</w:t>
      </w:r>
      <w:r w:rsidR="000F11BB" w:rsidRPr="00DB7156">
        <w:rPr>
          <w:rFonts w:ascii="Arial" w:hAnsi="Arial" w:cs="Arial"/>
          <w:color w:val="000000"/>
          <w:sz w:val="24"/>
          <w:szCs w:val="24"/>
        </w:rPr>
        <w:t xml:space="preserve"> the</w:t>
      </w:r>
      <w:r w:rsidR="002A1582" w:rsidRPr="00DB7156">
        <w:rPr>
          <w:rFonts w:ascii="Arial" w:hAnsi="Arial" w:cs="Arial"/>
          <w:color w:val="000000"/>
          <w:sz w:val="24"/>
          <w:szCs w:val="24"/>
        </w:rPr>
        <w:t xml:space="preserve"> next SIP submittal from July 2018 to July 2021</w:t>
      </w:r>
      <w:r w:rsidR="00DA23F7" w:rsidRPr="00DB7156">
        <w:rPr>
          <w:rFonts w:ascii="Arial" w:hAnsi="Arial" w:cs="Arial"/>
          <w:color w:val="000000"/>
          <w:sz w:val="24"/>
          <w:szCs w:val="24"/>
        </w:rPr>
        <w:t>, and i</w:t>
      </w:r>
      <w:r w:rsidR="002A1582" w:rsidRPr="00DB7156">
        <w:rPr>
          <w:rFonts w:ascii="Arial" w:hAnsi="Arial" w:cs="Arial"/>
          <w:color w:val="000000"/>
          <w:sz w:val="24"/>
          <w:szCs w:val="24"/>
        </w:rPr>
        <w:t>ncreased requirement</w:t>
      </w:r>
      <w:r w:rsidR="00DA23F7" w:rsidRPr="00DB7156">
        <w:rPr>
          <w:rFonts w:ascii="Arial" w:hAnsi="Arial" w:cs="Arial"/>
          <w:color w:val="000000"/>
          <w:sz w:val="24"/>
          <w:szCs w:val="24"/>
        </w:rPr>
        <w:t>s</w:t>
      </w:r>
      <w:r w:rsidR="002A1582" w:rsidRPr="00DB7156">
        <w:rPr>
          <w:rFonts w:ascii="Arial" w:hAnsi="Arial" w:cs="Arial"/>
          <w:color w:val="000000"/>
          <w:sz w:val="24"/>
          <w:szCs w:val="24"/>
        </w:rPr>
        <w:t xml:space="preserve"> </w:t>
      </w:r>
      <w:r w:rsidR="00DA23F7" w:rsidRPr="00DB7156">
        <w:rPr>
          <w:rFonts w:ascii="Arial" w:hAnsi="Arial" w:cs="Arial"/>
          <w:color w:val="000000"/>
          <w:sz w:val="24"/>
          <w:szCs w:val="24"/>
        </w:rPr>
        <w:t xml:space="preserve">for state consultations with </w:t>
      </w:r>
      <w:r w:rsidR="006A6EED" w:rsidRPr="00DB7156">
        <w:rPr>
          <w:rFonts w:ascii="Arial" w:hAnsi="Arial" w:cs="Arial"/>
          <w:color w:val="000000"/>
          <w:sz w:val="24"/>
          <w:szCs w:val="24"/>
        </w:rPr>
        <w:t>F</w:t>
      </w:r>
      <w:r w:rsidR="008F6989">
        <w:rPr>
          <w:rFonts w:ascii="Arial" w:hAnsi="Arial" w:cs="Arial"/>
          <w:color w:val="000000"/>
          <w:sz w:val="24"/>
          <w:szCs w:val="24"/>
        </w:rPr>
        <w:t>ederal Land Managers</w:t>
      </w:r>
      <w:r w:rsidR="00DA23F7" w:rsidRPr="00DB7156">
        <w:rPr>
          <w:rFonts w:ascii="Arial" w:hAnsi="Arial" w:cs="Arial"/>
          <w:color w:val="000000"/>
          <w:sz w:val="24"/>
          <w:szCs w:val="24"/>
        </w:rPr>
        <w:t>.</w:t>
      </w:r>
      <w:r w:rsidR="002A1582" w:rsidRPr="00DB7156">
        <w:rPr>
          <w:rFonts w:ascii="Arial" w:hAnsi="Arial" w:cs="Arial"/>
          <w:color w:val="000000"/>
          <w:sz w:val="24"/>
          <w:szCs w:val="24"/>
        </w:rPr>
        <w:t xml:space="preserve"> </w:t>
      </w:r>
    </w:p>
    <w:p w14:paraId="22BA4F6E" w14:textId="77777777" w:rsidR="004D4E44" w:rsidRPr="00DB7156" w:rsidRDefault="004D4E44" w:rsidP="00DB7156">
      <w:pPr>
        <w:autoSpaceDE w:val="0"/>
        <w:autoSpaceDN w:val="0"/>
        <w:adjustRightInd w:val="0"/>
        <w:spacing w:after="0" w:line="240" w:lineRule="auto"/>
        <w:jc w:val="both"/>
        <w:rPr>
          <w:rFonts w:ascii="Arial" w:hAnsi="Arial" w:cs="Arial"/>
          <w:color w:val="000000"/>
          <w:sz w:val="24"/>
          <w:szCs w:val="24"/>
        </w:rPr>
      </w:pPr>
    </w:p>
    <w:p w14:paraId="22BA4F6F" w14:textId="77777777"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80" w:name="_Toc496107749"/>
      <w:bookmarkStart w:id="81" w:name="_Toc527987337"/>
      <w:bookmarkStart w:id="82" w:name="_Toc527983884"/>
      <w:bookmarkStart w:id="83" w:name="_Toc530487267"/>
      <w:bookmarkStart w:id="84" w:name="_Toc535908135"/>
      <w:r w:rsidRPr="00DB7156">
        <w:rPr>
          <w:rFonts w:ascii="Arial" w:hAnsi="Arial" w:cs="Arial"/>
          <w:b/>
          <w:bCs/>
          <w:color w:val="000080"/>
          <w:sz w:val="24"/>
          <w:szCs w:val="24"/>
        </w:rPr>
        <w:t>2.</w:t>
      </w:r>
      <w:r w:rsidR="0081596B" w:rsidRPr="00DB7156">
        <w:rPr>
          <w:rFonts w:ascii="Arial" w:hAnsi="Arial" w:cs="Arial"/>
          <w:b/>
          <w:bCs/>
          <w:color w:val="000080"/>
          <w:sz w:val="24"/>
          <w:szCs w:val="24"/>
        </w:rPr>
        <w:t>10</w:t>
      </w:r>
      <w:r w:rsidRPr="00DB7156">
        <w:rPr>
          <w:rFonts w:ascii="Arial" w:hAnsi="Arial" w:cs="Arial"/>
          <w:b/>
          <w:bCs/>
          <w:color w:val="000080"/>
          <w:sz w:val="24"/>
          <w:szCs w:val="24"/>
        </w:rPr>
        <w:tab/>
        <w:t xml:space="preserve">Georgia Multipollutant Rule and Georgia </w:t>
      </w:r>
      <w:r w:rsidR="000E5661" w:rsidRPr="00DB7156">
        <w:rPr>
          <w:rFonts w:ascii="Arial" w:hAnsi="Arial" w:cs="Arial"/>
          <w:b/>
          <w:bCs/>
          <w:color w:val="000080"/>
          <w:sz w:val="24"/>
          <w:szCs w:val="24"/>
        </w:rPr>
        <w:t>SO</w:t>
      </w:r>
      <w:r w:rsidR="000E5661" w:rsidRPr="00DB7156">
        <w:rPr>
          <w:rFonts w:ascii="Arial" w:hAnsi="Arial" w:cs="Arial"/>
          <w:b/>
          <w:bCs/>
          <w:color w:val="000080"/>
          <w:sz w:val="24"/>
          <w:szCs w:val="24"/>
          <w:vertAlign w:val="subscript"/>
        </w:rPr>
        <w:t>2</w:t>
      </w:r>
      <w:r w:rsidR="000E5661" w:rsidRPr="00DB7156">
        <w:rPr>
          <w:rFonts w:ascii="Arial" w:hAnsi="Arial" w:cs="Arial"/>
          <w:b/>
          <w:bCs/>
          <w:color w:val="000080"/>
          <w:sz w:val="24"/>
          <w:szCs w:val="24"/>
        </w:rPr>
        <w:t xml:space="preserve"> Emissions </w:t>
      </w:r>
      <w:r w:rsidRPr="00DB7156">
        <w:rPr>
          <w:rFonts w:ascii="Arial" w:hAnsi="Arial" w:cs="Arial"/>
          <w:b/>
          <w:bCs/>
          <w:color w:val="000080"/>
          <w:sz w:val="24"/>
          <w:szCs w:val="24"/>
        </w:rPr>
        <w:t>Rule</w:t>
      </w:r>
      <w:bookmarkEnd w:id="80"/>
      <w:bookmarkEnd w:id="81"/>
      <w:bookmarkEnd w:id="82"/>
      <w:bookmarkEnd w:id="83"/>
      <w:bookmarkEnd w:id="84"/>
    </w:p>
    <w:p w14:paraId="6879AA62" w14:textId="77777777" w:rsidR="00AE04EE" w:rsidRPr="00DB7156" w:rsidRDefault="00AE04EE" w:rsidP="00DB7156">
      <w:pPr>
        <w:autoSpaceDE w:val="0"/>
        <w:autoSpaceDN w:val="0"/>
        <w:adjustRightInd w:val="0"/>
        <w:spacing w:after="0" w:line="240" w:lineRule="auto"/>
        <w:jc w:val="both"/>
        <w:rPr>
          <w:rFonts w:ascii="Arial" w:hAnsi="Arial" w:cs="Arial"/>
          <w:sz w:val="24"/>
          <w:szCs w:val="24"/>
        </w:rPr>
      </w:pPr>
    </w:p>
    <w:p w14:paraId="22BA4F71" w14:textId="0199E1B1" w:rsidR="000E5661" w:rsidRPr="00DB7156" w:rsidRDefault="000E5661"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In response to federal</w:t>
      </w:r>
      <w:r w:rsidR="00802D7F" w:rsidRPr="00DB7156">
        <w:rPr>
          <w:rFonts w:ascii="Arial" w:hAnsi="Arial" w:cs="Arial"/>
          <w:sz w:val="24"/>
          <w:szCs w:val="24"/>
        </w:rPr>
        <w:t xml:space="preserve"> environmental</w:t>
      </w:r>
      <w:r w:rsidRPr="00DB7156">
        <w:rPr>
          <w:rFonts w:ascii="Arial" w:hAnsi="Arial" w:cs="Arial"/>
          <w:sz w:val="24"/>
          <w:szCs w:val="24"/>
        </w:rPr>
        <w:t xml:space="preserve"> rules as well as state-specific objectives, the </w:t>
      </w:r>
      <w:r w:rsidR="001D2566" w:rsidRPr="00DB7156">
        <w:rPr>
          <w:rFonts w:ascii="Arial" w:hAnsi="Arial" w:cs="Arial"/>
          <w:sz w:val="24"/>
          <w:szCs w:val="24"/>
        </w:rPr>
        <w:t>s</w:t>
      </w:r>
      <w:r w:rsidRPr="00DB7156">
        <w:rPr>
          <w:rFonts w:ascii="Arial" w:hAnsi="Arial" w:cs="Arial"/>
          <w:sz w:val="24"/>
          <w:szCs w:val="24"/>
        </w:rPr>
        <w:t>tate of Georgia implemented a set of state rules governing emissions</w:t>
      </w:r>
      <w:r w:rsidR="00707144" w:rsidRPr="00DB7156">
        <w:rPr>
          <w:rFonts w:ascii="Arial" w:hAnsi="Arial" w:cs="Arial"/>
          <w:sz w:val="24"/>
          <w:szCs w:val="24"/>
        </w:rPr>
        <w:t xml:space="preserve"> from</w:t>
      </w:r>
      <w:r w:rsidRPr="00DB7156">
        <w:rPr>
          <w:rFonts w:ascii="Arial" w:hAnsi="Arial" w:cs="Arial"/>
          <w:sz w:val="24"/>
          <w:szCs w:val="24"/>
        </w:rPr>
        <w:t xml:space="preserve"> coal-fired power plants. The Georgia Multipollutant Rule was finalized in June 2007, while the Georgia SO</w:t>
      </w:r>
      <w:r w:rsidRPr="00DB7156">
        <w:rPr>
          <w:rFonts w:ascii="Arial" w:hAnsi="Arial" w:cs="Arial"/>
          <w:sz w:val="24"/>
          <w:szCs w:val="24"/>
          <w:vertAlign w:val="subscript"/>
        </w:rPr>
        <w:t>2</w:t>
      </w:r>
      <w:r w:rsidRPr="00DB7156">
        <w:rPr>
          <w:rFonts w:ascii="Arial" w:hAnsi="Arial" w:cs="Arial"/>
          <w:sz w:val="24"/>
          <w:szCs w:val="24"/>
        </w:rPr>
        <w:t xml:space="preserve"> Emis</w:t>
      </w:r>
      <w:r w:rsidR="00A34BB1" w:rsidRPr="00DB7156">
        <w:rPr>
          <w:rFonts w:ascii="Arial" w:hAnsi="Arial" w:cs="Arial"/>
          <w:sz w:val="24"/>
          <w:szCs w:val="24"/>
        </w:rPr>
        <w:t>sions Rule was finalized in January</w:t>
      </w:r>
      <w:r w:rsidRPr="00DB7156">
        <w:rPr>
          <w:rFonts w:ascii="Arial" w:hAnsi="Arial" w:cs="Arial"/>
          <w:sz w:val="24"/>
          <w:szCs w:val="24"/>
        </w:rPr>
        <w:t xml:space="preserve"> 2009. Both rules require </w:t>
      </w:r>
      <w:r w:rsidR="005C27D3" w:rsidRPr="00DB7156">
        <w:rPr>
          <w:rFonts w:ascii="Arial" w:hAnsi="Arial" w:cs="Arial"/>
          <w:sz w:val="24"/>
          <w:szCs w:val="24"/>
        </w:rPr>
        <w:t xml:space="preserve">the installation and operation of certain </w:t>
      </w:r>
      <w:r w:rsidRPr="00DB7156">
        <w:rPr>
          <w:rFonts w:ascii="Arial" w:hAnsi="Arial" w:cs="Arial"/>
          <w:sz w:val="24"/>
          <w:szCs w:val="24"/>
        </w:rPr>
        <w:t xml:space="preserve">emission controls on all of the larger coal-fired </w:t>
      </w:r>
      <w:r w:rsidR="002308B3" w:rsidRPr="00DB7156">
        <w:rPr>
          <w:rFonts w:ascii="Arial" w:hAnsi="Arial" w:cs="Arial"/>
          <w:sz w:val="24"/>
          <w:szCs w:val="24"/>
        </w:rPr>
        <w:t xml:space="preserve">electric generating </w:t>
      </w:r>
      <w:r w:rsidRPr="00DB7156">
        <w:rPr>
          <w:rFonts w:ascii="Arial" w:hAnsi="Arial" w:cs="Arial"/>
          <w:sz w:val="24"/>
          <w:szCs w:val="24"/>
        </w:rPr>
        <w:t xml:space="preserve">units in the state by specific dates.    </w:t>
      </w:r>
    </w:p>
    <w:p w14:paraId="22BA4F72" w14:textId="77777777" w:rsidR="000E5661" w:rsidRPr="00DB7156" w:rsidRDefault="000E5661" w:rsidP="00DB7156">
      <w:pPr>
        <w:autoSpaceDE w:val="0"/>
        <w:autoSpaceDN w:val="0"/>
        <w:adjustRightInd w:val="0"/>
        <w:spacing w:after="0" w:line="240" w:lineRule="auto"/>
        <w:jc w:val="both"/>
        <w:rPr>
          <w:rFonts w:ascii="Arial" w:hAnsi="Arial" w:cs="Arial"/>
          <w:sz w:val="24"/>
          <w:szCs w:val="24"/>
        </w:rPr>
      </w:pPr>
    </w:p>
    <w:p w14:paraId="22BA4F73" w14:textId="398A001C" w:rsidR="00E45DE0" w:rsidRPr="00DB7156" w:rsidRDefault="00FC67F9"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The </w:t>
      </w:r>
      <w:r w:rsidR="000E5661" w:rsidRPr="00DB7156">
        <w:rPr>
          <w:rFonts w:ascii="Arial" w:hAnsi="Arial" w:cs="Arial"/>
          <w:sz w:val="24"/>
          <w:szCs w:val="24"/>
        </w:rPr>
        <w:t>Georgia Multipollutant R</w:t>
      </w:r>
      <w:r w:rsidRPr="00DB7156">
        <w:rPr>
          <w:rFonts w:ascii="Arial" w:hAnsi="Arial" w:cs="Arial"/>
          <w:sz w:val="24"/>
          <w:szCs w:val="24"/>
        </w:rPr>
        <w:t xml:space="preserve">ule </w:t>
      </w:r>
      <w:r w:rsidR="00707144" w:rsidRPr="00DB7156">
        <w:rPr>
          <w:rFonts w:ascii="Arial" w:hAnsi="Arial" w:cs="Arial"/>
          <w:sz w:val="24"/>
          <w:szCs w:val="24"/>
        </w:rPr>
        <w:t>wa</w:t>
      </w:r>
      <w:r w:rsidRPr="00DB7156">
        <w:rPr>
          <w:rFonts w:ascii="Arial" w:hAnsi="Arial" w:cs="Arial"/>
          <w:sz w:val="24"/>
          <w:szCs w:val="24"/>
        </w:rPr>
        <w:t xml:space="preserve">s designed to reduce emissions of mercury, </w:t>
      </w:r>
      <w:r w:rsidR="00802D7F" w:rsidRPr="00DB7156">
        <w:rPr>
          <w:rFonts w:ascii="Arial" w:hAnsi="Arial" w:cs="Arial"/>
          <w:sz w:val="24"/>
          <w:szCs w:val="24"/>
        </w:rPr>
        <w:t>SO</w:t>
      </w:r>
      <w:r w:rsidR="00802D7F" w:rsidRPr="00DB7156">
        <w:rPr>
          <w:rFonts w:ascii="Arial" w:hAnsi="Arial" w:cs="Arial"/>
          <w:sz w:val="24"/>
          <w:szCs w:val="24"/>
          <w:vertAlign w:val="subscript"/>
        </w:rPr>
        <w:t>2</w:t>
      </w:r>
      <w:r w:rsidRPr="00DB7156">
        <w:rPr>
          <w:rFonts w:ascii="Arial" w:hAnsi="Arial" w:cs="Arial"/>
          <w:sz w:val="24"/>
          <w:szCs w:val="24"/>
        </w:rPr>
        <w:t xml:space="preserve">, and </w:t>
      </w:r>
      <w:r w:rsidR="00802D7F" w:rsidRPr="00DB7156">
        <w:rPr>
          <w:rFonts w:ascii="Arial" w:hAnsi="Arial" w:cs="Arial"/>
          <w:sz w:val="24"/>
          <w:szCs w:val="24"/>
        </w:rPr>
        <w:t>NOx</w:t>
      </w:r>
      <w:r w:rsidRPr="00DB7156">
        <w:rPr>
          <w:rFonts w:ascii="Arial" w:hAnsi="Arial" w:cs="Arial"/>
          <w:sz w:val="24"/>
          <w:szCs w:val="24"/>
        </w:rPr>
        <w:t xml:space="preserve"> state-wide by requiring installation of specified control technologies at each affected unit by specific dates</w:t>
      </w:r>
      <w:r w:rsidR="00707144" w:rsidRPr="00DB7156">
        <w:rPr>
          <w:rFonts w:ascii="Arial" w:hAnsi="Arial" w:cs="Arial"/>
          <w:sz w:val="24"/>
          <w:szCs w:val="24"/>
        </w:rPr>
        <w:t xml:space="preserve"> originally</w:t>
      </w:r>
      <w:r w:rsidRPr="00DB7156">
        <w:rPr>
          <w:rFonts w:ascii="Arial" w:hAnsi="Arial" w:cs="Arial"/>
          <w:sz w:val="24"/>
          <w:szCs w:val="24"/>
        </w:rPr>
        <w:t xml:space="preserve"> set between December 31, 2008, and </w:t>
      </w:r>
      <w:r w:rsidR="00707144" w:rsidRPr="00DB7156">
        <w:rPr>
          <w:rFonts w:ascii="Arial" w:hAnsi="Arial" w:cs="Arial"/>
          <w:sz w:val="24"/>
          <w:szCs w:val="24"/>
        </w:rPr>
        <w:t>June 1</w:t>
      </w:r>
      <w:r w:rsidRPr="00DB7156">
        <w:rPr>
          <w:rFonts w:ascii="Arial" w:hAnsi="Arial" w:cs="Arial"/>
          <w:sz w:val="24"/>
          <w:szCs w:val="24"/>
        </w:rPr>
        <w:t>, 2015. This rule require</w:t>
      </w:r>
      <w:r w:rsidR="00985A7B" w:rsidRPr="00DB7156">
        <w:rPr>
          <w:rFonts w:ascii="Arial" w:hAnsi="Arial" w:cs="Arial"/>
          <w:sz w:val="24"/>
          <w:szCs w:val="24"/>
        </w:rPr>
        <w:t>s</w:t>
      </w:r>
      <w:r w:rsidRPr="00DB7156">
        <w:rPr>
          <w:rFonts w:ascii="Arial" w:hAnsi="Arial" w:cs="Arial"/>
          <w:sz w:val="24"/>
          <w:szCs w:val="24"/>
        </w:rPr>
        <w:t xml:space="preserve"> the installation </w:t>
      </w:r>
      <w:r w:rsidR="005438B4" w:rsidRPr="00DB7156">
        <w:rPr>
          <w:rFonts w:ascii="Arial" w:hAnsi="Arial" w:cs="Arial"/>
          <w:sz w:val="24"/>
          <w:szCs w:val="24"/>
        </w:rPr>
        <w:t xml:space="preserve">and operation </w:t>
      </w:r>
      <w:r w:rsidRPr="00DB7156">
        <w:rPr>
          <w:rFonts w:ascii="Arial" w:hAnsi="Arial" w:cs="Arial"/>
          <w:sz w:val="24"/>
          <w:szCs w:val="24"/>
        </w:rPr>
        <w:t>of SCRs for NO</w:t>
      </w:r>
      <w:r w:rsidRPr="00DB7156">
        <w:rPr>
          <w:rFonts w:ascii="Arial" w:hAnsi="Arial" w:cs="Arial"/>
          <w:sz w:val="24"/>
          <w:szCs w:val="24"/>
          <w:vertAlign w:val="subscript"/>
        </w:rPr>
        <w:t>X</w:t>
      </w:r>
      <w:r w:rsidRPr="00DB7156">
        <w:rPr>
          <w:rFonts w:ascii="Arial" w:hAnsi="Arial" w:cs="Arial"/>
          <w:sz w:val="24"/>
          <w:szCs w:val="24"/>
        </w:rPr>
        <w:t xml:space="preserve"> reduction and </w:t>
      </w:r>
      <w:r w:rsidR="0044567E">
        <w:rPr>
          <w:rFonts w:ascii="Arial" w:hAnsi="Arial" w:cs="Arial"/>
          <w:sz w:val="24"/>
          <w:szCs w:val="24"/>
        </w:rPr>
        <w:t>FGD</w:t>
      </w:r>
      <w:r w:rsidRPr="00DB7156">
        <w:rPr>
          <w:rFonts w:ascii="Arial" w:hAnsi="Arial" w:cs="Arial"/>
          <w:sz w:val="24"/>
          <w:szCs w:val="24"/>
        </w:rPr>
        <w:t>s for SO</w:t>
      </w:r>
      <w:r w:rsidRPr="00DB7156">
        <w:rPr>
          <w:rFonts w:ascii="Arial" w:hAnsi="Arial" w:cs="Arial"/>
          <w:sz w:val="24"/>
          <w:szCs w:val="24"/>
          <w:vertAlign w:val="subscript"/>
        </w:rPr>
        <w:t>2</w:t>
      </w:r>
      <w:r w:rsidRPr="00DB7156">
        <w:rPr>
          <w:rFonts w:ascii="Arial" w:hAnsi="Arial" w:cs="Arial"/>
          <w:sz w:val="24"/>
          <w:szCs w:val="24"/>
        </w:rPr>
        <w:t xml:space="preserve"> reduction on the majori</w:t>
      </w:r>
      <w:r w:rsidR="00720831" w:rsidRPr="00DB7156">
        <w:rPr>
          <w:rFonts w:ascii="Arial" w:hAnsi="Arial" w:cs="Arial"/>
          <w:sz w:val="24"/>
          <w:szCs w:val="24"/>
        </w:rPr>
        <w:t xml:space="preserve">ty of </w:t>
      </w:r>
      <w:r w:rsidR="00C30EC4" w:rsidRPr="00DB7156">
        <w:rPr>
          <w:rFonts w:ascii="Arial" w:hAnsi="Arial" w:cs="Arial"/>
          <w:sz w:val="24"/>
          <w:szCs w:val="24"/>
        </w:rPr>
        <w:t>Georgia Power’</w:t>
      </w:r>
      <w:r w:rsidR="00720831" w:rsidRPr="00DB7156">
        <w:rPr>
          <w:rFonts w:ascii="Arial" w:hAnsi="Arial" w:cs="Arial"/>
          <w:sz w:val="24"/>
          <w:szCs w:val="24"/>
        </w:rPr>
        <w:t xml:space="preserve">s coal-fired units. </w:t>
      </w:r>
      <w:r w:rsidRPr="00DB7156">
        <w:rPr>
          <w:rFonts w:ascii="Arial" w:hAnsi="Arial" w:cs="Arial"/>
          <w:sz w:val="24"/>
          <w:szCs w:val="24"/>
        </w:rPr>
        <w:t>The rule also require</w:t>
      </w:r>
      <w:r w:rsidR="00985A7B" w:rsidRPr="00DB7156">
        <w:rPr>
          <w:rFonts w:ascii="Arial" w:hAnsi="Arial" w:cs="Arial"/>
          <w:sz w:val="24"/>
          <w:szCs w:val="24"/>
        </w:rPr>
        <w:t>s</w:t>
      </w:r>
      <w:r w:rsidRPr="00DB7156">
        <w:rPr>
          <w:rFonts w:ascii="Arial" w:hAnsi="Arial" w:cs="Arial"/>
          <w:sz w:val="24"/>
          <w:szCs w:val="24"/>
        </w:rPr>
        <w:t xml:space="preserve"> installation and operation of baghouses with sorbent injection at Plant Scherer for mercury control.</w:t>
      </w:r>
      <w:r w:rsidR="0005400F" w:rsidRPr="00DB7156">
        <w:rPr>
          <w:rFonts w:ascii="Arial" w:hAnsi="Arial" w:cs="Arial"/>
          <w:sz w:val="24"/>
          <w:szCs w:val="24"/>
        </w:rPr>
        <w:t xml:space="preserve">  </w:t>
      </w:r>
    </w:p>
    <w:p w14:paraId="22BA4F74" w14:textId="77777777" w:rsidR="008D24BD" w:rsidRPr="00DB7156" w:rsidRDefault="008D24BD" w:rsidP="00DB7156">
      <w:pPr>
        <w:autoSpaceDE w:val="0"/>
        <w:autoSpaceDN w:val="0"/>
        <w:adjustRightInd w:val="0"/>
        <w:spacing w:after="0" w:line="240" w:lineRule="auto"/>
        <w:jc w:val="both"/>
        <w:rPr>
          <w:rFonts w:ascii="Arial" w:hAnsi="Arial" w:cs="Arial"/>
          <w:sz w:val="24"/>
          <w:szCs w:val="24"/>
        </w:rPr>
      </w:pPr>
    </w:p>
    <w:p w14:paraId="22BA4F75" w14:textId="026571A1" w:rsidR="00FC67F9" w:rsidRPr="00DB7156" w:rsidRDefault="0005400F"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The Georgia SO</w:t>
      </w:r>
      <w:r w:rsidRPr="00DB7156">
        <w:rPr>
          <w:rFonts w:ascii="Arial" w:hAnsi="Arial" w:cs="Arial"/>
          <w:sz w:val="24"/>
          <w:szCs w:val="24"/>
          <w:vertAlign w:val="subscript"/>
        </w:rPr>
        <w:t>2</w:t>
      </w:r>
      <w:r w:rsidRPr="00DB7156">
        <w:rPr>
          <w:rFonts w:ascii="Arial" w:hAnsi="Arial" w:cs="Arial"/>
          <w:sz w:val="24"/>
          <w:szCs w:val="24"/>
        </w:rPr>
        <w:t xml:space="preserve"> Emissions Rule</w:t>
      </w:r>
      <w:r w:rsidR="00707144" w:rsidRPr="00DB7156">
        <w:rPr>
          <w:rFonts w:ascii="Arial" w:hAnsi="Arial" w:cs="Arial"/>
          <w:sz w:val="24"/>
          <w:szCs w:val="24"/>
        </w:rPr>
        <w:t xml:space="preserve"> was designed to be</w:t>
      </w:r>
      <w:r w:rsidR="00FC67F9" w:rsidRPr="00DB7156">
        <w:rPr>
          <w:rFonts w:ascii="Arial" w:hAnsi="Arial" w:cs="Arial"/>
          <w:sz w:val="24"/>
          <w:szCs w:val="24"/>
        </w:rPr>
        <w:t xml:space="preserve"> a companion rule</w:t>
      </w:r>
      <w:r w:rsidR="00B7348D">
        <w:rPr>
          <w:rFonts w:ascii="Arial" w:hAnsi="Arial" w:cs="Arial"/>
          <w:sz w:val="24"/>
          <w:szCs w:val="24"/>
        </w:rPr>
        <w:t xml:space="preserve"> to the Georgia Multipollutant R</w:t>
      </w:r>
      <w:r w:rsidR="00FC67F9" w:rsidRPr="00DB7156">
        <w:rPr>
          <w:rFonts w:ascii="Arial" w:hAnsi="Arial" w:cs="Arial"/>
          <w:sz w:val="24"/>
          <w:szCs w:val="24"/>
        </w:rPr>
        <w:t>ule</w:t>
      </w:r>
      <w:r w:rsidRPr="00DB7156">
        <w:rPr>
          <w:rFonts w:ascii="Arial" w:hAnsi="Arial" w:cs="Arial"/>
          <w:sz w:val="24"/>
          <w:szCs w:val="24"/>
        </w:rPr>
        <w:t>.</w:t>
      </w:r>
      <w:r w:rsidR="00FC67F9" w:rsidRPr="00DB7156">
        <w:rPr>
          <w:rFonts w:ascii="Arial" w:hAnsi="Arial" w:cs="Arial"/>
          <w:sz w:val="24"/>
          <w:szCs w:val="24"/>
        </w:rPr>
        <w:t xml:space="preserve"> The rule require</w:t>
      </w:r>
      <w:r w:rsidR="00985A7B" w:rsidRPr="00DB7156">
        <w:rPr>
          <w:rFonts w:ascii="Arial" w:hAnsi="Arial" w:cs="Arial"/>
          <w:sz w:val="24"/>
          <w:szCs w:val="24"/>
        </w:rPr>
        <w:t>s</w:t>
      </w:r>
      <w:r w:rsidR="00FC67F9" w:rsidRPr="00DB7156">
        <w:rPr>
          <w:rFonts w:ascii="Arial" w:hAnsi="Arial" w:cs="Arial"/>
          <w:sz w:val="24"/>
          <w:szCs w:val="24"/>
        </w:rPr>
        <w:t xml:space="preserve"> reduction of SO</w:t>
      </w:r>
      <w:r w:rsidR="00FC67F9" w:rsidRPr="00DB7156">
        <w:rPr>
          <w:rFonts w:ascii="Arial" w:hAnsi="Arial" w:cs="Arial"/>
          <w:sz w:val="24"/>
          <w:szCs w:val="24"/>
          <w:vertAlign w:val="subscript"/>
        </w:rPr>
        <w:t>2</w:t>
      </w:r>
      <w:r w:rsidR="00FC67F9" w:rsidRPr="00DB7156">
        <w:rPr>
          <w:rFonts w:ascii="Arial" w:hAnsi="Arial" w:cs="Arial"/>
          <w:sz w:val="24"/>
          <w:szCs w:val="24"/>
        </w:rPr>
        <w:t xml:space="preserve"> emissions by 95% from all units required to install </w:t>
      </w:r>
      <w:r w:rsidR="0044567E">
        <w:rPr>
          <w:rFonts w:ascii="Arial" w:hAnsi="Arial" w:cs="Arial"/>
          <w:sz w:val="24"/>
          <w:szCs w:val="24"/>
        </w:rPr>
        <w:t>FGD</w:t>
      </w:r>
      <w:r w:rsidR="00FC67F9" w:rsidRPr="00DB7156">
        <w:rPr>
          <w:rFonts w:ascii="Arial" w:hAnsi="Arial" w:cs="Arial"/>
          <w:sz w:val="24"/>
          <w:szCs w:val="24"/>
        </w:rPr>
        <w:t xml:space="preserve">s under the Georgia Multipollutant Rule, except </w:t>
      </w:r>
      <w:r w:rsidR="00EE4750">
        <w:rPr>
          <w:rFonts w:ascii="Arial" w:hAnsi="Arial" w:cs="Arial"/>
          <w:sz w:val="24"/>
          <w:szCs w:val="24"/>
        </w:rPr>
        <w:t xml:space="preserve">Plant </w:t>
      </w:r>
      <w:r w:rsidR="00FC67F9" w:rsidRPr="00DB7156">
        <w:rPr>
          <w:rFonts w:ascii="Arial" w:hAnsi="Arial" w:cs="Arial"/>
          <w:sz w:val="24"/>
          <w:szCs w:val="24"/>
        </w:rPr>
        <w:t xml:space="preserve">Yates Unit 1 where a 90% reduction </w:t>
      </w:r>
      <w:r w:rsidR="00985A7B" w:rsidRPr="00DB7156">
        <w:rPr>
          <w:rFonts w:ascii="Arial" w:hAnsi="Arial" w:cs="Arial"/>
          <w:sz w:val="24"/>
          <w:szCs w:val="24"/>
        </w:rPr>
        <w:t xml:space="preserve">was </w:t>
      </w:r>
      <w:r w:rsidR="00FC67F9" w:rsidRPr="00DB7156">
        <w:rPr>
          <w:rFonts w:ascii="Arial" w:hAnsi="Arial" w:cs="Arial"/>
          <w:sz w:val="24"/>
          <w:szCs w:val="24"/>
        </w:rPr>
        <w:t xml:space="preserve">required. The rule </w:t>
      </w:r>
      <w:r w:rsidR="00AA2A9D" w:rsidRPr="00DB7156">
        <w:rPr>
          <w:rFonts w:ascii="Arial" w:hAnsi="Arial" w:cs="Arial"/>
          <w:sz w:val="24"/>
          <w:szCs w:val="24"/>
        </w:rPr>
        <w:t>required compliance beginning</w:t>
      </w:r>
      <w:r w:rsidR="00FC67F9" w:rsidRPr="00DB7156">
        <w:rPr>
          <w:rFonts w:ascii="Arial" w:hAnsi="Arial" w:cs="Arial"/>
          <w:sz w:val="24"/>
          <w:szCs w:val="24"/>
        </w:rPr>
        <w:t xml:space="preserve"> in January 2010 for units with </w:t>
      </w:r>
      <w:r w:rsidR="0044567E">
        <w:rPr>
          <w:rFonts w:ascii="Arial" w:hAnsi="Arial" w:cs="Arial"/>
          <w:sz w:val="24"/>
          <w:szCs w:val="24"/>
        </w:rPr>
        <w:t>FGD</w:t>
      </w:r>
      <w:r w:rsidR="00FC67F9" w:rsidRPr="00DB7156">
        <w:rPr>
          <w:rFonts w:ascii="Arial" w:hAnsi="Arial" w:cs="Arial"/>
          <w:sz w:val="24"/>
          <w:szCs w:val="24"/>
        </w:rPr>
        <w:t xml:space="preserve">s in operation, and requires reductions from the remaining units at dates that align with or are close to the Multipollutant Rule compliance dates.   </w:t>
      </w:r>
    </w:p>
    <w:p w14:paraId="22BA4F76" w14:textId="77777777" w:rsidR="00FC67F9" w:rsidRPr="00DB7156" w:rsidRDefault="00FC67F9" w:rsidP="00DB7156">
      <w:pPr>
        <w:autoSpaceDE w:val="0"/>
        <w:autoSpaceDN w:val="0"/>
        <w:adjustRightInd w:val="0"/>
        <w:spacing w:after="0" w:line="240" w:lineRule="auto"/>
        <w:jc w:val="both"/>
        <w:rPr>
          <w:rFonts w:ascii="Arial" w:hAnsi="Arial" w:cs="Arial"/>
          <w:sz w:val="16"/>
          <w:szCs w:val="16"/>
        </w:rPr>
      </w:pPr>
    </w:p>
    <w:p w14:paraId="22BA4F77" w14:textId="3828313F" w:rsidR="003F0C90" w:rsidRPr="00DB7156" w:rsidRDefault="00FC67F9"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In June 2011, revisions to both the Georgia Multi</w:t>
      </w:r>
      <w:r w:rsidR="00E45DE0" w:rsidRPr="00DB7156">
        <w:rPr>
          <w:rFonts w:ascii="Arial" w:hAnsi="Arial" w:cs="Arial"/>
          <w:sz w:val="24"/>
          <w:szCs w:val="24"/>
        </w:rPr>
        <w:t>p</w:t>
      </w:r>
      <w:r w:rsidRPr="00DB7156">
        <w:rPr>
          <w:rFonts w:ascii="Arial" w:hAnsi="Arial" w:cs="Arial"/>
          <w:sz w:val="24"/>
          <w:szCs w:val="24"/>
        </w:rPr>
        <w:t xml:space="preserve">ollutant Rule and Georgia </w:t>
      </w:r>
      <w:r w:rsidR="00707144" w:rsidRPr="00DB7156">
        <w:rPr>
          <w:rFonts w:ascii="Arial" w:hAnsi="Arial" w:cs="Arial"/>
          <w:sz w:val="24"/>
          <w:szCs w:val="24"/>
        </w:rPr>
        <w:t>SO</w:t>
      </w:r>
      <w:r w:rsidR="00707144" w:rsidRPr="00DB7156">
        <w:rPr>
          <w:rFonts w:ascii="Arial" w:hAnsi="Arial" w:cs="Arial"/>
          <w:sz w:val="24"/>
          <w:szCs w:val="24"/>
          <w:vertAlign w:val="subscript"/>
        </w:rPr>
        <w:t>2</w:t>
      </w:r>
      <w:r w:rsidR="00707144" w:rsidRPr="00DB7156">
        <w:rPr>
          <w:rFonts w:ascii="Arial" w:hAnsi="Arial" w:cs="Arial"/>
          <w:sz w:val="24"/>
          <w:szCs w:val="24"/>
        </w:rPr>
        <w:t xml:space="preserve"> Emissions </w:t>
      </w:r>
      <w:r w:rsidRPr="00DB7156">
        <w:rPr>
          <w:rFonts w:ascii="Arial" w:hAnsi="Arial" w:cs="Arial"/>
          <w:sz w:val="24"/>
          <w:szCs w:val="24"/>
        </w:rPr>
        <w:t xml:space="preserve">Rule were approved by the Georgia Department of Natural Resources. </w:t>
      </w:r>
      <w:r w:rsidR="005C27D3" w:rsidRPr="00DB7156">
        <w:rPr>
          <w:rFonts w:ascii="Arial" w:hAnsi="Arial" w:cs="Arial"/>
          <w:sz w:val="24"/>
          <w:szCs w:val="24"/>
        </w:rPr>
        <w:t xml:space="preserve">These revisions moved up the </w:t>
      </w:r>
      <w:r w:rsidR="0044567E">
        <w:rPr>
          <w:rFonts w:ascii="Arial" w:hAnsi="Arial" w:cs="Arial"/>
          <w:sz w:val="24"/>
          <w:szCs w:val="24"/>
        </w:rPr>
        <w:t>FGD</w:t>
      </w:r>
      <w:r w:rsidR="005C27D3" w:rsidRPr="00DB7156">
        <w:rPr>
          <w:rFonts w:ascii="Arial" w:hAnsi="Arial" w:cs="Arial"/>
          <w:sz w:val="24"/>
          <w:szCs w:val="24"/>
        </w:rPr>
        <w:t xml:space="preserve"> and SCR compliance dates </w:t>
      </w:r>
      <w:r w:rsidR="008D0F10" w:rsidRPr="00DB7156">
        <w:rPr>
          <w:rFonts w:ascii="Arial" w:hAnsi="Arial" w:cs="Arial"/>
          <w:sz w:val="24"/>
          <w:szCs w:val="24"/>
        </w:rPr>
        <w:t>and also</w:t>
      </w:r>
      <w:r w:rsidR="00263EB6" w:rsidRPr="00DB7156">
        <w:rPr>
          <w:rFonts w:ascii="Arial" w:hAnsi="Arial" w:cs="Arial"/>
          <w:sz w:val="24"/>
          <w:szCs w:val="24"/>
        </w:rPr>
        <w:t xml:space="preserve"> allowed for additional time to install controls </w:t>
      </w:r>
      <w:r w:rsidR="00F02DC2" w:rsidRPr="00DB7156">
        <w:rPr>
          <w:rFonts w:ascii="Arial" w:hAnsi="Arial" w:cs="Arial"/>
          <w:sz w:val="24"/>
          <w:szCs w:val="24"/>
        </w:rPr>
        <w:t>in an attempt to streamline the compliance deadlines in the state rules with</w:t>
      </w:r>
      <w:r w:rsidR="00263EB6" w:rsidRPr="00DB7156">
        <w:rPr>
          <w:rFonts w:ascii="Arial" w:hAnsi="Arial" w:cs="Arial"/>
          <w:sz w:val="24"/>
          <w:szCs w:val="24"/>
        </w:rPr>
        <w:t xml:space="preserve"> the new MATS </w:t>
      </w:r>
      <w:r w:rsidR="00B7348D">
        <w:rPr>
          <w:rFonts w:ascii="Arial" w:hAnsi="Arial" w:cs="Arial"/>
          <w:sz w:val="24"/>
          <w:szCs w:val="24"/>
        </w:rPr>
        <w:t>R</w:t>
      </w:r>
      <w:r w:rsidR="00263EB6" w:rsidRPr="00DB7156">
        <w:rPr>
          <w:rFonts w:ascii="Arial" w:hAnsi="Arial" w:cs="Arial"/>
          <w:sz w:val="24"/>
          <w:szCs w:val="24"/>
        </w:rPr>
        <w:t>ule</w:t>
      </w:r>
      <w:r w:rsidR="001570BB" w:rsidRPr="00DB7156">
        <w:rPr>
          <w:rFonts w:ascii="Arial" w:hAnsi="Arial" w:cs="Arial"/>
          <w:sz w:val="24"/>
          <w:szCs w:val="24"/>
        </w:rPr>
        <w:t>, which was not yet final at the time</w:t>
      </w:r>
      <w:r w:rsidRPr="00DB7156">
        <w:rPr>
          <w:rFonts w:ascii="Arial" w:hAnsi="Arial" w:cs="Arial"/>
          <w:sz w:val="24"/>
          <w:szCs w:val="24"/>
        </w:rPr>
        <w:t>.</w:t>
      </w:r>
      <w:r w:rsidR="005C27D3" w:rsidRPr="00DB7156">
        <w:rPr>
          <w:rFonts w:ascii="Arial" w:hAnsi="Arial" w:cs="Arial"/>
          <w:sz w:val="24"/>
          <w:szCs w:val="24"/>
        </w:rPr>
        <w:t xml:space="preserve"> This change allow</w:t>
      </w:r>
      <w:r w:rsidR="00802D7F" w:rsidRPr="00DB7156">
        <w:rPr>
          <w:rFonts w:ascii="Arial" w:hAnsi="Arial" w:cs="Arial"/>
          <w:sz w:val="24"/>
          <w:szCs w:val="24"/>
        </w:rPr>
        <w:t>ed the Company to</w:t>
      </w:r>
      <w:r w:rsidR="005C27D3" w:rsidRPr="00DB7156">
        <w:rPr>
          <w:rFonts w:ascii="Arial" w:hAnsi="Arial" w:cs="Arial"/>
          <w:sz w:val="24"/>
          <w:szCs w:val="24"/>
        </w:rPr>
        <w:t xml:space="preserve"> consider the MATS </w:t>
      </w:r>
      <w:r w:rsidR="00802D7F" w:rsidRPr="00DB7156">
        <w:rPr>
          <w:rFonts w:ascii="Arial" w:hAnsi="Arial" w:cs="Arial"/>
          <w:sz w:val="24"/>
          <w:szCs w:val="24"/>
        </w:rPr>
        <w:t xml:space="preserve">compliance </w:t>
      </w:r>
      <w:r w:rsidR="005C27D3" w:rsidRPr="00DB7156">
        <w:rPr>
          <w:rFonts w:ascii="Arial" w:hAnsi="Arial" w:cs="Arial"/>
          <w:sz w:val="24"/>
          <w:szCs w:val="24"/>
        </w:rPr>
        <w:t>requirements in the design and construction process, as well as in the decision regarding whether to proceed with controls at the</w:t>
      </w:r>
      <w:r w:rsidR="008D0F10" w:rsidRPr="00DB7156">
        <w:rPr>
          <w:rFonts w:ascii="Arial" w:hAnsi="Arial" w:cs="Arial"/>
          <w:sz w:val="24"/>
          <w:szCs w:val="24"/>
        </w:rPr>
        <w:t xml:space="preserve"> affected</w:t>
      </w:r>
      <w:r w:rsidR="005C27D3" w:rsidRPr="00DB7156">
        <w:rPr>
          <w:rFonts w:ascii="Arial" w:hAnsi="Arial" w:cs="Arial"/>
          <w:sz w:val="24"/>
          <w:szCs w:val="24"/>
        </w:rPr>
        <w:t xml:space="preserve"> units.</w:t>
      </w:r>
    </w:p>
    <w:p w14:paraId="22BA4F78" w14:textId="77777777" w:rsidR="00707144" w:rsidRPr="00DB7156" w:rsidRDefault="00707144" w:rsidP="00DB7156">
      <w:pPr>
        <w:autoSpaceDE w:val="0"/>
        <w:autoSpaceDN w:val="0"/>
        <w:adjustRightInd w:val="0"/>
        <w:spacing w:after="0" w:line="240" w:lineRule="auto"/>
        <w:jc w:val="both"/>
        <w:rPr>
          <w:rFonts w:ascii="Arial" w:hAnsi="Arial" w:cs="Arial"/>
          <w:sz w:val="24"/>
          <w:szCs w:val="24"/>
        </w:rPr>
      </w:pPr>
    </w:p>
    <w:p w14:paraId="2ED4198F" w14:textId="77777777" w:rsidR="0070112D" w:rsidRDefault="0048054F"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In April </w:t>
      </w:r>
      <w:r w:rsidR="009203A8" w:rsidRPr="00DB7156">
        <w:rPr>
          <w:rFonts w:ascii="Arial" w:hAnsi="Arial" w:cs="Arial"/>
          <w:sz w:val="24"/>
          <w:szCs w:val="24"/>
        </w:rPr>
        <w:t>2013</w:t>
      </w:r>
      <w:r w:rsidR="00707144" w:rsidRPr="00DB7156">
        <w:rPr>
          <w:rFonts w:ascii="Arial" w:hAnsi="Arial" w:cs="Arial"/>
          <w:sz w:val="24"/>
          <w:szCs w:val="24"/>
        </w:rPr>
        <w:t xml:space="preserve">, </w:t>
      </w:r>
      <w:r w:rsidR="00825CE7" w:rsidRPr="00DB7156">
        <w:rPr>
          <w:rFonts w:ascii="Arial" w:hAnsi="Arial" w:cs="Arial"/>
          <w:sz w:val="24"/>
          <w:szCs w:val="24"/>
        </w:rPr>
        <w:t xml:space="preserve">additional </w:t>
      </w:r>
      <w:r w:rsidR="00707144" w:rsidRPr="00DB7156">
        <w:rPr>
          <w:rFonts w:ascii="Arial" w:hAnsi="Arial" w:cs="Arial"/>
          <w:sz w:val="24"/>
          <w:szCs w:val="24"/>
        </w:rPr>
        <w:t>revisions to both the Georgia Multipollutant Rule and the Georgia SO</w:t>
      </w:r>
      <w:r w:rsidR="00707144" w:rsidRPr="00DB7156">
        <w:rPr>
          <w:rFonts w:ascii="Arial" w:hAnsi="Arial" w:cs="Arial"/>
          <w:sz w:val="24"/>
          <w:szCs w:val="24"/>
          <w:vertAlign w:val="subscript"/>
        </w:rPr>
        <w:t>2</w:t>
      </w:r>
      <w:r w:rsidR="00707144" w:rsidRPr="00DB7156">
        <w:rPr>
          <w:rFonts w:ascii="Arial" w:hAnsi="Arial" w:cs="Arial"/>
          <w:sz w:val="24"/>
          <w:szCs w:val="24"/>
        </w:rPr>
        <w:t xml:space="preserve"> Emissions Rule</w:t>
      </w:r>
      <w:r w:rsidR="00825CE7" w:rsidRPr="00DB7156">
        <w:rPr>
          <w:rFonts w:ascii="Arial" w:hAnsi="Arial" w:cs="Arial"/>
          <w:sz w:val="24"/>
          <w:szCs w:val="24"/>
        </w:rPr>
        <w:t xml:space="preserve"> were approved by the Georgia Department of Natural Resources</w:t>
      </w:r>
      <w:r w:rsidR="00707144" w:rsidRPr="00DB7156">
        <w:rPr>
          <w:rFonts w:ascii="Arial" w:hAnsi="Arial" w:cs="Arial"/>
          <w:sz w:val="24"/>
          <w:szCs w:val="24"/>
        </w:rPr>
        <w:t xml:space="preserve">.  These revisions </w:t>
      </w:r>
      <w:r w:rsidR="00802D7F" w:rsidRPr="00DB7156">
        <w:rPr>
          <w:rFonts w:ascii="Arial" w:hAnsi="Arial" w:cs="Arial"/>
          <w:sz w:val="24"/>
          <w:szCs w:val="24"/>
        </w:rPr>
        <w:t xml:space="preserve">aligned </w:t>
      </w:r>
      <w:r w:rsidR="00B21F77" w:rsidRPr="00DB7156">
        <w:rPr>
          <w:rFonts w:ascii="Arial" w:hAnsi="Arial" w:cs="Arial"/>
          <w:sz w:val="24"/>
          <w:szCs w:val="24"/>
        </w:rPr>
        <w:t xml:space="preserve">some of </w:t>
      </w:r>
      <w:r w:rsidR="00707144" w:rsidRPr="00DB7156">
        <w:rPr>
          <w:rFonts w:ascii="Arial" w:hAnsi="Arial" w:cs="Arial"/>
          <w:sz w:val="24"/>
          <w:szCs w:val="24"/>
        </w:rPr>
        <w:t xml:space="preserve">the compliance dates in the state rules with </w:t>
      </w:r>
      <w:r w:rsidR="003A0C41" w:rsidRPr="00DB7156">
        <w:rPr>
          <w:rFonts w:ascii="Arial" w:hAnsi="Arial" w:cs="Arial"/>
          <w:sz w:val="24"/>
          <w:szCs w:val="24"/>
        </w:rPr>
        <w:t xml:space="preserve">the </w:t>
      </w:r>
      <w:r w:rsidR="00707144" w:rsidRPr="00DB7156">
        <w:rPr>
          <w:rFonts w:ascii="Arial" w:hAnsi="Arial" w:cs="Arial"/>
          <w:sz w:val="24"/>
          <w:szCs w:val="24"/>
        </w:rPr>
        <w:t>MATS</w:t>
      </w:r>
      <w:r w:rsidR="003A0C41" w:rsidRPr="00DB7156">
        <w:rPr>
          <w:rFonts w:ascii="Arial" w:hAnsi="Arial" w:cs="Arial"/>
          <w:sz w:val="24"/>
          <w:szCs w:val="24"/>
        </w:rPr>
        <w:t xml:space="preserve"> rule compliance dates</w:t>
      </w:r>
      <w:r w:rsidR="00707144" w:rsidRPr="00DB7156">
        <w:rPr>
          <w:rFonts w:ascii="Arial" w:hAnsi="Arial" w:cs="Arial"/>
          <w:sz w:val="24"/>
          <w:szCs w:val="24"/>
        </w:rPr>
        <w:t xml:space="preserve">. </w:t>
      </w:r>
    </w:p>
    <w:p w14:paraId="0B684E20" w14:textId="77777777" w:rsidR="0070112D" w:rsidRDefault="0070112D" w:rsidP="00DB7156">
      <w:pPr>
        <w:autoSpaceDE w:val="0"/>
        <w:autoSpaceDN w:val="0"/>
        <w:adjustRightInd w:val="0"/>
        <w:spacing w:after="0" w:line="240" w:lineRule="auto"/>
        <w:jc w:val="both"/>
        <w:rPr>
          <w:rFonts w:ascii="Arial" w:hAnsi="Arial" w:cs="Arial"/>
          <w:sz w:val="24"/>
          <w:szCs w:val="24"/>
        </w:rPr>
      </w:pPr>
    </w:p>
    <w:p w14:paraId="22BA4F79" w14:textId="616D7AEB" w:rsidR="00C411E2" w:rsidRPr="00DB7156" w:rsidRDefault="0070112D" w:rsidP="00DB715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The control technology for each unit to meet the Multipollutant Rule requirements were outlined in</w:t>
      </w:r>
      <w:r w:rsidR="00D00086" w:rsidRPr="00D00086">
        <w:rPr>
          <w:rFonts w:ascii="Arial" w:hAnsi="Arial" w:cs="Arial"/>
          <w:sz w:val="24"/>
          <w:szCs w:val="24"/>
        </w:rPr>
        <w:t xml:space="preserve"> </w:t>
      </w:r>
      <w:r w:rsidR="00D00086">
        <w:rPr>
          <w:rFonts w:ascii="Arial" w:hAnsi="Arial" w:cs="Arial"/>
          <w:sz w:val="24"/>
          <w:szCs w:val="24"/>
        </w:rPr>
        <w:t>Table 2.10-1</w:t>
      </w:r>
      <w:r>
        <w:rPr>
          <w:rFonts w:ascii="Arial" w:hAnsi="Arial" w:cs="Arial"/>
          <w:sz w:val="24"/>
          <w:szCs w:val="24"/>
        </w:rPr>
        <w:t xml:space="preserve"> </w:t>
      </w:r>
      <w:r w:rsidR="00D00086">
        <w:rPr>
          <w:rFonts w:ascii="Arial" w:hAnsi="Arial" w:cs="Arial"/>
          <w:sz w:val="24"/>
          <w:szCs w:val="24"/>
        </w:rPr>
        <w:t xml:space="preserve">of </w:t>
      </w:r>
      <w:r>
        <w:rPr>
          <w:rFonts w:ascii="Arial" w:hAnsi="Arial" w:cs="Arial"/>
          <w:sz w:val="24"/>
          <w:szCs w:val="24"/>
        </w:rPr>
        <w:t xml:space="preserve">the 2016 </w:t>
      </w:r>
      <w:r w:rsidR="00D00086">
        <w:rPr>
          <w:rFonts w:ascii="Arial" w:hAnsi="Arial" w:cs="Arial"/>
          <w:sz w:val="24"/>
          <w:szCs w:val="24"/>
        </w:rPr>
        <w:t>Update to the ECS, found in Do</w:t>
      </w:r>
      <w:r>
        <w:rPr>
          <w:rFonts w:ascii="Arial" w:hAnsi="Arial" w:cs="Arial"/>
          <w:sz w:val="24"/>
          <w:szCs w:val="24"/>
        </w:rPr>
        <w:t xml:space="preserve">cket </w:t>
      </w:r>
      <w:r w:rsidR="00D00086">
        <w:rPr>
          <w:rFonts w:ascii="Arial" w:hAnsi="Arial" w:cs="Arial"/>
          <w:sz w:val="24"/>
          <w:szCs w:val="24"/>
        </w:rPr>
        <w:t xml:space="preserve">No. </w:t>
      </w:r>
      <w:r w:rsidR="00AB5F6B">
        <w:rPr>
          <w:rFonts w:ascii="Arial" w:hAnsi="Arial" w:cs="Arial"/>
          <w:sz w:val="24"/>
          <w:szCs w:val="24"/>
        </w:rPr>
        <w:t>40161</w:t>
      </w:r>
      <w:r>
        <w:rPr>
          <w:rFonts w:ascii="Arial" w:hAnsi="Arial" w:cs="Arial"/>
          <w:sz w:val="24"/>
          <w:szCs w:val="24"/>
        </w:rPr>
        <w:t>. These control technologies are installed and operational, with ongoing maintenance requirements for continued reliable operation.</w:t>
      </w:r>
    </w:p>
    <w:p w14:paraId="22BA4F7A" w14:textId="77777777" w:rsidR="003F0C90" w:rsidRPr="00DB7156" w:rsidRDefault="00707144"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  </w:t>
      </w:r>
    </w:p>
    <w:p w14:paraId="22BA4FE4" w14:textId="590341BF" w:rsidR="00D72937" w:rsidRPr="00DB7156" w:rsidRDefault="00D72937" w:rsidP="00DB7156">
      <w:pPr>
        <w:autoSpaceDE w:val="0"/>
        <w:autoSpaceDN w:val="0"/>
        <w:adjustRightInd w:val="0"/>
        <w:spacing w:after="0" w:line="240" w:lineRule="auto"/>
        <w:jc w:val="both"/>
        <w:outlineLvl w:val="1"/>
        <w:rPr>
          <w:rFonts w:ascii="Arial" w:hAnsi="Arial" w:cs="Arial"/>
          <w:b/>
          <w:bCs/>
          <w:color w:val="000080"/>
          <w:sz w:val="24"/>
          <w:szCs w:val="24"/>
        </w:rPr>
      </w:pPr>
      <w:bookmarkStart w:id="85" w:name="_Toc379523576"/>
      <w:bookmarkStart w:id="86" w:name="_Toc379986000"/>
      <w:bookmarkStart w:id="87" w:name="_Toc496107750"/>
      <w:bookmarkStart w:id="88" w:name="_Toc527987338"/>
      <w:bookmarkStart w:id="89" w:name="_Toc527983885"/>
      <w:bookmarkStart w:id="90" w:name="_Toc530487268"/>
      <w:bookmarkStart w:id="91" w:name="_Toc535908136"/>
      <w:r w:rsidRPr="00DB7156">
        <w:rPr>
          <w:rFonts w:ascii="Arial" w:hAnsi="Arial" w:cs="Arial"/>
          <w:b/>
          <w:bCs/>
          <w:color w:val="000080"/>
          <w:sz w:val="24"/>
          <w:szCs w:val="24"/>
        </w:rPr>
        <w:t>2.11 Startup, Shutdown and Malfunction SIP Call</w:t>
      </w:r>
      <w:bookmarkEnd w:id="85"/>
      <w:bookmarkEnd w:id="86"/>
      <w:bookmarkEnd w:id="87"/>
      <w:bookmarkEnd w:id="88"/>
      <w:bookmarkEnd w:id="89"/>
      <w:bookmarkEnd w:id="90"/>
      <w:bookmarkEnd w:id="91"/>
    </w:p>
    <w:p w14:paraId="22BA4FE5" w14:textId="77777777" w:rsidR="00D72937" w:rsidRPr="00DB7156" w:rsidRDefault="00D72937" w:rsidP="00DB7156">
      <w:pPr>
        <w:autoSpaceDE w:val="0"/>
        <w:autoSpaceDN w:val="0"/>
        <w:adjustRightInd w:val="0"/>
        <w:spacing w:after="0" w:line="240" w:lineRule="auto"/>
        <w:jc w:val="both"/>
        <w:outlineLvl w:val="1"/>
        <w:rPr>
          <w:rFonts w:ascii="Arial" w:hAnsi="Arial" w:cs="Arial"/>
          <w:b/>
          <w:bCs/>
          <w:color w:val="000080"/>
          <w:sz w:val="24"/>
          <w:szCs w:val="24"/>
        </w:rPr>
      </w:pPr>
    </w:p>
    <w:p w14:paraId="22BA4FE7" w14:textId="3E80983F" w:rsidR="002666CE" w:rsidRPr="00DB7156" w:rsidRDefault="00EF231E" w:rsidP="00DB7156">
      <w:pPr>
        <w:spacing w:after="0" w:line="240" w:lineRule="auto"/>
        <w:jc w:val="both"/>
        <w:rPr>
          <w:rFonts w:ascii="Arial" w:hAnsi="Arial" w:cs="Arial"/>
          <w:sz w:val="24"/>
        </w:rPr>
      </w:pPr>
      <w:bookmarkStart w:id="92" w:name="_Toc396658515"/>
      <w:r>
        <w:rPr>
          <w:rFonts w:ascii="Arial" w:hAnsi="Arial" w:cs="Arial"/>
          <w:sz w:val="24"/>
        </w:rPr>
        <w:t>I</w:t>
      </w:r>
      <w:r w:rsidR="002666CE" w:rsidRPr="00DB7156">
        <w:rPr>
          <w:rFonts w:ascii="Arial" w:hAnsi="Arial" w:cs="Arial"/>
          <w:sz w:val="24"/>
        </w:rPr>
        <w:t xml:space="preserve">n February 2013, EPA signed a proposed SIP Call that would require 36 states (including all of </w:t>
      </w:r>
      <w:r w:rsidR="00985A7B" w:rsidRPr="00DB7156">
        <w:rPr>
          <w:rFonts w:ascii="Arial" w:hAnsi="Arial" w:cs="Arial"/>
          <w:sz w:val="24"/>
        </w:rPr>
        <w:t xml:space="preserve">the states in EPA’s </w:t>
      </w:r>
      <w:r w:rsidR="002666CE" w:rsidRPr="00DB7156">
        <w:rPr>
          <w:rFonts w:ascii="Arial" w:hAnsi="Arial" w:cs="Arial"/>
          <w:sz w:val="24"/>
        </w:rPr>
        <w:t xml:space="preserve">Region 4) to revise their SSM rules because they purportedly are inconsistent with the </w:t>
      </w:r>
      <w:r w:rsidR="00EE4750">
        <w:rPr>
          <w:rFonts w:ascii="Arial" w:hAnsi="Arial" w:cs="Arial"/>
          <w:sz w:val="24"/>
        </w:rPr>
        <w:t>CAA</w:t>
      </w:r>
      <w:r w:rsidR="002666CE" w:rsidRPr="00DB7156">
        <w:rPr>
          <w:rFonts w:ascii="Arial" w:hAnsi="Arial" w:cs="Arial"/>
          <w:sz w:val="24"/>
        </w:rPr>
        <w:t xml:space="preserve"> and EPA policy. The Sierra Club petitioned EPA to take this action, primarily based on the arguments that such provisions allow emissions that could cause or contribute to violations of ambient air quality standards, and that they interfere with or preclude enforcement by agencies and citizens.</w:t>
      </w:r>
      <w:bookmarkEnd w:id="92"/>
      <w:r w:rsidR="002666CE" w:rsidRPr="00DB7156">
        <w:rPr>
          <w:rFonts w:ascii="Arial" w:hAnsi="Arial" w:cs="Arial"/>
          <w:sz w:val="24"/>
        </w:rPr>
        <w:t xml:space="preserve">  </w:t>
      </w:r>
    </w:p>
    <w:p w14:paraId="3B35D7EC" w14:textId="77777777" w:rsidR="008D27EA" w:rsidRPr="00DB7156" w:rsidRDefault="008D27EA" w:rsidP="00DB7156">
      <w:pPr>
        <w:spacing w:after="0" w:line="240" w:lineRule="auto"/>
        <w:jc w:val="both"/>
        <w:rPr>
          <w:rFonts w:ascii="Arial" w:hAnsi="Arial" w:cs="Arial"/>
          <w:sz w:val="24"/>
        </w:rPr>
      </w:pPr>
      <w:bookmarkStart w:id="93" w:name="_Toc396658517"/>
    </w:p>
    <w:p w14:paraId="275556AC" w14:textId="21824407" w:rsidR="00576EFE" w:rsidRPr="00DB7156" w:rsidRDefault="00A0070C" w:rsidP="00DB7156">
      <w:pPr>
        <w:spacing w:after="0" w:line="240" w:lineRule="auto"/>
        <w:jc w:val="both"/>
        <w:rPr>
          <w:rFonts w:ascii="Arial" w:hAnsi="Arial" w:cs="Arial"/>
          <w:sz w:val="24"/>
        </w:rPr>
      </w:pPr>
      <w:r>
        <w:rPr>
          <w:rFonts w:ascii="Arial" w:hAnsi="Arial" w:cs="Arial"/>
          <w:sz w:val="24"/>
        </w:rPr>
        <w:t>I</w:t>
      </w:r>
      <w:r w:rsidR="00E80BCC" w:rsidRPr="00DB7156">
        <w:rPr>
          <w:rFonts w:ascii="Arial" w:hAnsi="Arial" w:cs="Arial"/>
          <w:sz w:val="24"/>
        </w:rPr>
        <w:t>n June 2014, EPA entered into an agreement with environmental petitioners that require</w:t>
      </w:r>
      <w:r w:rsidR="00125195" w:rsidRPr="00DB7156">
        <w:rPr>
          <w:rFonts w:ascii="Arial" w:hAnsi="Arial" w:cs="Arial"/>
          <w:sz w:val="24"/>
        </w:rPr>
        <w:t>d</w:t>
      </w:r>
      <w:r w:rsidR="00E80BCC" w:rsidRPr="00DB7156">
        <w:rPr>
          <w:rFonts w:ascii="Arial" w:hAnsi="Arial" w:cs="Arial"/>
          <w:sz w:val="24"/>
        </w:rPr>
        <w:t xml:space="preserve"> EPA to issue a supplemental proposed action on Sierra Club’s petition </w:t>
      </w:r>
      <w:r>
        <w:rPr>
          <w:rFonts w:ascii="Arial" w:hAnsi="Arial" w:cs="Arial"/>
          <w:sz w:val="24"/>
        </w:rPr>
        <w:t>in</w:t>
      </w:r>
      <w:r w:rsidR="00E80BCC" w:rsidRPr="00DB7156">
        <w:rPr>
          <w:rFonts w:ascii="Arial" w:hAnsi="Arial" w:cs="Arial"/>
          <w:sz w:val="24"/>
        </w:rPr>
        <w:t xml:space="preserve"> September 2014, and to take final action </w:t>
      </w:r>
      <w:r>
        <w:rPr>
          <w:rFonts w:ascii="Arial" w:hAnsi="Arial" w:cs="Arial"/>
          <w:sz w:val="24"/>
        </w:rPr>
        <w:t>in</w:t>
      </w:r>
      <w:r w:rsidR="00E80BCC" w:rsidRPr="00DB7156">
        <w:rPr>
          <w:rFonts w:ascii="Arial" w:hAnsi="Arial" w:cs="Arial"/>
          <w:sz w:val="24"/>
        </w:rPr>
        <w:t xml:space="preserve"> May 2015.</w:t>
      </w:r>
      <w:bookmarkEnd w:id="93"/>
      <w:r w:rsidR="00427741" w:rsidRPr="00DB7156">
        <w:rPr>
          <w:rFonts w:ascii="Arial" w:hAnsi="Arial" w:cs="Arial"/>
          <w:sz w:val="24"/>
        </w:rPr>
        <w:t xml:space="preserve"> On September 5, 2014, EPA signed a supplemental proposal, addressing affirmative defenses for excess emissions from malfunctions. EPA’s supplemental proposal only addressed the issue of affirmative defense provisions for excess emissions during periods of malfunctions, and did not modify the previous proposal in any other way. Georgia </w:t>
      </w:r>
      <w:r>
        <w:rPr>
          <w:rFonts w:ascii="Arial" w:hAnsi="Arial" w:cs="Arial"/>
          <w:sz w:val="24"/>
        </w:rPr>
        <w:t>was</w:t>
      </w:r>
      <w:r w:rsidR="00427741" w:rsidRPr="00DB7156">
        <w:rPr>
          <w:rFonts w:ascii="Arial" w:hAnsi="Arial" w:cs="Arial"/>
          <w:sz w:val="24"/>
        </w:rPr>
        <w:t xml:space="preserve"> identified by EPA as having such affirmative defense provisions in </w:t>
      </w:r>
      <w:r w:rsidR="00D00086">
        <w:rPr>
          <w:rFonts w:ascii="Arial" w:hAnsi="Arial" w:cs="Arial"/>
          <w:sz w:val="24"/>
        </w:rPr>
        <w:t>its</w:t>
      </w:r>
      <w:r w:rsidR="00D00086" w:rsidRPr="00DB7156">
        <w:rPr>
          <w:rFonts w:ascii="Arial" w:hAnsi="Arial" w:cs="Arial"/>
          <w:sz w:val="24"/>
        </w:rPr>
        <w:t xml:space="preserve"> </w:t>
      </w:r>
      <w:r w:rsidR="00427741" w:rsidRPr="00DB7156">
        <w:rPr>
          <w:rFonts w:ascii="Arial" w:hAnsi="Arial" w:cs="Arial"/>
          <w:sz w:val="24"/>
        </w:rPr>
        <w:t xml:space="preserve">SIP. On May 22, 2015, EPA took final action on its findings of “substantial inadequacy” of the SIPs of </w:t>
      </w:r>
      <w:r w:rsidR="00EE4750">
        <w:rPr>
          <w:rFonts w:ascii="Arial" w:hAnsi="Arial" w:cs="Arial"/>
          <w:sz w:val="24"/>
        </w:rPr>
        <w:t>36 states, issuing a final SIP C</w:t>
      </w:r>
      <w:r w:rsidR="00427741" w:rsidRPr="00DB7156">
        <w:rPr>
          <w:rFonts w:ascii="Arial" w:hAnsi="Arial" w:cs="Arial"/>
          <w:sz w:val="24"/>
        </w:rPr>
        <w:t xml:space="preserve">all requiring affected states to remove exemptions for excess emissions that occur during periods of startup, shutdown, and malfunction. Affected states </w:t>
      </w:r>
      <w:r w:rsidR="00802D7F" w:rsidRPr="00DB7156">
        <w:rPr>
          <w:rFonts w:ascii="Arial" w:hAnsi="Arial" w:cs="Arial"/>
          <w:sz w:val="24"/>
        </w:rPr>
        <w:t>were required</w:t>
      </w:r>
      <w:r w:rsidR="00427741" w:rsidRPr="00DB7156">
        <w:rPr>
          <w:rFonts w:ascii="Arial" w:hAnsi="Arial" w:cs="Arial"/>
          <w:sz w:val="24"/>
        </w:rPr>
        <w:t xml:space="preserve"> to submit revised SIPs to EPA</w:t>
      </w:r>
      <w:r w:rsidR="00802D7F" w:rsidRPr="00DB7156">
        <w:rPr>
          <w:rFonts w:ascii="Arial" w:hAnsi="Arial" w:cs="Arial"/>
          <w:sz w:val="24"/>
        </w:rPr>
        <w:t xml:space="preserve"> by November 22, 2016</w:t>
      </w:r>
      <w:r w:rsidR="00427741" w:rsidRPr="00DB7156">
        <w:rPr>
          <w:rFonts w:ascii="Arial" w:hAnsi="Arial" w:cs="Arial"/>
          <w:sz w:val="24"/>
        </w:rPr>
        <w:t xml:space="preserve">. Petitions for judicial review </w:t>
      </w:r>
      <w:r w:rsidR="001E4E91" w:rsidRPr="00DB7156">
        <w:rPr>
          <w:rFonts w:ascii="Arial" w:hAnsi="Arial" w:cs="Arial"/>
          <w:sz w:val="24"/>
        </w:rPr>
        <w:t>by multiple environmental groups, industry groups, states, and individual companies, including Southern Company,</w:t>
      </w:r>
      <w:r w:rsidR="00042183" w:rsidRPr="00DB7156">
        <w:rPr>
          <w:rFonts w:ascii="Arial" w:hAnsi="Arial" w:cs="Arial"/>
          <w:sz w:val="24"/>
        </w:rPr>
        <w:t xml:space="preserve"> Georgia Power, and the other operating companies,</w:t>
      </w:r>
      <w:r w:rsidR="001E4E91" w:rsidRPr="00DB7156">
        <w:rPr>
          <w:rFonts w:ascii="Arial" w:hAnsi="Arial" w:cs="Arial"/>
          <w:sz w:val="24"/>
        </w:rPr>
        <w:t xml:space="preserve"> were filed on </w:t>
      </w:r>
      <w:r w:rsidR="00427741" w:rsidRPr="00DB7156">
        <w:rPr>
          <w:rFonts w:ascii="Arial" w:hAnsi="Arial" w:cs="Arial"/>
          <w:sz w:val="24"/>
        </w:rPr>
        <w:t>August 11, 2015.</w:t>
      </w:r>
    </w:p>
    <w:p w14:paraId="21F19A7C" w14:textId="77777777" w:rsidR="008D27EA" w:rsidRPr="00DB7156" w:rsidRDefault="008D27EA" w:rsidP="00DB7156">
      <w:pPr>
        <w:spacing w:after="0" w:line="240" w:lineRule="auto"/>
        <w:jc w:val="both"/>
        <w:rPr>
          <w:rFonts w:ascii="Arial" w:hAnsi="Arial" w:cs="Arial"/>
          <w:sz w:val="24"/>
        </w:rPr>
      </w:pPr>
    </w:p>
    <w:p w14:paraId="40001434" w14:textId="772B41E4" w:rsidR="00D00086" w:rsidRDefault="00EE4750" w:rsidP="00DB7156">
      <w:pPr>
        <w:spacing w:after="0" w:line="240" w:lineRule="auto"/>
        <w:jc w:val="both"/>
        <w:rPr>
          <w:rFonts w:ascii="Arial" w:hAnsi="Arial" w:cs="Arial"/>
          <w:sz w:val="24"/>
        </w:rPr>
      </w:pPr>
      <w:r>
        <w:rPr>
          <w:rFonts w:ascii="Arial" w:hAnsi="Arial" w:cs="Arial"/>
          <w:sz w:val="24"/>
        </w:rPr>
        <w:t>In response to the SIP C</w:t>
      </w:r>
      <w:r w:rsidR="00EA6A3B" w:rsidRPr="00DB7156">
        <w:rPr>
          <w:rFonts w:ascii="Arial" w:hAnsi="Arial" w:cs="Arial"/>
          <w:sz w:val="24"/>
        </w:rPr>
        <w:t xml:space="preserve">all, the state of Georgia developed new requirements for work practice standards for emissions that occur during periods of startup, shutdown, and malfunction in 2016. While the new state rule is final, it does not take effect unless it is approved by EPA. </w:t>
      </w:r>
      <w:r w:rsidR="00576EFE" w:rsidRPr="00DB7156">
        <w:rPr>
          <w:rFonts w:ascii="Arial" w:hAnsi="Arial" w:cs="Arial"/>
          <w:sz w:val="24"/>
        </w:rPr>
        <w:t xml:space="preserve">On November 17, 2016, Georgia EPD </w:t>
      </w:r>
      <w:r w:rsidR="00EA6A3B" w:rsidRPr="00DB7156">
        <w:rPr>
          <w:rFonts w:ascii="Arial" w:hAnsi="Arial" w:cs="Arial"/>
          <w:sz w:val="24"/>
        </w:rPr>
        <w:t xml:space="preserve">submitted the new state rule to EPA for approval as a revision </w:t>
      </w:r>
      <w:r w:rsidR="00576EFE" w:rsidRPr="00DB7156">
        <w:rPr>
          <w:rFonts w:ascii="Arial" w:hAnsi="Arial" w:cs="Arial"/>
          <w:sz w:val="24"/>
        </w:rPr>
        <w:t xml:space="preserve">to its </w:t>
      </w:r>
      <w:r w:rsidR="0067730E" w:rsidRPr="00DB7156">
        <w:rPr>
          <w:rFonts w:ascii="Arial" w:hAnsi="Arial" w:cs="Arial"/>
          <w:sz w:val="24"/>
        </w:rPr>
        <w:t>SIP to</w:t>
      </w:r>
      <w:r w:rsidR="00864FB5" w:rsidRPr="00DB7156">
        <w:rPr>
          <w:rFonts w:ascii="Arial" w:hAnsi="Arial" w:cs="Arial"/>
          <w:sz w:val="24"/>
        </w:rPr>
        <w:t xml:space="preserve"> address the SIP </w:t>
      </w:r>
      <w:r>
        <w:rPr>
          <w:rFonts w:ascii="Arial" w:hAnsi="Arial" w:cs="Arial"/>
          <w:sz w:val="24"/>
        </w:rPr>
        <w:t>C</w:t>
      </w:r>
      <w:r w:rsidR="00864FB5" w:rsidRPr="00DB7156">
        <w:rPr>
          <w:rFonts w:ascii="Arial" w:hAnsi="Arial" w:cs="Arial"/>
          <w:sz w:val="24"/>
        </w:rPr>
        <w:t>all</w:t>
      </w:r>
      <w:r w:rsidR="00576EFE" w:rsidRPr="00DB7156">
        <w:rPr>
          <w:rFonts w:ascii="Arial" w:hAnsi="Arial" w:cs="Arial"/>
          <w:sz w:val="24"/>
        </w:rPr>
        <w:t>.</w:t>
      </w:r>
      <w:r w:rsidR="008A619E" w:rsidRPr="00DB7156">
        <w:rPr>
          <w:rFonts w:ascii="Arial" w:hAnsi="Arial" w:cs="Arial"/>
          <w:sz w:val="24"/>
        </w:rPr>
        <w:t xml:space="preserve"> </w:t>
      </w:r>
      <w:r w:rsidR="00D00086">
        <w:rPr>
          <w:rFonts w:ascii="Arial" w:hAnsi="Arial" w:cs="Arial"/>
          <w:sz w:val="24"/>
        </w:rPr>
        <w:t>To date, EP has not acted on that SIP submittal.</w:t>
      </w:r>
      <w:r w:rsidR="008A619E" w:rsidRPr="00DB7156">
        <w:rPr>
          <w:rFonts w:ascii="Arial" w:hAnsi="Arial" w:cs="Arial"/>
          <w:sz w:val="24"/>
        </w:rPr>
        <w:t xml:space="preserve"> </w:t>
      </w:r>
    </w:p>
    <w:p w14:paraId="39F72096" w14:textId="77777777" w:rsidR="00D00086" w:rsidRDefault="00D00086" w:rsidP="00DB7156">
      <w:pPr>
        <w:spacing w:after="0" w:line="240" w:lineRule="auto"/>
        <w:jc w:val="both"/>
        <w:rPr>
          <w:rFonts w:ascii="Arial" w:hAnsi="Arial" w:cs="Arial"/>
          <w:sz w:val="24"/>
        </w:rPr>
      </w:pPr>
    </w:p>
    <w:p w14:paraId="1C2FEAF2" w14:textId="06F9D902" w:rsidR="005312F8" w:rsidRPr="00DB7156" w:rsidRDefault="00D00086" w:rsidP="00DB7156">
      <w:pPr>
        <w:spacing w:after="0" w:line="240" w:lineRule="auto"/>
        <w:jc w:val="both"/>
        <w:rPr>
          <w:rFonts w:ascii="Arial" w:hAnsi="Arial" w:cs="Arial"/>
          <w:sz w:val="24"/>
        </w:rPr>
      </w:pPr>
      <w:r>
        <w:rPr>
          <w:rFonts w:ascii="Arial" w:hAnsi="Arial" w:cs="Arial"/>
          <w:sz w:val="24"/>
        </w:rPr>
        <w:t>In April 2017,</w:t>
      </w:r>
      <w:r w:rsidR="008A619E" w:rsidRPr="00DB7156">
        <w:rPr>
          <w:rFonts w:ascii="Arial" w:hAnsi="Arial" w:cs="Arial"/>
          <w:sz w:val="24"/>
        </w:rPr>
        <w:t xml:space="preserve"> </w:t>
      </w:r>
      <w:r w:rsidR="00EA6A3B" w:rsidRPr="00DB7156">
        <w:rPr>
          <w:rFonts w:ascii="Arial" w:hAnsi="Arial" w:cs="Arial"/>
          <w:sz w:val="24"/>
        </w:rPr>
        <w:t xml:space="preserve">EPA requested that </w:t>
      </w:r>
      <w:r w:rsidR="008A619E" w:rsidRPr="00DB7156">
        <w:rPr>
          <w:rFonts w:ascii="Arial" w:hAnsi="Arial" w:cs="Arial"/>
          <w:sz w:val="24"/>
        </w:rPr>
        <w:t>ju</w:t>
      </w:r>
      <w:r w:rsidR="00EE4750">
        <w:rPr>
          <w:rFonts w:ascii="Arial" w:hAnsi="Arial" w:cs="Arial"/>
          <w:sz w:val="24"/>
        </w:rPr>
        <w:t>dicial review of the final SIP C</w:t>
      </w:r>
      <w:r w:rsidR="008A619E" w:rsidRPr="00DB7156">
        <w:rPr>
          <w:rFonts w:ascii="Arial" w:hAnsi="Arial" w:cs="Arial"/>
          <w:sz w:val="24"/>
        </w:rPr>
        <w:t xml:space="preserve">all </w:t>
      </w:r>
      <w:r w:rsidR="00EA6A3B" w:rsidRPr="00DB7156">
        <w:rPr>
          <w:rFonts w:ascii="Arial" w:hAnsi="Arial" w:cs="Arial"/>
          <w:sz w:val="24"/>
        </w:rPr>
        <w:t xml:space="preserve">be </w:t>
      </w:r>
      <w:r w:rsidR="008A619E" w:rsidRPr="00DB7156">
        <w:rPr>
          <w:rFonts w:ascii="Arial" w:hAnsi="Arial" w:cs="Arial"/>
          <w:sz w:val="24"/>
        </w:rPr>
        <w:t>placed on hold to allow EPA time to review the rule</w:t>
      </w:r>
      <w:r w:rsidR="00EA6A3B" w:rsidRPr="00DB7156">
        <w:rPr>
          <w:rFonts w:ascii="Arial" w:hAnsi="Arial" w:cs="Arial"/>
          <w:sz w:val="24"/>
        </w:rPr>
        <w:t>, and the Court granted the request in April 2017</w:t>
      </w:r>
      <w:r w:rsidR="008A619E" w:rsidRPr="00DB7156">
        <w:rPr>
          <w:rFonts w:ascii="Arial" w:hAnsi="Arial" w:cs="Arial"/>
          <w:sz w:val="24"/>
        </w:rPr>
        <w:t xml:space="preserve">.  </w:t>
      </w:r>
      <w:r w:rsidR="008E64B1">
        <w:rPr>
          <w:rFonts w:ascii="Arial" w:hAnsi="Arial" w:cs="Arial"/>
          <w:sz w:val="24"/>
        </w:rPr>
        <w:t>At this time</w:t>
      </w:r>
      <w:r w:rsidR="008A619E" w:rsidRPr="00DB7156">
        <w:rPr>
          <w:rFonts w:ascii="Arial" w:hAnsi="Arial" w:cs="Arial"/>
          <w:sz w:val="24"/>
        </w:rPr>
        <w:t xml:space="preserve">, the agency </w:t>
      </w:r>
      <w:r w:rsidR="008E64B1">
        <w:rPr>
          <w:rFonts w:ascii="Arial" w:hAnsi="Arial" w:cs="Arial"/>
          <w:sz w:val="24"/>
        </w:rPr>
        <w:t>ha</w:t>
      </w:r>
      <w:r w:rsidR="006D44B6" w:rsidRPr="00DB7156">
        <w:rPr>
          <w:rFonts w:ascii="Arial" w:hAnsi="Arial" w:cs="Arial"/>
          <w:sz w:val="24"/>
        </w:rPr>
        <w:t xml:space="preserve">s not </w:t>
      </w:r>
      <w:r w:rsidR="008E64B1">
        <w:rPr>
          <w:rFonts w:ascii="Arial" w:hAnsi="Arial" w:cs="Arial"/>
          <w:sz w:val="24"/>
        </w:rPr>
        <w:t>taken</w:t>
      </w:r>
      <w:r w:rsidR="006D44B6" w:rsidRPr="00DB7156">
        <w:rPr>
          <w:rFonts w:ascii="Arial" w:hAnsi="Arial" w:cs="Arial"/>
          <w:sz w:val="24"/>
        </w:rPr>
        <w:t xml:space="preserve"> </w:t>
      </w:r>
      <w:r w:rsidR="008A619E" w:rsidRPr="00DB7156">
        <w:rPr>
          <w:rFonts w:ascii="Arial" w:hAnsi="Arial" w:cs="Arial"/>
          <w:sz w:val="24"/>
        </w:rPr>
        <w:t>any action on proposed SIP revisions that have been submitted.</w:t>
      </w:r>
    </w:p>
    <w:p w14:paraId="22BA4FEB" w14:textId="77777777" w:rsidR="005268CA" w:rsidRPr="00DB7156" w:rsidRDefault="005268CA" w:rsidP="00DB7156">
      <w:pPr>
        <w:tabs>
          <w:tab w:val="left" w:pos="180"/>
        </w:tabs>
        <w:autoSpaceDE w:val="0"/>
        <w:autoSpaceDN w:val="0"/>
        <w:adjustRightInd w:val="0"/>
        <w:spacing w:after="0" w:line="240" w:lineRule="auto"/>
        <w:ind w:left="720" w:hanging="720"/>
        <w:jc w:val="both"/>
        <w:outlineLvl w:val="1"/>
        <w:rPr>
          <w:rFonts w:ascii="Arial" w:hAnsi="Arial" w:cs="Arial"/>
          <w:b/>
          <w:bCs/>
          <w:color w:val="000080"/>
          <w:sz w:val="24"/>
          <w:szCs w:val="24"/>
        </w:rPr>
      </w:pPr>
    </w:p>
    <w:p w14:paraId="22BA4FEC" w14:textId="02D43F8A" w:rsidR="00D72937" w:rsidRPr="00DB7156" w:rsidRDefault="00FC67F9" w:rsidP="00DB7156">
      <w:pPr>
        <w:tabs>
          <w:tab w:val="left" w:pos="180"/>
        </w:tabs>
        <w:autoSpaceDE w:val="0"/>
        <w:autoSpaceDN w:val="0"/>
        <w:adjustRightInd w:val="0"/>
        <w:spacing w:after="0" w:line="240" w:lineRule="auto"/>
        <w:ind w:left="720" w:hanging="720"/>
        <w:jc w:val="both"/>
        <w:outlineLvl w:val="1"/>
        <w:rPr>
          <w:rFonts w:ascii="Arial" w:hAnsi="Arial" w:cs="Arial"/>
          <w:b/>
          <w:bCs/>
          <w:color w:val="000080"/>
          <w:sz w:val="24"/>
          <w:szCs w:val="24"/>
        </w:rPr>
      </w:pPr>
      <w:bookmarkStart w:id="94" w:name="_Toc496107751"/>
      <w:bookmarkStart w:id="95" w:name="_Toc527987339"/>
      <w:bookmarkStart w:id="96" w:name="_Toc527983886"/>
      <w:bookmarkStart w:id="97" w:name="_Toc530487269"/>
      <w:bookmarkStart w:id="98" w:name="_Toc535908137"/>
      <w:r w:rsidRPr="00DB7156">
        <w:rPr>
          <w:rFonts w:ascii="Arial" w:hAnsi="Arial" w:cs="Arial"/>
          <w:b/>
          <w:bCs/>
          <w:color w:val="000080"/>
          <w:sz w:val="24"/>
          <w:szCs w:val="24"/>
        </w:rPr>
        <w:t>2.</w:t>
      </w:r>
      <w:r w:rsidR="00D72937" w:rsidRPr="00DB7156">
        <w:rPr>
          <w:rFonts w:ascii="Arial" w:hAnsi="Arial" w:cs="Arial"/>
          <w:b/>
          <w:bCs/>
          <w:color w:val="000080"/>
          <w:sz w:val="24"/>
          <w:szCs w:val="24"/>
        </w:rPr>
        <w:t>12</w:t>
      </w:r>
      <w:r w:rsidRPr="00DB7156">
        <w:rPr>
          <w:rFonts w:ascii="Arial" w:hAnsi="Arial" w:cs="Arial"/>
          <w:b/>
          <w:bCs/>
          <w:color w:val="000080"/>
          <w:sz w:val="24"/>
          <w:szCs w:val="24"/>
        </w:rPr>
        <w:tab/>
      </w:r>
      <w:r w:rsidR="00D72937" w:rsidRPr="00DB7156">
        <w:rPr>
          <w:rFonts w:ascii="Arial" w:hAnsi="Arial" w:cs="Arial"/>
          <w:b/>
          <w:bCs/>
          <w:color w:val="000080"/>
          <w:sz w:val="24"/>
          <w:szCs w:val="24"/>
        </w:rPr>
        <w:t>GHG Policies</w:t>
      </w:r>
      <w:r w:rsidR="008A1764" w:rsidRPr="00DB7156">
        <w:rPr>
          <w:rFonts w:ascii="Arial" w:hAnsi="Arial" w:cs="Arial"/>
          <w:b/>
          <w:bCs/>
          <w:color w:val="000080"/>
          <w:sz w:val="24"/>
          <w:szCs w:val="24"/>
        </w:rPr>
        <w:t xml:space="preserve"> and Emissions</w:t>
      </w:r>
      <w:bookmarkEnd w:id="94"/>
      <w:bookmarkEnd w:id="95"/>
      <w:bookmarkEnd w:id="96"/>
      <w:bookmarkEnd w:id="97"/>
      <w:bookmarkEnd w:id="98"/>
    </w:p>
    <w:p w14:paraId="22BA4FED" w14:textId="77777777" w:rsidR="00D72937" w:rsidRPr="00DB7156" w:rsidRDefault="00D72937" w:rsidP="00DB7156">
      <w:pPr>
        <w:tabs>
          <w:tab w:val="left" w:pos="180"/>
        </w:tabs>
        <w:autoSpaceDE w:val="0"/>
        <w:autoSpaceDN w:val="0"/>
        <w:adjustRightInd w:val="0"/>
        <w:spacing w:after="0" w:line="240" w:lineRule="auto"/>
        <w:ind w:left="720" w:hanging="720"/>
        <w:jc w:val="both"/>
        <w:outlineLvl w:val="1"/>
        <w:rPr>
          <w:rFonts w:ascii="Arial" w:hAnsi="Arial" w:cs="Arial"/>
          <w:b/>
          <w:bCs/>
          <w:color w:val="000080"/>
          <w:sz w:val="24"/>
          <w:szCs w:val="24"/>
        </w:rPr>
      </w:pPr>
    </w:p>
    <w:p w14:paraId="22BA4FEF" w14:textId="2C670B89" w:rsidR="00D72937" w:rsidRPr="00DB7156" w:rsidRDefault="00D72937" w:rsidP="00DB7156">
      <w:pPr>
        <w:spacing w:after="0" w:line="240" w:lineRule="auto"/>
        <w:jc w:val="both"/>
        <w:rPr>
          <w:rFonts w:ascii="Arial" w:hAnsi="Arial" w:cs="Arial"/>
          <w:b/>
          <w:bCs/>
          <w:color w:val="000080"/>
          <w:sz w:val="24"/>
          <w:szCs w:val="24"/>
        </w:rPr>
      </w:pPr>
      <w:bookmarkStart w:id="99" w:name="_Toc396658519"/>
      <w:r w:rsidRPr="00DB7156">
        <w:rPr>
          <w:rFonts w:ascii="Arial" w:hAnsi="Arial" w:cs="Arial"/>
          <w:b/>
          <w:bCs/>
          <w:color w:val="000080"/>
          <w:sz w:val="24"/>
          <w:szCs w:val="24"/>
        </w:rPr>
        <w:t>GHG</w:t>
      </w:r>
      <w:r w:rsidR="00BC327F" w:rsidRPr="00DB7156">
        <w:rPr>
          <w:rFonts w:ascii="Arial" w:hAnsi="Arial" w:cs="Arial"/>
          <w:b/>
          <w:bCs/>
          <w:color w:val="000080"/>
          <w:sz w:val="24"/>
          <w:szCs w:val="24"/>
        </w:rPr>
        <w:t xml:space="preserve"> and Renewable/Clean Energy</w:t>
      </w:r>
      <w:r w:rsidRPr="00DB7156">
        <w:rPr>
          <w:rFonts w:ascii="Arial" w:hAnsi="Arial" w:cs="Arial"/>
          <w:b/>
          <w:bCs/>
          <w:color w:val="000080"/>
          <w:sz w:val="24"/>
          <w:szCs w:val="24"/>
        </w:rPr>
        <w:t xml:space="preserve"> Legislation</w:t>
      </w:r>
      <w:bookmarkEnd w:id="99"/>
    </w:p>
    <w:p w14:paraId="15639162" w14:textId="77777777" w:rsidR="00F938B9" w:rsidRDefault="00C41555" w:rsidP="00DB7156">
      <w:pPr>
        <w:spacing w:after="0" w:line="240" w:lineRule="auto"/>
        <w:jc w:val="both"/>
        <w:rPr>
          <w:rFonts w:ascii="Arial" w:hAnsi="Arial" w:cs="Arial"/>
          <w:sz w:val="24"/>
        </w:rPr>
      </w:pPr>
      <w:bookmarkStart w:id="100" w:name="_Toc396658520"/>
      <w:r w:rsidRPr="00DB7156">
        <w:rPr>
          <w:rFonts w:ascii="Arial" w:hAnsi="Arial" w:cs="Arial"/>
          <w:sz w:val="24"/>
        </w:rPr>
        <w:t xml:space="preserve">Over the past </w:t>
      </w:r>
      <w:r w:rsidR="00BB5CB7" w:rsidRPr="00DB7156">
        <w:rPr>
          <w:rFonts w:ascii="Arial" w:hAnsi="Arial" w:cs="Arial"/>
          <w:sz w:val="24"/>
        </w:rPr>
        <w:t>decade</w:t>
      </w:r>
      <w:r w:rsidR="002C2C80" w:rsidRPr="00DB7156">
        <w:rPr>
          <w:rFonts w:ascii="Arial" w:hAnsi="Arial" w:cs="Arial"/>
          <w:sz w:val="24"/>
        </w:rPr>
        <w:t>,</w:t>
      </w:r>
      <w:r w:rsidRPr="00DB7156">
        <w:rPr>
          <w:rFonts w:ascii="Arial" w:hAnsi="Arial" w:cs="Arial"/>
          <w:sz w:val="24"/>
        </w:rPr>
        <w:t xml:space="preserve"> the U.S. Congress considered many proposals to reduce GHG emissions and mandate renewable or clean energy</w:t>
      </w:r>
      <w:r w:rsidR="00DA6000" w:rsidRPr="00DB7156">
        <w:rPr>
          <w:rFonts w:ascii="Arial" w:hAnsi="Arial" w:cs="Arial"/>
          <w:sz w:val="24"/>
        </w:rPr>
        <w:t>.</w:t>
      </w:r>
      <w:r w:rsidR="002666CE" w:rsidRPr="00DB7156">
        <w:rPr>
          <w:rFonts w:ascii="Arial" w:hAnsi="Arial" w:cs="Arial"/>
          <w:sz w:val="24"/>
        </w:rPr>
        <w:t xml:space="preserve"> The proposals </w:t>
      </w:r>
      <w:r w:rsidR="003D135E" w:rsidRPr="00DB7156">
        <w:rPr>
          <w:rFonts w:ascii="Arial" w:hAnsi="Arial" w:cs="Arial"/>
          <w:sz w:val="24"/>
        </w:rPr>
        <w:t>took</w:t>
      </w:r>
      <w:r w:rsidR="002666CE" w:rsidRPr="00DB7156">
        <w:rPr>
          <w:rFonts w:ascii="Arial" w:hAnsi="Arial" w:cs="Arial"/>
          <w:sz w:val="24"/>
        </w:rPr>
        <w:t xml:space="preserve"> many forms, for example: </w:t>
      </w:r>
      <w:r w:rsidR="000416A1" w:rsidRPr="00DB7156">
        <w:rPr>
          <w:rFonts w:ascii="Arial" w:hAnsi="Arial" w:cs="Arial"/>
          <w:sz w:val="24"/>
        </w:rPr>
        <w:t xml:space="preserve"> </w:t>
      </w:r>
      <w:r w:rsidR="002666CE" w:rsidRPr="00DB7156">
        <w:rPr>
          <w:rFonts w:ascii="Arial" w:hAnsi="Arial" w:cs="Arial"/>
          <w:sz w:val="24"/>
        </w:rPr>
        <w:t>a cap</w:t>
      </w:r>
      <w:r w:rsidR="002E12F4" w:rsidRPr="00DB7156">
        <w:rPr>
          <w:rFonts w:ascii="Arial" w:hAnsi="Arial" w:cs="Arial"/>
          <w:sz w:val="24"/>
        </w:rPr>
        <w:t xml:space="preserve"> </w:t>
      </w:r>
      <w:r w:rsidR="002666CE" w:rsidRPr="00DB7156">
        <w:rPr>
          <w:rFonts w:ascii="Arial" w:hAnsi="Arial" w:cs="Arial"/>
          <w:sz w:val="24"/>
        </w:rPr>
        <w:t>and</w:t>
      </w:r>
      <w:r w:rsidR="002E12F4" w:rsidRPr="00DB7156">
        <w:rPr>
          <w:rFonts w:ascii="Arial" w:hAnsi="Arial" w:cs="Arial"/>
          <w:sz w:val="24"/>
        </w:rPr>
        <w:t xml:space="preserve"> </w:t>
      </w:r>
      <w:r w:rsidR="002666CE" w:rsidRPr="00DB7156">
        <w:rPr>
          <w:rFonts w:ascii="Arial" w:hAnsi="Arial" w:cs="Arial"/>
          <w:sz w:val="24"/>
        </w:rPr>
        <w:t xml:space="preserve">trade program, carbon tax, and renewable/clean energy standards. </w:t>
      </w:r>
      <w:r w:rsidR="00220DB6" w:rsidRPr="00DB7156">
        <w:rPr>
          <w:rFonts w:ascii="Arial" w:hAnsi="Arial" w:cs="Arial"/>
          <w:sz w:val="24"/>
        </w:rPr>
        <w:t xml:space="preserve"> </w:t>
      </w:r>
      <w:r w:rsidR="003D135E" w:rsidRPr="00DB7156">
        <w:rPr>
          <w:rFonts w:ascii="Arial" w:hAnsi="Arial" w:cs="Arial"/>
          <w:sz w:val="24"/>
        </w:rPr>
        <w:t>Several</w:t>
      </w:r>
      <w:r w:rsidR="002666CE" w:rsidRPr="00DB7156">
        <w:rPr>
          <w:rFonts w:ascii="Arial" w:hAnsi="Arial" w:cs="Arial"/>
          <w:sz w:val="24"/>
        </w:rPr>
        <w:t xml:space="preserve"> bills </w:t>
      </w:r>
      <w:r w:rsidR="003D135E" w:rsidRPr="00DB7156">
        <w:rPr>
          <w:rFonts w:ascii="Arial" w:hAnsi="Arial" w:cs="Arial"/>
          <w:sz w:val="24"/>
        </w:rPr>
        <w:t xml:space="preserve">were </w:t>
      </w:r>
      <w:r w:rsidR="002666CE" w:rsidRPr="00DB7156">
        <w:rPr>
          <w:rFonts w:ascii="Arial" w:hAnsi="Arial" w:cs="Arial"/>
          <w:sz w:val="24"/>
        </w:rPr>
        <w:t xml:space="preserve">brought to the legislative floor which include the </w:t>
      </w:r>
      <w:r w:rsidR="00D00086" w:rsidRPr="00DB7156">
        <w:rPr>
          <w:rFonts w:ascii="Arial" w:hAnsi="Arial" w:cs="Arial"/>
          <w:sz w:val="24"/>
        </w:rPr>
        <w:t>“Waxman-Markey”</w:t>
      </w:r>
      <w:r w:rsidR="00D00086">
        <w:rPr>
          <w:rFonts w:ascii="Arial" w:hAnsi="Arial" w:cs="Arial"/>
          <w:sz w:val="24"/>
        </w:rPr>
        <w:t xml:space="preserve"> </w:t>
      </w:r>
      <w:r w:rsidR="002666CE" w:rsidRPr="00DB7156">
        <w:rPr>
          <w:rFonts w:ascii="Arial" w:hAnsi="Arial" w:cs="Arial"/>
          <w:sz w:val="24"/>
        </w:rPr>
        <w:t>cap</w:t>
      </w:r>
      <w:r w:rsidR="002E12F4" w:rsidRPr="00DB7156">
        <w:rPr>
          <w:rFonts w:ascii="Arial" w:hAnsi="Arial" w:cs="Arial"/>
          <w:sz w:val="24"/>
        </w:rPr>
        <w:t xml:space="preserve"> </w:t>
      </w:r>
      <w:r w:rsidR="002666CE" w:rsidRPr="00DB7156">
        <w:rPr>
          <w:rFonts w:ascii="Arial" w:hAnsi="Arial" w:cs="Arial"/>
          <w:sz w:val="24"/>
        </w:rPr>
        <w:t>and</w:t>
      </w:r>
      <w:r w:rsidR="002E12F4" w:rsidRPr="00DB7156">
        <w:rPr>
          <w:rFonts w:ascii="Arial" w:hAnsi="Arial" w:cs="Arial"/>
          <w:sz w:val="24"/>
        </w:rPr>
        <w:t xml:space="preserve"> </w:t>
      </w:r>
      <w:r w:rsidR="002666CE" w:rsidRPr="00DB7156">
        <w:rPr>
          <w:rFonts w:ascii="Arial" w:hAnsi="Arial" w:cs="Arial"/>
          <w:sz w:val="24"/>
        </w:rPr>
        <w:t>trade bill</w:t>
      </w:r>
      <w:r w:rsidR="00D00086">
        <w:rPr>
          <w:rFonts w:ascii="Arial" w:hAnsi="Arial" w:cs="Arial"/>
          <w:sz w:val="24"/>
        </w:rPr>
        <w:t>,</w:t>
      </w:r>
      <w:r w:rsidR="002666CE" w:rsidRPr="00DB7156">
        <w:rPr>
          <w:rFonts w:ascii="Arial" w:hAnsi="Arial" w:cs="Arial"/>
          <w:sz w:val="24"/>
        </w:rPr>
        <w:t xml:space="preserve"> the “Sanders-Boxer” carbon tax bill, and </w:t>
      </w:r>
      <w:r w:rsidR="003D135E" w:rsidRPr="00DB7156">
        <w:rPr>
          <w:rFonts w:ascii="Arial" w:hAnsi="Arial" w:cs="Arial"/>
          <w:sz w:val="24"/>
        </w:rPr>
        <w:t>the</w:t>
      </w:r>
      <w:r w:rsidR="002666CE" w:rsidRPr="00DB7156">
        <w:rPr>
          <w:rFonts w:ascii="Arial" w:hAnsi="Arial" w:cs="Arial"/>
          <w:sz w:val="24"/>
        </w:rPr>
        <w:t xml:space="preserve"> Bingaman “Clean Energy Standard Act” that attempted to set a clean energy standard. </w:t>
      </w:r>
    </w:p>
    <w:p w14:paraId="7FCF2DDE" w14:textId="77777777" w:rsidR="00F938B9" w:rsidRDefault="00F938B9" w:rsidP="00DB7156">
      <w:pPr>
        <w:spacing w:after="0" w:line="240" w:lineRule="auto"/>
        <w:jc w:val="both"/>
        <w:rPr>
          <w:rFonts w:ascii="Arial" w:hAnsi="Arial" w:cs="Arial"/>
          <w:sz w:val="24"/>
        </w:rPr>
      </w:pPr>
    </w:p>
    <w:p w14:paraId="386AD7CA" w14:textId="614FD228" w:rsidR="00F938B9" w:rsidRDefault="00F938B9" w:rsidP="00DB7156">
      <w:pPr>
        <w:spacing w:after="0" w:line="240" w:lineRule="auto"/>
        <w:jc w:val="both"/>
        <w:rPr>
          <w:rFonts w:ascii="Arial" w:hAnsi="Arial" w:cs="Arial"/>
          <w:sz w:val="24"/>
          <w:szCs w:val="24"/>
        </w:rPr>
      </w:pPr>
      <w:r w:rsidRPr="00EF4265">
        <w:rPr>
          <w:rFonts w:ascii="Arial" w:hAnsi="Arial" w:cs="Arial"/>
          <w:sz w:val="24"/>
          <w:szCs w:val="24"/>
        </w:rPr>
        <w:t xml:space="preserve">In recent years, there </w:t>
      </w:r>
      <w:r>
        <w:rPr>
          <w:rFonts w:ascii="Arial" w:hAnsi="Arial" w:cs="Arial"/>
          <w:sz w:val="24"/>
          <w:szCs w:val="24"/>
        </w:rPr>
        <w:t>have been</w:t>
      </w:r>
      <w:r w:rsidRPr="00EF4265">
        <w:rPr>
          <w:rFonts w:ascii="Arial" w:hAnsi="Arial" w:cs="Arial"/>
          <w:sz w:val="24"/>
          <w:szCs w:val="24"/>
        </w:rPr>
        <w:t xml:space="preserve"> federal-level Congres</w:t>
      </w:r>
      <w:r>
        <w:rPr>
          <w:rFonts w:ascii="Arial" w:hAnsi="Arial" w:cs="Arial"/>
          <w:sz w:val="24"/>
          <w:szCs w:val="24"/>
        </w:rPr>
        <w:t>sional efforts to discuss and</w:t>
      </w:r>
      <w:r w:rsidRPr="00EF4265">
        <w:rPr>
          <w:rFonts w:ascii="Arial" w:hAnsi="Arial" w:cs="Arial"/>
          <w:sz w:val="24"/>
          <w:szCs w:val="24"/>
        </w:rPr>
        <w:t xml:space="preserve"> introdu</w:t>
      </w:r>
      <w:r>
        <w:rPr>
          <w:rFonts w:ascii="Arial" w:hAnsi="Arial" w:cs="Arial"/>
          <w:sz w:val="24"/>
          <w:szCs w:val="24"/>
        </w:rPr>
        <w:t>ce carbon-related legislation. </w:t>
      </w:r>
      <w:r w:rsidRPr="00EF4265">
        <w:rPr>
          <w:rFonts w:ascii="Arial" w:hAnsi="Arial" w:cs="Arial"/>
          <w:sz w:val="24"/>
          <w:szCs w:val="24"/>
        </w:rPr>
        <w:t>The most prominent efforts related to federal carbon tax  proposals in 2018 included: H.R. 7173 (Representative Deutch),</w:t>
      </w:r>
      <w:r w:rsidR="00232BF3">
        <w:rPr>
          <w:rFonts w:ascii="Arial" w:hAnsi="Arial" w:cs="Arial"/>
          <w:sz w:val="24"/>
          <w:szCs w:val="24"/>
        </w:rPr>
        <w:t xml:space="preserve"> S. 3791</w:t>
      </w:r>
      <w:r w:rsidR="00084D66">
        <w:rPr>
          <w:rFonts w:ascii="Arial" w:hAnsi="Arial" w:cs="Arial"/>
          <w:sz w:val="24"/>
          <w:szCs w:val="24"/>
        </w:rPr>
        <w:t xml:space="preserve"> (Senator </w:t>
      </w:r>
      <w:r w:rsidR="00232BF3">
        <w:rPr>
          <w:rFonts w:ascii="Arial" w:hAnsi="Arial" w:cs="Arial"/>
          <w:sz w:val="24"/>
          <w:szCs w:val="24"/>
        </w:rPr>
        <w:t>Coons</w:t>
      </w:r>
      <w:r w:rsidR="00084D66">
        <w:rPr>
          <w:rFonts w:ascii="Arial" w:hAnsi="Arial" w:cs="Arial"/>
          <w:sz w:val="24"/>
          <w:szCs w:val="24"/>
        </w:rPr>
        <w:t xml:space="preserve">), </w:t>
      </w:r>
      <w:r w:rsidRPr="00EF4265">
        <w:rPr>
          <w:rFonts w:ascii="Arial" w:hAnsi="Arial" w:cs="Arial"/>
          <w:sz w:val="24"/>
          <w:szCs w:val="24"/>
        </w:rPr>
        <w:t xml:space="preserve"> S. 2368 (Senator Whitehouse), and H.R. 6463 (Representative Curbelo).</w:t>
      </w:r>
      <w:r w:rsidR="00C74176">
        <w:rPr>
          <w:rFonts w:ascii="Arial" w:hAnsi="Arial" w:cs="Arial"/>
          <w:sz w:val="24"/>
          <w:szCs w:val="24"/>
        </w:rPr>
        <w:t xml:space="preserve">  Each of </w:t>
      </w:r>
      <w:r w:rsidR="00857986">
        <w:rPr>
          <w:rFonts w:ascii="Arial" w:hAnsi="Arial" w:cs="Arial"/>
          <w:sz w:val="24"/>
          <w:szCs w:val="24"/>
        </w:rPr>
        <w:t>the</w:t>
      </w:r>
      <w:r w:rsidR="00C82D92">
        <w:rPr>
          <w:rFonts w:ascii="Arial" w:hAnsi="Arial" w:cs="Arial"/>
          <w:sz w:val="24"/>
          <w:szCs w:val="24"/>
        </w:rPr>
        <w:t>se</w:t>
      </w:r>
      <w:r w:rsidR="00C74176">
        <w:rPr>
          <w:rFonts w:ascii="Arial" w:hAnsi="Arial" w:cs="Arial"/>
          <w:sz w:val="24"/>
          <w:szCs w:val="24"/>
        </w:rPr>
        <w:t xml:space="preserve"> proposals </w:t>
      </w:r>
      <w:r w:rsidR="00857986">
        <w:rPr>
          <w:rFonts w:ascii="Arial" w:hAnsi="Arial" w:cs="Arial"/>
          <w:sz w:val="24"/>
          <w:szCs w:val="24"/>
        </w:rPr>
        <w:t xml:space="preserve">impose an economy-wide carbon tax </w:t>
      </w:r>
      <w:r w:rsidR="0022270A">
        <w:rPr>
          <w:rFonts w:ascii="Arial" w:hAnsi="Arial" w:cs="Arial"/>
          <w:sz w:val="24"/>
          <w:szCs w:val="24"/>
        </w:rPr>
        <w:t>that</w:t>
      </w:r>
      <w:r w:rsidR="003B6479">
        <w:rPr>
          <w:rFonts w:ascii="Arial" w:hAnsi="Arial" w:cs="Arial"/>
          <w:sz w:val="24"/>
          <w:szCs w:val="24"/>
        </w:rPr>
        <w:t xml:space="preserve"> </w:t>
      </w:r>
      <w:r w:rsidR="00C82D92">
        <w:rPr>
          <w:rFonts w:ascii="Arial" w:hAnsi="Arial" w:cs="Arial"/>
          <w:sz w:val="24"/>
          <w:szCs w:val="24"/>
        </w:rPr>
        <w:t>inclu</w:t>
      </w:r>
      <w:r w:rsidR="003B6479">
        <w:rPr>
          <w:rFonts w:ascii="Arial" w:hAnsi="Arial" w:cs="Arial"/>
          <w:sz w:val="24"/>
          <w:szCs w:val="24"/>
        </w:rPr>
        <w:t>de</w:t>
      </w:r>
      <w:r w:rsidR="00347FB1">
        <w:rPr>
          <w:rFonts w:ascii="Arial" w:hAnsi="Arial" w:cs="Arial"/>
          <w:sz w:val="24"/>
          <w:szCs w:val="24"/>
        </w:rPr>
        <w:t>s</w:t>
      </w:r>
      <w:r w:rsidR="00C82D92">
        <w:rPr>
          <w:rFonts w:ascii="Arial" w:hAnsi="Arial" w:cs="Arial"/>
          <w:sz w:val="24"/>
          <w:szCs w:val="24"/>
        </w:rPr>
        <w:t xml:space="preserve"> a border carbon adjustment</w:t>
      </w:r>
      <w:r w:rsidR="00F05777">
        <w:rPr>
          <w:rFonts w:ascii="Arial" w:hAnsi="Arial" w:cs="Arial"/>
          <w:sz w:val="24"/>
          <w:szCs w:val="24"/>
        </w:rPr>
        <w:t xml:space="preserve"> </w:t>
      </w:r>
      <w:r w:rsidR="00282D1E">
        <w:rPr>
          <w:rFonts w:ascii="Arial" w:hAnsi="Arial" w:cs="Arial"/>
          <w:sz w:val="24"/>
          <w:szCs w:val="24"/>
        </w:rPr>
        <w:t>fee</w:t>
      </w:r>
      <w:r w:rsidR="00AC4DCE">
        <w:rPr>
          <w:rFonts w:ascii="Arial" w:hAnsi="Arial" w:cs="Arial"/>
          <w:sz w:val="24"/>
          <w:szCs w:val="24"/>
        </w:rPr>
        <w:t xml:space="preserve"> and</w:t>
      </w:r>
      <w:r w:rsidR="00C82D92">
        <w:rPr>
          <w:rFonts w:ascii="Arial" w:hAnsi="Arial" w:cs="Arial"/>
          <w:sz w:val="24"/>
          <w:szCs w:val="24"/>
        </w:rPr>
        <w:t xml:space="preserve"> establishes an</w:t>
      </w:r>
      <w:r w:rsidR="00F05777">
        <w:rPr>
          <w:rFonts w:ascii="Arial" w:hAnsi="Arial" w:cs="Arial"/>
          <w:sz w:val="24"/>
          <w:szCs w:val="24"/>
        </w:rPr>
        <w:t xml:space="preserve"> initial </w:t>
      </w:r>
      <w:r w:rsidR="00C82D92">
        <w:rPr>
          <w:rFonts w:ascii="Arial" w:hAnsi="Arial" w:cs="Arial"/>
          <w:sz w:val="24"/>
          <w:szCs w:val="24"/>
        </w:rPr>
        <w:t>price on carbon ($/ton CO</w:t>
      </w:r>
      <w:r w:rsidR="00C82D92" w:rsidRPr="00C82D92">
        <w:rPr>
          <w:rFonts w:ascii="Arial" w:hAnsi="Arial" w:cs="Arial"/>
          <w:sz w:val="24"/>
          <w:szCs w:val="24"/>
          <w:vertAlign w:val="subscript"/>
        </w:rPr>
        <w:t>2</w:t>
      </w:r>
      <w:r w:rsidR="00C82D92">
        <w:rPr>
          <w:rFonts w:ascii="Arial" w:hAnsi="Arial" w:cs="Arial"/>
          <w:sz w:val="24"/>
          <w:szCs w:val="24"/>
        </w:rPr>
        <w:t>) with varying degrees of e</w:t>
      </w:r>
      <w:r w:rsidR="00F05777">
        <w:rPr>
          <w:rFonts w:ascii="Arial" w:hAnsi="Arial" w:cs="Arial"/>
          <w:sz w:val="24"/>
          <w:szCs w:val="24"/>
        </w:rPr>
        <w:t>s</w:t>
      </w:r>
      <w:r w:rsidR="00C82D92">
        <w:rPr>
          <w:rFonts w:ascii="Arial" w:hAnsi="Arial" w:cs="Arial"/>
          <w:sz w:val="24"/>
          <w:szCs w:val="24"/>
        </w:rPr>
        <w:t xml:space="preserve">calation </w:t>
      </w:r>
      <w:r w:rsidR="0018747D">
        <w:rPr>
          <w:rFonts w:ascii="Arial" w:hAnsi="Arial" w:cs="Arial"/>
          <w:sz w:val="24"/>
          <w:szCs w:val="24"/>
        </w:rPr>
        <w:t>each</w:t>
      </w:r>
      <w:r w:rsidR="003B6479">
        <w:rPr>
          <w:rFonts w:ascii="Arial" w:hAnsi="Arial" w:cs="Arial"/>
          <w:sz w:val="24"/>
          <w:szCs w:val="24"/>
        </w:rPr>
        <w:t xml:space="preserve"> year </w:t>
      </w:r>
      <w:r w:rsidR="00C82D92">
        <w:rPr>
          <w:rFonts w:ascii="Arial" w:hAnsi="Arial" w:cs="Arial"/>
          <w:sz w:val="24"/>
          <w:szCs w:val="24"/>
        </w:rPr>
        <w:t xml:space="preserve">until the proposal’s specific </w:t>
      </w:r>
      <w:r w:rsidR="004741C1">
        <w:rPr>
          <w:rFonts w:ascii="Arial" w:hAnsi="Arial" w:cs="Arial"/>
          <w:sz w:val="24"/>
          <w:szCs w:val="24"/>
        </w:rPr>
        <w:t xml:space="preserve">national </w:t>
      </w:r>
      <w:r w:rsidR="00C82D92">
        <w:rPr>
          <w:rFonts w:ascii="Arial" w:hAnsi="Arial" w:cs="Arial"/>
          <w:sz w:val="24"/>
          <w:szCs w:val="24"/>
        </w:rPr>
        <w:t>reduc</w:t>
      </w:r>
      <w:r w:rsidR="00F976DD">
        <w:rPr>
          <w:rFonts w:ascii="Arial" w:hAnsi="Arial" w:cs="Arial"/>
          <w:sz w:val="24"/>
          <w:szCs w:val="24"/>
        </w:rPr>
        <w:t>tion targets are achieved.  H.R. 7173 and S.</w:t>
      </w:r>
      <w:r w:rsidR="009370A8">
        <w:rPr>
          <w:rFonts w:ascii="Arial" w:hAnsi="Arial" w:cs="Arial"/>
          <w:sz w:val="24"/>
          <w:szCs w:val="24"/>
        </w:rPr>
        <w:t xml:space="preserve"> </w:t>
      </w:r>
      <w:r w:rsidR="00F976DD">
        <w:rPr>
          <w:rFonts w:ascii="Arial" w:hAnsi="Arial" w:cs="Arial"/>
          <w:sz w:val="24"/>
          <w:szCs w:val="24"/>
        </w:rPr>
        <w:t xml:space="preserve">3791 aim to take effect in 2019, start at </w:t>
      </w:r>
      <w:r w:rsidR="00330238">
        <w:rPr>
          <w:rFonts w:ascii="Arial" w:hAnsi="Arial" w:cs="Arial"/>
          <w:sz w:val="24"/>
          <w:szCs w:val="24"/>
        </w:rPr>
        <w:t>$15/ton, and increase</w:t>
      </w:r>
      <w:r w:rsidR="00F976DD">
        <w:rPr>
          <w:rFonts w:ascii="Arial" w:hAnsi="Arial" w:cs="Arial"/>
          <w:sz w:val="24"/>
          <w:szCs w:val="24"/>
        </w:rPr>
        <w:t xml:space="preserve"> $10 e</w:t>
      </w:r>
      <w:r w:rsidR="00330238">
        <w:rPr>
          <w:rFonts w:ascii="Arial" w:hAnsi="Arial" w:cs="Arial"/>
          <w:sz w:val="24"/>
          <w:szCs w:val="24"/>
        </w:rPr>
        <w:t>ach</w:t>
      </w:r>
      <w:r w:rsidR="00F976DD">
        <w:rPr>
          <w:rFonts w:ascii="Arial" w:hAnsi="Arial" w:cs="Arial"/>
          <w:sz w:val="24"/>
          <w:szCs w:val="24"/>
        </w:rPr>
        <w:t xml:space="preserve"> year.  </w:t>
      </w:r>
      <w:r w:rsidR="00330238">
        <w:rPr>
          <w:rFonts w:ascii="Arial" w:hAnsi="Arial" w:cs="Arial"/>
          <w:sz w:val="24"/>
          <w:szCs w:val="24"/>
        </w:rPr>
        <w:t xml:space="preserve">S. 2368 </w:t>
      </w:r>
      <w:r w:rsidR="009370A8">
        <w:rPr>
          <w:rFonts w:ascii="Arial" w:hAnsi="Arial" w:cs="Arial"/>
          <w:sz w:val="24"/>
          <w:szCs w:val="24"/>
        </w:rPr>
        <w:t>aims to</w:t>
      </w:r>
      <w:r w:rsidR="00330238">
        <w:rPr>
          <w:rFonts w:ascii="Arial" w:hAnsi="Arial" w:cs="Arial"/>
          <w:sz w:val="24"/>
          <w:szCs w:val="24"/>
        </w:rPr>
        <w:t xml:space="preserve"> </w:t>
      </w:r>
      <w:r w:rsidR="009370A8">
        <w:rPr>
          <w:rFonts w:ascii="Arial" w:hAnsi="Arial" w:cs="Arial"/>
          <w:sz w:val="24"/>
          <w:szCs w:val="24"/>
        </w:rPr>
        <w:t>take effect</w:t>
      </w:r>
      <w:r w:rsidR="00330238">
        <w:rPr>
          <w:rFonts w:ascii="Arial" w:hAnsi="Arial" w:cs="Arial"/>
          <w:sz w:val="24"/>
          <w:szCs w:val="24"/>
        </w:rPr>
        <w:t xml:space="preserve"> in 2019 at $50/ton</w:t>
      </w:r>
      <w:r w:rsidR="009370A8">
        <w:rPr>
          <w:rFonts w:ascii="Arial" w:hAnsi="Arial" w:cs="Arial"/>
          <w:sz w:val="24"/>
          <w:szCs w:val="24"/>
        </w:rPr>
        <w:t>, and increase 2% a year plus inflation.  H.R. 6463 aims to take effect in 2020, start at $24/ton, and increase 2% a year plus inflation.</w:t>
      </w:r>
      <w:r w:rsidR="00330238">
        <w:rPr>
          <w:rFonts w:ascii="Arial" w:hAnsi="Arial" w:cs="Arial"/>
          <w:sz w:val="24"/>
          <w:szCs w:val="24"/>
        </w:rPr>
        <w:t xml:space="preserve"> </w:t>
      </w:r>
    </w:p>
    <w:p w14:paraId="7AFFBFC0" w14:textId="77777777" w:rsidR="00F938B9" w:rsidRDefault="00F938B9" w:rsidP="00DB7156">
      <w:pPr>
        <w:spacing w:after="0" w:line="240" w:lineRule="auto"/>
        <w:jc w:val="both"/>
        <w:rPr>
          <w:rFonts w:ascii="Arial" w:hAnsi="Arial" w:cs="Arial"/>
          <w:sz w:val="24"/>
        </w:rPr>
      </w:pPr>
    </w:p>
    <w:p w14:paraId="22BA4FF0" w14:textId="4A1F9383" w:rsidR="00C41555" w:rsidRPr="00DB7156" w:rsidRDefault="00042BB9" w:rsidP="00DB7156">
      <w:pPr>
        <w:spacing w:after="0" w:line="240" w:lineRule="auto"/>
        <w:jc w:val="both"/>
        <w:rPr>
          <w:rFonts w:ascii="Arial" w:hAnsi="Arial" w:cs="Arial"/>
          <w:sz w:val="24"/>
        </w:rPr>
      </w:pPr>
      <w:r w:rsidRPr="00DB7156">
        <w:rPr>
          <w:rFonts w:ascii="Arial" w:hAnsi="Arial" w:cs="Arial"/>
          <w:sz w:val="24"/>
        </w:rPr>
        <w:t xml:space="preserve">To date, Congress has declined to pass legislation to </w:t>
      </w:r>
      <w:r w:rsidR="003D135E" w:rsidRPr="00DB7156">
        <w:rPr>
          <w:rFonts w:ascii="Arial" w:hAnsi="Arial" w:cs="Arial"/>
          <w:sz w:val="24"/>
        </w:rPr>
        <w:t>reduce GHG emissions or mandate renewable energy</w:t>
      </w:r>
      <w:r w:rsidRPr="00DB7156">
        <w:rPr>
          <w:rFonts w:ascii="Arial" w:hAnsi="Arial" w:cs="Arial"/>
          <w:sz w:val="24"/>
        </w:rPr>
        <w:t>.</w:t>
      </w:r>
      <w:bookmarkEnd w:id="100"/>
      <w:r w:rsidRPr="00DB7156">
        <w:rPr>
          <w:rFonts w:ascii="Arial" w:hAnsi="Arial" w:cs="Arial"/>
          <w:sz w:val="24"/>
        </w:rPr>
        <w:t xml:space="preserve">  </w:t>
      </w:r>
      <w:r w:rsidR="002666CE" w:rsidRPr="00DB7156">
        <w:rPr>
          <w:rFonts w:ascii="Arial" w:hAnsi="Arial" w:cs="Arial"/>
          <w:sz w:val="24"/>
        </w:rPr>
        <w:t xml:space="preserve"> </w:t>
      </w:r>
    </w:p>
    <w:p w14:paraId="22BA4FF1" w14:textId="77777777" w:rsidR="00FC67F9" w:rsidRPr="00DB7156" w:rsidRDefault="00FC67F9" w:rsidP="00DB7156">
      <w:pPr>
        <w:spacing w:after="0" w:line="240" w:lineRule="auto"/>
        <w:jc w:val="both"/>
        <w:rPr>
          <w:rFonts w:ascii="Arial" w:hAnsi="Arial" w:cs="Arial"/>
        </w:rPr>
      </w:pPr>
    </w:p>
    <w:p w14:paraId="22BA4FF2" w14:textId="77777777" w:rsidR="00FC67F9" w:rsidRPr="00DB7156" w:rsidRDefault="00FC67F9" w:rsidP="00DB7156">
      <w:pPr>
        <w:spacing w:after="0" w:line="240" w:lineRule="auto"/>
        <w:jc w:val="both"/>
        <w:rPr>
          <w:rFonts w:ascii="Arial" w:hAnsi="Arial" w:cs="Arial"/>
          <w:color w:val="CC0000"/>
        </w:rPr>
      </w:pPr>
      <w:r w:rsidRPr="00DB7156">
        <w:rPr>
          <w:rFonts w:ascii="Arial" w:hAnsi="Arial" w:cs="Arial"/>
          <w:b/>
          <w:bCs/>
          <w:color w:val="000080"/>
          <w:sz w:val="24"/>
          <w:szCs w:val="24"/>
        </w:rPr>
        <w:t>Global Climate Change – International</w:t>
      </w:r>
      <w:r w:rsidRPr="00DB7156">
        <w:rPr>
          <w:rFonts w:ascii="Arial" w:hAnsi="Arial" w:cs="Arial"/>
          <w:color w:val="CC0000"/>
        </w:rPr>
        <w:t xml:space="preserve"> </w:t>
      </w:r>
    </w:p>
    <w:p w14:paraId="6BB60DFE" w14:textId="4F632A1F" w:rsidR="00746ED9" w:rsidRPr="00DB7156" w:rsidRDefault="00746ED9" w:rsidP="00B7348D">
      <w:pPr>
        <w:spacing w:line="240" w:lineRule="auto"/>
        <w:ind w:right="43"/>
        <w:jc w:val="both"/>
        <w:rPr>
          <w:rFonts w:ascii="Arial" w:hAnsi="Arial" w:cs="Arial"/>
          <w:sz w:val="24"/>
          <w:szCs w:val="24"/>
        </w:rPr>
      </w:pPr>
      <w:r w:rsidRPr="00DB7156">
        <w:rPr>
          <w:rFonts w:ascii="Arial" w:hAnsi="Arial" w:cs="Arial"/>
          <w:sz w:val="24"/>
          <w:szCs w:val="24"/>
        </w:rPr>
        <w:t>In 1992, countries negotiated an international treaty, the United Nations Framework Convention on Climate Change (</w:t>
      </w:r>
      <w:r w:rsidR="00D00086">
        <w:rPr>
          <w:rFonts w:ascii="Arial" w:hAnsi="Arial" w:cs="Arial"/>
          <w:sz w:val="24"/>
          <w:szCs w:val="24"/>
        </w:rPr>
        <w:t>“</w:t>
      </w:r>
      <w:r w:rsidRPr="00DB7156">
        <w:rPr>
          <w:rFonts w:ascii="Arial" w:hAnsi="Arial" w:cs="Arial"/>
          <w:sz w:val="24"/>
          <w:szCs w:val="24"/>
        </w:rPr>
        <w:t>UNFCCC</w:t>
      </w:r>
      <w:r w:rsidR="00D00086">
        <w:rPr>
          <w:rFonts w:ascii="Arial" w:hAnsi="Arial" w:cs="Arial"/>
          <w:sz w:val="24"/>
          <w:szCs w:val="24"/>
        </w:rPr>
        <w:t>”</w:t>
      </w:r>
      <w:r w:rsidRPr="00DB7156">
        <w:rPr>
          <w:rFonts w:ascii="Arial" w:hAnsi="Arial" w:cs="Arial"/>
          <w:sz w:val="24"/>
          <w:szCs w:val="24"/>
        </w:rPr>
        <w:t xml:space="preserve"> or </w:t>
      </w:r>
      <w:r w:rsidR="00D00086">
        <w:rPr>
          <w:rFonts w:ascii="Arial" w:hAnsi="Arial" w:cs="Arial"/>
          <w:sz w:val="24"/>
          <w:szCs w:val="24"/>
        </w:rPr>
        <w:t>“</w:t>
      </w:r>
      <w:r w:rsidRPr="00DB7156">
        <w:rPr>
          <w:rFonts w:ascii="Arial" w:hAnsi="Arial" w:cs="Arial"/>
          <w:sz w:val="24"/>
          <w:szCs w:val="24"/>
        </w:rPr>
        <w:t>Convention</w:t>
      </w:r>
      <w:r w:rsidR="00D00086">
        <w:rPr>
          <w:rFonts w:ascii="Arial" w:hAnsi="Arial" w:cs="Arial"/>
          <w:sz w:val="24"/>
          <w:szCs w:val="24"/>
        </w:rPr>
        <w:t>”</w:t>
      </w:r>
      <w:r w:rsidRPr="00DB7156">
        <w:rPr>
          <w:rFonts w:ascii="Arial" w:hAnsi="Arial" w:cs="Arial"/>
          <w:sz w:val="24"/>
          <w:szCs w:val="24"/>
        </w:rPr>
        <w:t>) to consider addressing climate change. To date, 195 countries (</w:t>
      </w:r>
      <w:r w:rsidR="0015298C">
        <w:rPr>
          <w:rFonts w:ascii="Arial" w:hAnsi="Arial" w:cs="Arial"/>
          <w:sz w:val="24"/>
          <w:szCs w:val="24"/>
        </w:rPr>
        <w:t>“</w:t>
      </w:r>
      <w:r w:rsidRPr="00DB7156">
        <w:rPr>
          <w:rFonts w:ascii="Arial" w:hAnsi="Arial" w:cs="Arial"/>
          <w:sz w:val="24"/>
          <w:szCs w:val="24"/>
        </w:rPr>
        <w:t>Parties to the Convention</w:t>
      </w:r>
      <w:r w:rsidR="0015298C">
        <w:rPr>
          <w:rFonts w:ascii="Arial" w:hAnsi="Arial" w:cs="Arial"/>
          <w:sz w:val="24"/>
          <w:szCs w:val="24"/>
        </w:rPr>
        <w:t>”</w:t>
      </w:r>
      <w:r w:rsidRPr="00DB7156">
        <w:rPr>
          <w:rFonts w:ascii="Arial" w:hAnsi="Arial" w:cs="Arial"/>
          <w:sz w:val="24"/>
          <w:szCs w:val="24"/>
        </w:rPr>
        <w:t>), including the United States, have ratified the Convention. The fi</w:t>
      </w:r>
      <w:r w:rsidR="00B7348D">
        <w:rPr>
          <w:rFonts w:ascii="Arial" w:hAnsi="Arial" w:cs="Arial"/>
          <w:sz w:val="24"/>
          <w:szCs w:val="24"/>
        </w:rPr>
        <w:t>rst Conference of Parties (</w:t>
      </w:r>
      <w:r w:rsidR="00EE4750">
        <w:rPr>
          <w:rFonts w:ascii="Arial" w:hAnsi="Arial" w:cs="Arial"/>
          <w:sz w:val="24"/>
          <w:szCs w:val="24"/>
        </w:rPr>
        <w:t>“</w:t>
      </w:r>
      <w:r w:rsidR="00B7348D">
        <w:rPr>
          <w:rFonts w:ascii="Arial" w:hAnsi="Arial" w:cs="Arial"/>
          <w:sz w:val="24"/>
          <w:szCs w:val="24"/>
        </w:rPr>
        <w:t>COP</w:t>
      </w:r>
      <w:r w:rsidR="00EE4750">
        <w:rPr>
          <w:rFonts w:ascii="Arial" w:hAnsi="Arial" w:cs="Arial"/>
          <w:sz w:val="24"/>
          <w:szCs w:val="24"/>
        </w:rPr>
        <w:t>”</w:t>
      </w:r>
      <w:r w:rsidRPr="00DB7156">
        <w:rPr>
          <w:rFonts w:ascii="Arial" w:hAnsi="Arial" w:cs="Arial"/>
          <w:sz w:val="24"/>
          <w:szCs w:val="24"/>
        </w:rPr>
        <w:t>)</w:t>
      </w:r>
      <w:r w:rsidR="00B7348D">
        <w:rPr>
          <w:rFonts w:ascii="Arial" w:hAnsi="Arial" w:cs="Arial"/>
          <w:sz w:val="24"/>
          <w:szCs w:val="24"/>
        </w:rPr>
        <w:t xml:space="preserve"> 1</w:t>
      </w:r>
      <w:r w:rsidRPr="00DB7156">
        <w:rPr>
          <w:rFonts w:ascii="Arial" w:hAnsi="Arial" w:cs="Arial"/>
          <w:sz w:val="24"/>
          <w:szCs w:val="24"/>
        </w:rPr>
        <w:t xml:space="preserve"> was held in 1995, which resulted in a “mandate” to negotiate a protocol to the Convention. In 1997, the Parties to the Convention negotiated the Kyoto Protocol which sought to bind industrialized counties to commitments to reduce emissions of greenhouse gases. The </w:t>
      </w:r>
      <w:r w:rsidR="00D00086">
        <w:rPr>
          <w:rFonts w:ascii="Arial" w:hAnsi="Arial" w:cs="Arial"/>
          <w:sz w:val="24"/>
          <w:szCs w:val="24"/>
        </w:rPr>
        <w:t xml:space="preserve">Kyoto </w:t>
      </w:r>
      <w:r w:rsidRPr="00DB7156">
        <w:rPr>
          <w:rFonts w:ascii="Arial" w:hAnsi="Arial" w:cs="Arial"/>
          <w:sz w:val="24"/>
          <w:szCs w:val="24"/>
        </w:rPr>
        <w:t xml:space="preserve">Protocol’s first commitment period started in 2008 and ended in 2012. The second commitment period began in 2013 and will end in 2020.  </w:t>
      </w:r>
      <w:r w:rsidR="00D00086">
        <w:rPr>
          <w:rFonts w:ascii="Arial" w:hAnsi="Arial" w:cs="Arial"/>
          <w:sz w:val="24"/>
          <w:szCs w:val="24"/>
        </w:rPr>
        <w:t xml:space="preserve">To date, </w:t>
      </w:r>
      <w:r w:rsidRPr="00DB7156">
        <w:rPr>
          <w:rFonts w:ascii="Arial" w:hAnsi="Arial" w:cs="Arial"/>
          <w:sz w:val="24"/>
          <w:szCs w:val="24"/>
        </w:rPr>
        <w:t>192 countries, not including the United States, have ratified the</w:t>
      </w:r>
      <w:r w:rsidR="00D00086">
        <w:rPr>
          <w:rFonts w:ascii="Arial" w:hAnsi="Arial" w:cs="Arial"/>
          <w:sz w:val="24"/>
          <w:szCs w:val="24"/>
        </w:rPr>
        <w:t xml:space="preserve"> Kyoto</w:t>
      </w:r>
      <w:r w:rsidRPr="00DB7156">
        <w:rPr>
          <w:rFonts w:ascii="Arial" w:hAnsi="Arial" w:cs="Arial"/>
          <w:sz w:val="24"/>
          <w:szCs w:val="24"/>
        </w:rPr>
        <w:t xml:space="preserve"> Protocol. </w:t>
      </w:r>
    </w:p>
    <w:p w14:paraId="3B82C6F7" w14:textId="48E3F9D9" w:rsidR="00746ED9" w:rsidRPr="00DB7156" w:rsidRDefault="00746ED9" w:rsidP="00B7348D">
      <w:pPr>
        <w:spacing w:line="240" w:lineRule="auto"/>
        <w:ind w:right="43"/>
        <w:jc w:val="both"/>
        <w:rPr>
          <w:rFonts w:ascii="Arial" w:hAnsi="Arial" w:cs="Arial"/>
          <w:sz w:val="24"/>
          <w:szCs w:val="24"/>
        </w:rPr>
      </w:pPr>
      <w:r w:rsidRPr="00DB7156">
        <w:rPr>
          <w:rFonts w:ascii="Arial" w:hAnsi="Arial" w:cs="Arial"/>
          <w:sz w:val="24"/>
          <w:szCs w:val="24"/>
        </w:rPr>
        <w:t>Since 2005, the Convention has established various “working groups” to address key issues and negotiate future climate-related international agreements. Such key issues include future commitments under the Kyoto Protocol, long-term cooperative action, and a “legally binding” post-2020 emission reduction program. The Working Groups meet periodically throughout the year and, along with the formal subsidiary bodies to the Convention, again at th</w:t>
      </w:r>
      <w:r w:rsidR="00EE4750">
        <w:rPr>
          <w:rFonts w:ascii="Arial" w:hAnsi="Arial" w:cs="Arial"/>
          <w:sz w:val="24"/>
          <w:szCs w:val="24"/>
        </w:rPr>
        <w:t xml:space="preserve">e annual </w:t>
      </w:r>
      <w:r w:rsidRPr="00DB7156">
        <w:rPr>
          <w:rFonts w:ascii="Arial" w:hAnsi="Arial" w:cs="Arial"/>
          <w:sz w:val="24"/>
          <w:szCs w:val="24"/>
        </w:rPr>
        <w:t>COP and a Meeting of the Parties to the Kyoto Protocol (</w:t>
      </w:r>
      <w:r w:rsidR="00D00086">
        <w:rPr>
          <w:rFonts w:ascii="Arial" w:hAnsi="Arial" w:cs="Arial"/>
          <w:sz w:val="24"/>
          <w:szCs w:val="24"/>
        </w:rPr>
        <w:t>“</w:t>
      </w:r>
      <w:r w:rsidRPr="00DB7156">
        <w:rPr>
          <w:rFonts w:ascii="Arial" w:hAnsi="Arial" w:cs="Arial"/>
          <w:sz w:val="24"/>
          <w:szCs w:val="24"/>
        </w:rPr>
        <w:t>CMP</w:t>
      </w:r>
      <w:r w:rsidR="00D00086">
        <w:rPr>
          <w:rFonts w:ascii="Arial" w:hAnsi="Arial" w:cs="Arial"/>
          <w:sz w:val="24"/>
          <w:szCs w:val="24"/>
        </w:rPr>
        <w:t>”</w:t>
      </w:r>
      <w:r w:rsidRPr="00DB7156">
        <w:rPr>
          <w:rFonts w:ascii="Arial" w:hAnsi="Arial" w:cs="Arial"/>
          <w:sz w:val="24"/>
          <w:szCs w:val="24"/>
        </w:rPr>
        <w:t xml:space="preserve">). The COP is the supreme decision-making body of the Convention, which reviews the implementation of the Convention and other legal instruments. The CMP reviews the implementation of the Kyoto Protocol. To date, there have been </w:t>
      </w:r>
      <w:r w:rsidR="00E40FBF" w:rsidRPr="00DB7156">
        <w:rPr>
          <w:rFonts w:ascii="Arial" w:hAnsi="Arial" w:cs="Arial"/>
          <w:sz w:val="24"/>
          <w:szCs w:val="24"/>
        </w:rPr>
        <w:t>1</w:t>
      </w:r>
      <w:r w:rsidR="005D64F2">
        <w:rPr>
          <w:rFonts w:ascii="Arial" w:hAnsi="Arial" w:cs="Arial"/>
          <w:sz w:val="24"/>
          <w:szCs w:val="24"/>
        </w:rPr>
        <w:t>4</w:t>
      </w:r>
      <w:r w:rsidR="00E40FBF" w:rsidRPr="00DB7156">
        <w:rPr>
          <w:rFonts w:ascii="Arial" w:hAnsi="Arial" w:cs="Arial"/>
          <w:sz w:val="24"/>
          <w:szCs w:val="24"/>
        </w:rPr>
        <w:t xml:space="preserve"> CMPs and </w:t>
      </w:r>
      <w:r w:rsidRPr="00DB7156">
        <w:rPr>
          <w:rFonts w:ascii="Arial" w:hAnsi="Arial" w:cs="Arial"/>
          <w:sz w:val="24"/>
          <w:szCs w:val="24"/>
        </w:rPr>
        <w:t>2</w:t>
      </w:r>
      <w:r w:rsidR="005D64F2">
        <w:rPr>
          <w:rFonts w:ascii="Arial" w:hAnsi="Arial" w:cs="Arial"/>
          <w:sz w:val="24"/>
          <w:szCs w:val="24"/>
        </w:rPr>
        <w:t>4</w:t>
      </w:r>
      <w:r w:rsidRPr="00DB7156">
        <w:rPr>
          <w:rFonts w:ascii="Arial" w:hAnsi="Arial" w:cs="Arial"/>
          <w:sz w:val="24"/>
          <w:szCs w:val="24"/>
        </w:rPr>
        <w:t xml:space="preserve"> COPs.</w:t>
      </w:r>
      <w:r w:rsidR="00E40FBF" w:rsidRPr="00DB7156">
        <w:rPr>
          <w:rFonts w:ascii="Arial" w:hAnsi="Arial" w:cs="Arial"/>
          <w:sz w:val="24"/>
          <w:szCs w:val="24"/>
        </w:rPr>
        <w:t xml:space="preserve"> </w:t>
      </w:r>
    </w:p>
    <w:p w14:paraId="635F4C68" w14:textId="5BA14DE6" w:rsidR="00746ED9" w:rsidRPr="00DB7156" w:rsidRDefault="00746ED9" w:rsidP="00DB7156">
      <w:pPr>
        <w:spacing w:line="240" w:lineRule="auto"/>
        <w:ind w:right="43"/>
        <w:jc w:val="both"/>
        <w:rPr>
          <w:rFonts w:ascii="Arial" w:hAnsi="Arial" w:cs="Arial"/>
          <w:sz w:val="24"/>
          <w:szCs w:val="24"/>
        </w:rPr>
      </w:pPr>
      <w:bookmarkStart w:id="101" w:name="_Hlk530495324"/>
      <w:r w:rsidRPr="00DB7156">
        <w:rPr>
          <w:rFonts w:ascii="Arial" w:hAnsi="Arial" w:cs="Arial"/>
          <w:sz w:val="24"/>
          <w:szCs w:val="24"/>
        </w:rPr>
        <w:t xml:space="preserve">On March 31, 2015, the United States submitted </w:t>
      </w:r>
      <w:r w:rsidR="00D00086" w:rsidRPr="00DB7156">
        <w:rPr>
          <w:rFonts w:ascii="Arial" w:hAnsi="Arial" w:cs="Arial"/>
          <w:sz w:val="24"/>
          <w:szCs w:val="24"/>
        </w:rPr>
        <w:t xml:space="preserve">to the UNFCCC </w:t>
      </w:r>
      <w:r w:rsidRPr="00DB7156">
        <w:rPr>
          <w:rFonts w:ascii="Arial" w:hAnsi="Arial" w:cs="Arial"/>
          <w:sz w:val="24"/>
          <w:szCs w:val="24"/>
        </w:rPr>
        <w:t>its economy-wide target to cut net</w:t>
      </w:r>
      <w:r w:rsidR="00D00086">
        <w:rPr>
          <w:rFonts w:ascii="Arial" w:hAnsi="Arial" w:cs="Arial"/>
          <w:sz w:val="24"/>
          <w:szCs w:val="24"/>
        </w:rPr>
        <w:t xml:space="preserve"> GHG </w:t>
      </w:r>
      <w:r w:rsidRPr="00DB7156">
        <w:rPr>
          <w:rFonts w:ascii="Arial" w:hAnsi="Arial" w:cs="Arial"/>
          <w:sz w:val="24"/>
          <w:szCs w:val="24"/>
        </w:rPr>
        <w:t>emissions. The submission, referred to as an intended nationally determined contribution, is a formal statement of the United State</w:t>
      </w:r>
      <w:r w:rsidR="00D00086">
        <w:rPr>
          <w:rFonts w:ascii="Arial" w:hAnsi="Arial" w:cs="Arial"/>
          <w:sz w:val="24"/>
          <w:szCs w:val="24"/>
        </w:rPr>
        <w:t>s</w:t>
      </w:r>
      <w:r w:rsidRPr="00DB7156">
        <w:rPr>
          <w:rFonts w:ascii="Arial" w:hAnsi="Arial" w:cs="Arial"/>
          <w:sz w:val="24"/>
          <w:szCs w:val="24"/>
        </w:rPr>
        <w:t xml:space="preserve"> target to reduce emissions 26-28% below 2005 levels by 2025, and to make best efforts to reduce by 28%. </w:t>
      </w:r>
    </w:p>
    <w:p w14:paraId="453D1DC4" w14:textId="563645E6" w:rsidR="00746ED9" w:rsidRPr="00DB7156" w:rsidRDefault="00746ED9" w:rsidP="00DB7156">
      <w:pPr>
        <w:spacing w:line="240" w:lineRule="auto"/>
        <w:ind w:right="43"/>
        <w:jc w:val="both"/>
        <w:rPr>
          <w:rFonts w:ascii="Arial" w:hAnsi="Arial" w:cs="Arial"/>
          <w:sz w:val="24"/>
          <w:szCs w:val="24"/>
        </w:rPr>
      </w:pPr>
      <w:r w:rsidRPr="00DB7156">
        <w:rPr>
          <w:rFonts w:ascii="Arial" w:hAnsi="Arial" w:cs="Arial"/>
          <w:sz w:val="24"/>
          <w:szCs w:val="24"/>
        </w:rPr>
        <w:t>COP 21 took place in late 2015 in Paris, France.  The result</w:t>
      </w:r>
      <w:r w:rsidR="00D00086">
        <w:rPr>
          <w:rFonts w:ascii="Arial" w:hAnsi="Arial" w:cs="Arial"/>
          <w:sz w:val="24"/>
          <w:szCs w:val="24"/>
        </w:rPr>
        <w:t xml:space="preserve"> of COP 21</w:t>
      </w:r>
      <w:r w:rsidRPr="00DB7156">
        <w:rPr>
          <w:rFonts w:ascii="Arial" w:hAnsi="Arial" w:cs="Arial"/>
          <w:sz w:val="24"/>
          <w:szCs w:val="24"/>
        </w:rPr>
        <w:t xml:space="preserve"> was the adoption of the Paris Agreement, which establishes a universal framework for addressing GHG emissions based on nationally determined contributions. It also sets in place a process for increasing those commitments every five years.  </w:t>
      </w:r>
    </w:p>
    <w:p w14:paraId="5B7F5A55" w14:textId="3D3BB5BC" w:rsidR="00746ED9" w:rsidRPr="00DB7156" w:rsidRDefault="00746ED9" w:rsidP="00DB7156">
      <w:pPr>
        <w:spacing w:line="240" w:lineRule="auto"/>
        <w:ind w:right="43"/>
        <w:jc w:val="both"/>
        <w:rPr>
          <w:rFonts w:ascii="Arial" w:hAnsi="Arial" w:cs="Arial"/>
          <w:sz w:val="24"/>
          <w:szCs w:val="24"/>
        </w:rPr>
      </w:pPr>
      <w:r w:rsidRPr="00DB7156">
        <w:rPr>
          <w:rFonts w:ascii="Arial" w:hAnsi="Arial" w:cs="Arial"/>
          <w:sz w:val="24"/>
          <w:szCs w:val="24"/>
        </w:rPr>
        <w:t xml:space="preserve">On September 3, 2016, the U.S. Administration “accepted” the Paris Agreement via executive agreement. On November 4, 2016, the Paris Agreement entered into force due to at least 55 countries representing at least 55% of the world’s </w:t>
      </w:r>
      <w:r w:rsidR="00D00086">
        <w:rPr>
          <w:rFonts w:ascii="Arial" w:hAnsi="Arial" w:cs="Arial"/>
          <w:sz w:val="24"/>
          <w:szCs w:val="24"/>
        </w:rPr>
        <w:t>GHG</w:t>
      </w:r>
      <w:r w:rsidRPr="00DB7156">
        <w:rPr>
          <w:rFonts w:ascii="Arial" w:hAnsi="Arial" w:cs="Arial"/>
          <w:sz w:val="24"/>
          <w:szCs w:val="24"/>
        </w:rPr>
        <w:t xml:space="preserve"> emissions formally joining the agreement. </w:t>
      </w:r>
    </w:p>
    <w:p w14:paraId="4DB7DAB3" w14:textId="502861E0" w:rsidR="00A54AD7" w:rsidRDefault="00746ED9" w:rsidP="00A0070C">
      <w:pPr>
        <w:spacing w:line="240" w:lineRule="auto"/>
        <w:ind w:right="43"/>
        <w:jc w:val="both"/>
        <w:rPr>
          <w:rFonts w:ascii="Arial" w:hAnsi="Arial" w:cs="Arial"/>
          <w:sz w:val="24"/>
        </w:rPr>
      </w:pPr>
      <w:r w:rsidRPr="00DB7156">
        <w:rPr>
          <w:rFonts w:ascii="Arial" w:hAnsi="Arial" w:cs="Arial"/>
          <w:sz w:val="24"/>
          <w:szCs w:val="24"/>
        </w:rPr>
        <w:t xml:space="preserve">On June 1, 2017, President </w:t>
      </w:r>
      <w:r w:rsidR="00604E87" w:rsidRPr="00DB7156">
        <w:rPr>
          <w:rFonts w:ascii="Arial" w:hAnsi="Arial" w:cs="Arial"/>
          <w:sz w:val="24"/>
          <w:szCs w:val="24"/>
        </w:rPr>
        <w:t xml:space="preserve">Trump </w:t>
      </w:r>
      <w:r w:rsidRPr="00DB7156">
        <w:rPr>
          <w:rFonts w:ascii="Arial" w:hAnsi="Arial" w:cs="Arial"/>
          <w:sz w:val="24"/>
          <w:szCs w:val="24"/>
        </w:rPr>
        <w:t>announced that the U</w:t>
      </w:r>
      <w:r w:rsidR="00604E87" w:rsidRPr="00DB7156">
        <w:rPr>
          <w:rFonts w:ascii="Arial" w:hAnsi="Arial" w:cs="Arial"/>
          <w:sz w:val="24"/>
          <w:szCs w:val="24"/>
        </w:rPr>
        <w:t xml:space="preserve">.S. </w:t>
      </w:r>
      <w:r w:rsidRPr="00DB7156">
        <w:rPr>
          <w:rFonts w:ascii="Arial" w:hAnsi="Arial" w:cs="Arial"/>
          <w:sz w:val="24"/>
          <w:szCs w:val="24"/>
        </w:rPr>
        <w:t xml:space="preserve">will withdraw from the Paris Agreement and begin negotiations to re-enter the Paris Agreement </w:t>
      </w:r>
      <w:r w:rsidR="00604E87" w:rsidRPr="00DB7156">
        <w:rPr>
          <w:rFonts w:ascii="Arial" w:hAnsi="Arial" w:cs="Arial"/>
          <w:sz w:val="24"/>
          <w:szCs w:val="24"/>
        </w:rPr>
        <w:t xml:space="preserve">under </w:t>
      </w:r>
      <w:r w:rsidRPr="00DB7156">
        <w:rPr>
          <w:rFonts w:ascii="Arial" w:hAnsi="Arial" w:cs="Arial"/>
          <w:sz w:val="24"/>
          <w:szCs w:val="24"/>
        </w:rPr>
        <w:t xml:space="preserve">new </w:t>
      </w:r>
      <w:r w:rsidR="00604E87" w:rsidRPr="00DB7156">
        <w:rPr>
          <w:rFonts w:ascii="Arial" w:hAnsi="Arial" w:cs="Arial"/>
          <w:sz w:val="24"/>
          <w:szCs w:val="24"/>
        </w:rPr>
        <w:t>terms or negotiate an entirely new agreement.</w:t>
      </w:r>
      <w:r w:rsidR="002B434A" w:rsidRPr="00DB7156">
        <w:rPr>
          <w:rFonts w:ascii="Arial" w:hAnsi="Arial" w:cs="Arial"/>
          <w:sz w:val="24"/>
        </w:rPr>
        <w:t xml:space="preserve"> </w:t>
      </w:r>
      <w:r w:rsidR="00083B74" w:rsidRPr="00DB7156">
        <w:rPr>
          <w:rFonts w:ascii="Arial" w:hAnsi="Arial" w:cs="Arial"/>
          <w:sz w:val="24"/>
        </w:rPr>
        <w:t xml:space="preserve"> </w:t>
      </w:r>
      <w:r w:rsidR="00A54AD7" w:rsidRPr="00DB7156">
        <w:rPr>
          <w:rFonts w:ascii="Arial" w:hAnsi="Arial" w:cs="Arial"/>
          <w:sz w:val="24"/>
        </w:rPr>
        <w:t xml:space="preserve">  </w:t>
      </w:r>
    </w:p>
    <w:p w14:paraId="383FAEF5" w14:textId="007AA30C" w:rsidR="005D64F2" w:rsidRPr="00B7348D" w:rsidRDefault="005D64F2" w:rsidP="00A0070C">
      <w:pPr>
        <w:spacing w:line="240" w:lineRule="auto"/>
        <w:ind w:right="43"/>
        <w:jc w:val="both"/>
        <w:rPr>
          <w:rFonts w:ascii="Arial" w:hAnsi="Arial" w:cs="Arial"/>
          <w:sz w:val="24"/>
          <w:szCs w:val="24"/>
        </w:rPr>
      </w:pPr>
      <w:r w:rsidRPr="00DB7156">
        <w:rPr>
          <w:rFonts w:ascii="Arial" w:hAnsi="Arial" w:cs="Arial"/>
          <w:sz w:val="24"/>
          <w:szCs w:val="24"/>
        </w:rPr>
        <w:t>COP 2</w:t>
      </w:r>
      <w:r>
        <w:rPr>
          <w:rFonts w:ascii="Arial" w:hAnsi="Arial" w:cs="Arial"/>
          <w:sz w:val="24"/>
          <w:szCs w:val="24"/>
        </w:rPr>
        <w:t>4 took place in</w:t>
      </w:r>
      <w:r w:rsidR="00FA2A43">
        <w:rPr>
          <w:rFonts w:ascii="Arial" w:hAnsi="Arial" w:cs="Arial"/>
          <w:sz w:val="24"/>
          <w:szCs w:val="24"/>
        </w:rPr>
        <w:t xml:space="preserve"> December</w:t>
      </w:r>
      <w:r>
        <w:rPr>
          <w:rFonts w:ascii="Arial" w:hAnsi="Arial" w:cs="Arial"/>
          <w:sz w:val="24"/>
          <w:szCs w:val="24"/>
        </w:rPr>
        <w:t xml:space="preserve"> 2018</w:t>
      </w:r>
      <w:r w:rsidRPr="00DB7156">
        <w:rPr>
          <w:rFonts w:ascii="Arial" w:hAnsi="Arial" w:cs="Arial"/>
          <w:sz w:val="24"/>
          <w:szCs w:val="24"/>
        </w:rPr>
        <w:t xml:space="preserve"> in</w:t>
      </w:r>
      <w:r>
        <w:rPr>
          <w:rFonts w:ascii="Arial" w:hAnsi="Arial" w:cs="Arial"/>
          <w:sz w:val="24"/>
          <w:szCs w:val="24"/>
        </w:rPr>
        <w:t xml:space="preserve"> Katowice, Poland.</w:t>
      </w:r>
      <w:r w:rsidR="00775EE6">
        <w:rPr>
          <w:rFonts w:ascii="Arial" w:hAnsi="Arial" w:cs="Arial"/>
          <w:sz w:val="24"/>
          <w:szCs w:val="24"/>
        </w:rPr>
        <w:t xml:space="preserve"> </w:t>
      </w:r>
      <w:r w:rsidR="00775EE6" w:rsidRPr="00775EE6">
        <w:rPr>
          <w:rFonts w:ascii="Arial" w:hAnsi="Arial" w:cs="Arial"/>
          <w:sz w:val="24"/>
          <w:szCs w:val="24"/>
        </w:rPr>
        <w:t xml:space="preserve">The </w:t>
      </w:r>
      <w:r w:rsidR="00FA2A43">
        <w:rPr>
          <w:rFonts w:ascii="Arial" w:hAnsi="Arial" w:cs="Arial"/>
          <w:sz w:val="24"/>
          <w:szCs w:val="24"/>
        </w:rPr>
        <w:t xml:space="preserve">result was </w:t>
      </w:r>
      <w:r w:rsidR="00775EE6" w:rsidRPr="00775EE6">
        <w:rPr>
          <w:rFonts w:ascii="Arial" w:hAnsi="Arial" w:cs="Arial"/>
          <w:sz w:val="24"/>
          <w:szCs w:val="24"/>
        </w:rPr>
        <w:t>a set of implementing guide</w:t>
      </w:r>
      <w:r w:rsidR="00FA2A43">
        <w:rPr>
          <w:rFonts w:ascii="Arial" w:hAnsi="Arial" w:cs="Arial"/>
          <w:sz w:val="24"/>
          <w:szCs w:val="24"/>
        </w:rPr>
        <w:t>lines for the 2015 Paris Agreement. </w:t>
      </w:r>
      <w:r w:rsidR="00775EE6" w:rsidRPr="00775EE6">
        <w:rPr>
          <w:rFonts w:ascii="Arial" w:hAnsi="Arial" w:cs="Arial"/>
          <w:sz w:val="24"/>
          <w:szCs w:val="24"/>
        </w:rPr>
        <w:t>A key component of the agreement lays out a detailed transparency framework which sets out how countries will provide information about national climate actions plans, including reduction, mitigation, and adaptation measures. An agreement was also reache</w:t>
      </w:r>
      <w:r w:rsidR="00FA2A43">
        <w:rPr>
          <w:rFonts w:ascii="Arial" w:hAnsi="Arial" w:cs="Arial"/>
          <w:sz w:val="24"/>
          <w:szCs w:val="24"/>
        </w:rPr>
        <w:t xml:space="preserve">d on how to uniformly count GHG emissions. COP 25 will </w:t>
      </w:r>
      <w:r w:rsidR="00775EE6" w:rsidRPr="00775EE6">
        <w:rPr>
          <w:rFonts w:ascii="Arial" w:hAnsi="Arial" w:cs="Arial"/>
          <w:sz w:val="24"/>
          <w:szCs w:val="24"/>
        </w:rPr>
        <w:t xml:space="preserve">take place in Chile </w:t>
      </w:r>
      <w:r w:rsidR="00FA2A43">
        <w:rPr>
          <w:rFonts w:ascii="Arial" w:hAnsi="Arial" w:cs="Arial"/>
          <w:sz w:val="24"/>
          <w:szCs w:val="24"/>
        </w:rPr>
        <w:t>in December 2019.</w:t>
      </w:r>
    </w:p>
    <w:bookmarkEnd w:id="101"/>
    <w:p w14:paraId="22BA5001" w14:textId="5A5CD179" w:rsidR="00FC67F9" w:rsidRPr="00DB7156" w:rsidRDefault="001570BB"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Greenhouse Gas</w:t>
      </w:r>
      <w:r w:rsidR="00FC67F9" w:rsidRPr="00DB7156">
        <w:rPr>
          <w:rFonts w:ascii="Arial" w:hAnsi="Arial" w:cs="Arial"/>
          <w:b/>
          <w:bCs/>
          <w:color w:val="000080"/>
          <w:sz w:val="14"/>
          <w:szCs w:val="14"/>
        </w:rPr>
        <w:t xml:space="preserve"> </w:t>
      </w:r>
      <w:r w:rsidR="00FC67F9" w:rsidRPr="00DB7156">
        <w:rPr>
          <w:rFonts w:ascii="Arial" w:hAnsi="Arial" w:cs="Arial"/>
          <w:b/>
          <w:bCs/>
          <w:color w:val="000080"/>
          <w:sz w:val="24"/>
          <w:szCs w:val="24"/>
        </w:rPr>
        <w:t>Regulation</w:t>
      </w:r>
      <w:r w:rsidR="002F44B4" w:rsidRPr="00DB7156">
        <w:rPr>
          <w:rFonts w:ascii="Arial" w:hAnsi="Arial" w:cs="Arial"/>
          <w:b/>
          <w:bCs/>
          <w:color w:val="000080"/>
          <w:sz w:val="24"/>
          <w:szCs w:val="24"/>
        </w:rPr>
        <w:t>s</w:t>
      </w:r>
      <w:r w:rsidR="00C41555" w:rsidRPr="00DB7156">
        <w:rPr>
          <w:rFonts w:ascii="Arial" w:hAnsi="Arial" w:cs="Arial"/>
          <w:b/>
          <w:bCs/>
          <w:color w:val="000080"/>
          <w:sz w:val="24"/>
          <w:szCs w:val="24"/>
        </w:rPr>
        <w:t xml:space="preserve"> - Backgrou</w:t>
      </w:r>
      <w:r w:rsidR="003F0C90" w:rsidRPr="00DB7156">
        <w:rPr>
          <w:rFonts w:ascii="Arial" w:hAnsi="Arial" w:cs="Arial"/>
          <w:b/>
          <w:bCs/>
          <w:color w:val="000080"/>
          <w:sz w:val="24"/>
          <w:szCs w:val="24"/>
        </w:rPr>
        <w:t>n</w:t>
      </w:r>
      <w:r w:rsidR="00C41555" w:rsidRPr="00DB7156">
        <w:rPr>
          <w:rFonts w:ascii="Arial" w:hAnsi="Arial" w:cs="Arial"/>
          <w:b/>
          <w:bCs/>
          <w:color w:val="000080"/>
          <w:sz w:val="24"/>
          <w:szCs w:val="24"/>
        </w:rPr>
        <w:t>d</w:t>
      </w:r>
    </w:p>
    <w:p w14:paraId="22BA5002" w14:textId="2A53C85F" w:rsidR="00706F1E" w:rsidRPr="00DB7156" w:rsidRDefault="00FC67F9"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In April 2007, the U.S. Supreme Court ruled that EPA has authority under the </w:t>
      </w:r>
      <w:r w:rsidR="002F44B4" w:rsidRPr="00DB7156">
        <w:rPr>
          <w:rFonts w:ascii="Arial" w:hAnsi="Arial" w:cs="Arial"/>
          <w:sz w:val="24"/>
          <w:szCs w:val="24"/>
        </w:rPr>
        <w:t>CAA</w:t>
      </w:r>
      <w:r w:rsidRPr="00DB7156">
        <w:rPr>
          <w:rFonts w:ascii="Arial" w:hAnsi="Arial" w:cs="Arial"/>
          <w:sz w:val="24"/>
          <w:szCs w:val="24"/>
        </w:rPr>
        <w:t xml:space="preserve"> to regulate </w:t>
      </w:r>
      <w:r w:rsidR="002F44B4" w:rsidRPr="00DB7156">
        <w:rPr>
          <w:rFonts w:ascii="Arial" w:hAnsi="Arial" w:cs="Arial"/>
          <w:sz w:val="24"/>
          <w:szCs w:val="24"/>
        </w:rPr>
        <w:t>GHG</w:t>
      </w:r>
      <w:r w:rsidRPr="00DB7156">
        <w:rPr>
          <w:rFonts w:ascii="Arial" w:hAnsi="Arial" w:cs="Arial"/>
          <w:sz w:val="24"/>
          <w:szCs w:val="24"/>
        </w:rPr>
        <w:t xml:space="preserve"> emissions from new motor vehicles</w:t>
      </w:r>
      <w:r w:rsidR="00EC3913" w:rsidRPr="00DB7156">
        <w:rPr>
          <w:rFonts w:ascii="Arial" w:hAnsi="Arial" w:cs="Arial"/>
          <w:sz w:val="24"/>
          <w:szCs w:val="24"/>
        </w:rPr>
        <w:t xml:space="preserve"> and that EPA must decide whether these emissions endanger public health and welfare</w:t>
      </w:r>
      <w:r w:rsidRPr="00DB7156">
        <w:rPr>
          <w:rFonts w:ascii="Arial" w:hAnsi="Arial" w:cs="Arial"/>
          <w:sz w:val="24"/>
          <w:szCs w:val="24"/>
        </w:rPr>
        <w:t xml:space="preserve">. </w:t>
      </w:r>
      <w:r w:rsidR="00706F1E" w:rsidRPr="00DB7156">
        <w:rPr>
          <w:rFonts w:ascii="Arial" w:hAnsi="Arial" w:cs="Arial"/>
          <w:sz w:val="24"/>
          <w:szCs w:val="24"/>
        </w:rPr>
        <w:t>I</w:t>
      </w:r>
      <w:r w:rsidRPr="00DB7156">
        <w:rPr>
          <w:rFonts w:ascii="Arial" w:hAnsi="Arial" w:cs="Arial"/>
          <w:sz w:val="24"/>
          <w:szCs w:val="24"/>
        </w:rPr>
        <w:t>n December 2009</w:t>
      </w:r>
      <w:r w:rsidR="00706F1E" w:rsidRPr="00DB7156">
        <w:rPr>
          <w:rFonts w:ascii="Arial" w:hAnsi="Arial" w:cs="Arial"/>
          <w:sz w:val="24"/>
          <w:szCs w:val="24"/>
        </w:rPr>
        <w:t xml:space="preserve">, EPA </w:t>
      </w:r>
      <w:r w:rsidRPr="00DB7156">
        <w:rPr>
          <w:rFonts w:ascii="Arial" w:hAnsi="Arial" w:cs="Arial"/>
          <w:sz w:val="24"/>
          <w:szCs w:val="24"/>
        </w:rPr>
        <w:t xml:space="preserve">published a final determination, which became effective </w:t>
      </w:r>
      <w:r w:rsidR="00A0070C">
        <w:rPr>
          <w:rFonts w:ascii="Arial" w:hAnsi="Arial" w:cs="Arial"/>
          <w:sz w:val="24"/>
          <w:szCs w:val="24"/>
        </w:rPr>
        <w:t>i</w:t>
      </w:r>
      <w:r w:rsidRPr="00DB7156">
        <w:rPr>
          <w:rFonts w:ascii="Arial" w:hAnsi="Arial" w:cs="Arial"/>
          <w:sz w:val="24"/>
          <w:szCs w:val="24"/>
        </w:rPr>
        <w:t xml:space="preserve">n January 2010, that certain </w:t>
      </w:r>
      <w:r w:rsidR="002F44B4" w:rsidRPr="00DB7156">
        <w:rPr>
          <w:rFonts w:ascii="Arial" w:hAnsi="Arial" w:cs="Arial"/>
          <w:sz w:val="24"/>
          <w:szCs w:val="24"/>
        </w:rPr>
        <w:t>GHG</w:t>
      </w:r>
      <w:r w:rsidRPr="00DB7156">
        <w:rPr>
          <w:rFonts w:ascii="Arial" w:hAnsi="Arial" w:cs="Arial"/>
          <w:sz w:val="24"/>
          <w:szCs w:val="24"/>
        </w:rPr>
        <w:t xml:space="preserve"> emissions from new motor vehicles endanger public health and welfare. </w:t>
      </w:r>
      <w:r w:rsidR="00A0070C">
        <w:rPr>
          <w:rFonts w:ascii="Arial" w:hAnsi="Arial" w:cs="Arial"/>
          <w:sz w:val="24"/>
          <w:szCs w:val="24"/>
        </w:rPr>
        <w:t>I</w:t>
      </w:r>
      <w:r w:rsidRPr="00DB7156">
        <w:rPr>
          <w:rFonts w:ascii="Arial" w:hAnsi="Arial" w:cs="Arial"/>
          <w:sz w:val="24"/>
          <w:szCs w:val="24"/>
        </w:rPr>
        <w:t xml:space="preserve">n April 2010, EPA issued a final rule regulating </w:t>
      </w:r>
      <w:r w:rsidR="002F44B4" w:rsidRPr="00DB7156">
        <w:rPr>
          <w:rFonts w:ascii="Arial" w:hAnsi="Arial" w:cs="Arial"/>
          <w:sz w:val="24"/>
          <w:szCs w:val="24"/>
        </w:rPr>
        <w:t>GHG</w:t>
      </w:r>
      <w:r w:rsidRPr="00DB7156">
        <w:rPr>
          <w:rFonts w:ascii="Arial" w:hAnsi="Arial" w:cs="Arial"/>
          <w:sz w:val="24"/>
          <w:szCs w:val="24"/>
        </w:rPr>
        <w:t xml:space="preserve"> emissions from new motor vehicles under the </w:t>
      </w:r>
      <w:r w:rsidR="002F44B4" w:rsidRPr="00DB7156">
        <w:rPr>
          <w:rFonts w:ascii="Arial" w:hAnsi="Arial" w:cs="Arial"/>
          <w:sz w:val="24"/>
          <w:szCs w:val="24"/>
        </w:rPr>
        <w:t>CAA</w:t>
      </w:r>
      <w:r w:rsidRPr="00DB7156">
        <w:rPr>
          <w:rFonts w:ascii="Arial" w:hAnsi="Arial" w:cs="Arial"/>
          <w:sz w:val="24"/>
          <w:szCs w:val="24"/>
        </w:rPr>
        <w:t xml:space="preserve">. EPA </w:t>
      </w:r>
      <w:r w:rsidR="00ED2A36" w:rsidRPr="00DB7156">
        <w:rPr>
          <w:rFonts w:ascii="Arial" w:hAnsi="Arial" w:cs="Arial"/>
          <w:sz w:val="24"/>
          <w:szCs w:val="24"/>
        </w:rPr>
        <w:t xml:space="preserve">took </w:t>
      </w:r>
      <w:r w:rsidRPr="00DB7156">
        <w:rPr>
          <w:rFonts w:ascii="Arial" w:hAnsi="Arial" w:cs="Arial"/>
          <w:sz w:val="24"/>
          <w:szCs w:val="24"/>
        </w:rPr>
        <w:t xml:space="preserve">the position that once this rule went into effect </w:t>
      </w:r>
      <w:r w:rsidR="00A0070C">
        <w:rPr>
          <w:rFonts w:ascii="Arial" w:hAnsi="Arial" w:cs="Arial"/>
          <w:sz w:val="24"/>
          <w:szCs w:val="24"/>
        </w:rPr>
        <w:t>i</w:t>
      </w:r>
      <w:r w:rsidRPr="00DB7156">
        <w:rPr>
          <w:rFonts w:ascii="Arial" w:hAnsi="Arial" w:cs="Arial"/>
          <w:sz w:val="24"/>
          <w:szCs w:val="24"/>
        </w:rPr>
        <w:t xml:space="preserve">n January 2011, </w:t>
      </w:r>
      <w:r w:rsidR="002F44B4" w:rsidRPr="00DB7156">
        <w:rPr>
          <w:rFonts w:ascii="Arial" w:hAnsi="Arial" w:cs="Arial"/>
          <w:sz w:val="24"/>
          <w:szCs w:val="24"/>
        </w:rPr>
        <w:t>CO</w:t>
      </w:r>
      <w:r w:rsidR="002F44B4" w:rsidRPr="00DB7156">
        <w:rPr>
          <w:rFonts w:ascii="Arial" w:hAnsi="Arial" w:cs="Arial"/>
          <w:sz w:val="24"/>
          <w:szCs w:val="24"/>
          <w:vertAlign w:val="subscript"/>
        </w:rPr>
        <w:t>2</w:t>
      </w:r>
      <w:r w:rsidRPr="00DB7156">
        <w:rPr>
          <w:rFonts w:ascii="Arial" w:hAnsi="Arial" w:cs="Arial"/>
          <w:sz w:val="24"/>
          <w:szCs w:val="24"/>
        </w:rPr>
        <w:t xml:space="preserve"> and other </w:t>
      </w:r>
      <w:r w:rsidR="002F44B4" w:rsidRPr="00DB7156">
        <w:rPr>
          <w:rFonts w:ascii="Arial" w:hAnsi="Arial" w:cs="Arial"/>
          <w:sz w:val="24"/>
          <w:szCs w:val="24"/>
        </w:rPr>
        <w:t>GHGs</w:t>
      </w:r>
      <w:r w:rsidRPr="00DB7156">
        <w:rPr>
          <w:rFonts w:ascii="Arial" w:hAnsi="Arial" w:cs="Arial"/>
          <w:sz w:val="24"/>
          <w:szCs w:val="24"/>
        </w:rPr>
        <w:t xml:space="preserve"> became regulated pollutants under the </w:t>
      </w:r>
      <w:r w:rsidR="00B7348D">
        <w:rPr>
          <w:rFonts w:ascii="Arial" w:hAnsi="Arial" w:cs="Arial"/>
          <w:sz w:val="24"/>
          <w:szCs w:val="24"/>
        </w:rPr>
        <w:t>prevention of significant deterioration (</w:t>
      </w:r>
      <w:r w:rsidR="00D00086">
        <w:rPr>
          <w:rFonts w:ascii="Arial" w:hAnsi="Arial" w:cs="Arial"/>
          <w:sz w:val="24"/>
          <w:szCs w:val="24"/>
        </w:rPr>
        <w:t>“</w:t>
      </w:r>
      <w:r w:rsidRPr="00DB7156">
        <w:rPr>
          <w:rFonts w:ascii="Arial" w:hAnsi="Arial" w:cs="Arial"/>
          <w:sz w:val="24"/>
          <w:szCs w:val="24"/>
        </w:rPr>
        <w:t>PSD</w:t>
      </w:r>
      <w:r w:rsidR="00D00086">
        <w:rPr>
          <w:rFonts w:ascii="Arial" w:hAnsi="Arial" w:cs="Arial"/>
          <w:sz w:val="24"/>
          <w:szCs w:val="24"/>
        </w:rPr>
        <w:t>”</w:t>
      </w:r>
      <w:r w:rsidR="00B7348D">
        <w:rPr>
          <w:rFonts w:ascii="Arial" w:hAnsi="Arial" w:cs="Arial"/>
          <w:sz w:val="24"/>
          <w:szCs w:val="24"/>
        </w:rPr>
        <w:t>)</w:t>
      </w:r>
      <w:r w:rsidRPr="00DB7156">
        <w:rPr>
          <w:rFonts w:ascii="Arial" w:hAnsi="Arial" w:cs="Arial"/>
          <w:sz w:val="24"/>
          <w:szCs w:val="24"/>
        </w:rPr>
        <w:t xml:space="preserve"> preconstruction permit program and the Title V operating permit program, which both apply to power plants. As a result, the construction of new facilities or the major modification of existing facilities could trigger the requirement for a PSD permit and the installation of the </w:t>
      </w:r>
      <w:r w:rsidR="002F44B4" w:rsidRPr="00DB7156">
        <w:rPr>
          <w:rFonts w:ascii="Arial" w:hAnsi="Arial" w:cs="Arial"/>
          <w:sz w:val="24"/>
          <w:szCs w:val="24"/>
        </w:rPr>
        <w:t>B</w:t>
      </w:r>
      <w:r w:rsidRPr="00DB7156">
        <w:rPr>
          <w:rFonts w:ascii="Arial" w:hAnsi="Arial" w:cs="Arial"/>
          <w:sz w:val="24"/>
          <w:szCs w:val="24"/>
        </w:rPr>
        <w:t xml:space="preserve">est </w:t>
      </w:r>
      <w:r w:rsidR="002F44B4" w:rsidRPr="00DB7156">
        <w:rPr>
          <w:rFonts w:ascii="Arial" w:hAnsi="Arial" w:cs="Arial"/>
          <w:sz w:val="24"/>
          <w:szCs w:val="24"/>
        </w:rPr>
        <w:t>A</w:t>
      </w:r>
      <w:r w:rsidRPr="00DB7156">
        <w:rPr>
          <w:rFonts w:ascii="Arial" w:hAnsi="Arial" w:cs="Arial"/>
          <w:sz w:val="24"/>
          <w:szCs w:val="24"/>
        </w:rPr>
        <w:t xml:space="preserve">vailable </w:t>
      </w:r>
      <w:r w:rsidR="002F44B4" w:rsidRPr="00DB7156">
        <w:rPr>
          <w:rFonts w:ascii="Arial" w:hAnsi="Arial" w:cs="Arial"/>
          <w:sz w:val="24"/>
          <w:szCs w:val="24"/>
        </w:rPr>
        <w:t>C</w:t>
      </w:r>
      <w:r w:rsidRPr="00DB7156">
        <w:rPr>
          <w:rFonts w:ascii="Arial" w:hAnsi="Arial" w:cs="Arial"/>
          <w:sz w:val="24"/>
          <w:szCs w:val="24"/>
        </w:rPr>
        <w:t xml:space="preserve">ontrol </w:t>
      </w:r>
      <w:r w:rsidR="002F44B4" w:rsidRPr="00DB7156">
        <w:rPr>
          <w:rFonts w:ascii="Arial" w:hAnsi="Arial" w:cs="Arial"/>
          <w:sz w:val="24"/>
          <w:szCs w:val="24"/>
        </w:rPr>
        <w:t>T</w:t>
      </w:r>
      <w:r w:rsidRPr="00DB7156">
        <w:rPr>
          <w:rFonts w:ascii="Arial" w:hAnsi="Arial" w:cs="Arial"/>
          <w:sz w:val="24"/>
          <w:szCs w:val="24"/>
        </w:rPr>
        <w:t xml:space="preserve">echnology </w:t>
      </w:r>
      <w:r w:rsidR="002F44B4" w:rsidRPr="00DB7156">
        <w:rPr>
          <w:rFonts w:ascii="Arial" w:hAnsi="Arial" w:cs="Arial"/>
          <w:sz w:val="24"/>
          <w:szCs w:val="24"/>
        </w:rPr>
        <w:t>(</w:t>
      </w:r>
      <w:r w:rsidR="003D4B45">
        <w:rPr>
          <w:rFonts w:ascii="Arial" w:hAnsi="Arial" w:cs="Arial"/>
          <w:sz w:val="24"/>
          <w:szCs w:val="24"/>
        </w:rPr>
        <w:t>“</w:t>
      </w:r>
      <w:r w:rsidR="002F44B4" w:rsidRPr="00DB7156">
        <w:rPr>
          <w:rFonts w:ascii="Arial" w:hAnsi="Arial" w:cs="Arial"/>
          <w:sz w:val="24"/>
          <w:szCs w:val="24"/>
        </w:rPr>
        <w:t>BACT</w:t>
      </w:r>
      <w:r w:rsidR="003D4B45">
        <w:rPr>
          <w:rFonts w:ascii="Arial" w:hAnsi="Arial" w:cs="Arial"/>
          <w:sz w:val="24"/>
          <w:szCs w:val="24"/>
        </w:rPr>
        <w:t>”</w:t>
      </w:r>
      <w:r w:rsidR="002F44B4" w:rsidRPr="00DB7156">
        <w:rPr>
          <w:rFonts w:ascii="Arial" w:hAnsi="Arial" w:cs="Arial"/>
          <w:sz w:val="24"/>
          <w:szCs w:val="24"/>
        </w:rPr>
        <w:t xml:space="preserve">) </w:t>
      </w:r>
      <w:r w:rsidRPr="00DB7156">
        <w:rPr>
          <w:rFonts w:ascii="Arial" w:hAnsi="Arial" w:cs="Arial"/>
          <w:sz w:val="24"/>
          <w:szCs w:val="24"/>
        </w:rPr>
        <w:t xml:space="preserve">for </w:t>
      </w:r>
      <w:r w:rsidR="002F44B4" w:rsidRPr="00DB7156">
        <w:rPr>
          <w:rFonts w:ascii="Arial" w:hAnsi="Arial" w:cs="Arial"/>
          <w:sz w:val="24"/>
          <w:szCs w:val="24"/>
        </w:rPr>
        <w:t>CO</w:t>
      </w:r>
      <w:r w:rsidR="002F44B4" w:rsidRPr="00DB7156">
        <w:rPr>
          <w:rFonts w:ascii="Arial" w:hAnsi="Arial" w:cs="Arial"/>
          <w:sz w:val="24"/>
          <w:szCs w:val="24"/>
          <w:vertAlign w:val="subscript"/>
        </w:rPr>
        <w:t>2</w:t>
      </w:r>
      <w:r w:rsidRPr="00DB7156">
        <w:rPr>
          <w:rFonts w:ascii="Arial" w:hAnsi="Arial" w:cs="Arial"/>
          <w:sz w:val="24"/>
          <w:szCs w:val="24"/>
        </w:rPr>
        <w:t xml:space="preserve"> and other </w:t>
      </w:r>
      <w:r w:rsidR="002F44B4" w:rsidRPr="00DB7156">
        <w:rPr>
          <w:rFonts w:ascii="Arial" w:hAnsi="Arial" w:cs="Arial"/>
          <w:sz w:val="24"/>
          <w:szCs w:val="24"/>
        </w:rPr>
        <w:t>GHGs</w:t>
      </w:r>
      <w:r w:rsidRPr="00DB7156">
        <w:rPr>
          <w:rFonts w:ascii="Arial" w:hAnsi="Arial" w:cs="Arial"/>
          <w:sz w:val="24"/>
          <w:szCs w:val="24"/>
        </w:rPr>
        <w:t xml:space="preserve">.  </w:t>
      </w:r>
    </w:p>
    <w:p w14:paraId="22BA5003" w14:textId="77777777" w:rsidR="00706F1E" w:rsidRPr="00DB7156" w:rsidRDefault="00706F1E" w:rsidP="00DB7156">
      <w:pPr>
        <w:autoSpaceDE w:val="0"/>
        <w:autoSpaceDN w:val="0"/>
        <w:adjustRightInd w:val="0"/>
        <w:spacing w:after="0" w:line="240" w:lineRule="auto"/>
        <w:jc w:val="both"/>
        <w:rPr>
          <w:rFonts w:ascii="Arial" w:hAnsi="Arial" w:cs="Arial"/>
          <w:sz w:val="24"/>
          <w:szCs w:val="24"/>
        </w:rPr>
      </w:pPr>
    </w:p>
    <w:p w14:paraId="22BA5004" w14:textId="0EDD732D" w:rsidR="00FC67F9" w:rsidRPr="00DB7156" w:rsidRDefault="00A0070C" w:rsidP="00DB715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w:t>
      </w:r>
      <w:r w:rsidR="00FC67F9" w:rsidRPr="00DB7156">
        <w:rPr>
          <w:rFonts w:ascii="Arial" w:hAnsi="Arial" w:cs="Arial"/>
          <w:sz w:val="24"/>
          <w:szCs w:val="24"/>
        </w:rPr>
        <w:t xml:space="preserve">n May 2010, EPA issued a final rule, referred to as the Tailoring Rule, governing how these programs would be applied to stationary sources, including power plants. </w:t>
      </w:r>
      <w:r w:rsidR="00C41555" w:rsidRPr="00DB7156">
        <w:rPr>
          <w:rFonts w:ascii="Arial" w:hAnsi="Arial" w:cs="Arial"/>
          <w:sz w:val="24"/>
          <w:szCs w:val="24"/>
        </w:rPr>
        <w:t>In accordance with the Tailoring Rule, as of January 2, 2011, new and modified sources that have GHG emissions over the thresholds (100,000 tons per year (</w:t>
      </w:r>
      <w:r w:rsidR="0015298C">
        <w:rPr>
          <w:rFonts w:ascii="Arial" w:hAnsi="Arial" w:cs="Arial"/>
          <w:sz w:val="24"/>
          <w:szCs w:val="24"/>
        </w:rPr>
        <w:t>“</w:t>
      </w:r>
      <w:r w:rsidR="00C41555" w:rsidRPr="00DB7156">
        <w:rPr>
          <w:rFonts w:ascii="Arial" w:hAnsi="Arial" w:cs="Arial"/>
          <w:sz w:val="24"/>
          <w:szCs w:val="24"/>
        </w:rPr>
        <w:t>tpy</w:t>
      </w:r>
      <w:r w:rsidR="0015298C">
        <w:rPr>
          <w:rFonts w:ascii="Arial" w:hAnsi="Arial" w:cs="Arial"/>
          <w:sz w:val="24"/>
          <w:szCs w:val="24"/>
        </w:rPr>
        <w:t>”</w:t>
      </w:r>
      <w:r w:rsidR="00C41555" w:rsidRPr="00DB7156">
        <w:rPr>
          <w:rFonts w:ascii="Arial" w:hAnsi="Arial" w:cs="Arial"/>
          <w:sz w:val="24"/>
          <w:szCs w:val="24"/>
        </w:rPr>
        <w:t xml:space="preserve">) for new sources and increases over 75,000 tpy for existing sources) </w:t>
      </w:r>
      <w:r w:rsidR="002C2C80" w:rsidRPr="00DB7156">
        <w:rPr>
          <w:rFonts w:ascii="Arial" w:hAnsi="Arial" w:cs="Arial"/>
          <w:sz w:val="24"/>
          <w:szCs w:val="24"/>
        </w:rPr>
        <w:t>were required to go through</w:t>
      </w:r>
      <w:r w:rsidR="00C41555" w:rsidRPr="00DB7156">
        <w:rPr>
          <w:rFonts w:ascii="Arial" w:hAnsi="Arial" w:cs="Arial"/>
          <w:sz w:val="24"/>
          <w:szCs w:val="24"/>
        </w:rPr>
        <w:t xml:space="preserve"> </w:t>
      </w:r>
      <w:r w:rsidR="002C2C80" w:rsidRPr="00DB7156">
        <w:rPr>
          <w:rFonts w:ascii="Arial" w:hAnsi="Arial" w:cs="Arial"/>
          <w:sz w:val="24"/>
          <w:szCs w:val="24"/>
        </w:rPr>
        <w:t xml:space="preserve">PSD </w:t>
      </w:r>
      <w:r w:rsidR="00C41555" w:rsidRPr="00DB7156">
        <w:rPr>
          <w:rFonts w:ascii="Arial" w:hAnsi="Arial" w:cs="Arial"/>
          <w:sz w:val="24"/>
          <w:szCs w:val="24"/>
        </w:rPr>
        <w:t>permitting including installation of BACT for CO</w:t>
      </w:r>
      <w:r w:rsidR="00C41555" w:rsidRPr="00DB7156">
        <w:rPr>
          <w:rFonts w:ascii="Arial" w:hAnsi="Arial" w:cs="Arial"/>
          <w:sz w:val="24"/>
          <w:szCs w:val="24"/>
          <w:vertAlign w:val="subscript"/>
        </w:rPr>
        <w:t>2</w:t>
      </w:r>
      <w:r w:rsidR="00C41555" w:rsidRPr="00DB7156">
        <w:rPr>
          <w:rFonts w:ascii="Arial" w:hAnsi="Arial" w:cs="Arial"/>
          <w:sz w:val="24"/>
          <w:szCs w:val="24"/>
        </w:rPr>
        <w:t xml:space="preserve"> and other GHGs.</w:t>
      </w:r>
      <w:r w:rsidR="00F97D0F" w:rsidRPr="00DB7156">
        <w:rPr>
          <w:rFonts w:ascii="Arial" w:hAnsi="Arial" w:cs="Arial"/>
          <w:sz w:val="24"/>
          <w:szCs w:val="24"/>
        </w:rPr>
        <w:t xml:space="preserve">  </w:t>
      </w:r>
    </w:p>
    <w:p w14:paraId="22BA5005" w14:textId="77777777" w:rsidR="00FC67F9" w:rsidRPr="00DB7156" w:rsidRDefault="00FC67F9" w:rsidP="00DB7156">
      <w:pPr>
        <w:autoSpaceDE w:val="0"/>
        <w:autoSpaceDN w:val="0"/>
        <w:adjustRightInd w:val="0"/>
        <w:spacing w:after="0" w:line="240" w:lineRule="auto"/>
        <w:jc w:val="both"/>
        <w:rPr>
          <w:rFonts w:ascii="Arial" w:hAnsi="Arial" w:cs="Arial"/>
          <w:sz w:val="24"/>
          <w:szCs w:val="24"/>
        </w:rPr>
      </w:pPr>
    </w:p>
    <w:p w14:paraId="22BA5006" w14:textId="70AB7E6C" w:rsidR="00E45DE0" w:rsidRPr="00DB7156" w:rsidRDefault="00FC67F9"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These </w:t>
      </w:r>
      <w:r w:rsidR="002F44B4" w:rsidRPr="00DB7156">
        <w:rPr>
          <w:rFonts w:ascii="Arial" w:hAnsi="Arial" w:cs="Arial"/>
          <w:sz w:val="24"/>
          <w:szCs w:val="24"/>
        </w:rPr>
        <w:t>GHG</w:t>
      </w:r>
      <w:r w:rsidRPr="00DB7156">
        <w:rPr>
          <w:rFonts w:ascii="Arial" w:hAnsi="Arial" w:cs="Arial"/>
          <w:sz w:val="24"/>
          <w:szCs w:val="24"/>
        </w:rPr>
        <w:t xml:space="preserve"> regulations </w:t>
      </w:r>
      <w:r w:rsidR="004E31A9" w:rsidRPr="00DB7156">
        <w:rPr>
          <w:rFonts w:ascii="Arial" w:hAnsi="Arial" w:cs="Arial"/>
          <w:sz w:val="24"/>
          <w:szCs w:val="24"/>
        </w:rPr>
        <w:t>were</w:t>
      </w:r>
      <w:r w:rsidRPr="00DB7156">
        <w:rPr>
          <w:rFonts w:ascii="Arial" w:hAnsi="Arial" w:cs="Arial"/>
          <w:sz w:val="24"/>
          <w:szCs w:val="24"/>
        </w:rPr>
        <w:t xml:space="preserve"> litigated. </w:t>
      </w:r>
      <w:r w:rsidR="00A0070C">
        <w:rPr>
          <w:rFonts w:ascii="Arial" w:hAnsi="Arial" w:cs="Arial"/>
          <w:sz w:val="24"/>
          <w:szCs w:val="24"/>
        </w:rPr>
        <w:t>I</w:t>
      </w:r>
      <w:r w:rsidRPr="00DB7156">
        <w:rPr>
          <w:rFonts w:ascii="Arial" w:hAnsi="Arial" w:cs="Arial"/>
          <w:sz w:val="24"/>
          <w:szCs w:val="24"/>
        </w:rPr>
        <w:t xml:space="preserve">n December 2010, the D.C. Circuit </w:t>
      </w:r>
      <w:r w:rsidR="003652A6">
        <w:rPr>
          <w:rFonts w:ascii="Arial" w:hAnsi="Arial" w:cs="Arial"/>
          <w:sz w:val="24"/>
          <w:szCs w:val="24"/>
        </w:rPr>
        <w:t xml:space="preserve">Court </w:t>
      </w:r>
      <w:r w:rsidRPr="00DB7156">
        <w:rPr>
          <w:rFonts w:ascii="Arial" w:hAnsi="Arial" w:cs="Arial"/>
          <w:sz w:val="24"/>
          <w:szCs w:val="24"/>
        </w:rPr>
        <w:t xml:space="preserve">denied the motions for a stay of EPA's GHG rules, which had been filed by Texas and a number of industry petitioners. </w:t>
      </w:r>
      <w:r w:rsidR="00A0070C">
        <w:rPr>
          <w:rFonts w:ascii="Arial" w:hAnsi="Arial" w:cs="Arial"/>
          <w:sz w:val="24"/>
          <w:szCs w:val="24"/>
        </w:rPr>
        <w:t>I</w:t>
      </w:r>
      <w:r w:rsidR="00C41555" w:rsidRPr="00DB7156">
        <w:rPr>
          <w:rFonts w:ascii="Arial" w:hAnsi="Arial" w:cs="Arial"/>
          <w:sz w:val="24"/>
          <w:szCs w:val="24"/>
        </w:rPr>
        <w:t>n June 2012, the Court upheld these EPA rules.  All petitions to review were dismissed or denied.</w:t>
      </w:r>
      <w:r w:rsidR="00DF01D4" w:rsidRPr="00DB7156">
        <w:rPr>
          <w:rFonts w:ascii="Arial" w:hAnsi="Arial" w:cs="Arial"/>
          <w:sz w:val="24"/>
          <w:szCs w:val="24"/>
        </w:rPr>
        <w:t xml:space="preserve">  </w:t>
      </w:r>
    </w:p>
    <w:p w14:paraId="22BA5007" w14:textId="77777777" w:rsidR="00216FB8" w:rsidRPr="00DB7156" w:rsidRDefault="00216FB8" w:rsidP="00DB7156">
      <w:pPr>
        <w:autoSpaceDE w:val="0"/>
        <w:autoSpaceDN w:val="0"/>
        <w:adjustRightInd w:val="0"/>
        <w:spacing w:after="0" w:line="240" w:lineRule="auto"/>
        <w:jc w:val="both"/>
        <w:rPr>
          <w:rFonts w:ascii="Arial" w:hAnsi="Arial" w:cs="Arial"/>
          <w:sz w:val="24"/>
          <w:szCs w:val="24"/>
        </w:rPr>
      </w:pPr>
    </w:p>
    <w:p w14:paraId="660D0287" w14:textId="77777777" w:rsidR="00A40796" w:rsidRDefault="005029D4" w:rsidP="00DB715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w:t>
      </w:r>
      <w:r w:rsidR="00216FB8" w:rsidRPr="00DB7156">
        <w:rPr>
          <w:rFonts w:ascii="Arial" w:hAnsi="Arial" w:cs="Arial"/>
          <w:sz w:val="24"/>
          <w:szCs w:val="24"/>
        </w:rPr>
        <w:t>n Oct</w:t>
      </w:r>
      <w:r w:rsidR="002F44B4" w:rsidRPr="00DB7156">
        <w:rPr>
          <w:rFonts w:ascii="Arial" w:hAnsi="Arial" w:cs="Arial"/>
          <w:sz w:val="24"/>
          <w:szCs w:val="24"/>
        </w:rPr>
        <w:t>ober</w:t>
      </w:r>
      <w:r w:rsidR="00216FB8" w:rsidRPr="00DB7156">
        <w:rPr>
          <w:rFonts w:ascii="Arial" w:hAnsi="Arial" w:cs="Arial"/>
          <w:sz w:val="24"/>
          <w:szCs w:val="24"/>
        </w:rPr>
        <w:t xml:space="preserve"> 2013</w:t>
      </w:r>
      <w:r w:rsidR="002F44B4" w:rsidRPr="00DB7156">
        <w:rPr>
          <w:rFonts w:ascii="Arial" w:hAnsi="Arial" w:cs="Arial"/>
          <w:sz w:val="24"/>
          <w:szCs w:val="24"/>
        </w:rPr>
        <w:t>,</w:t>
      </w:r>
      <w:r w:rsidR="00216FB8" w:rsidRPr="00DB7156">
        <w:rPr>
          <w:rFonts w:ascii="Arial" w:hAnsi="Arial" w:cs="Arial"/>
          <w:sz w:val="24"/>
          <w:szCs w:val="24"/>
        </w:rPr>
        <w:t xml:space="preserve"> the</w:t>
      </w:r>
      <w:r w:rsidR="0088573B">
        <w:rPr>
          <w:rFonts w:ascii="Arial" w:hAnsi="Arial" w:cs="Arial"/>
          <w:sz w:val="24"/>
          <w:szCs w:val="24"/>
        </w:rPr>
        <w:t xml:space="preserve"> U.S.</w:t>
      </w:r>
      <w:r w:rsidR="00216FB8" w:rsidRPr="00DB7156">
        <w:rPr>
          <w:rFonts w:ascii="Arial" w:hAnsi="Arial" w:cs="Arial"/>
          <w:sz w:val="24"/>
          <w:szCs w:val="24"/>
        </w:rPr>
        <w:t xml:space="preserve"> Supreme Court </w:t>
      </w:r>
      <w:r w:rsidR="00ED2A36" w:rsidRPr="00DB7156">
        <w:rPr>
          <w:rFonts w:ascii="Arial" w:hAnsi="Arial" w:cs="Arial"/>
          <w:sz w:val="24"/>
          <w:szCs w:val="24"/>
        </w:rPr>
        <w:t>agreed to review one narrow</w:t>
      </w:r>
      <w:r w:rsidR="008D4B6D" w:rsidRPr="00DB7156">
        <w:rPr>
          <w:rFonts w:ascii="Arial" w:hAnsi="Arial" w:cs="Arial"/>
          <w:sz w:val="24"/>
          <w:szCs w:val="24"/>
        </w:rPr>
        <w:t>,</w:t>
      </w:r>
      <w:r w:rsidR="00ED2A36" w:rsidRPr="00DB7156">
        <w:rPr>
          <w:rFonts w:ascii="Arial" w:hAnsi="Arial" w:cs="Arial"/>
          <w:sz w:val="24"/>
          <w:szCs w:val="24"/>
        </w:rPr>
        <w:t xml:space="preserve"> but important</w:t>
      </w:r>
      <w:r w:rsidR="008D4B6D" w:rsidRPr="00DB7156">
        <w:rPr>
          <w:rFonts w:ascii="Arial" w:hAnsi="Arial" w:cs="Arial"/>
          <w:sz w:val="24"/>
          <w:szCs w:val="24"/>
        </w:rPr>
        <w:t>,</w:t>
      </w:r>
      <w:r w:rsidR="00ED2A36" w:rsidRPr="00DB7156">
        <w:rPr>
          <w:rFonts w:ascii="Arial" w:hAnsi="Arial" w:cs="Arial"/>
          <w:sz w:val="24"/>
          <w:szCs w:val="24"/>
        </w:rPr>
        <w:t xml:space="preserve"> issue: </w:t>
      </w:r>
      <w:r w:rsidR="00216FB8" w:rsidRPr="00DB7156">
        <w:rPr>
          <w:rFonts w:ascii="Arial" w:hAnsi="Arial" w:cs="Arial"/>
          <w:sz w:val="24"/>
          <w:szCs w:val="24"/>
        </w:rPr>
        <w:t>“</w:t>
      </w:r>
      <w:r w:rsidR="00ED2A36" w:rsidRPr="00DB7156">
        <w:rPr>
          <w:rFonts w:ascii="Arial" w:hAnsi="Arial" w:cs="Arial"/>
          <w:sz w:val="24"/>
          <w:szCs w:val="24"/>
        </w:rPr>
        <w:t>w</w:t>
      </w:r>
      <w:r w:rsidR="00216FB8" w:rsidRPr="00DB7156">
        <w:rPr>
          <w:rFonts w:ascii="Arial" w:hAnsi="Arial" w:cs="Arial"/>
          <w:sz w:val="24"/>
          <w:szCs w:val="24"/>
        </w:rPr>
        <w:t xml:space="preserve">hether EPA permissibly determined that its regulation of greenhouse gas emissions from new motor vehicles triggered permitting requirements under the Clean Air Act for stationary sources that emit greenhouse gases.” </w:t>
      </w:r>
    </w:p>
    <w:p w14:paraId="68E439ED" w14:textId="4F21379E" w:rsidR="00A40796" w:rsidRDefault="00A40796" w:rsidP="00DB7156">
      <w:pPr>
        <w:autoSpaceDE w:val="0"/>
        <w:autoSpaceDN w:val="0"/>
        <w:adjustRightInd w:val="0"/>
        <w:spacing w:after="0" w:line="240" w:lineRule="auto"/>
        <w:jc w:val="both"/>
        <w:rPr>
          <w:rFonts w:ascii="Arial" w:hAnsi="Arial" w:cs="Arial"/>
          <w:sz w:val="24"/>
          <w:szCs w:val="24"/>
        </w:rPr>
      </w:pPr>
    </w:p>
    <w:p w14:paraId="6DC6E0C4" w14:textId="479AC6F3" w:rsidR="00A40796" w:rsidRDefault="005029D4" w:rsidP="00DB715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w:t>
      </w:r>
      <w:r w:rsidR="00216FB8" w:rsidRPr="00DB7156">
        <w:rPr>
          <w:rFonts w:ascii="Arial" w:hAnsi="Arial" w:cs="Arial"/>
          <w:sz w:val="24"/>
          <w:szCs w:val="24"/>
        </w:rPr>
        <w:t>n June 2014</w:t>
      </w:r>
      <w:r w:rsidR="008D4B6D" w:rsidRPr="00DB7156">
        <w:rPr>
          <w:rFonts w:ascii="Arial" w:hAnsi="Arial" w:cs="Arial"/>
          <w:sz w:val="24"/>
          <w:szCs w:val="24"/>
        </w:rPr>
        <w:t>,</w:t>
      </w:r>
      <w:r w:rsidR="00216FB8" w:rsidRPr="00DB7156">
        <w:rPr>
          <w:rFonts w:ascii="Arial" w:hAnsi="Arial" w:cs="Arial"/>
          <w:sz w:val="24"/>
          <w:szCs w:val="24"/>
        </w:rPr>
        <w:t xml:space="preserve"> the</w:t>
      </w:r>
      <w:r w:rsidR="0088573B" w:rsidRPr="0088573B">
        <w:rPr>
          <w:rFonts w:ascii="Arial" w:hAnsi="Arial" w:cs="Arial"/>
          <w:sz w:val="24"/>
        </w:rPr>
        <w:t xml:space="preserve"> </w:t>
      </w:r>
      <w:r w:rsidR="0088573B">
        <w:rPr>
          <w:rFonts w:ascii="Arial" w:hAnsi="Arial" w:cs="Arial"/>
          <w:sz w:val="24"/>
        </w:rPr>
        <w:t xml:space="preserve">U.S. </w:t>
      </w:r>
      <w:r w:rsidR="00216FB8" w:rsidRPr="00DB7156">
        <w:rPr>
          <w:rFonts w:ascii="Arial" w:hAnsi="Arial" w:cs="Arial"/>
          <w:sz w:val="24"/>
          <w:szCs w:val="24"/>
        </w:rPr>
        <w:t>Supreme Court ruled that:</w:t>
      </w:r>
    </w:p>
    <w:p w14:paraId="17CF39C3" w14:textId="77777777" w:rsidR="00C33491" w:rsidRPr="00DB7156" w:rsidRDefault="00C33491" w:rsidP="00DB7156">
      <w:pPr>
        <w:autoSpaceDE w:val="0"/>
        <w:autoSpaceDN w:val="0"/>
        <w:adjustRightInd w:val="0"/>
        <w:spacing w:after="0" w:line="240" w:lineRule="auto"/>
        <w:jc w:val="both"/>
        <w:rPr>
          <w:rFonts w:ascii="Arial" w:hAnsi="Arial" w:cs="Arial"/>
          <w:sz w:val="24"/>
          <w:szCs w:val="24"/>
        </w:rPr>
      </w:pPr>
    </w:p>
    <w:p w14:paraId="22BA5009" w14:textId="53CE0CDC" w:rsidR="00216FB8" w:rsidRPr="00DB7156" w:rsidRDefault="00216FB8" w:rsidP="00DB7156">
      <w:pPr>
        <w:autoSpaceDE w:val="0"/>
        <w:autoSpaceDN w:val="0"/>
        <w:adjustRightInd w:val="0"/>
        <w:spacing w:after="0" w:line="240" w:lineRule="auto"/>
        <w:ind w:left="720" w:hanging="360"/>
        <w:jc w:val="both"/>
        <w:rPr>
          <w:rFonts w:ascii="Arial" w:hAnsi="Arial" w:cs="Arial"/>
          <w:sz w:val="24"/>
          <w:szCs w:val="24"/>
        </w:rPr>
      </w:pPr>
      <w:r w:rsidRPr="00DB7156">
        <w:rPr>
          <w:rFonts w:ascii="Arial" w:hAnsi="Arial" w:cs="Arial"/>
          <w:sz w:val="24"/>
          <w:szCs w:val="24"/>
        </w:rPr>
        <w:t>•</w:t>
      </w:r>
      <w:r w:rsidRPr="00DB7156">
        <w:rPr>
          <w:rFonts w:ascii="Arial" w:hAnsi="Arial" w:cs="Arial"/>
          <w:sz w:val="24"/>
          <w:szCs w:val="24"/>
        </w:rPr>
        <w:tab/>
        <w:t xml:space="preserve">EPA cannot </w:t>
      </w:r>
      <w:r w:rsidR="00ED2A36" w:rsidRPr="00DB7156">
        <w:rPr>
          <w:rFonts w:ascii="Arial" w:hAnsi="Arial" w:cs="Arial"/>
          <w:sz w:val="24"/>
          <w:szCs w:val="24"/>
        </w:rPr>
        <w:t xml:space="preserve">require </w:t>
      </w:r>
      <w:r w:rsidR="002C2C80" w:rsidRPr="00DB7156">
        <w:rPr>
          <w:rFonts w:ascii="Arial" w:hAnsi="Arial" w:cs="Arial"/>
          <w:sz w:val="24"/>
          <w:szCs w:val="24"/>
        </w:rPr>
        <w:t>PSD</w:t>
      </w:r>
      <w:r w:rsidR="00AE04EE" w:rsidRPr="00DB7156">
        <w:rPr>
          <w:rFonts w:ascii="Arial" w:hAnsi="Arial" w:cs="Arial"/>
          <w:sz w:val="24"/>
          <w:szCs w:val="24"/>
        </w:rPr>
        <w:t xml:space="preserve"> </w:t>
      </w:r>
      <w:r w:rsidRPr="00DB7156">
        <w:rPr>
          <w:rFonts w:ascii="Arial" w:hAnsi="Arial" w:cs="Arial"/>
          <w:sz w:val="24"/>
          <w:szCs w:val="24"/>
        </w:rPr>
        <w:t>or Title V permitting solely on the basis of GHG emissions</w:t>
      </w:r>
      <w:r w:rsidR="00157028" w:rsidRPr="00DB7156">
        <w:rPr>
          <w:rFonts w:ascii="Arial" w:hAnsi="Arial" w:cs="Arial"/>
          <w:sz w:val="24"/>
          <w:szCs w:val="24"/>
        </w:rPr>
        <w:t>.</w:t>
      </w:r>
    </w:p>
    <w:p w14:paraId="22BA500A" w14:textId="62BF2F05" w:rsidR="00216FB8" w:rsidRPr="00DB7156" w:rsidRDefault="00216FB8" w:rsidP="00DB7156">
      <w:pPr>
        <w:autoSpaceDE w:val="0"/>
        <w:autoSpaceDN w:val="0"/>
        <w:adjustRightInd w:val="0"/>
        <w:spacing w:after="0" w:line="240" w:lineRule="auto"/>
        <w:ind w:left="720" w:hanging="360"/>
        <w:jc w:val="both"/>
        <w:rPr>
          <w:rFonts w:ascii="Arial" w:hAnsi="Arial" w:cs="Arial"/>
          <w:sz w:val="24"/>
          <w:szCs w:val="24"/>
        </w:rPr>
      </w:pPr>
      <w:r w:rsidRPr="00DB7156">
        <w:rPr>
          <w:rFonts w:ascii="Arial" w:hAnsi="Arial" w:cs="Arial"/>
          <w:sz w:val="24"/>
          <w:szCs w:val="24"/>
        </w:rPr>
        <w:t>•</w:t>
      </w:r>
      <w:r w:rsidRPr="00DB7156">
        <w:rPr>
          <w:rFonts w:ascii="Arial" w:hAnsi="Arial" w:cs="Arial"/>
          <w:sz w:val="24"/>
          <w:szCs w:val="24"/>
        </w:rPr>
        <w:tab/>
        <w:t>EPA cannot “tailor” the CAA’s unambiguous permitting thresholds</w:t>
      </w:r>
      <w:r w:rsidR="00157028" w:rsidRPr="00DB7156">
        <w:rPr>
          <w:rFonts w:ascii="Arial" w:hAnsi="Arial" w:cs="Arial"/>
          <w:sz w:val="24"/>
          <w:szCs w:val="24"/>
        </w:rPr>
        <w:t>.</w:t>
      </w:r>
    </w:p>
    <w:p w14:paraId="22BA500B" w14:textId="1DF05314" w:rsidR="00216FB8" w:rsidRPr="00DB7156" w:rsidRDefault="00216FB8" w:rsidP="00DB7156">
      <w:pPr>
        <w:autoSpaceDE w:val="0"/>
        <w:autoSpaceDN w:val="0"/>
        <w:adjustRightInd w:val="0"/>
        <w:spacing w:after="0" w:line="240" w:lineRule="auto"/>
        <w:ind w:left="720" w:hanging="360"/>
        <w:jc w:val="both"/>
        <w:rPr>
          <w:rFonts w:ascii="Arial" w:hAnsi="Arial" w:cs="Arial"/>
          <w:sz w:val="24"/>
          <w:szCs w:val="24"/>
        </w:rPr>
      </w:pPr>
      <w:r w:rsidRPr="00DB7156">
        <w:rPr>
          <w:rFonts w:ascii="Arial" w:hAnsi="Arial" w:cs="Arial"/>
          <w:sz w:val="24"/>
          <w:szCs w:val="24"/>
        </w:rPr>
        <w:t>•</w:t>
      </w:r>
      <w:r w:rsidRPr="00DB7156">
        <w:rPr>
          <w:rFonts w:ascii="Arial" w:hAnsi="Arial" w:cs="Arial"/>
          <w:sz w:val="24"/>
          <w:szCs w:val="24"/>
        </w:rPr>
        <w:tab/>
        <w:t xml:space="preserve">For large facilities that are already required to </w:t>
      </w:r>
      <w:r w:rsidR="00ED2A36" w:rsidRPr="00DB7156">
        <w:rPr>
          <w:rFonts w:ascii="Arial" w:hAnsi="Arial" w:cs="Arial"/>
          <w:sz w:val="24"/>
          <w:szCs w:val="24"/>
        </w:rPr>
        <w:t xml:space="preserve">apply for PSD </w:t>
      </w:r>
      <w:r w:rsidRPr="00DB7156">
        <w:rPr>
          <w:rFonts w:ascii="Arial" w:hAnsi="Arial" w:cs="Arial"/>
          <w:sz w:val="24"/>
          <w:szCs w:val="24"/>
        </w:rPr>
        <w:t>permits because of conventional air emissions (“anyway sources”), EPA can require</w:t>
      </w:r>
      <w:r w:rsidR="00ED2A36" w:rsidRPr="00DB7156">
        <w:rPr>
          <w:rFonts w:ascii="Arial" w:hAnsi="Arial" w:cs="Arial"/>
          <w:sz w:val="24"/>
          <w:szCs w:val="24"/>
        </w:rPr>
        <w:t xml:space="preserve"> those </w:t>
      </w:r>
      <w:r w:rsidRPr="00DB7156">
        <w:rPr>
          <w:rFonts w:ascii="Arial" w:hAnsi="Arial" w:cs="Arial"/>
          <w:sz w:val="24"/>
          <w:szCs w:val="24"/>
        </w:rPr>
        <w:t xml:space="preserve">applicants to undertake a BACT analysis if they emit GHGs above a </w:t>
      </w:r>
      <w:r w:rsidR="00ED2A36" w:rsidRPr="00DB7156">
        <w:rPr>
          <w:rFonts w:ascii="Arial" w:hAnsi="Arial" w:cs="Arial"/>
          <w:sz w:val="24"/>
          <w:szCs w:val="24"/>
        </w:rPr>
        <w:t xml:space="preserve">de minimis </w:t>
      </w:r>
      <w:r w:rsidRPr="00DB7156">
        <w:rPr>
          <w:rFonts w:ascii="Arial" w:hAnsi="Arial" w:cs="Arial"/>
          <w:sz w:val="24"/>
          <w:szCs w:val="24"/>
        </w:rPr>
        <w:t>amount</w:t>
      </w:r>
      <w:r w:rsidR="00157028" w:rsidRPr="00DB7156">
        <w:rPr>
          <w:rFonts w:ascii="Arial" w:hAnsi="Arial" w:cs="Arial"/>
          <w:sz w:val="24"/>
          <w:szCs w:val="24"/>
        </w:rPr>
        <w:t>.</w:t>
      </w:r>
    </w:p>
    <w:p w14:paraId="22BA500C" w14:textId="61FDA8AA" w:rsidR="00216FB8" w:rsidRPr="00DB7156" w:rsidRDefault="00216FB8" w:rsidP="00DB7156">
      <w:pPr>
        <w:autoSpaceDE w:val="0"/>
        <w:autoSpaceDN w:val="0"/>
        <w:adjustRightInd w:val="0"/>
        <w:spacing w:after="0" w:line="240" w:lineRule="auto"/>
        <w:ind w:left="720" w:hanging="360"/>
        <w:jc w:val="both"/>
        <w:rPr>
          <w:rFonts w:ascii="Arial" w:hAnsi="Arial" w:cs="Arial"/>
          <w:sz w:val="24"/>
          <w:szCs w:val="24"/>
        </w:rPr>
      </w:pPr>
      <w:r w:rsidRPr="00DB7156">
        <w:rPr>
          <w:rFonts w:ascii="Arial" w:hAnsi="Arial" w:cs="Arial"/>
          <w:sz w:val="24"/>
          <w:szCs w:val="24"/>
        </w:rPr>
        <w:t>•</w:t>
      </w:r>
      <w:r w:rsidRPr="00DB7156">
        <w:rPr>
          <w:rFonts w:ascii="Arial" w:hAnsi="Arial" w:cs="Arial"/>
          <w:sz w:val="24"/>
          <w:szCs w:val="24"/>
        </w:rPr>
        <w:tab/>
        <w:t xml:space="preserve">Even for those facilities that </w:t>
      </w:r>
      <w:r w:rsidR="00ED2A36" w:rsidRPr="00DB7156">
        <w:rPr>
          <w:rFonts w:ascii="Arial" w:hAnsi="Arial" w:cs="Arial"/>
          <w:sz w:val="24"/>
          <w:szCs w:val="24"/>
        </w:rPr>
        <w:t xml:space="preserve">must obtain PSD </w:t>
      </w:r>
      <w:r w:rsidRPr="00DB7156">
        <w:rPr>
          <w:rFonts w:ascii="Arial" w:hAnsi="Arial" w:cs="Arial"/>
          <w:sz w:val="24"/>
          <w:szCs w:val="24"/>
        </w:rPr>
        <w:t>permits anyway</w:t>
      </w:r>
      <w:r w:rsidR="005A2D1F" w:rsidRPr="00DB7156">
        <w:rPr>
          <w:rFonts w:ascii="Arial" w:hAnsi="Arial" w:cs="Arial"/>
          <w:sz w:val="24"/>
          <w:szCs w:val="24"/>
        </w:rPr>
        <w:t xml:space="preserve"> and become subject to GHG BACT</w:t>
      </w:r>
      <w:r w:rsidRPr="00DB7156">
        <w:rPr>
          <w:rFonts w:ascii="Arial" w:hAnsi="Arial" w:cs="Arial"/>
          <w:sz w:val="24"/>
          <w:szCs w:val="24"/>
        </w:rPr>
        <w:t>, the Court remind</w:t>
      </w:r>
      <w:r w:rsidR="005A2D1F" w:rsidRPr="00DB7156">
        <w:rPr>
          <w:rFonts w:ascii="Arial" w:hAnsi="Arial" w:cs="Arial"/>
          <w:sz w:val="24"/>
          <w:szCs w:val="24"/>
        </w:rPr>
        <w:t>ed</w:t>
      </w:r>
      <w:r w:rsidRPr="00DB7156">
        <w:rPr>
          <w:rFonts w:ascii="Arial" w:hAnsi="Arial" w:cs="Arial"/>
          <w:sz w:val="24"/>
          <w:szCs w:val="24"/>
        </w:rPr>
        <w:t xml:space="preserve"> EPA </w:t>
      </w:r>
      <w:r w:rsidR="005A2D1F" w:rsidRPr="00DB7156">
        <w:rPr>
          <w:rFonts w:ascii="Arial" w:hAnsi="Arial" w:cs="Arial"/>
          <w:sz w:val="24"/>
          <w:szCs w:val="24"/>
        </w:rPr>
        <w:t>of the limits on its authority.  For example,</w:t>
      </w:r>
      <w:r w:rsidRPr="00DB7156">
        <w:rPr>
          <w:rFonts w:ascii="Arial" w:hAnsi="Arial" w:cs="Arial"/>
          <w:sz w:val="24"/>
          <w:szCs w:val="24"/>
        </w:rPr>
        <w:t xml:space="preserve"> the BACT analysis must take into account energy, economic, and environmental considerations, and may not require redesign of a facility or even require reductions in demand for electricity from the grid</w:t>
      </w:r>
      <w:r w:rsidR="00157028" w:rsidRPr="00DB7156">
        <w:rPr>
          <w:rFonts w:ascii="Arial" w:hAnsi="Arial" w:cs="Arial"/>
          <w:sz w:val="24"/>
          <w:szCs w:val="24"/>
        </w:rPr>
        <w:t>.</w:t>
      </w:r>
    </w:p>
    <w:p w14:paraId="48AD7C0A" w14:textId="6C0E38F5" w:rsidR="00671ED0" w:rsidRPr="00DB7156" w:rsidRDefault="00671ED0" w:rsidP="00DB7156">
      <w:pPr>
        <w:autoSpaceDE w:val="0"/>
        <w:autoSpaceDN w:val="0"/>
        <w:adjustRightInd w:val="0"/>
        <w:spacing w:after="0" w:line="240" w:lineRule="auto"/>
        <w:jc w:val="both"/>
        <w:rPr>
          <w:rFonts w:ascii="Arial" w:hAnsi="Arial" w:cs="Arial"/>
          <w:sz w:val="24"/>
          <w:szCs w:val="24"/>
        </w:rPr>
      </w:pPr>
    </w:p>
    <w:p w14:paraId="6DFDB264" w14:textId="66626CDC" w:rsidR="00671ED0" w:rsidRPr="00DB7156" w:rsidRDefault="005029D4" w:rsidP="00DB715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w:t>
      </w:r>
      <w:r w:rsidR="00671ED0" w:rsidRPr="00DB7156">
        <w:rPr>
          <w:rFonts w:ascii="Arial" w:hAnsi="Arial" w:cs="Arial"/>
          <w:sz w:val="24"/>
          <w:szCs w:val="24"/>
        </w:rPr>
        <w:t xml:space="preserve">n October 2016, EPA released a proposed rule </w:t>
      </w:r>
      <w:r w:rsidR="002C2C80" w:rsidRPr="00DB7156">
        <w:rPr>
          <w:rFonts w:ascii="Arial" w:hAnsi="Arial" w:cs="Arial"/>
          <w:sz w:val="24"/>
          <w:szCs w:val="24"/>
        </w:rPr>
        <w:t>to revise</w:t>
      </w:r>
      <w:r w:rsidR="00671ED0" w:rsidRPr="00DB7156">
        <w:rPr>
          <w:rFonts w:ascii="Arial" w:hAnsi="Arial" w:cs="Arial"/>
          <w:sz w:val="24"/>
          <w:szCs w:val="24"/>
        </w:rPr>
        <w:t xml:space="preserve"> PSD and Title V GHG </w:t>
      </w:r>
      <w:r w:rsidR="002C2C80" w:rsidRPr="00DB7156">
        <w:rPr>
          <w:rFonts w:ascii="Arial" w:hAnsi="Arial" w:cs="Arial"/>
          <w:sz w:val="24"/>
          <w:szCs w:val="24"/>
        </w:rPr>
        <w:t>p</w:t>
      </w:r>
      <w:r w:rsidR="00671ED0" w:rsidRPr="00DB7156">
        <w:rPr>
          <w:rFonts w:ascii="Arial" w:hAnsi="Arial" w:cs="Arial"/>
          <w:sz w:val="24"/>
          <w:szCs w:val="24"/>
        </w:rPr>
        <w:t xml:space="preserve">ermitting regulations and </w:t>
      </w:r>
      <w:r w:rsidR="002C2C80" w:rsidRPr="00DB7156">
        <w:rPr>
          <w:rFonts w:ascii="Arial" w:hAnsi="Arial" w:cs="Arial"/>
          <w:sz w:val="24"/>
          <w:szCs w:val="24"/>
        </w:rPr>
        <w:t>e</w:t>
      </w:r>
      <w:r w:rsidR="00671ED0" w:rsidRPr="00DB7156">
        <w:rPr>
          <w:rFonts w:ascii="Arial" w:hAnsi="Arial" w:cs="Arial"/>
          <w:sz w:val="24"/>
          <w:szCs w:val="24"/>
        </w:rPr>
        <w:t xml:space="preserve">stablishing a </w:t>
      </w:r>
      <w:r w:rsidR="002C2C80" w:rsidRPr="00DB7156">
        <w:rPr>
          <w:rFonts w:ascii="Arial" w:hAnsi="Arial" w:cs="Arial"/>
          <w:sz w:val="24"/>
          <w:szCs w:val="24"/>
        </w:rPr>
        <w:t>significant emission rate (</w:t>
      </w:r>
      <w:r w:rsidR="0015298C">
        <w:rPr>
          <w:rFonts w:ascii="Arial" w:hAnsi="Arial" w:cs="Arial"/>
          <w:sz w:val="24"/>
          <w:szCs w:val="24"/>
        </w:rPr>
        <w:t>“</w:t>
      </w:r>
      <w:r w:rsidR="00671ED0" w:rsidRPr="00DB7156">
        <w:rPr>
          <w:rFonts w:ascii="Arial" w:hAnsi="Arial" w:cs="Arial"/>
          <w:sz w:val="24"/>
          <w:szCs w:val="24"/>
        </w:rPr>
        <w:t>SER</w:t>
      </w:r>
      <w:r w:rsidR="0015298C">
        <w:rPr>
          <w:rFonts w:ascii="Arial" w:hAnsi="Arial" w:cs="Arial"/>
          <w:sz w:val="24"/>
          <w:szCs w:val="24"/>
        </w:rPr>
        <w:t>”</w:t>
      </w:r>
      <w:r w:rsidR="002C2C80" w:rsidRPr="00DB7156">
        <w:rPr>
          <w:rFonts w:ascii="Arial" w:hAnsi="Arial" w:cs="Arial"/>
          <w:sz w:val="24"/>
          <w:szCs w:val="24"/>
        </w:rPr>
        <w:t>)</w:t>
      </w:r>
      <w:r w:rsidR="00671ED0" w:rsidRPr="00DB7156">
        <w:rPr>
          <w:rFonts w:ascii="Arial" w:hAnsi="Arial" w:cs="Arial"/>
          <w:sz w:val="24"/>
          <w:szCs w:val="24"/>
        </w:rPr>
        <w:t>. The revisions to the current permitting regulatory text were administrative in nature; however, the proposal also established a de minimis permitting threshold of SER at 75,000 tons per year of CO</w:t>
      </w:r>
      <w:r w:rsidR="00671ED0" w:rsidRPr="00DB7156">
        <w:rPr>
          <w:rFonts w:ascii="Arial" w:hAnsi="Arial" w:cs="Arial"/>
          <w:sz w:val="24"/>
          <w:szCs w:val="24"/>
          <w:vertAlign w:val="subscript"/>
        </w:rPr>
        <w:t>2</w:t>
      </w:r>
      <w:r w:rsidR="003141C6" w:rsidRPr="00DB7156">
        <w:rPr>
          <w:rFonts w:ascii="Arial" w:hAnsi="Arial" w:cs="Arial"/>
          <w:sz w:val="24"/>
          <w:szCs w:val="24"/>
        </w:rPr>
        <w:t xml:space="preserve"> equivalent</w:t>
      </w:r>
      <w:r w:rsidR="00671ED0" w:rsidRPr="00DB7156">
        <w:rPr>
          <w:rFonts w:ascii="Arial" w:hAnsi="Arial" w:cs="Arial"/>
          <w:sz w:val="24"/>
          <w:szCs w:val="24"/>
        </w:rPr>
        <w:t>.</w:t>
      </w:r>
      <w:r w:rsidR="00E254FA" w:rsidRPr="00DB7156">
        <w:rPr>
          <w:rFonts w:ascii="Arial" w:hAnsi="Arial" w:cs="Arial"/>
          <w:sz w:val="24"/>
          <w:szCs w:val="24"/>
        </w:rPr>
        <w:t xml:space="preserve"> This SER</w:t>
      </w:r>
      <w:r w:rsidR="005E7D88" w:rsidRPr="00DB7156">
        <w:rPr>
          <w:rFonts w:ascii="Arial" w:hAnsi="Arial" w:cs="Arial"/>
          <w:sz w:val="24"/>
          <w:szCs w:val="24"/>
        </w:rPr>
        <w:t xml:space="preserve"> level would set the floor at which </w:t>
      </w:r>
      <w:r w:rsidR="003141C6" w:rsidRPr="00DB7156">
        <w:rPr>
          <w:rFonts w:ascii="Arial" w:hAnsi="Arial" w:cs="Arial"/>
          <w:sz w:val="24"/>
          <w:szCs w:val="24"/>
        </w:rPr>
        <w:t xml:space="preserve">a </w:t>
      </w:r>
      <w:r w:rsidR="005E7D88" w:rsidRPr="00DB7156">
        <w:rPr>
          <w:rFonts w:ascii="Arial" w:hAnsi="Arial" w:cs="Arial"/>
          <w:sz w:val="24"/>
          <w:szCs w:val="24"/>
        </w:rPr>
        <w:t xml:space="preserve">GHG BACT </w:t>
      </w:r>
      <w:r w:rsidR="003141C6" w:rsidRPr="00DB7156">
        <w:rPr>
          <w:rFonts w:ascii="Arial" w:hAnsi="Arial" w:cs="Arial"/>
          <w:sz w:val="24"/>
          <w:szCs w:val="24"/>
        </w:rPr>
        <w:t>analysis</w:t>
      </w:r>
      <w:r w:rsidR="005E7D88" w:rsidRPr="00DB7156">
        <w:rPr>
          <w:rFonts w:ascii="Arial" w:hAnsi="Arial" w:cs="Arial"/>
          <w:sz w:val="24"/>
          <w:szCs w:val="24"/>
        </w:rPr>
        <w:t xml:space="preserve"> would not have to be applied.</w:t>
      </w:r>
      <w:r w:rsidR="00F86063" w:rsidRPr="00DB7156">
        <w:rPr>
          <w:rFonts w:ascii="Arial" w:hAnsi="Arial" w:cs="Arial"/>
          <w:sz w:val="24"/>
          <w:szCs w:val="24"/>
        </w:rPr>
        <w:t xml:space="preserve"> EPA’s Fall 2018 Unified Agenda states EPA expects to take action on this proposal in the future but there is no timeline listed for expected final action.</w:t>
      </w:r>
    </w:p>
    <w:p w14:paraId="08D0952D" w14:textId="24278C9F" w:rsidR="002C2C80" w:rsidRPr="00DB7156" w:rsidRDefault="002C2C80" w:rsidP="00DB7156">
      <w:pPr>
        <w:autoSpaceDE w:val="0"/>
        <w:autoSpaceDN w:val="0"/>
        <w:adjustRightInd w:val="0"/>
        <w:spacing w:after="0" w:line="240" w:lineRule="auto"/>
        <w:jc w:val="both"/>
        <w:rPr>
          <w:rFonts w:ascii="Arial" w:hAnsi="Arial" w:cs="Arial"/>
          <w:sz w:val="24"/>
          <w:szCs w:val="24"/>
        </w:rPr>
      </w:pPr>
      <w:bookmarkStart w:id="102" w:name="_Hlk527369672"/>
      <w:r w:rsidRPr="00DB7156">
        <w:rPr>
          <w:rFonts w:ascii="Arial" w:hAnsi="Arial" w:cs="Arial"/>
          <w:sz w:val="24"/>
          <w:szCs w:val="24"/>
        </w:rPr>
        <w:t xml:space="preserve">  </w:t>
      </w:r>
    </w:p>
    <w:p w14:paraId="1011D96C" w14:textId="67FDBC68" w:rsidR="006428B1" w:rsidRPr="00DB7156" w:rsidRDefault="006428B1"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Biogenic CO</w:t>
      </w:r>
      <w:r w:rsidRPr="00DB7156">
        <w:rPr>
          <w:rFonts w:ascii="Arial" w:hAnsi="Arial" w:cs="Arial"/>
          <w:b/>
          <w:bCs/>
          <w:color w:val="000080"/>
          <w:sz w:val="24"/>
          <w:szCs w:val="24"/>
          <w:vertAlign w:val="subscript"/>
        </w:rPr>
        <w:t>2</w:t>
      </w:r>
      <w:r w:rsidRPr="00DB7156">
        <w:rPr>
          <w:rFonts w:ascii="Arial" w:hAnsi="Arial" w:cs="Arial"/>
          <w:b/>
          <w:bCs/>
          <w:color w:val="000080"/>
          <w:sz w:val="24"/>
          <w:szCs w:val="24"/>
        </w:rPr>
        <w:t xml:space="preserve"> Emissions  </w:t>
      </w:r>
    </w:p>
    <w:p w14:paraId="72C10AF8" w14:textId="0566661C" w:rsidR="008D4B6D" w:rsidRPr="00DB7156" w:rsidRDefault="008D4B6D"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On July 20, 2011 EPA published a final rule that deferred GHG permitting requirements for CO</w:t>
      </w:r>
      <w:r w:rsidRPr="00DB7156">
        <w:rPr>
          <w:rFonts w:ascii="Arial" w:hAnsi="Arial" w:cs="Arial"/>
          <w:sz w:val="24"/>
          <w:szCs w:val="24"/>
          <w:vertAlign w:val="subscript"/>
        </w:rPr>
        <w:t>2</w:t>
      </w:r>
      <w:r w:rsidRPr="00DB7156">
        <w:rPr>
          <w:rFonts w:ascii="Arial" w:hAnsi="Arial" w:cs="Arial"/>
          <w:sz w:val="24"/>
          <w:szCs w:val="24"/>
        </w:rPr>
        <w:t xml:space="preserve"> emissions from biomass-fired and other biogenic sources under the PSD and Title V programs for three years. Groups challenged EPA’s three-year deferral, and on July 12, 2013, the D.C. Circuit Court vacated the three-year deferral. While the Court withheld the issuance of its “mandate,” and the decision did not become final, the three-year deferral rule expired by its own terms in July 2014.  </w:t>
      </w:r>
    </w:p>
    <w:p w14:paraId="2B0A6859" w14:textId="44A54883" w:rsidR="008D4B6D" w:rsidRPr="00DB7156" w:rsidRDefault="008D4B6D" w:rsidP="00DB7156">
      <w:pPr>
        <w:autoSpaceDE w:val="0"/>
        <w:autoSpaceDN w:val="0"/>
        <w:adjustRightInd w:val="0"/>
        <w:spacing w:after="0" w:line="240" w:lineRule="auto"/>
        <w:jc w:val="both"/>
        <w:rPr>
          <w:rFonts w:ascii="Arial" w:hAnsi="Arial" w:cs="Arial"/>
          <w:iCs/>
          <w:sz w:val="24"/>
          <w:szCs w:val="24"/>
        </w:rPr>
      </w:pPr>
    </w:p>
    <w:p w14:paraId="1878883A" w14:textId="7BD7F587" w:rsidR="006428B1" w:rsidRPr="00DB7156" w:rsidRDefault="001946FF" w:rsidP="00DB7156">
      <w:pPr>
        <w:autoSpaceDE w:val="0"/>
        <w:autoSpaceDN w:val="0"/>
        <w:adjustRightInd w:val="0"/>
        <w:spacing w:after="0" w:line="240" w:lineRule="auto"/>
        <w:jc w:val="both"/>
        <w:rPr>
          <w:rFonts w:ascii="Arial" w:hAnsi="Arial" w:cs="Arial"/>
          <w:iCs/>
          <w:sz w:val="24"/>
          <w:szCs w:val="24"/>
        </w:rPr>
      </w:pPr>
      <w:r w:rsidRPr="00DB7156">
        <w:rPr>
          <w:rFonts w:ascii="Arial" w:hAnsi="Arial" w:cs="Arial"/>
          <w:iCs/>
          <w:sz w:val="24"/>
          <w:szCs w:val="24"/>
        </w:rPr>
        <w:t>In</w:t>
      </w:r>
      <w:r w:rsidR="00C0754D" w:rsidRPr="00DB7156">
        <w:rPr>
          <w:rFonts w:ascii="Arial" w:hAnsi="Arial" w:cs="Arial"/>
          <w:iCs/>
          <w:sz w:val="24"/>
          <w:szCs w:val="24"/>
        </w:rPr>
        <w:t xml:space="preserve"> </w:t>
      </w:r>
      <w:r w:rsidRPr="00DB7156">
        <w:rPr>
          <w:rFonts w:ascii="Arial" w:hAnsi="Arial" w:cs="Arial"/>
          <w:iCs/>
          <w:sz w:val="24"/>
          <w:szCs w:val="24"/>
        </w:rPr>
        <w:t>September 2011, EPA released a draft accounting framework for biogenic CO</w:t>
      </w:r>
      <w:r w:rsidRPr="00DB7156">
        <w:rPr>
          <w:rFonts w:ascii="Arial" w:hAnsi="Arial" w:cs="Arial"/>
          <w:iCs/>
          <w:sz w:val="24"/>
          <w:szCs w:val="24"/>
          <w:vertAlign w:val="subscript"/>
        </w:rPr>
        <w:t>2</w:t>
      </w:r>
      <w:r w:rsidRPr="00DB7156">
        <w:rPr>
          <w:rFonts w:ascii="Arial" w:hAnsi="Arial" w:cs="Arial"/>
          <w:iCs/>
          <w:sz w:val="24"/>
          <w:szCs w:val="24"/>
        </w:rPr>
        <w:t xml:space="preserve"> emissions from stationary sources, and </w:t>
      </w:r>
      <w:r w:rsidR="00B83C08" w:rsidRPr="00DB7156">
        <w:rPr>
          <w:rFonts w:ascii="Arial" w:hAnsi="Arial" w:cs="Arial"/>
          <w:iCs/>
          <w:sz w:val="24"/>
          <w:szCs w:val="24"/>
        </w:rPr>
        <w:t>i</w:t>
      </w:r>
      <w:r w:rsidRPr="00DB7156">
        <w:rPr>
          <w:rFonts w:ascii="Arial" w:hAnsi="Arial" w:cs="Arial"/>
          <w:iCs/>
          <w:sz w:val="24"/>
          <w:szCs w:val="24"/>
        </w:rPr>
        <w:t xml:space="preserve">n </w:t>
      </w:r>
      <w:r w:rsidR="00C0754D" w:rsidRPr="00DB7156">
        <w:rPr>
          <w:rFonts w:ascii="Arial" w:hAnsi="Arial" w:cs="Arial"/>
          <w:iCs/>
          <w:sz w:val="24"/>
          <w:szCs w:val="24"/>
        </w:rPr>
        <w:t>November 2014, EPA released a second draft</w:t>
      </w:r>
      <w:r w:rsidR="00856F1C" w:rsidRPr="00DB7156">
        <w:rPr>
          <w:rFonts w:ascii="Arial" w:hAnsi="Arial" w:cs="Arial"/>
          <w:iCs/>
          <w:sz w:val="24"/>
          <w:szCs w:val="24"/>
        </w:rPr>
        <w:t xml:space="preserve"> </w:t>
      </w:r>
      <w:r w:rsidR="00C0754D" w:rsidRPr="00DB7156">
        <w:rPr>
          <w:rFonts w:ascii="Arial" w:hAnsi="Arial" w:cs="Arial"/>
          <w:iCs/>
          <w:sz w:val="24"/>
          <w:szCs w:val="24"/>
        </w:rPr>
        <w:t>for review by the EPA S</w:t>
      </w:r>
      <w:r w:rsidR="008A1764" w:rsidRPr="00DB7156">
        <w:rPr>
          <w:rFonts w:ascii="Arial" w:hAnsi="Arial" w:cs="Arial"/>
          <w:iCs/>
          <w:sz w:val="24"/>
          <w:szCs w:val="24"/>
        </w:rPr>
        <w:t xml:space="preserve">cience </w:t>
      </w:r>
      <w:r w:rsidR="00C0754D" w:rsidRPr="00DB7156">
        <w:rPr>
          <w:rFonts w:ascii="Arial" w:hAnsi="Arial" w:cs="Arial"/>
          <w:iCs/>
          <w:sz w:val="24"/>
          <w:szCs w:val="24"/>
        </w:rPr>
        <w:t>A</w:t>
      </w:r>
      <w:r w:rsidR="008A1764" w:rsidRPr="00DB7156">
        <w:rPr>
          <w:rFonts w:ascii="Arial" w:hAnsi="Arial" w:cs="Arial"/>
          <w:iCs/>
          <w:sz w:val="24"/>
          <w:szCs w:val="24"/>
        </w:rPr>
        <w:t xml:space="preserve">dvisory </w:t>
      </w:r>
      <w:r w:rsidR="00C0754D" w:rsidRPr="00DB7156">
        <w:rPr>
          <w:rFonts w:ascii="Arial" w:hAnsi="Arial" w:cs="Arial"/>
          <w:iCs/>
          <w:sz w:val="24"/>
          <w:szCs w:val="24"/>
        </w:rPr>
        <w:t>B</w:t>
      </w:r>
      <w:r w:rsidR="008A1764" w:rsidRPr="00DB7156">
        <w:rPr>
          <w:rFonts w:ascii="Arial" w:hAnsi="Arial" w:cs="Arial"/>
          <w:iCs/>
          <w:sz w:val="24"/>
          <w:szCs w:val="24"/>
        </w:rPr>
        <w:t>oard</w:t>
      </w:r>
      <w:r w:rsidR="00C0754D" w:rsidRPr="00DB7156">
        <w:rPr>
          <w:rFonts w:ascii="Arial" w:hAnsi="Arial" w:cs="Arial"/>
          <w:iCs/>
          <w:sz w:val="24"/>
          <w:szCs w:val="24"/>
        </w:rPr>
        <w:t xml:space="preserve"> </w:t>
      </w:r>
      <w:r w:rsidR="00147F6B" w:rsidRPr="00DB7156">
        <w:rPr>
          <w:rFonts w:ascii="Arial" w:hAnsi="Arial" w:cs="Arial"/>
          <w:iCs/>
          <w:sz w:val="24"/>
          <w:szCs w:val="24"/>
        </w:rPr>
        <w:t>(</w:t>
      </w:r>
      <w:r w:rsidR="00C00DE0">
        <w:rPr>
          <w:rFonts w:ascii="Arial" w:hAnsi="Arial" w:cs="Arial"/>
          <w:iCs/>
          <w:sz w:val="24"/>
          <w:szCs w:val="24"/>
        </w:rPr>
        <w:t>“</w:t>
      </w:r>
      <w:r w:rsidR="00147F6B" w:rsidRPr="00DB7156">
        <w:rPr>
          <w:rFonts w:ascii="Arial" w:hAnsi="Arial" w:cs="Arial"/>
          <w:iCs/>
          <w:sz w:val="24"/>
          <w:szCs w:val="24"/>
        </w:rPr>
        <w:t>SAB</w:t>
      </w:r>
      <w:r w:rsidR="00C00DE0">
        <w:rPr>
          <w:rFonts w:ascii="Arial" w:hAnsi="Arial" w:cs="Arial"/>
          <w:iCs/>
          <w:sz w:val="24"/>
          <w:szCs w:val="24"/>
        </w:rPr>
        <w:t>”</w:t>
      </w:r>
      <w:r w:rsidR="00147F6B" w:rsidRPr="00DB7156">
        <w:rPr>
          <w:rFonts w:ascii="Arial" w:hAnsi="Arial" w:cs="Arial"/>
          <w:iCs/>
          <w:sz w:val="24"/>
          <w:szCs w:val="24"/>
        </w:rPr>
        <w:t xml:space="preserve">) </w:t>
      </w:r>
      <w:r w:rsidR="00C0754D" w:rsidRPr="00DB7156">
        <w:rPr>
          <w:rFonts w:ascii="Arial" w:hAnsi="Arial" w:cs="Arial"/>
          <w:iCs/>
          <w:sz w:val="24"/>
          <w:szCs w:val="24"/>
        </w:rPr>
        <w:t xml:space="preserve">and </w:t>
      </w:r>
      <w:r w:rsidR="00042183" w:rsidRPr="00DB7156">
        <w:rPr>
          <w:rFonts w:ascii="Arial" w:hAnsi="Arial" w:cs="Arial"/>
          <w:iCs/>
          <w:sz w:val="24"/>
          <w:szCs w:val="24"/>
        </w:rPr>
        <w:t xml:space="preserve">for </w:t>
      </w:r>
      <w:r w:rsidR="00C0754D" w:rsidRPr="00DB7156">
        <w:rPr>
          <w:rFonts w:ascii="Arial" w:hAnsi="Arial" w:cs="Arial"/>
          <w:iCs/>
          <w:sz w:val="24"/>
          <w:szCs w:val="24"/>
        </w:rPr>
        <w:t>public</w:t>
      </w:r>
      <w:r w:rsidR="00042183" w:rsidRPr="00DB7156">
        <w:rPr>
          <w:rFonts w:ascii="Arial" w:hAnsi="Arial" w:cs="Arial"/>
          <w:iCs/>
          <w:sz w:val="24"/>
          <w:szCs w:val="24"/>
        </w:rPr>
        <w:t xml:space="preserve"> comment</w:t>
      </w:r>
      <w:r w:rsidR="00C0754D" w:rsidRPr="00DB7156">
        <w:rPr>
          <w:rFonts w:ascii="Arial" w:hAnsi="Arial" w:cs="Arial"/>
          <w:iCs/>
          <w:sz w:val="24"/>
          <w:szCs w:val="24"/>
        </w:rPr>
        <w:t>.</w:t>
      </w:r>
      <w:r w:rsidR="00BE3825" w:rsidRPr="00DB7156">
        <w:rPr>
          <w:rFonts w:ascii="Arial" w:hAnsi="Arial" w:cs="Arial"/>
          <w:iCs/>
          <w:sz w:val="24"/>
          <w:szCs w:val="24"/>
        </w:rPr>
        <w:t xml:space="preserve">  </w:t>
      </w:r>
      <w:r w:rsidR="00147F6B" w:rsidRPr="00DB7156">
        <w:rPr>
          <w:rFonts w:ascii="Arial" w:hAnsi="Arial" w:cs="Arial"/>
          <w:iCs/>
          <w:sz w:val="24"/>
          <w:szCs w:val="24"/>
        </w:rPr>
        <w:t xml:space="preserve">The SAB continues to review </w:t>
      </w:r>
      <w:r w:rsidR="006428B1" w:rsidRPr="00DB7156">
        <w:rPr>
          <w:rFonts w:ascii="Arial" w:hAnsi="Arial" w:cs="Arial"/>
          <w:iCs/>
          <w:sz w:val="24"/>
          <w:szCs w:val="24"/>
        </w:rPr>
        <w:t>EPA's second draft</w:t>
      </w:r>
      <w:r w:rsidR="00275364" w:rsidRPr="00DB7156">
        <w:rPr>
          <w:rFonts w:ascii="Arial" w:hAnsi="Arial" w:cs="Arial"/>
          <w:iCs/>
          <w:sz w:val="24"/>
          <w:szCs w:val="24"/>
        </w:rPr>
        <w:t>.</w:t>
      </w:r>
    </w:p>
    <w:p w14:paraId="52058B0B" w14:textId="39B3FC37" w:rsidR="00147F6B" w:rsidRPr="00DB7156" w:rsidRDefault="00147F6B" w:rsidP="00DB7156">
      <w:pPr>
        <w:autoSpaceDE w:val="0"/>
        <w:autoSpaceDN w:val="0"/>
        <w:adjustRightInd w:val="0"/>
        <w:spacing w:after="0" w:line="240" w:lineRule="auto"/>
        <w:jc w:val="both"/>
        <w:rPr>
          <w:rFonts w:ascii="Arial" w:hAnsi="Arial" w:cs="Arial"/>
          <w:iCs/>
          <w:sz w:val="24"/>
          <w:szCs w:val="24"/>
        </w:rPr>
      </w:pPr>
    </w:p>
    <w:p w14:paraId="437352CB" w14:textId="77777777" w:rsidR="00A40796" w:rsidRDefault="00801E06" w:rsidP="00A40796">
      <w:pPr>
        <w:autoSpaceDE w:val="0"/>
        <w:autoSpaceDN w:val="0"/>
        <w:adjustRightInd w:val="0"/>
        <w:spacing w:after="0" w:line="240" w:lineRule="auto"/>
        <w:jc w:val="both"/>
        <w:rPr>
          <w:rFonts w:ascii="Arial" w:hAnsi="Arial" w:cs="Arial"/>
          <w:iCs/>
          <w:sz w:val="24"/>
          <w:szCs w:val="24"/>
        </w:rPr>
      </w:pPr>
      <w:r w:rsidRPr="00DB7156">
        <w:rPr>
          <w:rFonts w:ascii="Arial" w:hAnsi="Arial" w:cs="Arial"/>
          <w:iCs/>
          <w:sz w:val="24"/>
          <w:szCs w:val="24"/>
        </w:rPr>
        <w:t>I</w:t>
      </w:r>
      <w:r w:rsidR="00147F6B" w:rsidRPr="00DB7156">
        <w:rPr>
          <w:rFonts w:ascii="Arial" w:hAnsi="Arial" w:cs="Arial"/>
          <w:iCs/>
          <w:sz w:val="24"/>
          <w:szCs w:val="24"/>
        </w:rPr>
        <w:t xml:space="preserve">n April 2018, </w:t>
      </w:r>
      <w:r w:rsidR="00800812">
        <w:rPr>
          <w:rFonts w:ascii="Arial" w:hAnsi="Arial" w:cs="Arial"/>
          <w:iCs/>
          <w:sz w:val="24"/>
          <w:szCs w:val="24"/>
        </w:rPr>
        <w:t xml:space="preserve">then </w:t>
      </w:r>
      <w:r w:rsidR="00147F6B" w:rsidRPr="00DB7156">
        <w:rPr>
          <w:rFonts w:ascii="Arial" w:hAnsi="Arial" w:cs="Arial"/>
          <w:iCs/>
          <w:sz w:val="24"/>
          <w:szCs w:val="24"/>
        </w:rPr>
        <w:t>EPA Admin</w:t>
      </w:r>
      <w:r w:rsidR="005D777F" w:rsidRPr="00DB7156">
        <w:rPr>
          <w:rFonts w:ascii="Arial" w:hAnsi="Arial" w:cs="Arial"/>
          <w:iCs/>
          <w:sz w:val="24"/>
          <w:szCs w:val="24"/>
        </w:rPr>
        <w:t>i</w:t>
      </w:r>
      <w:r w:rsidR="00147F6B" w:rsidRPr="00DB7156">
        <w:rPr>
          <w:rFonts w:ascii="Arial" w:hAnsi="Arial" w:cs="Arial"/>
          <w:iCs/>
          <w:sz w:val="24"/>
          <w:szCs w:val="24"/>
        </w:rPr>
        <w:t>strator Scott Pruitt issued a statement of policy that future regulatory actions will treat biogenic CO</w:t>
      </w:r>
      <w:r w:rsidR="00147F6B" w:rsidRPr="00DB7156">
        <w:rPr>
          <w:rFonts w:ascii="Arial" w:hAnsi="Arial" w:cs="Arial"/>
          <w:iCs/>
          <w:sz w:val="24"/>
          <w:szCs w:val="24"/>
          <w:vertAlign w:val="subscript"/>
        </w:rPr>
        <w:t>2</w:t>
      </w:r>
      <w:r w:rsidR="00147F6B" w:rsidRPr="00DB7156">
        <w:rPr>
          <w:rFonts w:ascii="Arial" w:hAnsi="Arial" w:cs="Arial"/>
          <w:iCs/>
          <w:sz w:val="24"/>
          <w:szCs w:val="24"/>
        </w:rPr>
        <w:t xml:space="preserve"> </w:t>
      </w:r>
      <w:r w:rsidR="00837D9B" w:rsidRPr="00DB7156">
        <w:rPr>
          <w:rFonts w:ascii="Arial" w:hAnsi="Arial" w:cs="Arial"/>
          <w:iCs/>
          <w:sz w:val="24"/>
          <w:szCs w:val="24"/>
        </w:rPr>
        <w:t xml:space="preserve">emissions </w:t>
      </w:r>
      <w:r w:rsidR="00147F6B" w:rsidRPr="00DB7156">
        <w:rPr>
          <w:rFonts w:ascii="Arial" w:hAnsi="Arial" w:cs="Arial"/>
          <w:iCs/>
          <w:sz w:val="24"/>
          <w:szCs w:val="24"/>
        </w:rPr>
        <w:t xml:space="preserve">resulting from the combustion of biomass from managed forests at stationary sources for energy production as carbon neutral. </w:t>
      </w:r>
      <w:bookmarkEnd w:id="102"/>
    </w:p>
    <w:p w14:paraId="2A2F41B2" w14:textId="77777777" w:rsidR="00A40796" w:rsidRDefault="00A40796" w:rsidP="00A40796">
      <w:pPr>
        <w:autoSpaceDE w:val="0"/>
        <w:autoSpaceDN w:val="0"/>
        <w:adjustRightInd w:val="0"/>
        <w:spacing w:after="0" w:line="240" w:lineRule="auto"/>
        <w:jc w:val="both"/>
        <w:rPr>
          <w:rFonts w:ascii="Arial" w:hAnsi="Arial" w:cs="Arial"/>
          <w:iCs/>
          <w:sz w:val="24"/>
          <w:szCs w:val="24"/>
        </w:rPr>
      </w:pPr>
    </w:p>
    <w:p w14:paraId="22BA5012" w14:textId="349FB472" w:rsidR="002666CE" w:rsidRPr="00A40796" w:rsidRDefault="00555788" w:rsidP="00A40796">
      <w:pPr>
        <w:autoSpaceDE w:val="0"/>
        <w:autoSpaceDN w:val="0"/>
        <w:adjustRightInd w:val="0"/>
        <w:spacing w:after="0" w:line="240" w:lineRule="auto"/>
        <w:jc w:val="both"/>
        <w:rPr>
          <w:rFonts w:ascii="Arial" w:hAnsi="Arial" w:cs="Arial"/>
          <w:iCs/>
          <w:sz w:val="24"/>
          <w:szCs w:val="24"/>
        </w:rPr>
      </w:pPr>
      <w:r w:rsidRPr="00DB7156">
        <w:rPr>
          <w:rFonts w:ascii="Arial" w:hAnsi="Arial" w:cs="Arial"/>
          <w:b/>
          <w:bCs/>
          <w:color w:val="000080"/>
          <w:sz w:val="24"/>
          <w:szCs w:val="24"/>
        </w:rPr>
        <w:t>CO</w:t>
      </w:r>
      <w:r w:rsidR="002F1DF0" w:rsidRPr="00DB7156">
        <w:rPr>
          <w:rFonts w:ascii="Arial" w:hAnsi="Arial" w:cs="Arial"/>
          <w:sz w:val="24"/>
          <w:szCs w:val="24"/>
          <w:vertAlign w:val="subscript"/>
        </w:rPr>
        <w:t>2</w:t>
      </w:r>
      <w:r w:rsidRPr="00DB7156">
        <w:rPr>
          <w:rFonts w:ascii="Arial" w:hAnsi="Arial" w:cs="Arial"/>
          <w:b/>
          <w:bCs/>
          <w:color w:val="000080"/>
          <w:sz w:val="24"/>
          <w:szCs w:val="24"/>
        </w:rPr>
        <w:t xml:space="preserve"> Regulation – Performance Standards</w:t>
      </w:r>
    </w:p>
    <w:p w14:paraId="60C4A765" w14:textId="3DFA7F21" w:rsidR="00385118" w:rsidRPr="00DB7156" w:rsidRDefault="005029D4" w:rsidP="00DB715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w:t>
      </w:r>
      <w:r w:rsidR="009C532D" w:rsidRPr="00DB7156">
        <w:rPr>
          <w:rFonts w:ascii="Arial" w:hAnsi="Arial" w:cs="Arial"/>
          <w:sz w:val="24"/>
          <w:szCs w:val="24"/>
        </w:rPr>
        <w:t xml:space="preserve">n June </w:t>
      </w:r>
      <w:r w:rsidR="0067730E" w:rsidRPr="00DB7156">
        <w:rPr>
          <w:rFonts w:ascii="Arial" w:hAnsi="Arial" w:cs="Arial"/>
          <w:sz w:val="24"/>
          <w:szCs w:val="24"/>
        </w:rPr>
        <w:t>2013, President</w:t>
      </w:r>
      <w:r w:rsidR="002666CE" w:rsidRPr="00DB7156">
        <w:rPr>
          <w:rFonts w:ascii="Arial" w:hAnsi="Arial" w:cs="Arial"/>
          <w:sz w:val="24"/>
          <w:szCs w:val="24"/>
        </w:rPr>
        <w:t xml:space="preserve"> Obama</w:t>
      </w:r>
      <w:r w:rsidR="009C532D" w:rsidRPr="00DB7156">
        <w:rPr>
          <w:rFonts w:ascii="Arial" w:hAnsi="Arial" w:cs="Arial"/>
          <w:sz w:val="24"/>
          <w:szCs w:val="24"/>
        </w:rPr>
        <w:t xml:space="preserve"> </w:t>
      </w:r>
      <w:r w:rsidR="00316B8D" w:rsidRPr="00DB7156">
        <w:rPr>
          <w:rFonts w:ascii="Arial" w:hAnsi="Arial" w:cs="Arial"/>
          <w:sz w:val="24"/>
          <w:szCs w:val="24"/>
        </w:rPr>
        <w:t xml:space="preserve">announced </w:t>
      </w:r>
      <w:r w:rsidR="009C532D" w:rsidRPr="00DB7156">
        <w:rPr>
          <w:rFonts w:ascii="Arial" w:hAnsi="Arial" w:cs="Arial"/>
          <w:sz w:val="24"/>
          <w:szCs w:val="24"/>
        </w:rPr>
        <w:t xml:space="preserve">his Climate Action Plan designed to reduce emissions of GHGs and take additional steps to mitigate and adapt to climate change. </w:t>
      </w:r>
      <w:r w:rsidR="00172211" w:rsidRPr="00DB7156">
        <w:rPr>
          <w:rFonts w:ascii="Arial" w:hAnsi="Arial" w:cs="Arial"/>
          <w:sz w:val="24"/>
          <w:szCs w:val="24"/>
        </w:rPr>
        <w:t xml:space="preserve">At the same time, </w:t>
      </w:r>
      <w:r w:rsidR="009577B4" w:rsidRPr="00DB7156">
        <w:rPr>
          <w:rFonts w:ascii="Arial" w:hAnsi="Arial" w:cs="Arial"/>
          <w:sz w:val="24"/>
          <w:szCs w:val="24"/>
        </w:rPr>
        <w:t>President Obama</w:t>
      </w:r>
      <w:r w:rsidR="00172211" w:rsidRPr="00DB7156">
        <w:rPr>
          <w:rFonts w:ascii="Arial" w:hAnsi="Arial" w:cs="Arial"/>
          <w:sz w:val="24"/>
          <w:szCs w:val="24"/>
        </w:rPr>
        <w:t xml:space="preserve"> released a </w:t>
      </w:r>
      <w:r w:rsidR="009C532D" w:rsidRPr="00DB7156">
        <w:rPr>
          <w:rFonts w:ascii="Arial" w:hAnsi="Arial" w:cs="Arial"/>
          <w:sz w:val="24"/>
          <w:szCs w:val="24"/>
        </w:rPr>
        <w:t xml:space="preserve">White House memorandum </w:t>
      </w:r>
      <w:r w:rsidR="00172211" w:rsidRPr="00DB7156">
        <w:rPr>
          <w:rFonts w:ascii="Arial" w:hAnsi="Arial" w:cs="Arial"/>
          <w:sz w:val="24"/>
          <w:szCs w:val="24"/>
        </w:rPr>
        <w:t xml:space="preserve">on </w:t>
      </w:r>
      <w:r w:rsidR="002666CE" w:rsidRPr="00DB7156">
        <w:rPr>
          <w:rFonts w:ascii="Arial" w:hAnsi="Arial" w:cs="Arial"/>
          <w:sz w:val="24"/>
          <w:szCs w:val="24"/>
        </w:rPr>
        <w:t>“Power Sector Carbon Pollution Standards”</w:t>
      </w:r>
      <w:r w:rsidR="00172211" w:rsidRPr="00DB7156">
        <w:rPr>
          <w:rFonts w:ascii="Arial" w:hAnsi="Arial" w:cs="Arial"/>
          <w:sz w:val="24"/>
          <w:szCs w:val="24"/>
        </w:rPr>
        <w:t xml:space="preserve"> that directed </w:t>
      </w:r>
      <w:r w:rsidR="002666CE" w:rsidRPr="00DB7156">
        <w:rPr>
          <w:rFonts w:ascii="Arial" w:hAnsi="Arial" w:cs="Arial"/>
          <w:sz w:val="24"/>
          <w:szCs w:val="24"/>
        </w:rPr>
        <w:t xml:space="preserve">EPA to propose </w:t>
      </w:r>
      <w:r w:rsidR="00611196" w:rsidRPr="00DB7156">
        <w:rPr>
          <w:rFonts w:ascii="Arial" w:hAnsi="Arial" w:cs="Arial"/>
          <w:sz w:val="24"/>
          <w:szCs w:val="24"/>
        </w:rPr>
        <w:t xml:space="preserve">and finalize </w:t>
      </w:r>
      <w:r w:rsidR="002666CE" w:rsidRPr="00DB7156">
        <w:rPr>
          <w:rFonts w:ascii="Arial" w:hAnsi="Arial" w:cs="Arial"/>
          <w:sz w:val="24"/>
          <w:szCs w:val="24"/>
        </w:rPr>
        <w:t xml:space="preserve">standards, regulations, or guidelines for </w:t>
      </w:r>
      <w:r w:rsidR="001946FF" w:rsidRPr="00DB7156">
        <w:rPr>
          <w:rFonts w:ascii="Arial" w:hAnsi="Arial" w:cs="Arial"/>
          <w:sz w:val="24"/>
          <w:szCs w:val="24"/>
        </w:rPr>
        <w:t xml:space="preserve">new, </w:t>
      </w:r>
      <w:r w:rsidR="002666CE" w:rsidRPr="00DB7156">
        <w:rPr>
          <w:rFonts w:ascii="Arial" w:hAnsi="Arial" w:cs="Arial"/>
          <w:sz w:val="24"/>
          <w:szCs w:val="24"/>
        </w:rPr>
        <w:t>modified, reconstructed, and existing fossil-fired electric generating units</w:t>
      </w:r>
      <w:r w:rsidR="00611196" w:rsidRPr="00DB7156">
        <w:rPr>
          <w:rFonts w:ascii="Arial" w:hAnsi="Arial" w:cs="Arial"/>
          <w:sz w:val="24"/>
          <w:szCs w:val="24"/>
        </w:rPr>
        <w:t xml:space="preserve">.  </w:t>
      </w:r>
    </w:p>
    <w:p w14:paraId="481D79F5" w14:textId="77777777" w:rsidR="00385118" w:rsidRPr="00DB7156" w:rsidRDefault="00385118" w:rsidP="00DB7156">
      <w:pPr>
        <w:autoSpaceDE w:val="0"/>
        <w:autoSpaceDN w:val="0"/>
        <w:adjustRightInd w:val="0"/>
        <w:spacing w:after="0" w:line="240" w:lineRule="auto"/>
        <w:jc w:val="both"/>
        <w:rPr>
          <w:rFonts w:ascii="Arial" w:hAnsi="Arial" w:cs="Arial"/>
          <w:sz w:val="24"/>
          <w:szCs w:val="24"/>
        </w:rPr>
      </w:pPr>
    </w:p>
    <w:p w14:paraId="4FAA9BF9" w14:textId="1D23C968" w:rsidR="00085C6F" w:rsidRPr="00DB7156" w:rsidRDefault="00172211"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Consistent with the </w:t>
      </w:r>
      <w:r w:rsidR="00006FBB" w:rsidRPr="00DB7156">
        <w:rPr>
          <w:rFonts w:ascii="Arial" w:hAnsi="Arial" w:cs="Arial"/>
          <w:sz w:val="24"/>
          <w:szCs w:val="24"/>
        </w:rPr>
        <w:t>Climate Action Plan</w:t>
      </w:r>
      <w:r w:rsidR="008A1764" w:rsidRPr="00DB7156">
        <w:rPr>
          <w:rFonts w:ascii="Arial" w:hAnsi="Arial" w:cs="Arial"/>
          <w:sz w:val="24"/>
          <w:szCs w:val="24"/>
        </w:rPr>
        <w:t xml:space="preserve"> and subsequent memorandum</w:t>
      </w:r>
      <w:r w:rsidRPr="00DB7156">
        <w:rPr>
          <w:rFonts w:ascii="Arial" w:hAnsi="Arial" w:cs="Arial"/>
          <w:sz w:val="24"/>
          <w:szCs w:val="24"/>
        </w:rPr>
        <w:t xml:space="preserve">, </w:t>
      </w:r>
      <w:r w:rsidR="00611196" w:rsidRPr="00DB7156">
        <w:rPr>
          <w:rFonts w:ascii="Arial" w:hAnsi="Arial" w:cs="Arial"/>
          <w:sz w:val="24"/>
          <w:szCs w:val="24"/>
        </w:rPr>
        <w:t xml:space="preserve">EPA issued a </w:t>
      </w:r>
      <w:r w:rsidR="00CA6125" w:rsidRPr="00DB7156">
        <w:rPr>
          <w:rFonts w:ascii="Arial" w:hAnsi="Arial" w:cs="Arial"/>
          <w:sz w:val="24"/>
          <w:szCs w:val="24"/>
        </w:rPr>
        <w:t xml:space="preserve"> </w:t>
      </w:r>
      <w:r w:rsidR="00611196" w:rsidRPr="00DB7156">
        <w:rPr>
          <w:rFonts w:ascii="Arial" w:hAnsi="Arial" w:cs="Arial"/>
          <w:sz w:val="24"/>
          <w:szCs w:val="24"/>
        </w:rPr>
        <w:t xml:space="preserve">new source proposal </w:t>
      </w:r>
      <w:r w:rsidR="005029D4">
        <w:rPr>
          <w:rFonts w:ascii="Arial" w:hAnsi="Arial" w:cs="Arial"/>
          <w:sz w:val="24"/>
          <w:szCs w:val="24"/>
        </w:rPr>
        <w:t>i</w:t>
      </w:r>
      <w:r w:rsidR="00611196" w:rsidRPr="00DB7156">
        <w:rPr>
          <w:rFonts w:ascii="Arial" w:hAnsi="Arial" w:cs="Arial"/>
          <w:sz w:val="24"/>
          <w:szCs w:val="24"/>
        </w:rPr>
        <w:t>n September 2013</w:t>
      </w:r>
      <w:r w:rsidR="008A1764" w:rsidRPr="00DB7156">
        <w:rPr>
          <w:rFonts w:ascii="Arial" w:hAnsi="Arial" w:cs="Arial"/>
          <w:sz w:val="24"/>
          <w:szCs w:val="24"/>
        </w:rPr>
        <w:t xml:space="preserve"> (Standards of Performance for Greenhouse Gas Emissions from New Stationary Source: Electric Utility Generating Units)</w:t>
      </w:r>
      <w:r w:rsidR="00611196" w:rsidRPr="00DB7156">
        <w:rPr>
          <w:rFonts w:ascii="Arial" w:hAnsi="Arial" w:cs="Arial"/>
          <w:sz w:val="24"/>
          <w:szCs w:val="24"/>
        </w:rPr>
        <w:t xml:space="preserve">, a modified and reconstructed source proposal </w:t>
      </w:r>
      <w:r w:rsidR="005029D4">
        <w:rPr>
          <w:rFonts w:ascii="Arial" w:hAnsi="Arial" w:cs="Arial"/>
          <w:sz w:val="24"/>
          <w:szCs w:val="24"/>
        </w:rPr>
        <w:t>i</w:t>
      </w:r>
      <w:r w:rsidRPr="00DB7156">
        <w:rPr>
          <w:rFonts w:ascii="Arial" w:hAnsi="Arial" w:cs="Arial"/>
          <w:sz w:val="24"/>
          <w:szCs w:val="24"/>
        </w:rPr>
        <w:t>n June 2014</w:t>
      </w:r>
      <w:r w:rsidR="008A1764" w:rsidRPr="00DB7156">
        <w:rPr>
          <w:rFonts w:ascii="Arial" w:hAnsi="Arial" w:cs="Arial"/>
          <w:sz w:val="24"/>
          <w:szCs w:val="24"/>
        </w:rPr>
        <w:t xml:space="preserve"> (Carbon Pollution Standards for Modified and Reconstructed Stationary Sources: Electric Utility Generating Units)</w:t>
      </w:r>
      <w:r w:rsidRPr="00DB7156">
        <w:rPr>
          <w:rFonts w:ascii="Arial" w:hAnsi="Arial" w:cs="Arial"/>
          <w:sz w:val="24"/>
          <w:szCs w:val="24"/>
        </w:rPr>
        <w:t>,</w:t>
      </w:r>
      <w:r w:rsidR="00611196" w:rsidRPr="00DB7156">
        <w:rPr>
          <w:rFonts w:ascii="Arial" w:hAnsi="Arial" w:cs="Arial"/>
          <w:sz w:val="24"/>
          <w:szCs w:val="24"/>
        </w:rPr>
        <w:t xml:space="preserve"> and an existing source </w:t>
      </w:r>
      <w:r w:rsidR="00873A3F" w:rsidRPr="00DB7156">
        <w:rPr>
          <w:rFonts w:ascii="Arial" w:hAnsi="Arial" w:cs="Arial"/>
          <w:sz w:val="24"/>
          <w:szCs w:val="24"/>
        </w:rPr>
        <w:t xml:space="preserve">emission </w:t>
      </w:r>
      <w:r w:rsidR="00611196" w:rsidRPr="00DB7156">
        <w:rPr>
          <w:rFonts w:ascii="Arial" w:hAnsi="Arial" w:cs="Arial"/>
          <w:sz w:val="24"/>
          <w:szCs w:val="24"/>
        </w:rPr>
        <w:t>guidelines proposal (</w:t>
      </w:r>
      <w:r w:rsidR="008A1764" w:rsidRPr="00DB7156">
        <w:rPr>
          <w:rFonts w:ascii="Arial" w:hAnsi="Arial" w:cs="Arial"/>
          <w:sz w:val="24"/>
          <w:szCs w:val="24"/>
        </w:rPr>
        <w:t>Carbon Pollution Emission Guidelines for Existing Stationary Sources: Electric Utility Generating Units or Clean Power Plan</w:t>
      </w:r>
      <w:r w:rsidR="00611196" w:rsidRPr="00DB7156">
        <w:rPr>
          <w:rFonts w:ascii="Arial" w:hAnsi="Arial" w:cs="Arial"/>
          <w:sz w:val="24"/>
          <w:szCs w:val="24"/>
        </w:rPr>
        <w:t xml:space="preserve">) </w:t>
      </w:r>
      <w:r w:rsidR="005029D4">
        <w:rPr>
          <w:rFonts w:ascii="Arial" w:hAnsi="Arial" w:cs="Arial"/>
          <w:sz w:val="24"/>
          <w:szCs w:val="24"/>
        </w:rPr>
        <w:t>i</w:t>
      </w:r>
      <w:r w:rsidR="00611196" w:rsidRPr="00DB7156">
        <w:rPr>
          <w:rFonts w:ascii="Arial" w:hAnsi="Arial" w:cs="Arial"/>
          <w:sz w:val="24"/>
          <w:szCs w:val="24"/>
        </w:rPr>
        <w:t>n June 2014.</w:t>
      </w:r>
      <w:r w:rsidR="005029D4">
        <w:rPr>
          <w:rFonts w:ascii="Arial" w:hAnsi="Arial" w:cs="Arial"/>
          <w:sz w:val="24"/>
          <w:szCs w:val="24"/>
        </w:rPr>
        <w:t xml:space="preserve"> </w:t>
      </w:r>
      <w:r w:rsidR="00006FBB" w:rsidRPr="00DB7156">
        <w:rPr>
          <w:rFonts w:ascii="Arial" w:hAnsi="Arial" w:cs="Arial"/>
          <w:sz w:val="24"/>
          <w:szCs w:val="24"/>
        </w:rPr>
        <w:t xml:space="preserve">Southern Company submitted comments </w:t>
      </w:r>
      <w:r w:rsidR="00611196" w:rsidRPr="00DB7156">
        <w:rPr>
          <w:rFonts w:ascii="Arial" w:hAnsi="Arial" w:cs="Arial"/>
          <w:sz w:val="24"/>
          <w:szCs w:val="24"/>
        </w:rPr>
        <w:t xml:space="preserve">on all three </w:t>
      </w:r>
      <w:r w:rsidR="004F7E66" w:rsidRPr="00DB7156">
        <w:rPr>
          <w:rFonts w:ascii="Arial" w:hAnsi="Arial" w:cs="Arial"/>
          <w:sz w:val="24"/>
          <w:szCs w:val="24"/>
        </w:rPr>
        <w:t>proposals</w:t>
      </w:r>
      <w:r w:rsidR="00611196" w:rsidRPr="00DB7156">
        <w:rPr>
          <w:rFonts w:ascii="Arial" w:hAnsi="Arial" w:cs="Arial"/>
          <w:sz w:val="24"/>
          <w:szCs w:val="24"/>
        </w:rPr>
        <w:t>.</w:t>
      </w:r>
    </w:p>
    <w:p w14:paraId="3BEC71E0" w14:textId="77777777" w:rsidR="00042183" w:rsidRPr="00DB7156" w:rsidRDefault="00042183" w:rsidP="00DB7156">
      <w:pPr>
        <w:autoSpaceDE w:val="0"/>
        <w:autoSpaceDN w:val="0"/>
        <w:adjustRightInd w:val="0"/>
        <w:spacing w:after="0" w:line="240" w:lineRule="auto"/>
        <w:jc w:val="both"/>
        <w:rPr>
          <w:rFonts w:ascii="Arial" w:hAnsi="Arial" w:cs="Arial"/>
          <w:sz w:val="24"/>
          <w:szCs w:val="24"/>
        </w:rPr>
      </w:pPr>
    </w:p>
    <w:p w14:paraId="2FD042A8" w14:textId="638BDE0F" w:rsidR="00130EDE" w:rsidRPr="00DB7156" w:rsidRDefault="00042183"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On October 23, 2015, EPA’s final new, modified, and reconstructed source standards for CO</w:t>
      </w:r>
      <w:r w:rsidRPr="00DB7156">
        <w:rPr>
          <w:rFonts w:ascii="Arial" w:hAnsi="Arial" w:cs="Arial"/>
          <w:sz w:val="24"/>
          <w:szCs w:val="24"/>
          <w:vertAlign w:val="subscript"/>
        </w:rPr>
        <w:t>2</w:t>
      </w:r>
      <w:r w:rsidRPr="00DB7156">
        <w:rPr>
          <w:rFonts w:ascii="Arial" w:hAnsi="Arial" w:cs="Arial"/>
          <w:sz w:val="24"/>
          <w:szCs w:val="24"/>
        </w:rPr>
        <w:t xml:space="preserve"> emissions under section 111(b) of the CAA were published in the Federal Register.  </w:t>
      </w:r>
      <w:r w:rsidR="00130EDE" w:rsidRPr="00DB7156">
        <w:rPr>
          <w:rFonts w:ascii="Arial" w:hAnsi="Arial" w:cs="Arial"/>
          <w:sz w:val="24"/>
          <w:szCs w:val="24"/>
        </w:rPr>
        <w:t>I</w:t>
      </w:r>
      <w:r w:rsidR="00085C6F" w:rsidRPr="00DB7156">
        <w:rPr>
          <w:rFonts w:ascii="Arial" w:hAnsi="Arial" w:cs="Arial"/>
          <w:sz w:val="24"/>
          <w:szCs w:val="24"/>
        </w:rPr>
        <w:t xml:space="preserve">n the </w:t>
      </w:r>
      <w:r w:rsidR="00021AF8" w:rsidRPr="00DB7156">
        <w:rPr>
          <w:rFonts w:ascii="Arial" w:hAnsi="Arial" w:cs="Arial"/>
          <w:sz w:val="24"/>
          <w:szCs w:val="24"/>
        </w:rPr>
        <w:t xml:space="preserve">final </w:t>
      </w:r>
      <w:r w:rsidR="00F75E98" w:rsidRPr="00DB7156">
        <w:rPr>
          <w:rFonts w:ascii="Arial" w:hAnsi="Arial" w:cs="Arial"/>
          <w:sz w:val="24"/>
          <w:szCs w:val="24"/>
        </w:rPr>
        <w:t>n</w:t>
      </w:r>
      <w:r w:rsidR="00021AF8" w:rsidRPr="00DB7156">
        <w:rPr>
          <w:rFonts w:ascii="Arial" w:hAnsi="Arial" w:cs="Arial"/>
          <w:sz w:val="24"/>
          <w:szCs w:val="24"/>
        </w:rPr>
        <w:t>ew</w:t>
      </w:r>
      <w:r w:rsidR="00130EDE" w:rsidRPr="00DB7156">
        <w:rPr>
          <w:rFonts w:ascii="Arial" w:hAnsi="Arial" w:cs="Arial"/>
          <w:sz w:val="24"/>
          <w:szCs w:val="24"/>
        </w:rPr>
        <w:t xml:space="preserve"> source rule</w:t>
      </w:r>
      <w:r w:rsidR="00873A3F" w:rsidRPr="00DB7156">
        <w:rPr>
          <w:rFonts w:ascii="Arial" w:hAnsi="Arial" w:cs="Arial"/>
          <w:sz w:val="24"/>
          <w:szCs w:val="24"/>
        </w:rPr>
        <w:t>, EPA established</w:t>
      </w:r>
      <w:r w:rsidR="00856F1C" w:rsidRPr="00DB7156">
        <w:rPr>
          <w:rFonts w:ascii="Arial" w:hAnsi="Arial" w:cs="Arial"/>
          <w:sz w:val="24"/>
          <w:szCs w:val="24"/>
        </w:rPr>
        <w:t xml:space="preserve"> </w:t>
      </w:r>
      <w:r w:rsidR="00085C6F" w:rsidRPr="00DB7156">
        <w:rPr>
          <w:rFonts w:ascii="Arial" w:hAnsi="Arial" w:cs="Arial"/>
          <w:sz w:val="24"/>
          <w:szCs w:val="24"/>
        </w:rPr>
        <w:t>s</w:t>
      </w:r>
      <w:r w:rsidR="00021AF8" w:rsidRPr="00DB7156">
        <w:rPr>
          <w:rFonts w:ascii="Arial" w:hAnsi="Arial" w:cs="Arial"/>
          <w:sz w:val="24"/>
          <w:szCs w:val="24"/>
        </w:rPr>
        <w:t>eparate standards for coal (1,400 lbs of CO</w:t>
      </w:r>
      <w:r w:rsidR="00021AF8" w:rsidRPr="00DB7156">
        <w:rPr>
          <w:rFonts w:ascii="Arial" w:hAnsi="Arial" w:cs="Arial"/>
          <w:sz w:val="24"/>
          <w:szCs w:val="24"/>
          <w:vertAlign w:val="subscript"/>
        </w:rPr>
        <w:t>2</w:t>
      </w:r>
      <w:r w:rsidR="00021AF8" w:rsidRPr="00DB7156">
        <w:rPr>
          <w:rFonts w:ascii="Arial" w:hAnsi="Arial" w:cs="Arial"/>
          <w:sz w:val="24"/>
          <w:szCs w:val="24"/>
        </w:rPr>
        <w:t xml:space="preserve">/MWh) and natural gas </w:t>
      </w:r>
      <w:r w:rsidR="003D442B">
        <w:rPr>
          <w:rFonts w:ascii="Arial" w:hAnsi="Arial" w:cs="Arial"/>
          <w:sz w:val="24"/>
          <w:szCs w:val="24"/>
        </w:rPr>
        <w:t xml:space="preserve">combustion turbines </w:t>
      </w:r>
      <w:r w:rsidR="00021AF8" w:rsidRPr="00DB7156">
        <w:rPr>
          <w:rFonts w:ascii="Arial" w:hAnsi="Arial" w:cs="Arial"/>
          <w:sz w:val="24"/>
          <w:szCs w:val="24"/>
        </w:rPr>
        <w:t>(1,000 lb</w:t>
      </w:r>
      <w:r w:rsidR="00021AF8" w:rsidRPr="00DB7156">
        <w:rPr>
          <w:rFonts w:ascii="Arial" w:hAnsi="Arial" w:cs="Arial"/>
          <w:sz w:val="24"/>
        </w:rPr>
        <w:t>s</w:t>
      </w:r>
      <w:r w:rsidR="00021AF8" w:rsidRPr="00DB7156">
        <w:rPr>
          <w:rFonts w:ascii="Arial" w:hAnsi="Arial" w:cs="Arial"/>
          <w:i/>
          <w:iCs/>
          <w:sz w:val="24"/>
          <w:szCs w:val="24"/>
        </w:rPr>
        <w:t xml:space="preserve"> </w:t>
      </w:r>
      <w:r w:rsidR="00021AF8" w:rsidRPr="00DB7156">
        <w:rPr>
          <w:rFonts w:ascii="Arial" w:hAnsi="Arial" w:cs="Arial"/>
          <w:iCs/>
          <w:sz w:val="24"/>
          <w:szCs w:val="24"/>
        </w:rPr>
        <w:t>of</w:t>
      </w:r>
      <w:r w:rsidR="00021AF8" w:rsidRPr="00DB7156">
        <w:rPr>
          <w:rFonts w:ascii="Arial" w:hAnsi="Arial" w:cs="Arial"/>
          <w:i/>
          <w:iCs/>
          <w:sz w:val="24"/>
          <w:szCs w:val="24"/>
        </w:rPr>
        <w:t xml:space="preserve"> </w:t>
      </w:r>
      <w:r w:rsidR="00021AF8" w:rsidRPr="00DB7156">
        <w:rPr>
          <w:rFonts w:ascii="Arial" w:hAnsi="Arial" w:cs="Arial"/>
          <w:sz w:val="24"/>
          <w:szCs w:val="24"/>
        </w:rPr>
        <w:t>CO</w:t>
      </w:r>
      <w:r w:rsidR="00021AF8" w:rsidRPr="00DB7156">
        <w:rPr>
          <w:rFonts w:ascii="Arial" w:hAnsi="Arial" w:cs="Arial"/>
          <w:sz w:val="24"/>
          <w:szCs w:val="24"/>
          <w:vertAlign w:val="subscript"/>
        </w:rPr>
        <w:t>2</w:t>
      </w:r>
      <w:r w:rsidR="00021AF8" w:rsidRPr="00DB7156">
        <w:rPr>
          <w:rFonts w:ascii="Arial" w:hAnsi="Arial" w:cs="Arial"/>
          <w:sz w:val="24"/>
          <w:szCs w:val="24"/>
        </w:rPr>
        <w:t>/MWh)</w:t>
      </w:r>
      <w:r w:rsidR="00130EDE" w:rsidRPr="00DB7156">
        <w:rPr>
          <w:rFonts w:ascii="Arial" w:hAnsi="Arial" w:cs="Arial"/>
          <w:sz w:val="24"/>
          <w:szCs w:val="24"/>
        </w:rPr>
        <w:t>. EPA’s standard for new coal units requires the implementation of partial carbon capture and sequestration</w:t>
      </w:r>
      <w:r w:rsidR="003D442B">
        <w:rPr>
          <w:rFonts w:ascii="Arial" w:hAnsi="Arial" w:cs="Arial"/>
          <w:sz w:val="24"/>
          <w:szCs w:val="24"/>
        </w:rPr>
        <w:t xml:space="preserve"> (CCS)</w:t>
      </w:r>
      <w:r w:rsidR="00130EDE" w:rsidRPr="00DB7156">
        <w:rPr>
          <w:rFonts w:ascii="Arial" w:hAnsi="Arial" w:cs="Arial"/>
          <w:sz w:val="24"/>
          <w:szCs w:val="24"/>
        </w:rPr>
        <w:t>.</w:t>
      </w:r>
      <w:r w:rsidR="009458BA" w:rsidRPr="00DB7156">
        <w:rPr>
          <w:rFonts w:ascii="Arial" w:hAnsi="Arial" w:cs="Arial"/>
          <w:sz w:val="24"/>
          <w:szCs w:val="24"/>
        </w:rPr>
        <w:t xml:space="preserve"> </w:t>
      </w:r>
    </w:p>
    <w:p w14:paraId="6137D5E4" w14:textId="77777777" w:rsidR="00E56FAF" w:rsidRPr="00DB7156" w:rsidRDefault="00E56FAF" w:rsidP="00DB7156">
      <w:pPr>
        <w:autoSpaceDE w:val="0"/>
        <w:autoSpaceDN w:val="0"/>
        <w:adjustRightInd w:val="0"/>
        <w:spacing w:after="0" w:line="240" w:lineRule="auto"/>
        <w:jc w:val="both"/>
        <w:rPr>
          <w:rFonts w:ascii="Arial" w:hAnsi="Arial" w:cs="Arial"/>
          <w:sz w:val="24"/>
          <w:szCs w:val="24"/>
        </w:rPr>
      </w:pPr>
    </w:p>
    <w:p w14:paraId="56B61766" w14:textId="7ED3F648" w:rsidR="00BF4C89" w:rsidRPr="00DB7156" w:rsidRDefault="00321D60"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Also,</w:t>
      </w:r>
      <w:r w:rsidR="00BF4C89" w:rsidRPr="00DB7156">
        <w:rPr>
          <w:rFonts w:ascii="Arial" w:hAnsi="Arial" w:cs="Arial"/>
          <w:sz w:val="24"/>
          <w:szCs w:val="24"/>
        </w:rPr>
        <w:t xml:space="preserve"> on October 23, 2015, EPA’s final guidelines for CO</w:t>
      </w:r>
      <w:r w:rsidR="00BF4C89" w:rsidRPr="00DB7156">
        <w:rPr>
          <w:rFonts w:ascii="Arial" w:hAnsi="Arial" w:cs="Arial"/>
          <w:sz w:val="24"/>
          <w:szCs w:val="24"/>
          <w:vertAlign w:val="subscript"/>
        </w:rPr>
        <w:t>2</w:t>
      </w:r>
      <w:r w:rsidR="00BF4C89" w:rsidRPr="00DB7156">
        <w:rPr>
          <w:rFonts w:ascii="Arial" w:hAnsi="Arial" w:cs="Arial"/>
          <w:sz w:val="24"/>
          <w:szCs w:val="24"/>
        </w:rPr>
        <w:t xml:space="preserve"> emissions from existing sources under 111(d) of the CAA were published in the Federal Register. </w:t>
      </w:r>
      <w:r w:rsidR="00021AF8" w:rsidRPr="00DB7156">
        <w:rPr>
          <w:rFonts w:ascii="Arial" w:hAnsi="Arial" w:cs="Arial"/>
          <w:sz w:val="24"/>
          <w:szCs w:val="24"/>
        </w:rPr>
        <w:t>EPA</w:t>
      </w:r>
      <w:r w:rsidR="00873A3F" w:rsidRPr="00DB7156">
        <w:rPr>
          <w:rFonts w:ascii="Arial" w:hAnsi="Arial" w:cs="Arial"/>
          <w:sz w:val="24"/>
          <w:szCs w:val="24"/>
        </w:rPr>
        <w:t>’s</w:t>
      </w:r>
      <w:r w:rsidR="00021AF8" w:rsidRPr="00DB7156">
        <w:rPr>
          <w:rFonts w:ascii="Arial" w:hAnsi="Arial" w:cs="Arial"/>
          <w:sz w:val="24"/>
          <w:szCs w:val="24"/>
        </w:rPr>
        <w:t xml:space="preserve"> final</w:t>
      </w:r>
      <w:r w:rsidR="00130EDE" w:rsidRPr="00DB7156">
        <w:rPr>
          <w:rFonts w:ascii="Arial" w:hAnsi="Arial" w:cs="Arial"/>
          <w:sz w:val="24"/>
          <w:szCs w:val="24"/>
        </w:rPr>
        <w:t xml:space="preserve"> </w:t>
      </w:r>
      <w:r w:rsidR="00021AF8" w:rsidRPr="00DB7156">
        <w:rPr>
          <w:rFonts w:ascii="Arial" w:hAnsi="Arial" w:cs="Arial"/>
          <w:sz w:val="24"/>
          <w:szCs w:val="24"/>
        </w:rPr>
        <w:t xml:space="preserve">emission guidelines </w:t>
      </w:r>
      <w:r w:rsidR="00130EDE" w:rsidRPr="00DB7156">
        <w:rPr>
          <w:rFonts w:ascii="Arial" w:hAnsi="Arial" w:cs="Arial"/>
          <w:sz w:val="24"/>
          <w:szCs w:val="24"/>
        </w:rPr>
        <w:t>for existing sources</w:t>
      </w:r>
      <w:r w:rsidR="00E47F1C" w:rsidRPr="00DB7156">
        <w:rPr>
          <w:rFonts w:ascii="Arial" w:hAnsi="Arial" w:cs="Arial"/>
          <w:sz w:val="24"/>
          <w:szCs w:val="24"/>
        </w:rPr>
        <w:t>, known as the Clean Power Plan</w:t>
      </w:r>
      <w:r w:rsidR="009577B4" w:rsidRPr="00DB7156">
        <w:rPr>
          <w:rFonts w:ascii="Arial" w:hAnsi="Arial" w:cs="Arial"/>
          <w:sz w:val="24"/>
          <w:szCs w:val="24"/>
        </w:rPr>
        <w:t xml:space="preserve"> (CPP)</w:t>
      </w:r>
      <w:r w:rsidR="00E47F1C" w:rsidRPr="00DB7156">
        <w:rPr>
          <w:rFonts w:ascii="Arial" w:hAnsi="Arial" w:cs="Arial"/>
          <w:sz w:val="24"/>
          <w:szCs w:val="24"/>
        </w:rPr>
        <w:t>,</w:t>
      </w:r>
      <w:r w:rsidR="00130EDE" w:rsidRPr="00DB7156">
        <w:rPr>
          <w:rFonts w:ascii="Arial" w:hAnsi="Arial" w:cs="Arial"/>
          <w:sz w:val="24"/>
          <w:szCs w:val="24"/>
        </w:rPr>
        <w:t xml:space="preserve"> </w:t>
      </w:r>
      <w:r w:rsidR="00873A3F" w:rsidRPr="00DB7156">
        <w:rPr>
          <w:rFonts w:ascii="Arial" w:hAnsi="Arial" w:cs="Arial"/>
          <w:sz w:val="24"/>
          <w:szCs w:val="24"/>
        </w:rPr>
        <w:t>established</w:t>
      </w:r>
      <w:r w:rsidR="00021AF8" w:rsidRPr="00DB7156">
        <w:rPr>
          <w:rFonts w:ascii="Arial" w:hAnsi="Arial" w:cs="Arial"/>
          <w:sz w:val="24"/>
          <w:szCs w:val="24"/>
        </w:rPr>
        <w:t xml:space="preserve"> binding national performance rates for two sub-categories: (1) fossil steam and </w:t>
      </w:r>
      <w:r w:rsidR="00385118" w:rsidRPr="00DB7156">
        <w:rPr>
          <w:rFonts w:ascii="Arial" w:hAnsi="Arial" w:cs="Arial"/>
          <w:sz w:val="24"/>
          <w:szCs w:val="24"/>
        </w:rPr>
        <w:t>Integrated Gasification Combined Cycle (</w:t>
      </w:r>
      <w:r w:rsidR="0015298C">
        <w:rPr>
          <w:rFonts w:ascii="Arial" w:hAnsi="Arial" w:cs="Arial"/>
          <w:sz w:val="24"/>
          <w:szCs w:val="24"/>
        </w:rPr>
        <w:t>“</w:t>
      </w:r>
      <w:r w:rsidR="00021AF8" w:rsidRPr="00DB7156">
        <w:rPr>
          <w:rFonts w:ascii="Arial" w:hAnsi="Arial" w:cs="Arial"/>
          <w:sz w:val="24"/>
          <w:szCs w:val="24"/>
        </w:rPr>
        <w:t>IGCC</w:t>
      </w:r>
      <w:r w:rsidR="0015298C">
        <w:rPr>
          <w:rFonts w:ascii="Arial" w:hAnsi="Arial" w:cs="Arial"/>
          <w:sz w:val="24"/>
          <w:szCs w:val="24"/>
        </w:rPr>
        <w:t>”</w:t>
      </w:r>
      <w:r w:rsidR="00385118" w:rsidRPr="00DB7156">
        <w:rPr>
          <w:rFonts w:ascii="Arial" w:hAnsi="Arial" w:cs="Arial"/>
          <w:sz w:val="24"/>
          <w:szCs w:val="24"/>
        </w:rPr>
        <w:t xml:space="preserve">) </w:t>
      </w:r>
      <w:r w:rsidR="00021AF8" w:rsidRPr="00DB7156">
        <w:rPr>
          <w:rFonts w:ascii="Arial" w:hAnsi="Arial" w:cs="Arial"/>
          <w:sz w:val="24"/>
          <w:szCs w:val="24"/>
        </w:rPr>
        <w:t xml:space="preserve">units and (2) </w:t>
      </w:r>
      <w:r w:rsidR="00385118" w:rsidRPr="00DB7156">
        <w:rPr>
          <w:rFonts w:ascii="Arial" w:hAnsi="Arial" w:cs="Arial"/>
          <w:sz w:val="24"/>
          <w:szCs w:val="24"/>
        </w:rPr>
        <w:t>Natural Gas Combined Cycle (</w:t>
      </w:r>
      <w:r w:rsidR="0015298C">
        <w:rPr>
          <w:rFonts w:ascii="Arial" w:hAnsi="Arial" w:cs="Arial"/>
          <w:sz w:val="24"/>
          <w:szCs w:val="24"/>
        </w:rPr>
        <w:t>“</w:t>
      </w:r>
      <w:r w:rsidR="00021AF8" w:rsidRPr="00DB7156">
        <w:rPr>
          <w:rFonts w:ascii="Arial" w:hAnsi="Arial" w:cs="Arial"/>
          <w:sz w:val="24"/>
          <w:szCs w:val="24"/>
        </w:rPr>
        <w:t>NGCC</w:t>
      </w:r>
      <w:r w:rsidR="0015298C">
        <w:rPr>
          <w:rFonts w:ascii="Arial" w:hAnsi="Arial" w:cs="Arial"/>
          <w:sz w:val="24"/>
          <w:szCs w:val="24"/>
        </w:rPr>
        <w:t>”</w:t>
      </w:r>
      <w:r w:rsidR="00385118" w:rsidRPr="00DB7156">
        <w:rPr>
          <w:rFonts w:ascii="Arial" w:hAnsi="Arial" w:cs="Arial"/>
          <w:sz w:val="24"/>
          <w:szCs w:val="24"/>
        </w:rPr>
        <w:t>)</w:t>
      </w:r>
      <w:r w:rsidR="00021AF8" w:rsidRPr="00DB7156">
        <w:rPr>
          <w:rFonts w:ascii="Arial" w:hAnsi="Arial" w:cs="Arial"/>
          <w:sz w:val="24"/>
          <w:szCs w:val="24"/>
        </w:rPr>
        <w:t xml:space="preserve"> units. </w:t>
      </w:r>
      <w:r w:rsidR="00085C6F" w:rsidRPr="00DB7156">
        <w:rPr>
          <w:rFonts w:ascii="Arial" w:hAnsi="Arial" w:cs="Arial"/>
          <w:sz w:val="24"/>
          <w:szCs w:val="24"/>
        </w:rPr>
        <w:t xml:space="preserve">EPA also finalized alternative </w:t>
      </w:r>
      <w:r w:rsidR="00385118" w:rsidRPr="00DB7156">
        <w:rPr>
          <w:rFonts w:ascii="Arial" w:hAnsi="Arial" w:cs="Arial"/>
          <w:sz w:val="24"/>
          <w:szCs w:val="24"/>
        </w:rPr>
        <w:t>s</w:t>
      </w:r>
      <w:r w:rsidR="00021AF8" w:rsidRPr="00DB7156">
        <w:rPr>
          <w:rFonts w:ascii="Arial" w:hAnsi="Arial" w:cs="Arial"/>
          <w:sz w:val="24"/>
          <w:szCs w:val="24"/>
        </w:rPr>
        <w:t>tate-specific rate- and mass-based goals</w:t>
      </w:r>
      <w:r w:rsidR="002C2C80" w:rsidRPr="00DB7156">
        <w:rPr>
          <w:rFonts w:ascii="Arial" w:hAnsi="Arial" w:cs="Arial"/>
          <w:sz w:val="24"/>
          <w:szCs w:val="24"/>
        </w:rPr>
        <w:t xml:space="preserve"> with an </w:t>
      </w:r>
      <w:r w:rsidR="00021AF8" w:rsidRPr="00DB7156">
        <w:rPr>
          <w:rFonts w:ascii="Arial" w:hAnsi="Arial" w:cs="Arial"/>
          <w:sz w:val="24"/>
          <w:szCs w:val="24"/>
        </w:rPr>
        <w:t xml:space="preserve">interim compliance period </w:t>
      </w:r>
      <w:r w:rsidR="002C2C80" w:rsidRPr="00DB7156">
        <w:rPr>
          <w:rFonts w:ascii="Arial" w:hAnsi="Arial" w:cs="Arial"/>
          <w:sz w:val="24"/>
          <w:szCs w:val="24"/>
        </w:rPr>
        <w:t xml:space="preserve">of </w:t>
      </w:r>
      <w:r w:rsidR="00021AF8" w:rsidRPr="00DB7156">
        <w:rPr>
          <w:rFonts w:ascii="Arial" w:hAnsi="Arial" w:cs="Arial"/>
          <w:sz w:val="24"/>
          <w:szCs w:val="24"/>
        </w:rPr>
        <w:t xml:space="preserve">2022 – 2029 and </w:t>
      </w:r>
      <w:r w:rsidR="002C2C80" w:rsidRPr="00DB7156">
        <w:rPr>
          <w:rFonts w:ascii="Arial" w:hAnsi="Arial" w:cs="Arial"/>
          <w:sz w:val="24"/>
          <w:szCs w:val="24"/>
        </w:rPr>
        <w:t xml:space="preserve">a </w:t>
      </w:r>
      <w:r w:rsidR="00021AF8" w:rsidRPr="00DB7156">
        <w:rPr>
          <w:rFonts w:ascii="Arial" w:hAnsi="Arial" w:cs="Arial"/>
          <w:sz w:val="24"/>
          <w:szCs w:val="24"/>
        </w:rPr>
        <w:t>final compliance</w:t>
      </w:r>
      <w:r w:rsidR="002C2C80" w:rsidRPr="00DB7156">
        <w:rPr>
          <w:rFonts w:ascii="Arial" w:hAnsi="Arial" w:cs="Arial"/>
          <w:sz w:val="24"/>
          <w:szCs w:val="24"/>
        </w:rPr>
        <w:t xml:space="preserve"> date of</w:t>
      </w:r>
      <w:r w:rsidR="00021AF8" w:rsidRPr="00DB7156">
        <w:rPr>
          <w:rFonts w:ascii="Arial" w:hAnsi="Arial" w:cs="Arial"/>
          <w:sz w:val="24"/>
          <w:szCs w:val="24"/>
        </w:rPr>
        <w:t xml:space="preserve"> 2030.  EPA’s performance rates and alternative </w:t>
      </w:r>
      <w:r w:rsidR="001D2566" w:rsidRPr="00DB7156">
        <w:rPr>
          <w:rFonts w:ascii="Arial" w:hAnsi="Arial" w:cs="Arial"/>
          <w:sz w:val="24"/>
          <w:szCs w:val="24"/>
        </w:rPr>
        <w:t>s</w:t>
      </w:r>
      <w:r w:rsidR="00021AF8" w:rsidRPr="00DB7156">
        <w:rPr>
          <w:rFonts w:ascii="Arial" w:hAnsi="Arial" w:cs="Arial"/>
          <w:sz w:val="24"/>
          <w:szCs w:val="24"/>
        </w:rPr>
        <w:t xml:space="preserve">tate goals </w:t>
      </w:r>
      <w:r w:rsidR="009577B4" w:rsidRPr="00DB7156">
        <w:rPr>
          <w:rFonts w:ascii="Arial" w:hAnsi="Arial" w:cs="Arial"/>
          <w:sz w:val="24"/>
          <w:szCs w:val="24"/>
        </w:rPr>
        <w:t>were</w:t>
      </w:r>
      <w:r w:rsidR="00021AF8" w:rsidRPr="00DB7156">
        <w:rPr>
          <w:rFonts w:ascii="Arial" w:hAnsi="Arial" w:cs="Arial"/>
          <w:sz w:val="24"/>
          <w:szCs w:val="24"/>
        </w:rPr>
        <w:t xml:space="preserve"> based on three “building blocks”</w:t>
      </w:r>
      <w:r w:rsidR="0067730E" w:rsidRPr="00DB7156">
        <w:rPr>
          <w:rFonts w:ascii="Arial" w:hAnsi="Arial" w:cs="Arial"/>
          <w:sz w:val="24"/>
          <w:szCs w:val="24"/>
        </w:rPr>
        <w:t>: (</w:t>
      </w:r>
      <w:r w:rsidR="00385118" w:rsidRPr="00DB7156">
        <w:rPr>
          <w:rFonts w:ascii="Arial" w:hAnsi="Arial" w:cs="Arial"/>
          <w:sz w:val="24"/>
          <w:szCs w:val="24"/>
        </w:rPr>
        <w:t xml:space="preserve">1) </w:t>
      </w:r>
      <w:r w:rsidR="00021AF8" w:rsidRPr="00DB7156">
        <w:rPr>
          <w:rFonts w:ascii="Arial" w:hAnsi="Arial" w:cs="Arial"/>
          <w:sz w:val="24"/>
          <w:szCs w:val="24"/>
        </w:rPr>
        <w:t xml:space="preserve">coal unit heat rate improvements; </w:t>
      </w:r>
      <w:r w:rsidR="00385118" w:rsidRPr="00DB7156">
        <w:rPr>
          <w:rFonts w:ascii="Arial" w:hAnsi="Arial" w:cs="Arial"/>
          <w:sz w:val="24"/>
          <w:szCs w:val="24"/>
        </w:rPr>
        <w:t xml:space="preserve">(2) </w:t>
      </w:r>
      <w:r w:rsidR="00021AF8" w:rsidRPr="00DB7156">
        <w:rPr>
          <w:rFonts w:ascii="Arial" w:hAnsi="Arial" w:cs="Arial"/>
          <w:sz w:val="24"/>
          <w:szCs w:val="24"/>
        </w:rPr>
        <w:t>operating NGCCs at higher capacity factors</w:t>
      </w:r>
      <w:r w:rsidR="00BF4C89" w:rsidRPr="00DB7156">
        <w:rPr>
          <w:rFonts w:ascii="Arial" w:hAnsi="Arial" w:cs="Arial"/>
          <w:sz w:val="24"/>
          <w:szCs w:val="24"/>
        </w:rPr>
        <w:t xml:space="preserve"> to displace generation from coal-fired units</w:t>
      </w:r>
      <w:r w:rsidR="00021AF8" w:rsidRPr="00DB7156">
        <w:rPr>
          <w:rFonts w:ascii="Arial" w:hAnsi="Arial" w:cs="Arial"/>
          <w:sz w:val="24"/>
          <w:szCs w:val="24"/>
        </w:rPr>
        <w:t>; and</w:t>
      </w:r>
      <w:r w:rsidR="00385118" w:rsidRPr="00DB7156">
        <w:rPr>
          <w:rFonts w:ascii="Arial" w:hAnsi="Arial" w:cs="Arial"/>
          <w:sz w:val="24"/>
          <w:szCs w:val="24"/>
        </w:rPr>
        <w:t xml:space="preserve"> (3)</w:t>
      </w:r>
      <w:r w:rsidR="00021AF8" w:rsidRPr="00DB7156">
        <w:rPr>
          <w:rFonts w:ascii="Arial" w:hAnsi="Arial" w:cs="Arial"/>
          <w:sz w:val="24"/>
          <w:szCs w:val="24"/>
        </w:rPr>
        <w:t xml:space="preserve"> increasing renewable energy</w:t>
      </w:r>
      <w:r w:rsidR="00BF4C89" w:rsidRPr="00DB7156">
        <w:rPr>
          <w:rFonts w:ascii="Arial" w:hAnsi="Arial" w:cs="Arial"/>
          <w:sz w:val="24"/>
          <w:szCs w:val="24"/>
        </w:rPr>
        <w:t xml:space="preserve"> generation</w:t>
      </w:r>
      <w:r w:rsidR="009577B4" w:rsidRPr="00DB7156">
        <w:rPr>
          <w:rFonts w:ascii="Arial" w:hAnsi="Arial" w:cs="Arial"/>
          <w:sz w:val="24"/>
          <w:szCs w:val="24"/>
        </w:rPr>
        <w:t xml:space="preserve"> to</w:t>
      </w:r>
      <w:r w:rsidR="00BF4C89" w:rsidRPr="00DB7156">
        <w:rPr>
          <w:rFonts w:ascii="Arial" w:hAnsi="Arial" w:cs="Arial"/>
          <w:sz w:val="24"/>
          <w:szCs w:val="24"/>
        </w:rPr>
        <w:t xml:space="preserve"> displac</w:t>
      </w:r>
      <w:r w:rsidR="009577B4" w:rsidRPr="00DB7156">
        <w:rPr>
          <w:rFonts w:ascii="Arial" w:hAnsi="Arial" w:cs="Arial"/>
          <w:sz w:val="24"/>
          <w:szCs w:val="24"/>
        </w:rPr>
        <w:t>e</w:t>
      </w:r>
      <w:r w:rsidR="00BF4C89" w:rsidRPr="00DB7156">
        <w:rPr>
          <w:rFonts w:ascii="Arial" w:hAnsi="Arial" w:cs="Arial"/>
          <w:sz w:val="24"/>
          <w:szCs w:val="24"/>
        </w:rPr>
        <w:t xml:space="preserve"> generation from </w:t>
      </w:r>
      <w:r w:rsidR="009577B4" w:rsidRPr="00DB7156">
        <w:rPr>
          <w:rFonts w:ascii="Arial" w:hAnsi="Arial" w:cs="Arial"/>
          <w:sz w:val="24"/>
          <w:szCs w:val="24"/>
        </w:rPr>
        <w:t>fossil</w:t>
      </w:r>
      <w:r w:rsidR="00BF4C89" w:rsidRPr="00DB7156">
        <w:rPr>
          <w:rFonts w:ascii="Arial" w:hAnsi="Arial" w:cs="Arial"/>
          <w:sz w:val="24"/>
          <w:szCs w:val="24"/>
        </w:rPr>
        <w:t>-fired units</w:t>
      </w:r>
      <w:r w:rsidR="00021AF8" w:rsidRPr="00DB7156">
        <w:rPr>
          <w:rFonts w:ascii="Arial" w:hAnsi="Arial" w:cs="Arial"/>
          <w:sz w:val="24"/>
          <w:szCs w:val="24"/>
        </w:rPr>
        <w:t xml:space="preserve">. </w:t>
      </w:r>
      <w:r w:rsidR="00C00DE0">
        <w:rPr>
          <w:rFonts w:ascii="Arial" w:hAnsi="Arial" w:cs="Arial"/>
          <w:sz w:val="24"/>
          <w:szCs w:val="24"/>
        </w:rPr>
        <w:t>In accordance with</w:t>
      </w:r>
      <w:r w:rsidR="00C00DE0" w:rsidRPr="00DB7156">
        <w:rPr>
          <w:rFonts w:ascii="Arial" w:hAnsi="Arial" w:cs="Arial"/>
          <w:sz w:val="24"/>
          <w:szCs w:val="24"/>
        </w:rPr>
        <w:t xml:space="preserve"> </w:t>
      </w:r>
      <w:r w:rsidR="00021AF8" w:rsidRPr="00DB7156">
        <w:rPr>
          <w:rFonts w:ascii="Arial" w:hAnsi="Arial" w:cs="Arial"/>
          <w:sz w:val="24"/>
          <w:szCs w:val="24"/>
        </w:rPr>
        <w:t xml:space="preserve">EPA’s </w:t>
      </w:r>
      <w:r w:rsidR="00130EDE" w:rsidRPr="00DB7156">
        <w:rPr>
          <w:rFonts w:ascii="Arial" w:hAnsi="Arial" w:cs="Arial"/>
          <w:sz w:val="24"/>
          <w:szCs w:val="24"/>
        </w:rPr>
        <w:t xml:space="preserve">emission </w:t>
      </w:r>
      <w:r w:rsidR="00021AF8" w:rsidRPr="00DB7156">
        <w:rPr>
          <w:rFonts w:ascii="Arial" w:hAnsi="Arial" w:cs="Arial"/>
          <w:sz w:val="24"/>
          <w:szCs w:val="24"/>
        </w:rPr>
        <w:t xml:space="preserve">guidelines, State Plans, which consider EPA’s guidelines, </w:t>
      </w:r>
      <w:r w:rsidR="003141C6" w:rsidRPr="00DB7156">
        <w:rPr>
          <w:rFonts w:ascii="Arial" w:hAnsi="Arial" w:cs="Arial"/>
          <w:sz w:val="24"/>
          <w:szCs w:val="24"/>
        </w:rPr>
        <w:t xml:space="preserve">were </w:t>
      </w:r>
      <w:r w:rsidR="00021AF8" w:rsidRPr="00DB7156">
        <w:rPr>
          <w:rFonts w:ascii="Arial" w:hAnsi="Arial" w:cs="Arial"/>
          <w:sz w:val="24"/>
          <w:szCs w:val="24"/>
        </w:rPr>
        <w:t>due</w:t>
      </w:r>
      <w:r w:rsidR="00085C6F" w:rsidRPr="00DB7156">
        <w:rPr>
          <w:rFonts w:ascii="Arial" w:hAnsi="Arial" w:cs="Arial"/>
          <w:sz w:val="24"/>
          <w:szCs w:val="24"/>
        </w:rPr>
        <w:t xml:space="preserve"> to EPA </w:t>
      </w:r>
      <w:r w:rsidR="00130EDE" w:rsidRPr="00DB7156">
        <w:rPr>
          <w:rFonts w:ascii="Arial" w:hAnsi="Arial" w:cs="Arial"/>
          <w:sz w:val="24"/>
          <w:szCs w:val="24"/>
        </w:rPr>
        <w:t xml:space="preserve">by </w:t>
      </w:r>
      <w:r w:rsidR="00085C6F" w:rsidRPr="00DB7156">
        <w:rPr>
          <w:rFonts w:ascii="Arial" w:hAnsi="Arial" w:cs="Arial"/>
          <w:sz w:val="24"/>
          <w:szCs w:val="24"/>
        </w:rPr>
        <w:t>September 2016 with a 2-</w:t>
      </w:r>
      <w:r w:rsidR="00021AF8" w:rsidRPr="00DB7156">
        <w:rPr>
          <w:rFonts w:ascii="Arial" w:hAnsi="Arial" w:cs="Arial"/>
          <w:sz w:val="24"/>
          <w:szCs w:val="24"/>
        </w:rPr>
        <w:t xml:space="preserve">year extension possible. </w:t>
      </w:r>
      <w:r w:rsidR="00006FBB" w:rsidRPr="00DB7156">
        <w:rPr>
          <w:rFonts w:ascii="Arial" w:hAnsi="Arial" w:cs="Arial"/>
          <w:sz w:val="24"/>
          <w:szCs w:val="24"/>
        </w:rPr>
        <w:t xml:space="preserve"> </w:t>
      </w:r>
    </w:p>
    <w:p w14:paraId="29504E03" w14:textId="66401F18" w:rsidR="006B29CC" w:rsidRPr="00DB7156" w:rsidRDefault="006B29CC" w:rsidP="00DB7156">
      <w:pPr>
        <w:autoSpaceDE w:val="0"/>
        <w:autoSpaceDN w:val="0"/>
        <w:adjustRightInd w:val="0"/>
        <w:spacing w:after="0" w:line="240" w:lineRule="auto"/>
        <w:jc w:val="both"/>
        <w:rPr>
          <w:rFonts w:ascii="Arial" w:hAnsi="Arial" w:cs="Arial"/>
          <w:sz w:val="24"/>
          <w:szCs w:val="24"/>
        </w:rPr>
      </w:pPr>
    </w:p>
    <w:p w14:paraId="1E390A56" w14:textId="03D3F414" w:rsidR="009571DF" w:rsidRPr="00DB7156" w:rsidRDefault="009571DF"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Lastly, on October 23, 2015, EPA’s proposed Federal Plan requirements, Model Trading Rules, and amendments to the 111(d) implementing regulations were published in the Federal Register. These proposals provided the framework for a Federal Plan that would be issued to states that did not submit a </w:t>
      </w:r>
      <w:r w:rsidR="009577B4" w:rsidRPr="00DB7156">
        <w:rPr>
          <w:rFonts w:ascii="Arial" w:hAnsi="Arial" w:cs="Arial"/>
          <w:sz w:val="24"/>
          <w:szCs w:val="24"/>
        </w:rPr>
        <w:t xml:space="preserve">satisfactory </w:t>
      </w:r>
      <w:r w:rsidRPr="00DB7156">
        <w:rPr>
          <w:rFonts w:ascii="Arial" w:hAnsi="Arial" w:cs="Arial"/>
          <w:sz w:val="24"/>
          <w:szCs w:val="24"/>
        </w:rPr>
        <w:t xml:space="preserve">State Plan to EPA.  </w:t>
      </w:r>
    </w:p>
    <w:p w14:paraId="6479AD10" w14:textId="77777777" w:rsidR="009571DF" w:rsidRPr="00DB7156" w:rsidRDefault="009571DF" w:rsidP="00DB7156">
      <w:pPr>
        <w:autoSpaceDE w:val="0"/>
        <w:autoSpaceDN w:val="0"/>
        <w:adjustRightInd w:val="0"/>
        <w:spacing w:after="0" w:line="240" w:lineRule="auto"/>
        <w:jc w:val="both"/>
        <w:rPr>
          <w:rFonts w:ascii="Arial" w:hAnsi="Arial" w:cs="Arial"/>
          <w:sz w:val="24"/>
          <w:szCs w:val="24"/>
        </w:rPr>
      </w:pPr>
    </w:p>
    <w:p w14:paraId="68DDB547" w14:textId="187BC908" w:rsidR="00AE04EE" w:rsidRPr="00DB7156" w:rsidRDefault="006B29CC" w:rsidP="00DB7156">
      <w:pPr>
        <w:spacing w:after="0" w:line="240" w:lineRule="auto"/>
        <w:jc w:val="both"/>
        <w:rPr>
          <w:rFonts w:ascii="Arial" w:hAnsi="Arial" w:cs="Arial"/>
          <w:sz w:val="24"/>
          <w:szCs w:val="24"/>
        </w:rPr>
      </w:pPr>
      <w:r w:rsidRPr="00DB7156">
        <w:rPr>
          <w:rFonts w:ascii="Arial" w:hAnsi="Arial" w:cs="Arial"/>
          <w:sz w:val="24"/>
          <w:szCs w:val="24"/>
        </w:rPr>
        <w:t xml:space="preserve">Both the final new source standards and the </w:t>
      </w:r>
      <w:r w:rsidR="00E47F1C" w:rsidRPr="00DB7156">
        <w:rPr>
          <w:rFonts w:ascii="Arial" w:hAnsi="Arial" w:cs="Arial"/>
          <w:sz w:val="24"/>
          <w:szCs w:val="24"/>
        </w:rPr>
        <w:t>CPP</w:t>
      </w:r>
      <w:r w:rsidRPr="00DB7156">
        <w:rPr>
          <w:rFonts w:ascii="Arial" w:hAnsi="Arial" w:cs="Arial"/>
          <w:sz w:val="24"/>
          <w:szCs w:val="24"/>
        </w:rPr>
        <w:t xml:space="preserve"> </w:t>
      </w:r>
      <w:r w:rsidR="009577B4" w:rsidRPr="00DB7156">
        <w:rPr>
          <w:rFonts w:ascii="Arial" w:hAnsi="Arial" w:cs="Arial"/>
          <w:sz w:val="24"/>
          <w:szCs w:val="24"/>
        </w:rPr>
        <w:t>were</w:t>
      </w:r>
      <w:r w:rsidRPr="00DB7156">
        <w:rPr>
          <w:rFonts w:ascii="Arial" w:hAnsi="Arial" w:cs="Arial"/>
          <w:sz w:val="24"/>
          <w:szCs w:val="24"/>
        </w:rPr>
        <w:t xml:space="preserve"> subject to numerous petitions for review filed in the U.S. Court of Appeals for the D.C. Circuit by states, industry and trade associations, and individual companies, including Georgia Power and the other Southern</w:t>
      </w:r>
      <w:r w:rsidR="008F4E5D" w:rsidRPr="00DB7156">
        <w:rPr>
          <w:rFonts w:ascii="Arial" w:hAnsi="Arial" w:cs="Arial"/>
          <w:sz w:val="24"/>
          <w:szCs w:val="24"/>
        </w:rPr>
        <w:t xml:space="preserve"> Company</w:t>
      </w:r>
      <w:r w:rsidRPr="00DB7156">
        <w:rPr>
          <w:rFonts w:ascii="Arial" w:hAnsi="Arial" w:cs="Arial"/>
          <w:sz w:val="24"/>
          <w:szCs w:val="24"/>
        </w:rPr>
        <w:t xml:space="preserve"> operating companies. Petitioners challenging the final </w:t>
      </w:r>
      <w:r w:rsidR="00E47F1C" w:rsidRPr="00DB7156">
        <w:rPr>
          <w:rFonts w:ascii="Arial" w:hAnsi="Arial" w:cs="Arial"/>
          <w:sz w:val="24"/>
          <w:szCs w:val="24"/>
        </w:rPr>
        <w:t>CPP</w:t>
      </w:r>
      <w:r w:rsidRPr="00DB7156">
        <w:rPr>
          <w:rFonts w:ascii="Arial" w:hAnsi="Arial" w:cs="Arial"/>
          <w:sz w:val="24"/>
          <w:szCs w:val="24"/>
        </w:rPr>
        <w:t xml:space="preserve"> filed motions for stay of the final rule pendin</w:t>
      </w:r>
      <w:r w:rsidR="002662E4" w:rsidRPr="00DB7156">
        <w:rPr>
          <w:rFonts w:ascii="Arial" w:hAnsi="Arial" w:cs="Arial"/>
          <w:sz w:val="24"/>
          <w:szCs w:val="24"/>
        </w:rPr>
        <w:t xml:space="preserve">g resolution of the litigation. </w:t>
      </w:r>
      <w:r w:rsidR="005029D4">
        <w:rPr>
          <w:rFonts w:ascii="Arial" w:hAnsi="Arial" w:cs="Arial"/>
          <w:sz w:val="24"/>
          <w:szCs w:val="24"/>
        </w:rPr>
        <w:t>I</w:t>
      </w:r>
      <w:r w:rsidR="002662E4" w:rsidRPr="00DB7156">
        <w:rPr>
          <w:rFonts w:ascii="Arial" w:hAnsi="Arial" w:cs="Arial"/>
          <w:sz w:val="24"/>
          <w:szCs w:val="24"/>
        </w:rPr>
        <w:t xml:space="preserve">n January 2016, </w:t>
      </w:r>
      <w:r w:rsidR="002B2C16" w:rsidRPr="00DB7156">
        <w:rPr>
          <w:rFonts w:ascii="Arial" w:hAnsi="Arial" w:cs="Arial"/>
          <w:sz w:val="24"/>
          <w:szCs w:val="24"/>
        </w:rPr>
        <w:t>t</w:t>
      </w:r>
      <w:r w:rsidR="002662E4" w:rsidRPr="00DB7156">
        <w:rPr>
          <w:rFonts w:ascii="Arial" w:hAnsi="Arial" w:cs="Arial"/>
          <w:sz w:val="24"/>
          <w:szCs w:val="24"/>
        </w:rPr>
        <w:t xml:space="preserve">he D.C. Circuit Court denied petitioners’ requests to stay the rule, but granted an expedited schedule for hearing the case. Following this decision, in late January, Georgia </w:t>
      </w:r>
      <w:r w:rsidR="002B2C16" w:rsidRPr="00DB7156">
        <w:rPr>
          <w:rFonts w:ascii="Arial" w:hAnsi="Arial" w:cs="Arial"/>
          <w:sz w:val="24"/>
          <w:szCs w:val="24"/>
        </w:rPr>
        <w:t>P</w:t>
      </w:r>
      <w:r w:rsidR="002662E4" w:rsidRPr="00DB7156">
        <w:rPr>
          <w:rFonts w:ascii="Arial" w:hAnsi="Arial" w:cs="Arial"/>
          <w:sz w:val="24"/>
          <w:szCs w:val="24"/>
        </w:rPr>
        <w:t xml:space="preserve">ower joined states and other industry petitioners in asking the </w:t>
      </w:r>
      <w:r w:rsidR="0088573B">
        <w:rPr>
          <w:rFonts w:ascii="Arial" w:hAnsi="Arial" w:cs="Arial"/>
          <w:sz w:val="24"/>
        </w:rPr>
        <w:t xml:space="preserve">U.S. </w:t>
      </w:r>
      <w:r w:rsidR="002662E4" w:rsidRPr="00DB7156">
        <w:rPr>
          <w:rFonts w:ascii="Arial" w:hAnsi="Arial" w:cs="Arial"/>
          <w:sz w:val="24"/>
          <w:szCs w:val="24"/>
        </w:rPr>
        <w:t>Supreme Court to stay the rule pending resolution of the litigation.</w:t>
      </w:r>
      <w:r w:rsidR="003141C6" w:rsidRPr="00DB7156">
        <w:rPr>
          <w:rFonts w:ascii="Arial" w:hAnsi="Arial" w:cs="Arial"/>
          <w:sz w:val="24"/>
          <w:szCs w:val="24"/>
        </w:rPr>
        <w:t xml:space="preserve"> </w:t>
      </w:r>
      <w:r w:rsidR="005029D4">
        <w:rPr>
          <w:rFonts w:ascii="Arial" w:hAnsi="Arial" w:cs="Arial"/>
          <w:sz w:val="24"/>
          <w:szCs w:val="24"/>
        </w:rPr>
        <w:t>I</w:t>
      </w:r>
      <w:r w:rsidR="003141C6" w:rsidRPr="00DB7156">
        <w:rPr>
          <w:rFonts w:ascii="Arial" w:hAnsi="Arial" w:cs="Arial"/>
          <w:sz w:val="24"/>
          <w:szCs w:val="24"/>
        </w:rPr>
        <w:t xml:space="preserve">n February 2016, the </w:t>
      </w:r>
      <w:r w:rsidR="0088573B">
        <w:rPr>
          <w:rFonts w:ascii="Arial" w:hAnsi="Arial" w:cs="Arial"/>
          <w:sz w:val="24"/>
        </w:rPr>
        <w:t xml:space="preserve">U.S. </w:t>
      </w:r>
      <w:r w:rsidR="003141C6" w:rsidRPr="00DB7156">
        <w:rPr>
          <w:rFonts w:ascii="Arial" w:hAnsi="Arial" w:cs="Arial"/>
          <w:sz w:val="24"/>
          <w:szCs w:val="24"/>
        </w:rPr>
        <w:t>Supreme Court granted the</w:t>
      </w:r>
      <w:r w:rsidR="00880BE4" w:rsidRPr="00DB7156">
        <w:rPr>
          <w:rFonts w:ascii="Arial" w:hAnsi="Arial" w:cs="Arial"/>
          <w:sz w:val="24"/>
          <w:szCs w:val="24"/>
        </w:rPr>
        <w:t xml:space="preserve"> emergency</w:t>
      </w:r>
      <w:r w:rsidR="003141C6" w:rsidRPr="00DB7156">
        <w:rPr>
          <w:rFonts w:ascii="Arial" w:hAnsi="Arial" w:cs="Arial"/>
          <w:sz w:val="24"/>
          <w:szCs w:val="24"/>
        </w:rPr>
        <w:t xml:space="preserve"> stay m</w:t>
      </w:r>
      <w:r w:rsidR="00880BE4" w:rsidRPr="00DB7156">
        <w:rPr>
          <w:rFonts w:ascii="Arial" w:hAnsi="Arial" w:cs="Arial"/>
          <w:sz w:val="24"/>
          <w:szCs w:val="24"/>
        </w:rPr>
        <w:t>otion.</w:t>
      </w:r>
      <w:r w:rsidR="00AE04EE" w:rsidRPr="00DB7156">
        <w:rPr>
          <w:rFonts w:ascii="Arial" w:hAnsi="Arial" w:cs="Arial"/>
          <w:sz w:val="24"/>
          <w:szCs w:val="24"/>
        </w:rPr>
        <w:t xml:space="preserve"> As a result of the stay, many states, including Georgia, </w:t>
      </w:r>
      <w:r w:rsidR="006B4D18">
        <w:rPr>
          <w:rFonts w:ascii="Arial" w:eastAsia="Calibri" w:hAnsi="Arial" w:cs="Arial"/>
          <w:sz w:val="24"/>
          <w:szCs w:val="20"/>
        </w:rPr>
        <w:t>ceased</w:t>
      </w:r>
      <w:r w:rsidR="00AE04EE" w:rsidRPr="00DB7156">
        <w:rPr>
          <w:rFonts w:ascii="Arial" w:eastAsia="Calibri" w:hAnsi="Arial" w:cs="Arial"/>
          <w:sz w:val="24"/>
          <w:szCs w:val="20"/>
        </w:rPr>
        <w:t xml:space="preserve"> working on a </w:t>
      </w:r>
      <w:r w:rsidR="006B4D18">
        <w:rPr>
          <w:rFonts w:ascii="Arial" w:eastAsia="Calibri" w:hAnsi="Arial" w:cs="Arial"/>
          <w:sz w:val="24"/>
          <w:szCs w:val="20"/>
        </w:rPr>
        <w:t>S</w:t>
      </w:r>
      <w:r w:rsidR="00AE04EE" w:rsidRPr="00DB7156">
        <w:rPr>
          <w:rFonts w:ascii="Arial" w:eastAsia="Calibri" w:hAnsi="Arial" w:cs="Arial"/>
          <w:sz w:val="24"/>
          <w:szCs w:val="20"/>
        </w:rPr>
        <w:t xml:space="preserve">tate </w:t>
      </w:r>
      <w:r w:rsidR="006B4D18">
        <w:rPr>
          <w:rFonts w:ascii="Arial" w:eastAsia="Calibri" w:hAnsi="Arial" w:cs="Arial"/>
          <w:sz w:val="24"/>
          <w:szCs w:val="20"/>
        </w:rPr>
        <w:t>P</w:t>
      </w:r>
      <w:r w:rsidR="00AE04EE" w:rsidRPr="00DB7156">
        <w:rPr>
          <w:rFonts w:ascii="Arial" w:eastAsia="Calibri" w:hAnsi="Arial" w:cs="Arial"/>
          <w:sz w:val="24"/>
          <w:szCs w:val="20"/>
        </w:rPr>
        <w:t xml:space="preserve">lan until the legality of the rule is resolved. </w:t>
      </w:r>
      <w:r w:rsidR="00E47F1C" w:rsidRPr="00DB7156">
        <w:rPr>
          <w:rFonts w:ascii="Arial" w:hAnsi="Arial" w:cs="Arial"/>
          <w:sz w:val="24"/>
          <w:szCs w:val="24"/>
        </w:rPr>
        <w:t xml:space="preserve">The petitions for review of the CPP were fully briefed and argued in 2016. </w:t>
      </w:r>
      <w:r w:rsidR="00691147" w:rsidRPr="00DB7156">
        <w:rPr>
          <w:rFonts w:ascii="Arial" w:hAnsi="Arial" w:cs="Arial"/>
          <w:sz w:val="24"/>
          <w:szCs w:val="24"/>
        </w:rPr>
        <w:t>The legal challenges to the Section 111(b) new source rules have also been fully briefed and were scheduled for oral argument, however, that case is also being held in abeyance pending EPA review of the rule.</w:t>
      </w:r>
    </w:p>
    <w:p w14:paraId="045D34E4" w14:textId="77777777" w:rsidR="00AE04EE" w:rsidRPr="00DB7156" w:rsidRDefault="00AE04EE" w:rsidP="00DB7156">
      <w:pPr>
        <w:spacing w:after="0" w:line="240" w:lineRule="auto"/>
        <w:jc w:val="both"/>
        <w:rPr>
          <w:rFonts w:ascii="Arial" w:hAnsi="Arial" w:cs="Arial"/>
          <w:sz w:val="24"/>
          <w:szCs w:val="24"/>
        </w:rPr>
      </w:pPr>
    </w:p>
    <w:p w14:paraId="6029F8A7" w14:textId="58B97385" w:rsidR="00620DC1" w:rsidRPr="00DB7156" w:rsidRDefault="00EA10DA" w:rsidP="00DB7156">
      <w:pPr>
        <w:spacing w:after="0" w:line="240" w:lineRule="auto"/>
        <w:jc w:val="both"/>
        <w:rPr>
          <w:rFonts w:ascii="Arial" w:hAnsi="Arial" w:cs="Arial"/>
          <w:sz w:val="24"/>
          <w:szCs w:val="24"/>
        </w:rPr>
      </w:pPr>
      <w:r w:rsidRPr="00DB7156">
        <w:rPr>
          <w:rFonts w:ascii="Arial" w:hAnsi="Arial" w:cs="Arial"/>
          <w:sz w:val="24"/>
          <w:szCs w:val="24"/>
        </w:rPr>
        <w:t>I</w:t>
      </w:r>
      <w:r w:rsidR="00E47F1C" w:rsidRPr="00DB7156">
        <w:rPr>
          <w:rFonts w:ascii="Arial" w:hAnsi="Arial" w:cs="Arial"/>
          <w:sz w:val="24"/>
          <w:szCs w:val="24"/>
        </w:rPr>
        <w:t xml:space="preserve">n </w:t>
      </w:r>
      <w:r w:rsidRPr="00DB7156">
        <w:rPr>
          <w:rFonts w:ascii="Arial" w:hAnsi="Arial" w:cs="Arial"/>
          <w:sz w:val="24"/>
          <w:szCs w:val="24"/>
        </w:rPr>
        <w:t xml:space="preserve">light of EO 13783, on April 4, 2017, EPA announced its intent to review the CPP and the 111(b) new source standards. Pending </w:t>
      </w:r>
      <w:r w:rsidR="0067730E" w:rsidRPr="00DB7156">
        <w:rPr>
          <w:rFonts w:ascii="Arial" w:hAnsi="Arial" w:cs="Arial"/>
          <w:sz w:val="24"/>
          <w:szCs w:val="24"/>
        </w:rPr>
        <w:t>its</w:t>
      </w:r>
      <w:r w:rsidRPr="00DB7156">
        <w:rPr>
          <w:rFonts w:ascii="Arial" w:hAnsi="Arial" w:cs="Arial"/>
          <w:sz w:val="24"/>
          <w:szCs w:val="24"/>
        </w:rPr>
        <w:t xml:space="preserve"> review of the final CPP</w:t>
      </w:r>
      <w:r w:rsidR="006B2782" w:rsidRPr="00DB7156">
        <w:rPr>
          <w:rFonts w:ascii="Arial" w:hAnsi="Arial" w:cs="Arial"/>
          <w:sz w:val="24"/>
          <w:szCs w:val="24"/>
        </w:rPr>
        <w:t xml:space="preserve"> and 111(b) new source standards</w:t>
      </w:r>
      <w:r w:rsidRPr="00DB7156">
        <w:rPr>
          <w:rFonts w:ascii="Arial" w:hAnsi="Arial" w:cs="Arial"/>
          <w:sz w:val="24"/>
          <w:szCs w:val="24"/>
        </w:rPr>
        <w:t xml:space="preserve">, EPA requested that the D.C. Circuit Court </w:t>
      </w:r>
      <w:r w:rsidR="00E47F1C" w:rsidRPr="00DB7156">
        <w:rPr>
          <w:rFonts w:ascii="Arial" w:hAnsi="Arial" w:cs="Arial"/>
          <w:sz w:val="24"/>
          <w:szCs w:val="24"/>
        </w:rPr>
        <w:t>hold the case</w:t>
      </w:r>
      <w:r w:rsidR="006B2782" w:rsidRPr="00DB7156">
        <w:rPr>
          <w:rFonts w:ascii="Arial" w:hAnsi="Arial" w:cs="Arial"/>
          <w:sz w:val="24"/>
          <w:szCs w:val="24"/>
        </w:rPr>
        <w:t>s</w:t>
      </w:r>
      <w:r w:rsidR="00E47F1C" w:rsidRPr="00DB7156">
        <w:rPr>
          <w:rFonts w:ascii="Arial" w:hAnsi="Arial" w:cs="Arial"/>
          <w:sz w:val="24"/>
          <w:szCs w:val="24"/>
        </w:rPr>
        <w:t xml:space="preserve"> in abeyance</w:t>
      </w:r>
      <w:r w:rsidR="006B2782" w:rsidRPr="00DB7156">
        <w:rPr>
          <w:rFonts w:ascii="Arial" w:hAnsi="Arial" w:cs="Arial"/>
          <w:sz w:val="24"/>
          <w:szCs w:val="24"/>
        </w:rPr>
        <w:t>.  T</w:t>
      </w:r>
      <w:r w:rsidRPr="00DB7156">
        <w:rPr>
          <w:rFonts w:ascii="Arial" w:hAnsi="Arial" w:cs="Arial"/>
          <w:sz w:val="24"/>
          <w:szCs w:val="24"/>
        </w:rPr>
        <w:t>he court granted EPA’s request</w:t>
      </w:r>
      <w:r w:rsidR="00E47F1C" w:rsidRPr="00DB7156">
        <w:rPr>
          <w:rFonts w:ascii="Arial" w:hAnsi="Arial" w:cs="Arial"/>
          <w:sz w:val="24"/>
          <w:szCs w:val="24"/>
        </w:rPr>
        <w:t>.</w:t>
      </w:r>
      <w:r w:rsidRPr="00DB7156">
        <w:rPr>
          <w:rFonts w:ascii="Arial" w:hAnsi="Arial" w:cs="Arial"/>
          <w:sz w:val="24"/>
          <w:szCs w:val="24"/>
        </w:rPr>
        <w:t xml:space="preserve">  </w:t>
      </w:r>
    </w:p>
    <w:p w14:paraId="63524E27" w14:textId="77777777" w:rsidR="00620DC1" w:rsidRPr="00DB7156" w:rsidRDefault="00620DC1" w:rsidP="00DB7156">
      <w:pPr>
        <w:spacing w:after="0" w:line="240" w:lineRule="auto"/>
        <w:jc w:val="both"/>
        <w:rPr>
          <w:rFonts w:ascii="Arial" w:hAnsi="Arial" w:cs="Arial"/>
          <w:sz w:val="24"/>
          <w:szCs w:val="24"/>
        </w:rPr>
      </w:pPr>
    </w:p>
    <w:p w14:paraId="46E3AB45" w14:textId="5D91918D" w:rsidR="008818AA" w:rsidRPr="00DB7156" w:rsidRDefault="00D6600D" w:rsidP="00DB7156">
      <w:pPr>
        <w:spacing w:after="0" w:line="240" w:lineRule="auto"/>
        <w:jc w:val="both"/>
        <w:rPr>
          <w:rFonts w:ascii="Arial" w:hAnsi="Arial" w:cs="Arial"/>
          <w:sz w:val="24"/>
          <w:szCs w:val="24"/>
        </w:rPr>
      </w:pPr>
      <w:r w:rsidRPr="00DB7156">
        <w:rPr>
          <w:rFonts w:ascii="Arial" w:hAnsi="Arial" w:cs="Arial"/>
          <w:sz w:val="24"/>
          <w:szCs w:val="24"/>
        </w:rPr>
        <w:t>I</w:t>
      </w:r>
      <w:r w:rsidR="00620DC1" w:rsidRPr="00DB7156">
        <w:rPr>
          <w:rFonts w:ascii="Arial" w:hAnsi="Arial" w:cs="Arial"/>
          <w:sz w:val="24"/>
          <w:szCs w:val="24"/>
        </w:rPr>
        <w:t xml:space="preserve">n </w:t>
      </w:r>
      <w:r w:rsidR="00057883" w:rsidRPr="00DB7156">
        <w:rPr>
          <w:rFonts w:ascii="Arial" w:hAnsi="Arial" w:cs="Arial"/>
          <w:sz w:val="24"/>
          <w:szCs w:val="24"/>
        </w:rPr>
        <w:t>October</w:t>
      </w:r>
      <w:r w:rsidR="00620DC1" w:rsidRPr="00DB7156">
        <w:rPr>
          <w:rFonts w:ascii="Arial" w:hAnsi="Arial" w:cs="Arial"/>
          <w:sz w:val="24"/>
          <w:szCs w:val="24"/>
        </w:rPr>
        <w:t xml:space="preserve"> 2017, EPA proposed </w:t>
      </w:r>
      <w:r w:rsidRPr="00DB7156">
        <w:rPr>
          <w:rFonts w:ascii="Arial" w:hAnsi="Arial" w:cs="Arial"/>
          <w:sz w:val="24"/>
          <w:szCs w:val="24"/>
        </w:rPr>
        <w:t xml:space="preserve">to </w:t>
      </w:r>
      <w:r w:rsidR="00057883" w:rsidRPr="00DB7156">
        <w:rPr>
          <w:rFonts w:ascii="Arial" w:hAnsi="Arial" w:cs="Arial"/>
          <w:sz w:val="24"/>
          <w:szCs w:val="24"/>
        </w:rPr>
        <w:t xml:space="preserve">repeal the CPP. </w:t>
      </w:r>
      <w:r w:rsidR="00C03F37" w:rsidRPr="00DB7156">
        <w:rPr>
          <w:rFonts w:ascii="Arial" w:hAnsi="Arial" w:cs="Arial"/>
          <w:sz w:val="24"/>
          <w:szCs w:val="24"/>
        </w:rPr>
        <w:t xml:space="preserve">The proposal states that EPA has reconsidered its interpretation underlying the CPP </w:t>
      </w:r>
      <w:r w:rsidR="008818AA" w:rsidRPr="00DB7156">
        <w:rPr>
          <w:rFonts w:ascii="Arial" w:hAnsi="Arial" w:cs="Arial"/>
          <w:sz w:val="24"/>
          <w:szCs w:val="24"/>
        </w:rPr>
        <w:t>and is proposing to interpret the statute to mean that the rule can only consider technological or operational measures that can be applied to or at a single source</w:t>
      </w:r>
      <w:r w:rsidR="0013431E" w:rsidRPr="00DB7156">
        <w:rPr>
          <w:rFonts w:ascii="Arial" w:hAnsi="Arial" w:cs="Arial"/>
          <w:sz w:val="24"/>
          <w:szCs w:val="24"/>
        </w:rPr>
        <w:t xml:space="preserve"> to reduce emissions</w:t>
      </w:r>
      <w:r w:rsidR="008818AA" w:rsidRPr="00DB7156">
        <w:rPr>
          <w:rFonts w:ascii="Arial" w:hAnsi="Arial" w:cs="Arial"/>
          <w:sz w:val="24"/>
          <w:szCs w:val="24"/>
        </w:rPr>
        <w:t>. As such, the proposal states that the CPP should be r</w:t>
      </w:r>
      <w:r w:rsidR="00C03F37" w:rsidRPr="00DB7156">
        <w:rPr>
          <w:rFonts w:ascii="Arial" w:hAnsi="Arial" w:cs="Arial"/>
          <w:sz w:val="24"/>
          <w:szCs w:val="24"/>
        </w:rPr>
        <w:t>epealed because it exceeds EPA’s authority and the bounds of the CAA</w:t>
      </w:r>
      <w:r w:rsidR="008818AA" w:rsidRPr="00DB7156">
        <w:rPr>
          <w:rFonts w:ascii="Arial" w:hAnsi="Arial" w:cs="Arial"/>
          <w:sz w:val="24"/>
          <w:szCs w:val="24"/>
        </w:rPr>
        <w:t xml:space="preserve">.  </w:t>
      </w:r>
    </w:p>
    <w:p w14:paraId="4AEBA4E0" w14:textId="6F8D75F5" w:rsidR="008818AA" w:rsidRPr="00DB7156" w:rsidRDefault="008818AA" w:rsidP="00DB7156">
      <w:pPr>
        <w:spacing w:after="0" w:line="240" w:lineRule="auto"/>
        <w:jc w:val="both"/>
        <w:rPr>
          <w:rFonts w:ascii="Arial" w:hAnsi="Arial" w:cs="Arial"/>
          <w:sz w:val="24"/>
          <w:szCs w:val="24"/>
        </w:rPr>
      </w:pPr>
    </w:p>
    <w:p w14:paraId="219AA0CE" w14:textId="5878EA38" w:rsidR="00EA10DA" w:rsidRPr="00DB7156" w:rsidRDefault="00A864D7"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In August 2018, EPA proposed the Affordable Clean Energy (</w:t>
      </w:r>
      <w:r w:rsidR="006B4D18">
        <w:rPr>
          <w:rFonts w:ascii="Arial" w:hAnsi="Arial" w:cs="Arial"/>
          <w:sz w:val="24"/>
          <w:szCs w:val="24"/>
        </w:rPr>
        <w:t>“</w:t>
      </w:r>
      <w:r w:rsidRPr="00DB7156">
        <w:rPr>
          <w:rFonts w:ascii="Arial" w:hAnsi="Arial" w:cs="Arial"/>
          <w:sz w:val="24"/>
          <w:szCs w:val="24"/>
        </w:rPr>
        <w:t>ACE</w:t>
      </w:r>
      <w:r w:rsidR="006B4D18">
        <w:rPr>
          <w:rFonts w:ascii="Arial" w:hAnsi="Arial" w:cs="Arial"/>
          <w:sz w:val="24"/>
          <w:szCs w:val="24"/>
        </w:rPr>
        <w:t>”</w:t>
      </w:r>
      <w:r w:rsidRPr="00DB7156">
        <w:rPr>
          <w:rFonts w:ascii="Arial" w:hAnsi="Arial" w:cs="Arial"/>
          <w:sz w:val="24"/>
          <w:szCs w:val="24"/>
        </w:rPr>
        <w:t xml:space="preserve">) </w:t>
      </w:r>
      <w:r w:rsidR="00800812">
        <w:rPr>
          <w:rFonts w:ascii="Arial" w:hAnsi="Arial" w:cs="Arial"/>
          <w:sz w:val="24"/>
          <w:szCs w:val="24"/>
        </w:rPr>
        <w:t>R</w:t>
      </w:r>
      <w:r w:rsidRPr="00DB7156">
        <w:rPr>
          <w:rFonts w:ascii="Arial" w:hAnsi="Arial" w:cs="Arial"/>
          <w:sz w:val="24"/>
          <w:szCs w:val="24"/>
        </w:rPr>
        <w:t xml:space="preserve">ule to replace the CPP. ACE contains three main </w:t>
      </w:r>
      <w:r w:rsidR="00691147" w:rsidRPr="00DB7156">
        <w:rPr>
          <w:rFonts w:ascii="Arial" w:hAnsi="Arial" w:cs="Arial"/>
          <w:sz w:val="24"/>
          <w:szCs w:val="24"/>
        </w:rPr>
        <w:t>components</w:t>
      </w:r>
      <w:r w:rsidRPr="00DB7156">
        <w:rPr>
          <w:rFonts w:ascii="Arial" w:hAnsi="Arial" w:cs="Arial"/>
          <w:sz w:val="24"/>
          <w:szCs w:val="24"/>
        </w:rPr>
        <w:t xml:space="preserve">. First, </w:t>
      </w:r>
      <w:r w:rsidR="00691147" w:rsidRPr="00DB7156">
        <w:rPr>
          <w:rFonts w:ascii="Arial" w:hAnsi="Arial" w:cs="Arial"/>
          <w:sz w:val="24"/>
          <w:szCs w:val="24"/>
        </w:rPr>
        <w:t>EPA</w:t>
      </w:r>
      <w:r w:rsidRPr="00DB7156">
        <w:rPr>
          <w:rFonts w:ascii="Arial" w:hAnsi="Arial" w:cs="Arial"/>
          <w:sz w:val="24"/>
          <w:szCs w:val="24"/>
        </w:rPr>
        <w:t xml:space="preserve"> proposes emission guidelines for states to develop plans to address </w:t>
      </w:r>
      <w:r w:rsidR="006B4D18">
        <w:rPr>
          <w:rFonts w:ascii="Arial" w:hAnsi="Arial" w:cs="Arial"/>
          <w:sz w:val="24"/>
          <w:szCs w:val="24"/>
        </w:rPr>
        <w:t>GHG</w:t>
      </w:r>
      <w:r w:rsidRPr="00DB7156">
        <w:rPr>
          <w:rFonts w:ascii="Arial" w:hAnsi="Arial" w:cs="Arial"/>
          <w:sz w:val="24"/>
          <w:szCs w:val="24"/>
        </w:rPr>
        <w:t xml:space="preserve"> emissions from existing fossil-fired steam power plants. Second, </w:t>
      </w:r>
      <w:r w:rsidR="00691147" w:rsidRPr="00DB7156">
        <w:rPr>
          <w:rFonts w:ascii="Arial" w:hAnsi="Arial" w:cs="Arial"/>
          <w:sz w:val="24"/>
          <w:szCs w:val="24"/>
        </w:rPr>
        <w:t>EPA</w:t>
      </w:r>
      <w:r w:rsidRPr="00DB7156">
        <w:rPr>
          <w:rFonts w:ascii="Arial" w:eastAsia="Calibri" w:hAnsi="Arial" w:cs="Arial"/>
          <w:sz w:val="24"/>
          <w:szCs w:val="24"/>
        </w:rPr>
        <w:t xml:space="preserve"> propos</w:t>
      </w:r>
      <w:r w:rsidR="00801E06" w:rsidRPr="00DB7156">
        <w:rPr>
          <w:rFonts w:ascii="Arial" w:eastAsia="Calibri" w:hAnsi="Arial" w:cs="Arial"/>
          <w:sz w:val="24"/>
          <w:szCs w:val="24"/>
        </w:rPr>
        <w:t>es</w:t>
      </w:r>
      <w:r w:rsidRPr="00DB7156">
        <w:rPr>
          <w:rFonts w:ascii="Arial" w:eastAsia="Calibri" w:hAnsi="Arial" w:cs="Arial"/>
          <w:sz w:val="24"/>
          <w:szCs w:val="24"/>
        </w:rPr>
        <w:t xml:space="preserve"> new regulations that provide direction to both EPA and the states on the implementation of emission guidelines. The new proposed implementing regulations would apply to ACE and any future emission guideline</w:t>
      </w:r>
      <w:r w:rsidR="00801E06" w:rsidRPr="00DB7156">
        <w:rPr>
          <w:rFonts w:ascii="Arial" w:eastAsia="Calibri" w:hAnsi="Arial" w:cs="Arial"/>
          <w:sz w:val="24"/>
          <w:szCs w:val="24"/>
        </w:rPr>
        <w:t>s</w:t>
      </w:r>
      <w:r w:rsidRPr="00DB7156">
        <w:rPr>
          <w:rFonts w:ascii="Arial" w:eastAsia="Calibri" w:hAnsi="Arial" w:cs="Arial"/>
          <w:sz w:val="24"/>
          <w:szCs w:val="24"/>
        </w:rPr>
        <w:t xml:space="preserve"> issued under section 111(d) of the CAA. Third, </w:t>
      </w:r>
      <w:r w:rsidRPr="00DB7156">
        <w:rPr>
          <w:rFonts w:ascii="Arial" w:hAnsi="Arial" w:cs="Arial"/>
          <w:sz w:val="24"/>
          <w:szCs w:val="24"/>
        </w:rPr>
        <w:t xml:space="preserve">EPA is proposing </w:t>
      </w:r>
      <w:r w:rsidR="0039267C" w:rsidRPr="00DB7156">
        <w:rPr>
          <w:rFonts w:ascii="Arial" w:hAnsi="Arial" w:cs="Arial"/>
          <w:sz w:val="24"/>
          <w:szCs w:val="24"/>
        </w:rPr>
        <w:t>an additional</w:t>
      </w:r>
      <w:r w:rsidRPr="00DB7156">
        <w:rPr>
          <w:rFonts w:ascii="Arial" w:hAnsi="Arial" w:cs="Arial"/>
          <w:sz w:val="24"/>
          <w:szCs w:val="24"/>
        </w:rPr>
        <w:t xml:space="preserve"> applicability test for determining whether a physical or operational change made to an electric generating unit may be a “major modification” tr</w:t>
      </w:r>
      <w:r w:rsidR="0015298C">
        <w:rPr>
          <w:rFonts w:ascii="Arial" w:hAnsi="Arial" w:cs="Arial"/>
          <w:sz w:val="24"/>
          <w:szCs w:val="24"/>
        </w:rPr>
        <w:t>iggering NSR</w:t>
      </w:r>
      <w:r w:rsidRPr="00DB7156">
        <w:rPr>
          <w:rFonts w:ascii="Arial" w:hAnsi="Arial" w:cs="Arial"/>
          <w:sz w:val="24"/>
          <w:szCs w:val="24"/>
        </w:rPr>
        <w:t>. Specifically, EPA proposed revisions to the NSR permitting program to give states the option to adopt an hourly emissions increase test for such projects</w:t>
      </w:r>
      <w:r w:rsidR="0039267C" w:rsidRPr="00DB7156">
        <w:rPr>
          <w:rFonts w:ascii="Arial" w:hAnsi="Arial" w:cs="Arial"/>
          <w:sz w:val="24"/>
          <w:szCs w:val="24"/>
        </w:rPr>
        <w:t xml:space="preserve"> as an additional step in the determination of NSR applicability</w:t>
      </w:r>
      <w:r w:rsidRPr="00DB7156">
        <w:rPr>
          <w:rFonts w:ascii="Arial" w:hAnsi="Arial" w:cs="Arial"/>
          <w:sz w:val="24"/>
          <w:szCs w:val="24"/>
        </w:rPr>
        <w:t>.</w:t>
      </w:r>
      <w:r w:rsidR="00900201" w:rsidRPr="00DB7156">
        <w:rPr>
          <w:rFonts w:ascii="Arial" w:hAnsi="Arial" w:cs="Arial"/>
          <w:sz w:val="24"/>
          <w:szCs w:val="24"/>
        </w:rPr>
        <w:t xml:space="preserve"> Southern Company submitted comments on the proposal.</w:t>
      </w:r>
      <w:r w:rsidR="006B4D18" w:rsidRPr="006B4D18">
        <w:rPr>
          <w:rFonts w:ascii="Arial" w:hAnsi="Arial" w:cs="Arial"/>
          <w:sz w:val="24"/>
          <w:szCs w:val="24"/>
        </w:rPr>
        <w:t xml:space="preserve"> </w:t>
      </w:r>
      <w:r w:rsidR="006B4D18">
        <w:rPr>
          <w:rFonts w:ascii="Arial" w:hAnsi="Arial" w:cs="Arial"/>
          <w:sz w:val="24"/>
          <w:szCs w:val="24"/>
        </w:rPr>
        <w:t>According to status reports filed by EPA with the D.C. Circuit</w:t>
      </w:r>
      <w:r w:rsidR="003652A6">
        <w:rPr>
          <w:rFonts w:ascii="Arial" w:hAnsi="Arial" w:cs="Arial"/>
          <w:sz w:val="24"/>
          <w:szCs w:val="24"/>
        </w:rPr>
        <w:t xml:space="preserve"> Court</w:t>
      </w:r>
      <w:r w:rsidR="006B4D18">
        <w:rPr>
          <w:rFonts w:ascii="Arial" w:hAnsi="Arial" w:cs="Arial"/>
          <w:sz w:val="24"/>
          <w:szCs w:val="24"/>
        </w:rPr>
        <w:t>, EPA plans to finalize this CPP replacement rule in the first part of 2019.</w:t>
      </w:r>
    </w:p>
    <w:p w14:paraId="30F9A84B" w14:textId="700C243E" w:rsidR="00035B6C" w:rsidRPr="00DB7156" w:rsidRDefault="00035B6C" w:rsidP="00DB7156">
      <w:pPr>
        <w:autoSpaceDE w:val="0"/>
        <w:autoSpaceDN w:val="0"/>
        <w:adjustRightInd w:val="0"/>
        <w:spacing w:after="0" w:line="240" w:lineRule="auto"/>
        <w:jc w:val="both"/>
        <w:rPr>
          <w:rFonts w:ascii="Arial" w:hAnsi="Arial" w:cs="Arial"/>
          <w:sz w:val="24"/>
          <w:szCs w:val="24"/>
        </w:rPr>
      </w:pPr>
    </w:p>
    <w:p w14:paraId="2DE2C145" w14:textId="5A137DE1" w:rsidR="00035B6C" w:rsidRPr="00DB7156" w:rsidRDefault="00446CFD" w:rsidP="00DB715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In December 2018, EPA proposed revisions to the final 2015 NSPS for new, modified and reconstructed sources under Section 111(b) of the CAA. The proposal would revise the basis for the standards for new coal-fired units from partial </w:t>
      </w:r>
      <w:r w:rsidR="003B1E06">
        <w:rPr>
          <w:rFonts w:ascii="Arial" w:hAnsi="Arial" w:cs="Arial"/>
          <w:sz w:val="24"/>
          <w:szCs w:val="24"/>
        </w:rPr>
        <w:t>CCS</w:t>
      </w:r>
      <w:r>
        <w:rPr>
          <w:rFonts w:ascii="Arial" w:hAnsi="Arial" w:cs="Arial"/>
          <w:sz w:val="24"/>
          <w:szCs w:val="24"/>
        </w:rPr>
        <w:t xml:space="preserve"> to supercritical design and would increase the standard from 1,400 lbs</w:t>
      </w:r>
      <w:r w:rsidR="000A75AC" w:rsidRPr="000A75AC">
        <w:rPr>
          <w:rFonts w:ascii="Arial" w:hAnsi="Arial" w:cs="Arial"/>
          <w:sz w:val="24"/>
          <w:szCs w:val="24"/>
        </w:rPr>
        <w:t xml:space="preserve"> </w:t>
      </w:r>
      <w:r w:rsidR="000A75AC">
        <w:rPr>
          <w:rFonts w:ascii="Arial" w:hAnsi="Arial" w:cs="Arial"/>
          <w:sz w:val="24"/>
          <w:szCs w:val="24"/>
        </w:rPr>
        <w:t>CO</w:t>
      </w:r>
      <w:r w:rsidR="000A75AC" w:rsidRPr="003B1E06">
        <w:rPr>
          <w:rFonts w:ascii="Arial" w:hAnsi="Arial" w:cs="Arial"/>
          <w:sz w:val="24"/>
          <w:szCs w:val="24"/>
          <w:vertAlign w:val="subscript"/>
        </w:rPr>
        <w:t>2</w:t>
      </w:r>
      <w:r>
        <w:rPr>
          <w:rFonts w:ascii="Arial" w:hAnsi="Arial" w:cs="Arial"/>
          <w:sz w:val="24"/>
          <w:szCs w:val="24"/>
        </w:rPr>
        <w:t>/ MWh to 1,900 lbs</w:t>
      </w:r>
      <w:r w:rsidR="008974AF" w:rsidRPr="008974AF">
        <w:rPr>
          <w:rFonts w:ascii="Arial" w:hAnsi="Arial" w:cs="Arial"/>
          <w:sz w:val="24"/>
          <w:szCs w:val="24"/>
        </w:rPr>
        <w:t xml:space="preserve"> </w:t>
      </w:r>
      <w:r w:rsidR="008974AF">
        <w:rPr>
          <w:rFonts w:ascii="Arial" w:hAnsi="Arial" w:cs="Arial"/>
          <w:sz w:val="24"/>
          <w:szCs w:val="24"/>
        </w:rPr>
        <w:t>CO</w:t>
      </w:r>
      <w:r w:rsidR="008974AF" w:rsidRPr="003B1E06">
        <w:rPr>
          <w:rFonts w:ascii="Arial" w:hAnsi="Arial" w:cs="Arial"/>
          <w:sz w:val="24"/>
          <w:szCs w:val="24"/>
          <w:vertAlign w:val="subscript"/>
        </w:rPr>
        <w:t>2</w:t>
      </w:r>
      <w:r>
        <w:rPr>
          <w:rFonts w:ascii="Arial" w:hAnsi="Arial" w:cs="Arial"/>
          <w:sz w:val="24"/>
          <w:szCs w:val="24"/>
        </w:rPr>
        <w:t>/</w:t>
      </w:r>
      <w:r w:rsidRPr="00DD3DB3">
        <w:rPr>
          <w:rFonts w:ascii="Arial" w:hAnsi="Arial" w:cs="Arial"/>
          <w:sz w:val="24"/>
          <w:szCs w:val="24"/>
        </w:rPr>
        <w:t xml:space="preserve"> </w:t>
      </w:r>
      <w:r>
        <w:rPr>
          <w:rFonts w:ascii="Arial" w:hAnsi="Arial" w:cs="Arial"/>
          <w:sz w:val="24"/>
          <w:szCs w:val="24"/>
        </w:rPr>
        <w:t>MWh. The proposal would also adjust the lower end of the possible range for standards applicable to modified and reconstructed coal-fired units to conform to the proposed new source standards. EPA did not propose revisions to the standards for natural gas-fired units. The proposal provides that these revisions to the new source standards will take effect for new units that commence construction, modificat</w:t>
      </w:r>
      <w:r w:rsidR="003B1E06">
        <w:rPr>
          <w:rFonts w:ascii="Arial" w:hAnsi="Arial" w:cs="Arial"/>
          <w:sz w:val="24"/>
          <w:szCs w:val="24"/>
        </w:rPr>
        <w:t xml:space="preserve">ion or reconstruction after </w:t>
      </w:r>
      <w:r>
        <w:rPr>
          <w:rFonts w:ascii="Arial" w:hAnsi="Arial" w:cs="Arial"/>
          <w:sz w:val="24"/>
          <w:szCs w:val="24"/>
        </w:rPr>
        <w:t>the proposal is published in the Federal Register</w:t>
      </w:r>
      <w:r w:rsidR="003B1E06">
        <w:rPr>
          <w:rFonts w:ascii="Arial" w:hAnsi="Arial" w:cs="Arial"/>
          <w:sz w:val="24"/>
          <w:szCs w:val="24"/>
        </w:rPr>
        <w:t>, which was December 2</w:t>
      </w:r>
      <w:r w:rsidR="00280FDC">
        <w:rPr>
          <w:rFonts w:ascii="Arial" w:hAnsi="Arial" w:cs="Arial"/>
          <w:sz w:val="24"/>
          <w:szCs w:val="24"/>
        </w:rPr>
        <w:t>0</w:t>
      </w:r>
      <w:r w:rsidR="003B1E06">
        <w:rPr>
          <w:rFonts w:ascii="Arial" w:hAnsi="Arial" w:cs="Arial"/>
          <w:sz w:val="24"/>
          <w:szCs w:val="24"/>
        </w:rPr>
        <w:t>, 2018.</w:t>
      </w:r>
    </w:p>
    <w:p w14:paraId="3C9F9736" w14:textId="790A0163" w:rsidR="00006FBB" w:rsidRPr="00DB7156" w:rsidRDefault="00CB353C"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 xml:space="preserve">At this time, uncertainty </w:t>
      </w:r>
      <w:r w:rsidR="00B15C54" w:rsidRPr="00DB7156">
        <w:rPr>
          <w:rFonts w:ascii="Arial" w:hAnsi="Arial" w:cs="Arial"/>
          <w:sz w:val="24"/>
          <w:szCs w:val="24"/>
        </w:rPr>
        <w:t xml:space="preserve">remains </w:t>
      </w:r>
      <w:r w:rsidRPr="00DB7156">
        <w:rPr>
          <w:rFonts w:ascii="Arial" w:hAnsi="Arial" w:cs="Arial"/>
          <w:sz w:val="24"/>
          <w:szCs w:val="24"/>
        </w:rPr>
        <w:t>regarding these regulat</w:t>
      </w:r>
      <w:r w:rsidR="00B15C54" w:rsidRPr="00DB7156">
        <w:rPr>
          <w:rFonts w:ascii="Arial" w:hAnsi="Arial" w:cs="Arial"/>
          <w:sz w:val="24"/>
          <w:szCs w:val="24"/>
        </w:rPr>
        <w:t xml:space="preserve">ory </w:t>
      </w:r>
      <w:r w:rsidR="00321D60">
        <w:rPr>
          <w:rFonts w:ascii="Arial" w:hAnsi="Arial" w:cs="Arial"/>
          <w:sz w:val="24"/>
          <w:szCs w:val="24"/>
        </w:rPr>
        <w:t>activities</w:t>
      </w:r>
      <w:r w:rsidRPr="00DB7156">
        <w:rPr>
          <w:rFonts w:ascii="Arial" w:hAnsi="Arial" w:cs="Arial"/>
          <w:sz w:val="24"/>
          <w:szCs w:val="24"/>
        </w:rPr>
        <w:t xml:space="preserve"> due to both EPA and </w:t>
      </w:r>
      <w:r w:rsidR="00B15C54" w:rsidRPr="00DB7156">
        <w:rPr>
          <w:rFonts w:ascii="Arial" w:hAnsi="Arial" w:cs="Arial"/>
          <w:sz w:val="24"/>
          <w:szCs w:val="24"/>
        </w:rPr>
        <w:t>c</w:t>
      </w:r>
      <w:r w:rsidRPr="00DB7156">
        <w:rPr>
          <w:rFonts w:ascii="Arial" w:hAnsi="Arial" w:cs="Arial"/>
          <w:sz w:val="24"/>
          <w:szCs w:val="24"/>
        </w:rPr>
        <w:t>ourt activity.</w:t>
      </w:r>
      <w:r w:rsidR="00B15C54" w:rsidRPr="00DB7156">
        <w:rPr>
          <w:rFonts w:ascii="Arial" w:hAnsi="Arial" w:cs="Arial"/>
          <w:sz w:val="24"/>
          <w:szCs w:val="24"/>
        </w:rPr>
        <w:t xml:space="preserve">  Currently</w:t>
      </w:r>
      <w:r w:rsidR="00C74BFD" w:rsidRPr="00DB7156">
        <w:rPr>
          <w:rFonts w:ascii="Arial" w:hAnsi="Arial" w:cs="Arial"/>
          <w:sz w:val="24"/>
          <w:szCs w:val="24"/>
        </w:rPr>
        <w:t xml:space="preserve">, </w:t>
      </w:r>
      <w:r w:rsidRPr="00DB7156">
        <w:rPr>
          <w:rFonts w:ascii="Arial" w:hAnsi="Arial" w:cs="Arial"/>
          <w:sz w:val="24"/>
          <w:szCs w:val="24"/>
        </w:rPr>
        <w:t xml:space="preserve">the 111(b) </w:t>
      </w:r>
      <w:r w:rsidR="00B15C54" w:rsidRPr="00DB7156">
        <w:rPr>
          <w:rFonts w:ascii="Arial" w:hAnsi="Arial" w:cs="Arial"/>
          <w:sz w:val="24"/>
          <w:szCs w:val="24"/>
        </w:rPr>
        <w:t xml:space="preserve">new source standards remain effective while the </w:t>
      </w:r>
      <w:r w:rsidRPr="00DB7156">
        <w:rPr>
          <w:rFonts w:ascii="Arial" w:hAnsi="Arial" w:cs="Arial"/>
          <w:sz w:val="24"/>
          <w:szCs w:val="24"/>
        </w:rPr>
        <w:t>CPP remains stayed</w:t>
      </w:r>
      <w:r w:rsidR="00691147" w:rsidRPr="00DB7156">
        <w:rPr>
          <w:rFonts w:ascii="Arial" w:hAnsi="Arial" w:cs="Arial"/>
          <w:sz w:val="24"/>
          <w:szCs w:val="24"/>
        </w:rPr>
        <w:t xml:space="preserve">, but </w:t>
      </w:r>
      <w:r w:rsidR="002B6B6A">
        <w:rPr>
          <w:rFonts w:ascii="Arial" w:hAnsi="Arial" w:cs="Arial"/>
          <w:sz w:val="24"/>
          <w:szCs w:val="24"/>
        </w:rPr>
        <w:t>ACE, the</w:t>
      </w:r>
      <w:r w:rsidR="002B6B6A" w:rsidRPr="00DB7156">
        <w:rPr>
          <w:rFonts w:ascii="Arial" w:hAnsi="Arial" w:cs="Arial"/>
          <w:sz w:val="24"/>
          <w:szCs w:val="24"/>
        </w:rPr>
        <w:t xml:space="preserve"> </w:t>
      </w:r>
      <w:r w:rsidR="00691147" w:rsidRPr="00DB7156">
        <w:rPr>
          <w:rFonts w:ascii="Arial" w:hAnsi="Arial" w:cs="Arial"/>
          <w:sz w:val="24"/>
          <w:szCs w:val="24"/>
        </w:rPr>
        <w:t>replacement rule</w:t>
      </w:r>
      <w:r w:rsidR="002B6B6A">
        <w:rPr>
          <w:rFonts w:ascii="Arial" w:hAnsi="Arial" w:cs="Arial"/>
          <w:sz w:val="24"/>
          <w:szCs w:val="24"/>
        </w:rPr>
        <w:t>,</w:t>
      </w:r>
      <w:r w:rsidR="00691147" w:rsidRPr="00DB7156">
        <w:rPr>
          <w:rFonts w:ascii="Arial" w:hAnsi="Arial" w:cs="Arial"/>
          <w:sz w:val="24"/>
          <w:szCs w:val="24"/>
        </w:rPr>
        <w:t xml:space="preserve"> has been proposed.</w:t>
      </w:r>
    </w:p>
    <w:p w14:paraId="22BA5016" w14:textId="77777777" w:rsidR="00F0720E" w:rsidRPr="00DB7156" w:rsidRDefault="00F0720E" w:rsidP="00DB7156">
      <w:pPr>
        <w:keepNext/>
        <w:autoSpaceDE w:val="0"/>
        <w:autoSpaceDN w:val="0"/>
        <w:adjustRightInd w:val="0"/>
        <w:spacing w:after="0" w:line="240" w:lineRule="auto"/>
        <w:jc w:val="both"/>
        <w:rPr>
          <w:rFonts w:ascii="Arial" w:hAnsi="Arial" w:cs="Arial"/>
          <w:b/>
          <w:bCs/>
          <w:color w:val="000080"/>
          <w:sz w:val="24"/>
          <w:szCs w:val="24"/>
        </w:rPr>
      </w:pPr>
    </w:p>
    <w:p w14:paraId="22BA5017" w14:textId="77777777" w:rsidR="00FC67F9" w:rsidRPr="00DB7156" w:rsidRDefault="00FC67F9"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GHG Reporting Rule</w:t>
      </w:r>
    </w:p>
    <w:p w14:paraId="22BA5018" w14:textId="31BE3BC3" w:rsidR="00E2622E" w:rsidRPr="00DB7156" w:rsidRDefault="00E2622E" w:rsidP="00DB7156">
      <w:pPr>
        <w:spacing w:after="0" w:line="240" w:lineRule="auto"/>
        <w:jc w:val="both"/>
        <w:rPr>
          <w:rFonts w:ascii="Arial" w:hAnsi="Arial" w:cs="Arial"/>
          <w:sz w:val="24"/>
          <w:szCs w:val="24"/>
        </w:rPr>
      </w:pPr>
      <w:r w:rsidRPr="00DB7156">
        <w:rPr>
          <w:rFonts w:ascii="Arial" w:hAnsi="Arial" w:cs="Arial"/>
          <w:sz w:val="24"/>
          <w:szCs w:val="24"/>
        </w:rPr>
        <w:t xml:space="preserve">EPA’s mandatory GHG Reporting Rule (40 CFR Part 98) was developed as the result of legislation passed by Congress in 2008, authorizing EPA to “collect accurate and timely greenhouse gas data to inform public policy decisions.” The Rule was finalized in October 2009 and requires </w:t>
      </w:r>
      <w:r w:rsidR="00F0116E" w:rsidRPr="00DB7156">
        <w:rPr>
          <w:rFonts w:ascii="Arial" w:hAnsi="Arial" w:cs="Arial"/>
          <w:sz w:val="24"/>
          <w:szCs w:val="24"/>
        </w:rPr>
        <w:t xml:space="preserve">annual </w:t>
      </w:r>
      <w:r w:rsidRPr="00DB7156">
        <w:rPr>
          <w:rFonts w:ascii="Arial" w:hAnsi="Arial" w:cs="Arial"/>
          <w:sz w:val="24"/>
          <w:szCs w:val="24"/>
        </w:rPr>
        <w:t xml:space="preserve">reporting </w:t>
      </w:r>
      <w:r w:rsidR="00F0116E" w:rsidRPr="00DB7156">
        <w:rPr>
          <w:rFonts w:ascii="Arial" w:hAnsi="Arial" w:cs="Arial"/>
          <w:sz w:val="24"/>
          <w:szCs w:val="24"/>
        </w:rPr>
        <w:t xml:space="preserve">of </w:t>
      </w:r>
      <w:r w:rsidRPr="00DB7156">
        <w:rPr>
          <w:rFonts w:ascii="Arial" w:hAnsi="Arial" w:cs="Arial"/>
          <w:sz w:val="24"/>
          <w:szCs w:val="24"/>
        </w:rPr>
        <w:t>GHG emissions</w:t>
      </w:r>
      <w:r w:rsidR="00070FF9">
        <w:rPr>
          <w:rFonts w:ascii="Arial" w:hAnsi="Arial" w:cs="Arial"/>
          <w:sz w:val="24"/>
          <w:szCs w:val="24"/>
        </w:rPr>
        <w:t xml:space="preserve"> for CO</w:t>
      </w:r>
      <w:r w:rsidR="00070FF9" w:rsidRPr="0015298C">
        <w:rPr>
          <w:rFonts w:ascii="Arial" w:hAnsi="Arial" w:cs="Arial"/>
          <w:sz w:val="24"/>
          <w:szCs w:val="24"/>
          <w:vertAlign w:val="subscript"/>
        </w:rPr>
        <w:t>2</w:t>
      </w:r>
      <w:r w:rsidR="00070FF9">
        <w:rPr>
          <w:rFonts w:ascii="Arial" w:hAnsi="Arial" w:cs="Arial"/>
          <w:sz w:val="24"/>
          <w:szCs w:val="24"/>
        </w:rPr>
        <w:t>, methane, nitrous oxide, and most fluroitnated gases</w:t>
      </w:r>
      <w:r w:rsidRPr="00DB7156">
        <w:rPr>
          <w:rFonts w:ascii="Arial" w:hAnsi="Arial" w:cs="Arial"/>
          <w:sz w:val="24"/>
          <w:szCs w:val="24"/>
        </w:rPr>
        <w:t xml:space="preserve"> beginning with </w:t>
      </w:r>
      <w:r w:rsidR="00F0116E" w:rsidRPr="00DB7156">
        <w:rPr>
          <w:rFonts w:ascii="Arial" w:hAnsi="Arial" w:cs="Arial"/>
          <w:sz w:val="24"/>
          <w:szCs w:val="24"/>
        </w:rPr>
        <w:t xml:space="preserve">calendar year </w:t>
      </w:r>
      <w:r w:rsidRPr="00DB7156">
        <w:rPr>
          <w:rFonts w:ascii="Arial" w:hAnsi="Arial" w:cs="Arial"/>
          <w:sz w:val="24"/>
          <w:szCs w:val="24"/>
        </w:rPr>
        <w:t>2010</w:t>
      </w:r>
      <w:r w:rsidR="00F0116E" w:rsidRPr="00DB7156">
        <w:rPr>
          <w:rFonts w:ascii="Arial" w:hAnsi="Arial" w:cs="Arial"/>
          <w:sz w:val="24"/>
          <w:szCs w:val="24"/>
        </w:rPr>
        <w:t xml:space="preserve"> for CO</w:t>
      </w:r>
      <w:r w:rsidR="002F1DF0" w:rsidRPr="00DB7156">
        <w:rPr>
          <w:rFonts w:ascii="Arial" w:hAnsi="Arial" w:cs="Arial"/>
          <w:sz w:val="24"/>
          <w:szCs w:val="24"/>
          <w:vertAlign w:val="subscript"/>
        </w:rPr>
        <w:t>2</w:t>
      </w:r>
      <w:r w:rsidR="00F0116E" w:rsidRPr="00DB7156">
        <w:rPr>
          <w:rFonts w:ascii="Arial" w:hAnsi="Arial" w:cs="Arial"/>
          <w:sz w:val="24"/>
          <w:szCs w:val="24"/>
        </w:rPr>
        <w:t>, methane, nitrous oxide</w:t>
      </w:r>
      <w:r w:rsidR="00483A8E" w:rsidRPr="00DB7156">
        <w:rPr>
          <w:rFonts w:ascii="Arial" w:hAnsi="Arial" w:cs="Arial"/>
          <w:sz w:val="24"/>
          <w:szCs w:val="24"/>
        </w:rPr>
        <w:t>, and most fluorinated gases</w:t>
      </w:r>
      <w:r w:rsidRPr="00DB7156">
        <w:rPr>
          <w:rFonts w:ascii="Arial" w:hAnsi="Arial" w:cs="Arial"/>
          <w:sz w:val="24"/>
          <w:szCs w:val="24"/>
        </w:rPr>
        <w:t>.</w:t>
      </w:r>
      <w:r w:rsidR="00483A8E" w:rsidRPr="00DB7156">
        <w:rPr>
          <w:rFonts w:ascii="Arial" w:hAnsi="Arial" w:cs="Arial"/>
          <w:sz w:val="24"/>
          <w:szCs w:val="24"/>
        </w:rPr>
        <w:t xml:space="preserve"> </w:t>
      </w:r>
      <w:r w:rsidR="004D4E44" w:rsidRPr="00DB7156">
        <w:rPr>
          <w:rFonts w:ascii="Arial" w:hAnsi="Arial" w:cs="Arial"/>
          <w:color w:val="000000"/>
          <w:sz w:val="24"/>
          <w:szCs w:val="24"/>
        </w:rPr>
        <w:t>The Rule applies to facilities that</w:t>
      </w:r>
      <w:r w:rsidR="00E8654D" w:rsidRPr="00DB7156">
        <w:rPr>
          <w:rFonts w:ascii="Arial" w:hAnsi="Arial" w:cs="Arial"/>
          <w:color w:val="000000"/>
          <w:sz w:val="24"/>
          <w:szCs w:val="24"/>
        </w:rPr>
        <w:t xml:space="preserve"> e</w:t>
      </w:r>
      <w:r w:rsidR="004D4E44" w:rsidRPr="00DB7156">
        <w:rPr>
          <w:rFonts w:ascii="Arial" w:hAnsi="Arial" w:cs="Arial"/>
          <w:color w:val="000000"/>
          <w:sz w:val="24"/>
          <w:szCs w:val="24"/>
        </w:rPr>
        <w:t>mit 25,000 metric tons a year or more of CO</w:t>
      </w:r>
      <w:r w:rsidR="002F1DF0" w:rsidRPr="00DB7156">
        <w:rPr>
          <w:rFonts w:ascii="Arial" w:hAnsi="Arial" w:cs="Arial"/>
          <w:sz w:val="24"/>
          <w:szCs w:val="24"/>
          <w:vertAlign w:val="subscript"/>
        </w:rPr>
        <w:t>2</w:t>
      </w:r>
      <w:r w:rsidR="004D4E44" w:rsidRPr="00DB7156">
        <w:rPr>
          <w:rFonts w:ascii="Arial" w:hAnsi="Arial" w:cs="Arial"/>
          <w:color w:val="000000"/>
          <w:sz w:val="24"/>
          <w:szCs w:val="24"/>
        </w:rPr>
        <w:t xml:space="preserve"> equivalent, which includes </w:t>
      </w:r>
      <w:r w:rsidR="00385118" w:rsidRPr="00DB7156">
        <w:rPr>
          <w:rFonts w:ascii="Arial" w:hAnsi="Arial" w:cs="Arial"/>
          <w:color w:val="000000"/>
          <w:sz w:val="24"/>
          <w:szCs w:val="24"/>
        </w:rPr>
        <w:t xml:space="preserve">many </w:t>
      </w:r>
      <w:r w:rsidR="004D4E44" w:rsidRPr="00DB7156">
        <w:rPr>
          <w:rFonts w:ascii="Arial" w:hAnsi="Arial" w:cs="Arial"/>
          <w:color w:val="000000"/>
          <w:sz w:val="24"/>
          <w:szCs w:val="24"/>
        </w:rPr>
        <w:t>of Georgia Power's fossil fuel-fired generating plants</w:t>
      </w:r>
      <w:r w:rsidRPr="00DB7156">
        <w:rPr>
          <w:rFonts w:ascii="Arial" w:hAnsi="Arial" w:cs="Arial"/>
          <w:sz w:val="24"/>
          <w:szCs w:val="24"/>
        </w:rPr>
        <w:t>.</w:t>
      </w:r>
      <w:r w:rsidR="00483A8E" w:rsidRPr="00DB7156">
        <w:rPr>
          <w:rFonts w:ascii="Arial" w:hAnsi="Arial" w:cs="Arial"/>
          <w:sz w:val="24"/>
          <w:szCs w:val="24"/>
        </w:rPr>
        <w:t xml:space="preserve"> In addition, </w:t>
      </w:r>
      <w:r w:rsidR="004D4E44" w:rsidRPr="00DB7156">
        <w:rPr>
          <w:rFonts w:ascii="Arial" w:hAnsi="Arial" w:cs="Arial"/>
          <w:sz w:val="24"/>
          <w:szCs w:val="24"/>
        </w:rPr>
        <w:t xml:space="preserve">the rule requires </w:t>
      </w:r>
      <w:r w:rsidR="00483A8E" w:rsidRPr="00DB7156">
        <w:rPr>
          <w:rFonts w:ascii="Arial" w:hAnsi="Arial" w:cs="Arial"/>
          <w:sz w:val="24"/>
          <w:szCs w:val="24"/>
        </w:rPr>
        <w:t>sulfur hexafluoride (SF</w:t>
      </w:r>
      <w:r w:rsidR="00EA4B45" w:rsidRPr="00DB7156">
        <w:rPr>
          <w:rFonts w:ascii="Arial" w:hAnsi="Arial" w:cs="Arial"/>
          <w:sz w:val="24"/>
          <w:szCs w:val="24"/>
          <w:vertAlign w:val="subscript"/>
        </w:rPr>
        <w:t>6</w:t>
      </w:r>
      <w:r w:rsidR="00483A8E" w:rsidRPr="00DB7156">
        <w:rPr>
          <w:rFonts w:ascii="Arial" w:hAnsi="Arial" w:cs="Arial"/>
          <w:sz w:val="24"/>
          <w:szCs w:val="24"/>
        </w:rPr>
        <w:t xml:space="preserve">) emissions, which </w:t>
      </w:r>
      <w:r w:rsidR="004D4E44" w:rsidRPr="00DB7156">
        <w:rPr>
          <w:rFonts w:ascii="Arial" w:hAnsi="Arial" w:cs="Arial"/>
          <w:sz w:val="24"/>
          <w:szCs w:val="24"/>
        </w:rPr>
        <w:t xml:space="preserve">may be emitted </w:t>
      </w:r>
      <w:r w:rsidR="00483A8E" w:rsidRPr="00DB7156">
        <w:rPr>
          <w:rFonts w:ascii="Arial" w:hAnsi="Arial" w:cs="Arial"/>
          <w:sz w:val="24"/>
          <w:szCs w:val="24"/>
        </w:rPr>
        <w:t xml:space="preserve">from transmission and distribution equipment, </w:t>
      </w:r>
      <w:r w:rsidR="004D4E44" w:rsidRPr="00DB7156">
        <w:rPr>
          <w:rFonts w:ascii="Arial" w:hAnsi="Arial" w:cs="Arial"/>
          <w:sz w:val="24"/>
          <w:szCs w:val="24"/>
        </w:rPr>
        <w:t>to be reported</w:t>
      </w:r>
      <w:r w:rsidR="00483A8E" w:rsidRPr="00DB7156">
        <w:rPr>
          <w:rFonts w:ascii="Arial" w:hAnsi="Arial" w:cs="Arial"/>
          <w:sz w:val="24"/>
          <w:szCs w:val="24"/>
        </w:rPr>
        <w:t xml:space="preserve"> beginning with calendar year 2011.  </w:t>
      </w:r>
    </w:p>
    <w:p w14:paraId="22BA5019" w14:textId="017860D7" w:rsidR="00FC67F9" w:rsidRPr="00DB7156" w:rsidRDefault="00FC67F9" w:rsidP="00DB7156">
      <w:pPr>
        <w:spacing w:after="0" w:line="240" w:lineRule="auto"/>
        <w:jc w:val="both"/>
        <w:rPr>
          <w:rFonts w:ascii="Arial" w:hAnsi="Arial" w:cs="Arial"/>
          <w:sz w:val="24"/>
          <w:szCs w:val="24"/>
        </w:rPr>
      </w:pPr>
    </w:p>
    <w:p w14:paraId="511B4C22" w14:textId="5B96364A" w:rsidR="0096338D" w:rsidRPr="00DB7156" w:rsidRDefault="00801E06" w:rsidP="00DB7156">
      <w:pPr>
        <w:keepNext/>
        <w:autoSpaceDE w:val="0"/>
        <w:autoSpaceDN w:val="0"/>
        <w:adjustRightInd w:val="0"/>
        <w:spacing w:after="0" w:line="240" w:lineRule="auto"/>
        <w:jc w:val="both"/>
        <w:outlineLvl w:val="1"/>
        <w:rPr>
          <w:rFonts w:ascii="Arial" w:hAnsi="Arial" w:cs="Arial"/>
          <w:b/>
          <w:color w:val="000080"/>
          <w:sz w:val="24"/>
          <w:szCs w:val="24"/>
        </w:rPr>
      </w:pPr>
      <w:bookmarkStart w:id="103" w:name="_Toc530487270"/>
      <w:bookmarkStart w:id="104" w:name="_Toc535908138"/>
      <w:bookmarkStart w:id="105" w:name="_Hlk535412618"/>
      <w:r w:rsidRPr="00DB7156">
        <w:rPr>
          <w:rFonts w:ascii="Arial" w:hAnsi="Arial" w:cs="Arial"/>
          <w:b/>
          <w:bCs/>
          <w:color w:val="000080"/>
          <w:sz w:val="24"/>
          <w:szCs w:val="24"/>
        </w:rPr>
        <w:t>2.13</w:t>
      </w:r>
      <w:r w:rsidRPr="00DB7156">
        <w:rPr>
          <w:rFonts w:ascii="Arial" w:hAnsi="Arial" w:cs="Arial"/>
          <w:b/>
          <w:bCs/>
          <w:color w:val="000080"/>
          <w:sz w:val="24"/>
          <w:szCs w:val="24"/>
        </w:rPr>
        <w:tab/>
      </w:r>
      <w:r w:rsidR="0096338D" w:rsidRPr="00DB7156">
        <w:rPr>
          <w:rFonts w:ascii="Arial" w:hAnsi="Arial" w:cs="Arial"/>
          <w:b/>
          <w:bCs/>
          <w:color w:val="000080"/>
          <w:sz w:val="24"/>
          <w:szCs w:val="24"/>
        </w:rPr>
        <w:t>New Source Review</w:t>
      </w:r>
      <w:bookmarkEnd w:id="103"/>
      <w:r w:rsidR="0096338D" w:rsidRPr="00DB7156">
        <w:rPr>
          <w:rFonts w:ascii="Arial" w:hAnsi="Arial" w:cs="Arial"/>
          <w:b/>
          <w:bCs/>
          <w:color w:val="000080"/>
          <w:sz w:val="24"/>
          <w:szCs w:val="24"/>
        </w:rPr>
        <w:t xml:space="preserve"> </w:t>
      </w:r>
      <w:r w:rsidR="00070FF9">
        <w:rPr>
          <w:rFonts w:ascii="Arial" w:hAnsi="Arial" w:cs="Arial"/>
          <w:b/>
          <w:bCs/>
          <w:color w:val="000080"/>
          <w:sz w:val="24"/>
          <w:szCs w:val="24"/>
        </w:rPr>
        <w:t>Enforcement</w:t>
      </w:r>
      <w:bookmarkEnd w:id="104"/>
    </w:p>
    <w:p w14:paraId="0189C943" w14:textId="77777777" w:rsidR="00A40796" w:rsidRDefault="00A40796" w:rsidP="00DB7156">
      <w:pPr>
        <w:spacing w:after="0" w:line="240" w:lineRule="auto"/>
        <w:jc w:val="both"/>
        <w:rPr>
          <w:rFonts w:ascii="Arial" w:hAnsi="Arial" w:cs="Arial"/>
          <w:color w:val="000000"/>
          <w:sz w:val="24"/>
          <w:szCs w:val="24"/>
        </w:rPr>
      </w:pPr>
    </w:p>
    <w:p w14:paraId="1F44A5CC" w14:textId="43E69FB5" w:rsidR="0096338D" w:rsidRPr="00DB7156" w:rsidRDefault="00070FF9" w:rsidP="00DB7156">
      <w:pPr>
        <w:spacing w:after="0" w:line="240" w:lineRule="auto"/>
        <w:jc w:val="both"/>
        <w:rPr>
          <w:rFonts w:ascii="Arial" w:hAnsi="Arial" w:cs="Arial"/>
          <w:color w:val="000000"/>
          <w:sz w:val="24"/>
          <w:szCs w:val="24"/>
        </w:rPr>
      </w:pPr>
      <w:r>
        <w:rPr>
          <w:rFonts w:ascii="Arial" w:hAnsi="Arial" w:cs="Arial"/>
          <w:color w:val="000000"/>
          <w:sz w:val="24"/>
          <w:szCs w:val="24"/>
        </w:rPr>
        <w:t>NSR</w:t>
      </w:r>
      <w:r w:rsidR="0096338D" w:rsidRPr="00DB7156">
        <w:rPr>
          <w:rFonts w:ascii="Arial" w:hAnsi="Arial" w:cs="Arial"/>
          <w:color w:val="000000"/>
          <w:sz w:val="24"/>
          <w:szCs w:val="24"/>
        </w:rPr>
        <w:t xml:space="preserve"> is a pre-construction permitting program under the Clean Air Act that can be triggered by changes to an emissions source (e.g., electric generating unit) that result in a “significant” increase of a regulated NSR pollutant. Changes to NSR regulations or their interpretation can impact the Company’s compliance methods and unit operations. </w:t>
      </w:r>
      <w:r w:rsidR="00E47F1C" w:rsidRPr="00DB7156">
        <w:rPr>
          <w:rFonts w:ascii="Arial" w:hAnsi="Arial" w:cs="Arial"/>
          <w:color w:val="000000"/>
          <w:sz w:val="24"/>
          <w:szCs w:val="24"/>
        </w:rPr>
        <w:t>Over the years, t</w:t>
      </w:r>
      <w:r w:rsidR="0096338D" w:rsidRPr="00DB7156">
        <w:rPr>
          <w:rFonts w:ascii="Arial" w:hAnsi="Arial" w:cs="Arial"/>
          <w:color w:val="000000"/>
          <w:sz w:val="24"/>
          <w:szCs w:val="24"/>
        </w:rPr>
        <w:t>he Company has actively participat</w:t>
      </w:r>
      <w:r w:rsidR="00557153">
        <w:rPr>
          <w:rFonts w:ascii="Arial" w:hAnsi="Arial" w:cs="Arial"/>
          <w:color w:val="000000"/>
          <w:sz w:val="24"/>
          <w:szCs w:val="24"/>
        </w:rPr>
        <w:t>ed</w:t>
      </w:r>
      <w:r w:rsidR="0096338D" w:rsidRPr="00DB7156">
        <w:rPr>
          <w:rFonts w:ascii="Arial" w:hAnsi="Arial" w:cs="Arial"/>
          <w:color w:val="000000"/>
          <w:sz w:val="24"/>
          <w:szCs w:val="24"/>
        </w:rPr>
        <w:t xml:space="preserve"> in various legislative, regulatory, and judicial proceedings addressing NSR issues</w:t>
      </w:r>
      <w:r w:rsidR="00557153">
        <w:rPr>
          <w:rFonts w:ascii="Arial" w:hAnsi="Arial" w:cs="Arial"/>
          <w:color w:val="000000"/>
          <w:sz w:val="24"/>
          <w:szCs w:val="24"/>
        </w:rPr>
        <w:t>,</w:t>
      </w:r>
      <w:r w:rsidR="004101D7">
        <w:rPr>
          <w:rFonts w:ascii="Arial" w:hAnsi="Arial" w:cs="Arial"/>
          <w:color w:val="000000"/>
          <w:sz w:val="24"/>
          <w:szCs w:val="24"/>
        </w:rPr>
        <w:t xml:space="preserve"> and</w:t>
      </w:r>
      <w:r w:rsidR="0005227F">
        <w:rPr>
          <w:rFonts w:ascii="Arial" w:hAnsi="Arial" w:cs="Arial"/>
          <w:color w:val="000000"/>
          <w:sz w:val="24"/>
          <w:szCs w:val="24"/>
        </w:rPr>
        <w:t xml:space="preserve"> </w:t>
      </w:r>
      <w:r w:rsidR="004101D7">
        <w:rPr>
          <w:rFonts w:ascii="Arial" w:hAnsi="Arial" w:cs="Arial"/>
          <w:color w:val="000000"/>
          <w:sz w:val="24"/>
          <w:szCs w:val="24"/>
        </w:rPr>
        <w:t>expects NSR</w:t>
      </w:r>
      <w:r w:rsidR="00557153">
        <w:rPr>
          <w:rFonts w:ascii="Arial" w:hAnsi="Arial" w:cs="Arial"/>
          <w:color w:val="000000"/>
          <w:sz w:val="24"/>
          <w:szCs w:val="24"/>
        </w:rPr>
        <w:t>-related pressure</w:t>
      </w:r>
      <w:r w:rsidR="004101D7">
        <w:rPr>
          <w:rFonts w:ascii="Arial" w:hAnsi="Arial" w:cs="Arial"/>
          <w:color w:val="000000"/>
          <w:sz w:val="24"/>
          <w:szCs w:val="24"/>
        </w:rPr>
        <w:t xml:space="preserve"> from external parties</w:t>
      </w:r>
      <w:r w:rsidR="00557153">
        <w:rPr>
          <w:rFonts w:ascii="Arial" w:hAnsi="Arial" w:cs="Arial"/>
          <w:color w:val="000000"/>
          <w:sz w:val="24"/>
          <w:szCs w:val="24"/>
        </w:rPr>
        <w:t xml:space="preserve"> to continue</w:t>
      </w:r>
      <w:r w:rsidR="004101D7">
        <w:rPr>
          <w:rFonts w:ascii="Arial" w:hAnsi="Arial" w:cs="Arial"/>
          <w:color w:val="000000"/>
          <w:sz w:val="24"/>
          <w:szCs w:val="24"/>
        </w:rPr>
        <w:t>.</w:t>
      </w:r>
    </w:p>
    <w:p w14:paraId="279936BD" w14:textId="77777777" w:rsidR="0096338D" w:rsidRPr="00DB7156" w:rsidRDefault="0096338D" w:rsidP="00DB7156">
      <w:pPr>
        <w:spacing w:after="0" w:line="240" w:lineRule="auto"/>
        <w:jc w:val="both"/>
        <w:rPr>
          <w:rFonts w:ascii="Arial" w:hAnsi="Arial" w:cs="Arial"/>
          <w:color w:val="000000"/>
          <w:sz w:val="24"/>
          <w:szCs w:val="24"/>
        </w:rPr>
      </w:pPr>
    </w:p>
    <w:p w14:paraId="3BD5A9E8" w14:textId="37560386" w:rsidR="0096338D" w:rsidRPr="00DB7156" w:rsidRDefault="0096338D" w:rsidP="00DB7156">
      <w:pPr>
        <w:spacing w:after="0" w:line="240" w:lineRule="auto"/>
        <w:jc w:val="both"/>
        <w:rPr>
          <w:rFonts w:ascii="Arial" w:hAnsi="Arial" w:cs="Arial"/>
          <w:color w:val="000000"/>
          <w:sz w:val="24"/>
          <w:szCs w:val="24"/>
        </w:rPr>
      </w:pPr>
      <w:r w:rsidRPr="00DB7156">
        <w:rPr>
          <w:rFonts w:ascii="Arial" w:hAnsi="Arial" w:cs="Arial"/>
          <w:color w:val="000000"/>
          <w:sz w:val="24"/>
          <w:szCs w:val="24"/>
        </w:rPr>
        <w:t xml:space="preserve">In 1999, EPA brought a civil action in the U.S. District Court for the Northern District of Georgia against certain Southern Company subsidiaries, including Alabama Power and Georgia Power, alleging that these subsidiaries had violated the NSR provisions of the CAA and related state laws at certain coal-fired generating facilities. The civil action sought penalties and injunctive relief, including an order requiring installation of the best available control technology at the affected units. The court quickly dismissed the claims against Alabama Power because the claims were improperly brought in Georgia. The case against Georgia Power was administratively closed in 2001 and has not been reopened.  </w:t>
      </w:r>
    </w:p>
    <w:p w14:paraId="68939F88" w14:textId="77777777" w:rsidR="007554C1" w:rsidRPr="00DB7156" w:rsidRDefault="007554C1" w:rsidP="00DB7156">
      <w:pPr>
        <w:pStyle w:val="Default"/>
        <w:jc w:val="both"/>
        <w:rPr>
          <w:rFonts w:ascii="Arial" w:hAnsi="Arial" w:cs="Arial"/>
        </w:rPr>
      </w:pPr>
      <w:bookmarkStart w:id="106" w:name="_Toc496107752"/>
      <w:bookmarkEnd w:id="105"/>
    </w:p>
    <w:p w14:paraId="22BA501C" w14:textId="0A884C52" w:rsidR="00FC67F9" w:rsidRPr="00DB7156" w:rsidRDefault="00FC67F9" w:rsidP="00DB7156">
      <w:pPr>
        <w:keepNext/>
        <w:autoSpaceDE w:val="0"/>
        <w:autoSpaceDN w:val="0"/>
        <w:adjustRightInd w:val="0"/>
        <w:spacing w:after="0" w:line="240" w:lineRule="auto"/>
        <w:jc w:val="both"/>
        <w:outlineLvl w:val="1"/>
        <w:rPr>
          <w:rFonts w:ascii="Arial" w:hAnsi="Arial" w:cs="Arial"/>
          <w:b/>
          <w:color w:val="000080"/>
          <w:sz w:val="24"/>
          <w:szCs w:val="24"/>
        </w:rPr>
      </w:pPr>
      <w:bookmarkStart w:id="107" w:name="_Toc527987340"/>
      <w:bookmarkStart w:id="108" w:name="_Toc527983887"/>
      <w:bookmarkStart w:id="109" w:name="_Toc530487271"/>
      <w:bookmarkStart w:id="110" w:name="_Toc535908139"/>
      <w:r w:rsidRPr="00DB7156">
        <w:rPr>
          <w:rFonts w:ascii="Arial" w:hAnsi="Arial" w:cs="Arial"/>
          <w:b/>
          <w:bCs/>
          <w:color w:val="000080"/>
          <w:sz w:val="24"/>
          <w:szCs w:val="24"/>
        </w:rPr>
        <w:t>2.1</w:t>
      </w:r>
      <w:r w:rsidR="007376BD" w:rsidRPr="00DB7156">
        <w:rPr>
          <w:rFonts w:ascii="Arial" w:hAnsi="Arial" w:cs="Arial"/>
          <w:b/>
          <w:bCs/>
          <w:color w:val="000080"/>
          <w:sz w:val="24"/>
          <w:szCs w:val="24"/>
        </w:rPr>
        <w:t>4</w:t>
      </w:r>
      <w:r w:rsidRPr="00DB7156">
        <w:rPr>
          <w:rFonts w:ascii="Arial" w:hAnsi="Arial" w:cs="Arial"/>
          <w:b/>
          <w:bCs/>
          <w:color w:val="000080"/>
          <w:sz w:val="24"/>
          <w:szCs w:val="24"/>
        </w:rPr>
        <w:tab/>
      </w:r>
      <w:r w:rsidR="00841D51" w:rsidRPr="00DB7156">
        <w:rPr>
          <w:rFonts w:ascii="Arial" w:hAnsi="Arial" w:cs="Arial"/>
          <w:b/>
          <w:bCs/>
          <w:color w:val="000080"/>
          <w:sz w:val="24"/>
          <w:szCs w:val="24"/>
        </w:rPr>
        <w:t>316(b) Regulation</w:t>
      </w:r>
      <w:bookmarkEnd w:id="106"/>
      <w:bookmarkEnd w:id="107"/>
      <w:bookmarkEnd w:id="108"/>
      <w:bookmarkEnd w:id="109"/>
      <w:bookmarkEnd w:id="110"/>
    </w:p>
    <w:p w14:paraId="0A08B159" w14:textId="77777777" w:rsidR="00A40796" w:rsidRDefault="00A40796" w:rsidP="00DB7156">
      <w:pPr>
        <w:spacing w:after="0" w:line="240" w:lineRule="auto"/>
        <w:jc w:val="both"/>
        <w:rPr>
          <w:rFonts w:ascii="Arial" w:hAnsi="Arial" w:cs="Arial"/>
          <w:color w:val="000000"/>
          <w:sz w:val="24"/>
          <w:szCs w:val="24"/>
        </w:rPr>
      </w:pPr>
    </w:p>
    <w:p w14:paraId="22BA501D" w14:textId="76327D95" w:rsidR="00CA7F72" w:rsidRPr="00DB7156" w:rsidRDefault="00FC67F9" w:rsidP="00DB7156">
      <w:pPr>
        <w:spacing w:after="0" w:line="240" w:lineRule="auto"/>
        <w:jc w:val="both"/>
        <w:rPr>
          <w:rFonts w:ascii="Arial" w:hAnsi="Arial" w:cs="Arial"/>
          <w:color w:val="000000"/>
          <w:sz w:val="24"/>
          <w:szCs w:val="24"/>
        </w:rPr>
      </w:pPr>
      <w:r w:rsidRPr="00DB7156">
        <w:rPr>
          <w:rFonts w:ascii="Arial" w:hAnsi="Arial" w:cs="Arial"/>
          <w:color w:val="000000"/>
          <w:sz w:val="24"/>
          <w:szCs w:val="24"/>
        </w:rPr>
        <w:t>Section 316(b) of the CWA requires that the location, design, construction, and capacity of any cooling water intake structure (</w:t>
      </w:r>
      <w:r w:rsidR="00070FF9">
        <w:rPr>
          <w:rFonts w:ascii="Arial" w:hAnsi="Arial" w:cs="Arial"/>
          <w:color w:val="000000"/>
          <w:sz w:val="24"/>
          <w:szCs w:val="24"/>
        </w:rPr>
        <w:t>“</w:t>
      </w:r>
      <w:r w:rsidRPr="00DB7156">
        <w:rPr>
          <w:rFonts w:ascii="Arial" w:hAnsi="Arial" w:cs="Arial"/>
          <w:color w:val="000000"/>
          <w:sz w:val="24"/>
          <w:szCs w:val="24"/>
        </w:rPr>
        <w:t>CWIS</w:t>
      </w:r>
      <w:r w:rsidR="00070FF9">
        <w:rPr>
          <w:rFonts w:ascii="Arial" w:hAnsi="Arial" w:cs="Arial"/>
          <w:color w:val="000000"/>
          <w:sz w:val="24"/>
          <w:szCs w:val="24"/>
        </w:rPr>
        <w:t>”</w:t>
      </w:r>
      <w:r w:rsidRPr="00DB7156">
        <w:rPr>
          <w:rFonts w:ascii="Arial" w:hAnsi="Arial" w:cs="Arial"/>
          <w:color w:val="000000"/>
          <w:sz w:val="24"/>
          <w:szCs w:val="24"/>
        </w:rPr>
        <w:t xml:space="preserve">) reflect </w:t>
      </w:r>
      <w:r w:rsidR="00E40FC2" w:rsidRPr="00DB7156">
        <w:rPr>
          <w:rFonts w:ascii="Arial" w:hAnsi="Arial" w:cs="Arial"/>
          <w:color w:val="000000"/>
          <w:sz w:val="24"/>
          <w:szCs w:val="24"/>
        </w:rPr>
        <w:t>B</w:t>
      </w:r>
      <w:r w:rsidRPr="00DB7156">
        <w:rPr>
          <w:rFonts w:ascii="Arial" w:hAnsi="Arial" w:cs="Arial"/>
          <w:color w:val="000000"/>
          <w:sz w:val="24"/>
          <w:szCs w:val="24"/>
        </w:rPr>
        <w:t xml:space="preserve">est </w:t>
      </w:r>
      <w:r w:rsidR="00E40FC2" w:rsidRPr="00DB7156">
        <w:rPr>
          <w:rFonts w:ascii="Arial" w:hAnsi="Arial" w:cs="Arial"/>
          <w:color w:val="000000"/>
          <w:sz w:val="24"/>
          <w:szCs w:val="24"/>
        </w:rPr>
        <w:t>T</w:t>
      </w:r>
      <w:r w:rsidRPr="00DB7156">
        <w:rPr>
          <w:rFonts w:ascii="Arial" w:hAnsi="Arial" w:cs="Arial"/>
          <w:color w:val="000000"/>
          <w:sz w:val="24"/>
          <w:szCs w:val="24"/>
        </w:rPr>
        <w:t xml:space="preserve">echnology </w:t>
      </w:r>
      <w:r w:rsidR="00E40FC2" w:rsidRPr="00DB7156">
        <w:rPr>
          <w:rFonts w:ascii="Arial" w:hAnsi="Arial" w:cs="Arial"/>
          <w:color w:val="000000"/>
          <w:sz w:val="24"/>
          <w:szCs w:val="24"/>
        </w:rPr>
        <w:t>A</w:t>
      </w:r>
      <w:r w:rsidRPr="00DB7156">
        <w:rPr>
          <w:rFonts w:ascii="Arial" w:hAnsi="Arial" w:cs="Arial"/>
          <w:color w:val="000000"/>
          <w:sz w:val="24"/>
          <w:szCs w:val="24"/>
        </w:rPr>
        <w:t>vailable</w:t>
      </w:r>
      <w:r w:rsidR="00E40FC2" w:rsidRPr="00DB7156">
        <w:rPr>
          <w:rFonts w:ascii="Arial" w:hAnsi="Arial" w:cs="Arial"/>
          <w:color w:val="000000"/>
          <w:sz w:val="24"/>
          <w:szCs w:val="24"/>
        </w:rPr>
        <w:t xml:space="preserve"> (</w:t>
      </w:r>
      <w:r w:rsidR="00070FF9">
        <w:rPr>
          <w:rFonts w:ascii="Arial" w:hAnsi="Arial" w:cs="Arial"/>
          <w:color w:val="000000"/>
          <w:sz w:val="24"/>
          <w:szCs w:val="24"/>
        </w:rPr>
        <w:t>“</w:t>
      </w:r>
      <w:r w:rsidR="00E40FC2" w:rsidRPr="00DB7156">
        <w:rPr>
          <w:rFonts w:ascii="Arial" w:hAnsi="Arial" w:cs="Arial"/>
          <w:color w:val="000000"/>
          <w:sz w:val="24"/>
          <w:szCs w:val="24"/>
        </w:rPr>
        <w:t>BTA</w:t>
      </w:r>
      <w:r w:rsidR="00070FF9">
        <w:rPr>
          <w:rFonts w:ascii="Arial" w:hAnsi="Arial" w:cs="Arial"/>
          <w:color w:val="000000"/>
          <w:sz w:val="24"/>
          <w:szCs w:val="24"/>
        </w:rPr>
        <w:t>”</w:t>
      </w:r>
      <w:r w:rsidR="00E40FC2" w:rsidRPr="00DB7156">
        <w:rPr>
          <w:rFonts w:ascii="Arial" w:hAnsi="Arial" w:cs="Arial"/>
          <w:color w:val="000000"/>
          <w:sz w:val="24"/>
          <w:szCs w:val="24"/>
        </w:rPr>
        <w:t>)</w:t>
      </w:r>
      <w:r w:rsidRPr="00DB7156">
        <w:rPr>
          <w:rFonts w:ascii="Arial" w:hAnsi="Arial" w:cs="Arial"/>
          <w:color w:val="000000"/>
          <w:sz w:val="24"/>
          <w:szCs w:val="24"/>
        </w:rPr>
        <w:t xml:space="preserve"> for minimizing adverse environmental impact. Historically</w:t>
      </w:r>
      <w:r w:rsidR="007376BD" w:rsidRPr="00DB7156">
        <w:rPr>
          <w:rFonts w:ascii="Arial" w:hAnsi="Arial" w:cs="Arial"/>
          <w:color w:val="000000"/>
          <w:sz w:val="24"/>
          <w:szCs w:val="24"/>
        </w:rPr>
        <w:t>,</w:t>
      </w:r>
      <w:r w:rsidRPr="00DB7156">
        <w:rPr>
          <w:rFonts w:ascii="Arial" w:hAnsi="Arial" w:cs="Arial"/>
          <w:color w:val="000000"/>
          <w:sz w:val="24"/>
          <w:szCs w:val="24"/>
        </w:rPr>
        <w:t xml:space="preserve"> NPDES permit</w:t>
      </w:r>
      <w:r w:rsidR="00D52391" w:rsidRPr="00DB7156">
        <w:rPr>
          <w:rFonts w:ascii="Arial" w:hAnsi="Arial" w:cs="Arial"/>
          <w:color w:val="000000"/>
          <w:sz w:val="24"/>
          <w:szCs w:val="24"/>
        </w:rPr>
        <w:t>s</w:t>
      </w:r>
      <w:r w:rsidRPr="00DB7156">
        <w:rPr>
          <w:rFonts w:ascii="Arial" w:hAnsi="Arial" w:cs="Arial"/>
          <w:color w:val="000000"/>
          <w:sz w:val="24"/>
          <w:szCs w:val="24"/>
        </w:rPr>
        <w:t xml:space="preserve"> have applied Section 316(b) on a </w:t>
      </w:r>
      <w:r w:rsidR="00105939" w:rsidRPr="00DB7156">
        <w:rPr>
          <w:rFonts w:ascii="Arial" w:hAnsi="Arial" w:cs="Arial"/>
          <w:color w:val="000000"/>
          <w:sz w:val="24"/>
          <w:szCs w:val="24"/>
        </w:rPr>
        <w:t xml:space="preserve">case-by-case basis using </w:t>
      </w:r>
      <w:r w:rsidR="000E2A8D" w:rsidRPr="00DB7156">
        <w:rPr>
          <w:rFonts w:ascii="Arial" w:hAnsi="Arial" w:cs="Arial"/>
          <w:color w:val="000000"/>
          <w:sz w:val="24"/>
          <w:szCs w:val="24"/>
        </w:rPr>
        <w:t>best professional judgment</w:t>
      </w:r>
      <w:r w:rsidR="00105939" w:rsidRPr="00DB7156">
        <w:rPr>
          <w:rFonts w:ascii="Arial" w:hAnsi="Arial" w:cs="Arial"/>
          <w:color w:val="000000"/>
          <w:sz w:val="24"/>
          <w:szCs w:val="24"/>
        </w:rPr>
        <w:t>.</w:t>
      </w:r>
      <w:r w:rsidRPr="00DB7156">
        <w:rPr>
          <w:rFonts w:ascii="Arial" w:hAnsi="Arial" w:cs="Arial"/>
          <w:color w:val="000000"/>
          <w:sz w:val="24"/>
          <w:szCs w:val="24"/>
        </w:rPr>
        <w:t xml:space="preserve"> </w:t>
      </w:r>
      <w:r w:rsidR="0067730E" w:rsidRPr="00DB7156">
        <w:rPr>
          <w:rFonts w:ascii="Arial" w:hAnsi="Arial" w:cs="Arial"/>
          <w:color w:val="000000"/>
          <w:sz w:val="24"/>
          <w:szCs w:val="24"/>
        </w:rPr>
        <w:t>However,</w:t>
      </w:r>
      <w:r w:rsidR="005B55B7" w:rsidRPr="00DB7156">
        <w:rPr>
          <w:rFonts w:ascii="Arial" w:hAnsi="Arial" w:cs="Arial"/>
          <w:color w:val="000000"/>
          <w:sz w:val="24"/>
          <w:szCs w:val="24"/>
        </w:rPr>
        <w:t xml:space="preserve"> i</w:t>
      </w:r>
      <w:r w:rsidRPr="00DB7156">
        <w:rPr>
          <w:rFonts w:ascii="Arial" w:hAnsi="Arial" w:cs="Arial"/>
          <w:color w:val="000000"/>
          <w:sz w:val="24"/>
          <w:szCs w:val="24"/>
        </w:rPr>
        <w:t xml:space="preserve">n 2004, EPA published </w:t>
      </w:r>
      <w:r w:rsidR="005B55B7" w:rsidRPr="00DB7156">
        <w:rPr>
          <w:rFonts w:ascii="Arial" w:hAnsi="Arial" w:cs="Arial"/>
          <w:color w:val="000000"/>
          <w:sz w:val="24"/>
          <w:szCs w:val="24"/>
        </w:rPr>
        <w:t xml:space="preserve">a </w:t>
      </w:r>
      <w:r w:rsidRPr="00DB7156">
        <w:rPr>
          <w:rFonts w:ascii="Arial" w:hAnsi="Arial" w:cs="Arial"/>
          <w:color w:val="000000"/>
          <w:sz w:val="24"/>
          <w:szCs w:val="24"/>
        </w:rPr>
        <w:t xml:space="preserve">final </w:t>
      </w:r>
      <w:r w:rsidR="005B55B7" w:rsidRPr="00DB7156">
        <w:rPr>
          <w:rFonts w:ascii="Arial" w:hAnsi="Arial" w:cs="Arial"/>
          <w:color w:val="000000"/>
          <w:sz w:val="24"/>
          <w:szCs w:val="24"/>
        </w:rPr>
        <w:t>316(b) rule</w:t>
      </w:r>
      <w:r w:rsidRPr="00DB7156">
        <w:rPr>
          <w:rFonts w:ascii="Arial" w:hAnsi="Arial" w:cs="Arial"/>
          <w:color w:val="000000"/>
          <w:sz w:val="24"/>
          <w:szCs w:val="24"/>
        </w:rPr>
        <w:t xml:space="preserve"> for the purpose of </w:t>
      </w:r>
      <w:r w:rsidR="000626BB" w:rsidRPr="00DB7156">
        <w:rPr>
          <w:rFonts w:ascii="Arial" w:hAnsi="Arial" w:cs="Arial"/>
          <w:color w:val="000000"/>
          <w:sz w:val="24"/>
          <w:szCs w:val="24"/>
        </w:rPr>
        <w:t xml:space="preserve">setting national standards for </w:t>
      </w:r>
      <w:r w:rsidRPr="00DB7156">
        <w:rPr>
          <w:rFonts w:ascii="Arial" w:hAnsi="Arial" w:cs="Arial"/>
          <w:color w:val="000000"/>
          <w:sz w:val="24"/>
          <w:szCs w:val="24"/>
        </w:rPr>
        <w:t>reducing impingement and entrainment of fish, shellfish and other forms of aquatic life at existing power plant CWISs.</w:t>
      </w:r>
      <w:r w:rsidR="007376BD" w:rsidRPr="00DB7156">
        <w:rPr>
          <w:rFonts w:ascii="Arial" w:hAnsi="Arial" w:cs="Arial"/>
          <w:color w:val="000000"/>
          <w:sz w:val="24"/>
          <w:szCs w:val="24"/>
        </w:rPr>
        <w:t xml:space="preserve"> </w:t>
      </w:r>
      <w:r w:rsidR="000626BB" w:rsidRPr="00DB7156">
        <w:rPr>
          <w:rFonts w:ascii="Arial" w:hAnsi="Arial" w:cs="Arial"/>
          <w:color w:val="000000"/>
          <w:sz w:val="24"/>
          <w:szCs w:val="24"/>
        </w:rPr>
        <w:t>Industry and environmental groups challenged the rule, and i</w:t>
      </w:r>
      <w:r w:rsidRPr="00DB7156">
        <w:rPr>
          <w:rFonts w:ascii="Arial" w:hAnsi="Arial" w:cs="Arial"/>
          <w:color w:val="000000"/>
          <w:sz w:val="24"/>
          <w:szCs w:val="24"/>
        </w:rPr>
        <w:t>n January 2007</w:t>
      </w:r>
      <w:r w:rsidR="00F55A64" w:rsidRPr="00DB7156">
        <w:rPr>
          <w:rFonts w:ascii="Arial" w:hAnsi="Arial" w:cs="Arial"/>
          <w:color w:val="000000"/>
          <w:sz w:val="24"/>
          <w:szCs w:val="24"/>
        </w:rPr>
        <w:t xml:space="preserve"> (</w:t>
      </w:r>
      <w:r w:rsidR="00F55A64" w:rsidRPr="00DB7156">
        <w:rPr>
          <w:rFonts w:ascii="Arial" w:hAnsi="Arial" w:cs="Arial"/>
          <w:i/>
          <w:iCs/>
          <w:color w:val="000000"/>
          <w:sz w:val="24"/>
          <w:szCs w:val="24"/>
        </w:rPr>
        <w:t>Entergy corp. v Riverkeeper inc.,</w:t>
      </w:r>
      <w:r w:rsidR="0067730E" w:rsidRPr="00DB7156">
        <w:rPr>
          <w:rFonts w:ascii="Arial" w:hAnsi="Arial" w:cs="Arial"/>
          <w:i/>
          <w:iCs/>
          <w:color w:val="000000"/>
          <w:sz w:val="24"/>
          <w:szCs w:val="24"/>
        </w:rPr>
        <w:t xml:space="preserve"> </w:t>
      </w:r>
      <w:r w:rsidR="00F55A64" w:rsidRPr="00DB7156">
        <w:rPr>
          <w:rFonts w:ascii="Arial" w:hAnsi="Arial" w:cs="Arial"/>
          <w:i/>
          <w:iCs/>
          <w:color w:val="000000"/>
          <w:sz w:val="24"/>
          <w:szCs w:val="24"/>
        </w:rPr>
        <w:t>et al.)</w:t>
      </w:r>
      <w:r w:rsidRPr="00DB7156">
        <w:rPr>
          <w:rFonts w:ascii="Arial" w:hAnsi="Arial" w:cs="Arial"/>
          <w:color w:val="000000"/>
          <w:sz w:val="24"/>
          <w:szCs w:val="24"/>
        </w:rPr>
        <w:t>, the U.S. Court of Appeals for the Second Circuit overturned and remanded several provisions of the rule, including the use of cost-benefit analysis, to EPA for revision. As a result, EPA withdrew the rule and began developing a new proposal. In April 2009, the U.S. Supreme Court reversed the Second Circuit’s decision with respect to the rule’s use of cost-benefit analysis, and held that the EPA could consider costs in arriving at its standards and in providing variances from those standards for existing power plant CWISs.</w:t>
      </w:r>
      <w:r w:rsidR="00CA7F72" w:rsidRPr="00DB7156">
        <w:rPr>
          <w:rFonts w:ascii="Arial" w:hAnsi="Arial" w:cs="Arial"/>
          <w:color w:val="000000"/>
          <w:sz w:val="24"/>
          <w:szCs w:val="24"/>
        </w:rPr>
        <w:t xml:space="preserve"> </w:t>
      </w:r>
    </w:p>
    <w:p w14:paraId="22BA5020" w14:textId="36588D94" w:rsidR="00CA7F72" w:rsidRPr="00DB7156" w:rsidRDefault="00CA7F72" w:rsidP="00DB7156">
      <w:pPr>
        <w:spacing w:after="0" w:line="240" w:lineRule="auto"/>
        <w:jc w:val="both"/>
        <w:rPr>
          <w:rFonts w:ascii="Arial" w:hAnsi="Arial" w:cs="Arial"/>
          <w:sz w:val="24"/>
        </w:rPr>
      </w:pPr>
    </w:p>
    <w:p w14:paraId="392AEC2E" w14:textId="61C9BDB6" w:rsidR="000E2A8D" w:rsidRPr="00DB7156" w:rsidRDefault="004C058F" w:rsidP="00DB7156">
      <w:pPr>
        <w:spacing w:after="0" w:line="240" w:lineRule="auto"/>
        <w:jc w:val="both"/>
        <w:rPr>
          <w:rFonts w:ascii="Arial" w:hAnsi="Arial" w:cs="Arial"/>
          <w:sz w:val="24"/>
        </w:rPr>
      </w:pPr>
      <w:r>
        <w:rPr>
          <w:rFonts w:ascii="Arial" w:hAnsi="Arial" w:cs="Arial"/>
          <w:sz w:val="24"/>
        </w:rPr>
        <w:t>I</w:t>
      </w:r>
      <w:r w:rsidR="00CA7F72" w:rsidRPr="00DB7156">
        <w:rPr>
          <w:rFonts w:ascii="Arial" w:hAnsi="Arial" w:cs="Arial"/>
          <w:sz w:val="24"/>
        </w:rPr>
        <w:t xml:space="preserve">n </w:t>
      </w:r>
      <w:r w:rsidR="000E2A8D" w:rsidRPr="00DB7156">
        <w:rPr>
          <w:rFonts w:ascii="Arial" w:hAnsi="Arial" w:cs="Arial"/>
          <w:sz w:val="24"/>
        </w:rPr>
        <w:t>August 2014,</w:t>
      </w:r>
      <w:r w:rsidR="00CA7F72" w:rsidRPr="00DB7156">
        <w:rPr>
          <w:rFonts w:ascii="Arial" w:hAnsi="Arial" w:cs="Arial"/>
          <w:sz w:val="24"/>
        </w:rPr>
        <w:t xml:space="preserve"> </w:t>
      </w:r>
      <w:r w:rsidR="005648DD" w:rsidRPr="00DB7156">
        <w:rPr>
          <w:rFonts w:ascii="Arial" w:hAnsi="Arial" w:cs="Arial"/>
          <w:sz w:val="24"/>
        </w:rPr>
        <w:t>EPA</w:t>
      </w:r>
      <w:r w:rsidR="005B55B7" w:rsidRPr="00DB7156">
        <w:rPr>
          <w:rFonts w:ascii="Arial" w:hAnsi="Arial" w:cs="Arial"/>
          <w:sz w:val="24"/>
        </w:rPr>
        <w:t xml:space="preserve"> </w:t>
      </w:r>
      <w:r w:rsidR="000E2A8D" w:rsidRPr="00DB7156">
        <w:rPr>
          <w:rFonts w:ascii="Arial" w:hAnsi="Arial" w:cs="Arial"/>
          <w:sz w:val="24"/>
        </w:rPr>
        <w:t xml:space="preserve">published </w:t>
      </w:r>
      <w:r w:rsidR="005B55B7" w:rsidRPr="00DB7156">
        <w:rPr>
          <w:rFonts w:ascii="Arial" w:hAnsi="Arial" w:cs="Arial"/>
          <w:sz w:val="24"/>
        </w:rPr>
        <w:t xml:space="preserve">a </w:t>
      </w:r>
      <w:r w:rsidR="000E2A8D" w:rsidRPr="00DB7156">
        <w:rPr>
          <w:rFonts w:ascii="Arial" w:hAnsi="Arial" w:cs="Arial"/>
          <w:sz w:val="24"/>
        </w:rPr>
        <w:t xml:space="preserve">final </w:t>
      </w:r>
      <w:r w:rsidR="005648DD" w:rsidRPr="00DB7156">
        <w:rPr>
          <w:rFonts w:ascii="Arial" w:hAnsi="Arial" w:cs="Arial"/>
          <w:sz w:val="24"/>
        </w:rPr>
        <w:t xml:space="preserve">316(b) </w:t>
      </w:r>
      <w:r w:rsidR="000E2A8D" w:rsidRPr="00DB7156">
        <w:rPr>
          <w:rFonts w:ascii="Arial" w:hAnsi="Arial" w:cs="Arial"/>
          <w:sz w:val="24"/>
        </w:rPr>
        <w:t xml:space="preserve">rule </w:t>
      </w:r>
      <w:r w:rsidR="008E4FEA" w:rsidRPr="00DB7156">
        <w:rPr>
          <w:rFonts w:ascii="Arial" w:hAnsi="Arial" w:cs="Arial"/>
          <w:sz w:val="24"/>
        </w:rPr>
        <w:t xml:space="preserve">that </w:t>
      </w:r>
      <w:r w:rsidR="000E2A8D" w:rsidRPr="00DB7156">
        <w:rPr>
          <w:rFonts w:ascii="Arial" w:hAnsi="Arial" w:cs="Arial"/>
          <w:sz w:val="24"/>
        </w:rPr>
        <w:t>establishe</w:t>
      </w:r>
      <w:r w:rsidR="008E4FEA" w:rsidRPr="00DB7156">
        <w:rPr>
          <w:rFonts w:ascii="Arial" w:hAnsi="Arial" w:cs="Arial"/>
          <w:sz w:val="24"/>
        </w:rPr>
        <w:t>d impingement mortality and entrainment</w:t>
      </w:r>
      <w:r w:rsidR="000E2A8D" w:rsidRPr="00DB7156">
        <w:rPr>
          <w:rFonts w:ascii="Arial" w:hAnsi="Arial" w:cs="Arial"/>
          <w:sz w:val="24"/>
        </w:rPr>
        <w:t xml:space="preserve"> requirements for existing power generating facilities and manufacturing and industrial facilities that are designed to withdraw more than 2 million gallons per day of water from </w:t>
      </w:r>
      <w:r w:rsidR="005B55B7" w:rsidRPr="00DB7156">
        <w:rPr>
          <w:rFonts w:ascii="Arial" w:hAnsi="Arial" w:cs="Arial"/>
          <w:sz w:val="24"/>
        </w:rPr>
        <w:t>waters of the U.S.</w:t>
      </w:r>
      <w:r w:rsidR="000E2A8D" w:rsidRPr="00DB7156">
        <w:rPr>
          <w:rFonts w:ascii="Arial" w:hAnsi="Arial" w:cs="Arial"/>
          <w:sz w:val="24"/>
        </w:rPr>
        <w:t xml:space="preserve"> and use at least 25 percent of the water they withdraw exclusively for cooling purposes. The new rule </w:t>
      </w:r>
      <w:r w:rsidR="0090086B" w:rsidRPr="00DB7156">
        <w:rPr>
          <w:rFonts w:ascii="Arial" w:hAnsi="Arial" w:cs="Arial"/>
          <w:sz w:val="24"/>
        </w:rPr>
        <w:t>became</w:t>
      </w:r>
      <w:r w:rsidR="000E2A8D" w:rsidRPr="00DB7156">
        <w:rPr>
          <w:rFonts w:ascii="Arial" w:hAnsi="Arial" w:cs="Arial"/>
          <w:sz w:val="24"/>
        </w:rPr>
        <w:t xml:space="preserve"> effective </w:t>
      </w:r>
      <w:r>
        <w:rPr>
          <w:rFonts w:ascii="Arial" w:hAnsi="Arial" w:cs="Arial"/>
          <w:sz w:val="24"/>
        </w:rPr>
        <w:t>i</w:t>
      </w:r>
      <w:r w:rsidR="0090086B" w:rsidRPr="00DB7156">
        <w:rPr>
          <w:rFonts w:ascii="Arial" w:hAnsi="Arial" w:cs="Arial"/>
          <w:sz w:val="24"/>
        </w:rPr>
        <w:t xml:space="preserve">n </w:t>
      </w:r>
      <w:r w:rsidR="000E2A8D" w:rsidRPr="00DB7156">
        <w:rPr>
          <w:rFonts w:ascii="Arial" w:hAnsi="Arial" w:cs="Arial"/>
          <w:sz w:val="24"/>
        </w:rPr>
        <w:t>October</w:t>
      </w:r>
      <w:r>
        <w:rPr>
          <w:rFonts w:ascii="Arial" w:hAnsi="Arial" w:cs="Arial"/>
          <w:sz w:val="24"/>
        </w:rPr>
        <w:t xml:space="preserve"> 2</w:t>
      </w:r>
      <w:r w:rsidR="000E2A8D" w:rsidRPr="00DB7156">
        <w:rPr>
          <w:rFonts w:ascii="Arial" w:hAnsi="Arial" w:cs="Arial"/>
          <w:sz w:val="24"/>
        </w:rPr>
        <w:t>014.</w:t>
      </w:r>
      <w:r>
        <w:rPr>
          <w:rFonts w:ascii="Arial" w:hAnsi="Arial" w:cs="Arial"/>
          <w:sz w:val="24"/>
        </w:rPr>
        <w:t xml:space="preserve"> </w:t>
      </w:r>
      <w:r w:rsidR="00C66FF3" w:rsidRPr="00DB7156">
        <w:rPr>
          <w:rFonts w:ascii="Arial" w:hAnsi="Arial" w:cs="Arial"/>
          <w:sz w:val="24"/>
        </w:rPr>
        <w:t xml:space="preserve">Compliance </w:t>
      </w:r>
      <w:r w:rsidR="008E4FEA" w:rsidRPr="00DB7156">
        <w:rPr>
          <w:rFonts w:ascii="Arial" w:hAnsi="Arial" w:cs="Arial"/>
          <w:sz w:val="24"/>
        </w:rPr>
        <w:t xml:space="preserve">is required </w:t>
      </w:r>
      <w:r w:rsidR="0090086B" w:rsidRPr="00DB7156">
        <w:rPr>
          <w:rFonts w:ascii="Arial" w:hAnsi="Arial" w:cs="Arial"/>
          <w:sz w:val="24"/>
        </w:rPr>
        <w:t>“as soon as practicable” according to the schedule of requirements set by the permitting authority.</w:t>
      </w:r>
    </w:p>
    <w:p w14:paraId="2EAF5A6D" w14:textId="77777777" w:rsidR="000E2A8D" w:rsidRPr="00DB7156" w:rsidRDefault="000E2A8D" w:rsidP="00DB7156">
      <w:pPr>
        <w:spacing w:after="0" w:line="240" w:lineRule="auto"/>
        <w:jc w:val="both"/>
        <w:rPr>
          <w:rFonts w:ascii="Arial" w:hAnsi="Arial" w:cs="Arial"/>
          <w:sz w:val="24"/>
        </w:rPr>
      </w:pPr>
    </w:p>
    <w:p w14:paraId="4BC56F52" w14:textId="4E1191C2" w:rsidR="0090086B" w:rsidRPr="00DB7156" w:rsidRDefault="009E3D4E" w:rsidP="00DB7156">
      <w:pPr>
        <w:spacing w:after="0" w:line="240" w:lineRule="auto"/>
        <w:jc w:val="both"/>
        <w:rPr>
          <w:rFonts w:ascii="Arial" w:hAnsi="Arial" w:cs="Arial"/>
          <w:sz w:val="24"/>
        </w:rPr>
      </w:pPr>
      <w:r w:rsidRPr="00DB7156">
        <w:rPr>
          <w:rFonts w:ascii="Arial" w:hAnsi="Arial" w:cs="Arial"/>
          <w:sz w:val="24"/>
        </w:rPr>
        <w:t>The final rule establishe</w:t>
      </w:r>
      <w:r w:rsidR="008E4FEA" w:rsidRPr="00DB7156">
        <w:rPr>
          <w:rFonts w:ascii="Arial" w:hAnsi="Arial" w:cs="Arial"/>
          <w:sz w:val="24"/>
        </w:rPr>
        <w:t>d</w:t>
      </w:r>
      <w:r w:rsidRPr="00DB7156">
        <w:rPr>
          <w:rFonts w:ascii="Arial" w:hAnsi="Arial" w:cs="Arial"/>
          <w:sz w:val="24"/>
        </w:rPr>
        <w:t xml:space="preserve"> permit application requirements for all facilities subject to the rule. All existing facilities must submit information regarding the source waterbody, cooling water intake structure(s), characterization of the biological community in the vicinity of the cooling water intake structure(s), cooling water system, and operational status of the facility. </w:t>
      </w:r>
      <w:r w:rsidR="004F44B0" w:rsidRPr="00DB7156">
        <w:rPr>
          <w:rFonts w:ascii="Arial" w:hAnsi="Arial" w:cs="Arial"/>
          <w:sz w:val="24"/>
        </w:rPr>
        <w:t xml:space="preserve">All existing facilities </w:t>
      </w:r>
      <w:r w:rsidRPr="00DB7156">
        <w:rPr>
          <w:rFonts w:ascii="Arial" w:hAnsi="Arial" w:cs="Arial"/>
          <w:sz w:val="24"/>
        </w:rPr>
        <w:t xml:space="preserve">that withdraw </w:t>
      </w:r>
      <w:r w:rsidR="004F44B0" w:rsidRPr="00DB7156">
        <w:rPr>
          <w:rFonts w:ascii="Arial" w:hAnsi="Arial" w:cs="Arial"/>
          <w:sz w:val="24"/>
        </w:rPr>
        <w:t xml:space="preserve">more than </w:t>
      </w:r>
      <w:r w:rsidRPr="00DB7156">
        <w:rPr>
          <w:rFonts w:ascii="Arial" w:hAnsi="Arial" w:cs="Arial"/>
          <w:sz w:val="24"/>
        </w:rPr>
        <w:t>125 million gallons per day</w:t>
      </w:r>
      <w:r w:rsidR="004F44B0" w:rsidRPr="00DB7156">
        <w:rPr>
          <w:rFonts w:ascii="Arial" w:hAnsi="Arial" w:cs="Arial"/>
          <w:sz w:val="24"/>
        </w:rPr>
        <w:t xml:space="preserve"> for cooling purposes must also submit additional information to characterize entrainment and assess the costs and benefits of installing various potential technological and operational controls.  </w:t>
      </w:r>
    </w:p>
    <w:p w14:paraId="382B68D7" w14:textId="77777777" w:rsidR="0090086B" w:rsidRPr="00DB7156" w:rsidRDefault="0090086B" w:rsidP="00DB7156">
      <w:pPr>
        <w:spacing w:after="0" w:line="240" w:lineRule="auto"/>
        <w:jc w:val="both"/>
        <w:rPr>
          <w:rFonts w:ascii="Arial" w:hAnsi="Arial" w:cs="Arial"/>
          <w:sz w:val="24"/>
        </w:rPr>
      </w:pPr>
    </w:p>
    <w:p w14:paraId="33D71EE0" w14:textId="2A34E29C" w:rsidR="00105939" w:rsidRPr="00DB7156" w:rsidRDefault="00105939" w:rsidP="00DB7156">
      <w:pPr>
        <w:spacing w:after="0" w:line="240" w:lineRule="auto"/>
        <w:jc w:val="both"/>
        <w:rPr>
          <w:rFonts w:ascii="Arial" w:hAnsi="Arial" w:cs="Arial"/>
          <w:sz w:val="24"/>
        </w:rPr>
      </w:pPr>
      <w:r w:rsidRPr="00DB7156">
        <w:rPr>
          <w:rFonts w:ascii="Arial" w:hAnsi="Arial" w:cs="Arial"/>
          <w:sz w:val="24"/>
        </w:rPr>
        <w:t>Facilities subject to the rule must comply with one of seven options identified as a national BTA standard for impingement mortality</w:t>
      </w:r>
      <w:r w:rsidR="001978E7" w:rsidRPr="00DB7156">
        <w:rPr>
          <w:rFonts w:ascii="Arial" w:hAnsi="Arial" w:cs="Arial"/>
          <w:sz w:val="24"/>
        </w:rPr>
        <w:t xml:space="preserve">, which </w:t>
      </w:r>
      <w:r w:rsidR="004A41D3" w:rsidRPr="00DB7156">
        <w:rPr>
          <w:rFonts w:ascii="Arial" w:hAnsi="Arial" w:cs="Arial"/>
          <w:sz w:val="24"/>
        </w:rPr>
        <w:t>includ</w:t>
      </w:r>
      <w:r w:rsidR="00492212" w:rsidRPr="00DB7156">
        <w:rPr>
          <w:rFonts w:ascii="Arial" w:hAnsi="Arial" w:cs="Arial"/>
          <w:sz w:val="24"/>
        </w:rPr>
        <w:t>e</w:t>
      </w:r>
      <w:r w:rsidR="004A41D3" w:rsidRPr="00DB7156">
        <w:rPr>
          <w:rFonts w:ascii="Arial" w:hAnsi="Arial" w:cs="Arial"/>
          <w:sz w:val="24"/>
        </w:rPr>
        <w:t xml:space="preserve"> modified traveling screens</w:t>
      </w:r>
      <w:r w:rsidR="000E3699" w:rsidRPr="00DB7156">
        <w:rPr>
          <w:rFonts w:ascii="Arial" w:hAnsi="Arial" w:cs="Arial"/>
          <w:sz w:val="24"/>
        </w:rPr>
        <w:t xml:space="preserve"> and closed-cycle </w:t>
      </w:r>
      <w:r w:rsidR="00492212" w:rsidRPr="00DB7156">
        <w:rPr>
          <w:rFonts w:ascii="Arial" w:hAnsi="Arial" w:cs="Arial"/>
          <w:sz w:val="24"/>
        </w:rPr>
        <w:t xml:space="preserve">recirculating </w:t>
      </w:r>
      <w:r w:rsidR="000E3699" w:rsidRPr="00DB7156">
        <w:rPr>
          <w:rFonts w:ascii="Arial" w:hAnsi="Arial" w:cs="Arial"/>
          <w:sz w:val="24"/>
        </w:rPr>
        <w:t>cooling</w:t>
      </w:r>
      <w:r w:rsidR="004A41D3" w:rsidRPr="00DB7156">
        <w:rPr>
          <w:rFonts w:ascii="Arial" w:hAnsi="Arial" w:cs="Arial"/>
          <w:sz w:val="24"/>
        </w:rPr>
        <w:t xml:space="preserve">. </w:t>
      </w:r>
      <w:r w:rsidR="006B17BD" w:rsidRPr="00DB7156">
        <w:rPr>
          <w:rFonts w:ascii="Arial" w:hAnsi="Arial" w:cs="Arial"/>
          <w:sz w:val="24"/>
        </w:rPr>
        <w:t xml:space="preserve">The </w:t>
      </w:r>
      <w:r w:rsidR="00A5191E" w:rsidRPr="00DB7156">
        <w:rPr>
          <w:rFonts w:ascii="Arial" w:hAnsi="Arial" w:cs="Arial"/>
          <w:sz w:val="24"/>
        </w:rPr>
        <w:t xml:space="preserve">permitting </w:t>
      </w:r>
      <w:r w:rsidR="006B17BD" w:rsidRPr="00DB7156">
        <w:rPr>
          <w:rFonts w:ascii="Arial" w:hAnsi="Arial" w:cs="Arial"/>
          <w:sz w:val="24"/>
        </w:rPr>
        <w:t xml:space="preserve">authority can also require additional measures to protect shellfish and </w:t>
      </w:r>
      <w:r w:rsidR="008E4FEA" w:rsidRPr="00DB7156">
        <w:rPr>
          <w:rFonts w:ascii="Arial" w:hAnsi="Arial" w:cs="Arial"/>
          <w:sz w:val="24"/>
        </w:rPr>
        <w:t>f</w:t>
      </w:r>
      <w:r w:rsidR="006B17BD" w:rsidRPr="00DB7156">
        <w:rPr>
          <w:rFonts w:ascii="Arial" w:hAnsi="Arial" w:cs="Arial"/>
          <w:sz w:val="24"/>
        </w:rPr>
        <w:t>ederally-listed threatened and endangered species and designated critical habitat. For entrainment, t</w:t>
      </w:r>
      <w:r w:rsidRPr="00DB7156">
        <w:rPr>
          <w:rFonts w:ascii="Arial" w:hAnsi="Arial" w:cs="Arial"/>
          <w:sz w:val="24"/>
        </w:rPr>
        <w:t>he rule does not prescribe a single nationally applicable entrainment performance standard</w:t>
      </w:r>
      <w:r w:rsidR="006B17BD" w:rsidRPr="00DB7156">
        <w:rPr>
          <w:rFonts w:ascii="Arial" w:hAnsi="Arial" w:cs="Arial"/>
          <w:sz w:val="24"/>
        </w:rPr>
        <w:t>. Instead, EPA established a detailed regulatory framework for the determination of BTA entrainment requirements by the permitting authority on a site-specific basis.</w:t>
      </w:r>
      <w:r w:rsidR="00032AF7" w:rsidRPr="00DB7156">
        <w:rPr>
          <w:rFonts w:ascii="Arial" w:hAnsi="Arial" w:cs="Arial"/>
          <w:sz w:val="24"/>
        </w:rPr>
        <w:t xml:space="preserve"> </w:t>
      </w:r>
      <w:r w:rsidR="004A41D3" w:rsidRPr="00DB7156">
        <w:rPr>
          <w:rFonts w:ascii="Arial" w:hAnsi="Arial" w:cs="Arial"/>
          <w:sz w:val="24"/>
        </w:rPr>
        <w:t xml:space="preserve">The rule identifies </w:t>
      </w:r>
      <w:r w:rsidR="001978E7" w:rsidRPr="00DB7156">
        <w:rPr>
          <w:rFonts w:ascii="Arial" w:hAnsi="Arial" w:cs="Arial"/>
          <w:sz w:val="24"/>
        </w:rPr>
        <w:t>the</w:t>
      </w:r>
      <w:r w:rsidR="004A41D3" w:rsidRPr="00DB7156">
        <w:rPr>
          <w:rFonts w:ascii="Arial" w:hAnsi="Arial" w:cs="Arial"/>
          <w:sz w:val="24"/>
        </w:rPr>
        <w:t xml:space="preserve"> information </w:t>
      </w:r>
      <w:r w:rsidR="001978E7" w:rsidRPr="00DB7156">
        <w:rPr>
          <w:rFonts w:ascii="Arial" w:hAnsi="Arial" w:cs="Arial"/>
          <w:sz w:val="24"/>
        </w:rPr>
        <w:t xml:space="preserve">that </w:t>
      </w:r>
      <w:r w:rsidR="004A41D3" w:rsidRPr="00DB7156">
        <w:rPr>
          <w:rFonts w:ascii="Arial" w:hAnsi="Arial" w:cs="Arial"/>
          <w:sz w:val="24"/>
        </w:rPr>
        <w:t>must be submitted in the permit application</w:t>
      </w:r>
      <w:r w:rsidR="001978E7" w:rsidRPr="00DB7156">
        <w:rPr>
          <w:rFonts w:ascii="Arial" w:hAnsi="Arial" w:cs="Arial"/>
          <w:sz w:val="24"/>
        </w:rPr>
        <w:t xml:space="preserve"> and</w:t>
      </w:r>
      <w:r w:rsidR="004A41D3" w:rsidRPr="00DB7156">
        <w:rPr>
          <w:rFonts w:ascii="Arial" w:hAnsi="Arial" w:cs="Arial"/>
          <w:sz w:val="24"/>
        </w:rPr>
        <w:t xml:space="preserve"> prescribes procedures that the </w:t>
      </w:r>
      <w:r w:rsidR="00A5191E" w:rsidRPr="00DB7156">
        <w:rPr>
          <w:rFonts w:ascii="Arial" w:hAnsi="Arial" w:cs="Arial"/>
          <w:sz w:val="24"/>
        </w:rPr>
        <w:t xml:space="preserve">permitting </w:t>
      </w:r>
      <w:r w:rsidR="004A41D3" w:rsidRPr="00DB7156">
        <w:rPr>
          <w:rFonts w:ascii="Arial" w:hAnsi="Arial" w:cs="Arial"/>
          <w:sz w:val="24"/>
        </w:rPr>
        <w:t xml:space="preserve">authority must follow in decision making and factors that must be considered in determining what entrainment controls and associated requirements are BTA on a site-specific basis.  </w:t>
      </w:r>
    </w:p>
    <w:p w14:paraId="718138F3" w14:textId="0E6A7435" w:rsidR="002542F3" w:rsidRPr="00DB7156" w:rsidRDefault="002542F3" w:rsidP="00DB7156">
      <w:pPr>
        <w:spacing w:after="0" w:line="240" w:lineRule="auto"/>
        <w:jc w:val="both"/>
        <w:rPr>
          <w:rFonts w:ascii="Arial" w:hAnsi="Arial" w:cs="Arial"/>
          <w:sz w:val="24"/>
        </w:rPr>
      </w:pPr>
    </w:p>
    <w:p w14:paraId="07C4B761" w14:textId="79C29DAA" w:rsidR="002542F3" w:rsidRPr="00DB7156" w:rsidRDefault="00CE1DF0" w:rsidP="00DB7156">
      <w:pPr>
        <w:spacing w:after="0" w:line="240" w:lineRule="auto"/>
        <w:jc w:val="both"/>
        <w:rPr>
          <w:rFonts w:ascii="Arial" w:hAnsi="Arial" w:cs="Arial"/>
          <w:sz w:val="24"/>
        </w:rPr>
      </w:pPr>
      <w:r w:rsidRPr="00DB7156">
        <w:rPr>
          <w:rFonts w:ascii="Arial" w:hAnsi="Arial" w:cs="Arial"/>
          <w:sz w:val="24"/>
        </w:rPr>
        <w:t>In addition, t</w:t>
      </w:r>
      <w:r w:rsidR="00412FC3" w:rsidRPr="00DB7156">
        <w:rPr>
          <w:rFonts w:ascii="Arial" w:hAnsi="Arial" w:cs="Arial"/>
          <w:sz w:val="24"/>
        </w:rPr>
        <w:t xml:space="preserve">he final </w:t>
      </w:r>
      <w:r w:rsidR="00CA7F72" w:rsidRPr="00DB7156">
        <w:rPr>
          <w:rFonts w:ascii="Arial" w:hAnsi="Arial" w:cs="Arial"/>
          <w:sz w:val="24"/>
        </w:rPr>
        <w:t xml:space="preserve">rule establishes a process whereby the </w:t>
      </w:r>
      <w:r w:rsidR="008E4FEA" w:rsidRPr="00DB7156">
        <w:rPr>
          <w:rFonts w:ascii="Arial" w:hAnsi="Arial" w:cs="Arial"/>
          <w:sz w:val="24"/>
        </w:rPr>
        <w:t>Fish and Wildlife Service and the National Marine Fisheries Service (“</w:t>
      </w:r>
      <w:r w:rsidR="00CA7F72" w:rsidRPr="00DB7156">
        <w:rPr>
          <w:rFonts w:ascii="Arial" w:hAnsi="Arial" w:cs="Arial"/>
          <w:sz w:val="24"/>
        </w:rPr>
        <w:t>Services</w:t>
      </w:r>
      <w:r w:rsidR="008E4FEA" w:rsidRPr="00DB7156">
        <w:rPr>
          <w:rFonts w:ascii="Arial" w:hAnsi="Arial" w:cs="Arial"/>
          <w:sz w:val="24"/>
        </w:rPr>
        <w:t>”)</w:t>
      </w:r>
      <w:r w:rsidR="00CA7F72" w:rsidRPr="00DB7156">
        <w:rPr>
          <w:rFonts w:ascii="Arial" w:hAnsi="Arial" w:cs="Arial"/>
          <w:sz w:val="24"/>
        </w:rPr>
        <w:t xml:space="preserve"> will be provided an opportunity to review permit applications of each facility seeking compliance with 316(b) of the CWA, either during a </w:t>
      </w:r>
      <w:r w:rsidRPr="00DB7156">
        <w:rPr>
          <w:rFonts w:ascii="Arial" w:hAnsi="Arial" w:cs="Arial"/>
          <w:sz w:val="24"/>
        </w:rPr>
        <w:t>S</w:t>
      </w:r>
      <w:r w:rsidR="00CA7F72" w:rsidRPr="00DB7156">
        <w:rPr>
          <w:rFonts w:ascii="Arial" w:hAnsi="Arial" w:cs="Arial"/>
          <w:sz w:val="24"/>
        </w:rPr>
        <w:t>ection 7 consultation with EPA or during review of every permit application submitted to a State or Tribe, and to analyze impacts to federally-listed species and designated critical habitat that may result from operation of the facility’s CWIS. During this review, the Services will have an opportunity to recommend control measures, monitoring, and reporting recommendations on a site-specific and species-specific basis that will minimize adverse effects of CWIS operations.  </w:t>
      </w:r>
    </w:p>
    <w:p w14:paraId="1E01C6B8" w14:textId="77777777" w:rsidR="002542F3" w:rsidRPr="00DB7156" w:rsidRDefault="002542F3" w:rsidP="00DB7156">
      <w:pPr>
        <w:spacing w:after="0" w:line="240" w:lineRule="auto"/>
        <w:jc w:val="both"/>
        <w:rPr>
          <w:rFonts w:ascii="Arial" w:hAnsi="Arial" w:cs="Arial"/>
          <w:sz w:val="24"/>
        </w:rPr>
      </w:pPr>
    </w:p>
    <w:p w14:paraId="35D66052" w14:textId="62F2D3F6" w:rsidR="00EB2DB2" w:rsidRPr="00DB7156" w:rsidRDefault="00F55A64" w:rsidP="00DB7156">
      <w:pPr>
        <w:spacing w:after="0" w:line="240" w:lineRule="auto"/>
        <w:jc w:val="both"/>
        <w:rPr>
          <w:rFonts w:ascii="Arial" w:hAnsi="Arial" w:cs="Arial"/>
          <w:sz w:val="24"/>
        </w:rPr>
      </w:pPr>
      <w:r w:rsidRPr="00DB7156">
        <w:rPr>
          <w:rFonts w:ascii="Arial" w:hAnsi="Arial" w:cs="Arial"/>
          <w:sz w:val="24"/>
        </w:rPr>
        <w:t xml:space="preserve">In September 2014, </w:t>
      </w:r>
      <w:r w:rsidR="00BE3825" w:rsidRPr="00DB7156">
        <w:rPr>
          <w:rFonts w:ascii="Arial" w:hAnsi="Arial" w:cs="Arial"/>
          <w:sz w:val="24"/>
        </w:rPr>
        <w:t>t</w:t>
      </w:r>
      <w:r w:rsidR="00D31DC3" w:rsidRPr="00DB7156">
        <w:rPr>
          <w:rFonts w:ascii="Arial" w:hAnsi="Arial" w:cs="Arial"/>
          <w:sz w:val="24"/>
        </w:rPr>
        <w:t>he final rule was challenged by industry</w:t>
      </w:r>
      <w:r w:rsidR="00800812">
        <w:rPr>
          <w:rFonts w:ascii="Arial" w:hAnsi="Arial" w:cs="Arial"/>
          <w:sz w:val="24"/>
        </w:rPr>
        <w:t>.</w:t>
      </w:r>
      <w:r w:rsidR="004C058F">
        <w:rPr>
          <w:rFonts w:ascii="Arial" w:hAnsi="Arial" w:cs="Arial"/>
          <w:sz w:val="24"/>
        </w:rPr>
        <w:t xml:space="preserve"> I</w:t>
      </w:r>
      <w:r w:rsidR="00EB2DB2" w:rsidRPr="00DB7156">
        <w:rPr>
          <w:rFonts w:ascii="Arial" w:hAnsi="Arial" w:cs="Arial"/>
          <w:sz w:val="24"/>
        </w:rPr>
        <w:t>n July</w:t>
      </w:r>
      <w:r w:rsidR="7EC8AE1C" w:rsidRPr="00DB7156">
        <w:rPr>
          <w:rFonts w:ascii="Arial" w:hAnsi="Arial" w:cs="Arial"/>
          <w:sz w:val="24"/>
          <w:szCs w:val="24"/>
        </w:rPr>
        <w:t xml:space="preserve"> 2018</w:t>
      </w:r>
      <w:r w:rsidR="00D25C44" w:rsidRPr="00DB7156">
        <w:rPr>
          <w:rFonts w:ascii="Arial" w:hAnsi="Arial" w:cs="Arial"/>
          <w:sz w:val="24"/>
          <w:szCs w:val="24"/>
        </w:rPr>
        <w:t>,</w:t>
      </w:r>
      <w:r w:rsidR="00EB2DB2" w:rsidRPr="00DB7156">
        <w:rPr>
          <w:rFonts w:ascii="Arial" w:hAnsi="Arial" w:cs="Arial"/>
          <w:sz w:val="24"/>
        </w:rPr>
        <w:t xml:space="preserve"> the Second Circuit</w:t>
      </w:r>
      <w:r w:rsidR="00D25F8E" w:rsidRPr="00DB7156">
        <w:rPr>
          <w:rFonts w:ascii="Arial" w:hAnsi="Arial" w:cs="Arial"/>
          <w:sz w:val="24"/>
        </w:rPr>
        <w:t xml:space="preserve"> Court of Appeals</w:t>
      </w:r>
      <w:r w:rsidR="00EB2DB2" w:rsidRPr="00DB7156">
        <w:rPr>
          <w:rFonts w:ascii="Arial" w:hAnsi="Arial" w:cs="Arial"/>
          <w:sz w:val="24"/>
        </w:rPr>
        <w:t xml:space="preserve"> issued its opinion addressing the challenges to EPA’s 2014 316(b) Rule for Existing Facilities. The court’s decision upheld the </w:t>
      </w:r>
      <w:r w:rsidR="007638FA" w:rsidRPr="00DB7156">
        <w:rPr>
          <w:rFonts w:ascii="Arial" w:hAnsi="Arial" w:cs="Arial"/>
          <w:sz w:val="24"/>
        </w:rPr>
        <w:t>r</w:t>
      </w:r>
      <w:r w:rsidR="00EB2DB2" w:rsidRPr="00DB7156">
        <w:rPr>
          <w:rFonts w:ascii="Arial" w:hAnsi="Arial" w:cs="Arial"/>
          <w:sz w:val="24"/>
        </w:rPr>
        <w:t>ule, the Fish and Wildlife Services’ biological opinion (</w:t>
      </w:r>
      <w:r w:rsidR="00216797">
        <w:rPr>
          <w:rFonts w:ascii="Arial" w:hAnsi="Arial" w:cs="Arial"/>
          <w:sz w:val="24"/>
        </w:rPr>
        <w:t>“</w:t>
      </w:r>
      <w:r w:rsidR="00EB2DB2" w:rsidRPr="00DB7156">
        <w:rPr>
          <w:rFonts w:ascii="Arial" w:hAnsi="Arial" w:cs="Arial"/>
          <w:sz w:val="24"/>
        </w:rPr>
        <w:t>BO</w:t>
      </w:r>
      <w:r w:rsidR="00216797">
        <w:rPr>
          <w:rFonts w:ascii="Arial" w:hAnsi="Arial" w:cs="Arial"/>
          <w:sz w:val="24"/>
        </w:rPr>
        <w:t>”</w:t>
      </w:r>
      <w:r w:rsidR="00EB2DB2" w:rsidRPr="00DB7156">
        <w:rPr>
          <w:rFonts w:ascii="Arial" w:hAnsi="Arial" w:cs="Arial"/>
          <w:sz w:val="24"/>
        </w:rPr>
        <w:t xml:space="preserve">), and the incidental take statement set forth in the BO, concluding that each action was based on a reasonable interpretation of the statutes and sufficiently supported by the record. The court also held that EPA complied with applicable procedures, including giving adequate public notice of the subjects and issues addressed by the final rule.  </w:t>
      </w:r>
    </w:p>
    <w:p w14:paraId="1BB13C81" w14:textId="77777777" w:rsidR="00EB2DB2" w:rsidRPr="00DB7156" w:rsidRDefault="00EB2DB2" w:rsidP="00DB7156">
      <w:pPr>
        <w:spacing w:after="0" w:line="240" w:lineRule="auto"/>
        <w:jc w:val="both"/>
        <w:rPr>
          <w:rFonts w:ascii="Arial" w:hAnsi="Arial" w:cs="Arial"/>
          <w:sz w:val="24"/>
        </w:rPr>
      </w:pPr>
    </w:p>
    <w:p w14:paraId="22BA5022" w14:textId="319E1E13" w:rsidR="00552DDF" w:rsidRPr="00DB7156" w:rsidRDefault="007F2CBA" w:rsidP="00DB7156">
      <w:pPr>
        <w:spacing w:after="0" w:line="240" w:lineRule="auto"/>
        <w:jc w:val="both"/>
        <w:rPr>
          <w:rFonts w:ascii="Arial" w:hAnsi="Arial" w:cs="Arial"/>
          <w:sz w:val="24"/>
        </w:rPr>
      </w:pPr>
      <w:r>
        <w:rPr>
          <w:rFonts w:ascii="Arial" w:hAnsi="Arial" w:cs="Arial"/>
          <w:sz w:val="24"/>
        </w:rPr>
        <w:t>I</w:t>
      </w:r>
      <w:r w:rsidR="00737D3A">
        <w:rPr>
          <w:rFonts w:ascii="Arial" w:hAnsi="Arial" w:cs="Arial"/>
          <w:sz w:val="24"/>
        </w:rPr>
        <w:t>n November 2018</w:t>
      </w:r>
      <w:r w:rsidR="0004495C">
        <w:rPr>
          <w:rFonts w:ascii="Arial" w:hAnsi="Arial" w:cs="Arial"/>
          <w:sz w:val="24"/>
        </w:rPr>
        <w:t>, the Second Circuit issued its order official</w:t>
      </w:r>
      <w:r w:rsidR="009028DD">
        <w:rPr>
          <w:rFonts w:ascii="Arial" w:hAnsi="Arial" w:cs="Arial"/>
          <w:sz w:val="24"/>
        </w:rPr>
        <w:t>l</w:t>
      </w:r>
      <w:r w:rsidR="0004495C">
        <w:rPr>
          <w:rFonts w:ascii="Arial" w:hAnsi="Arial" w:cs="Arial"/>
          <w:sz w:val="24"/>
        </w:rPr>
        <w:t>y denying the environmental groups petition for rehearing. Therefore, parties have until February 14, 2019 to file petition for review with the U.S. Supreme Court.</w:t>
      </w:r>
    </w:p>
    <w:p w14:paraId="7F6C718A" w14:textId="77777777" w:rsidR="0004495C" w:rsidRPr="00DB7156" w:rsidRDefault="0004495C" w:rsidP="00DB7156">
      <w:pPr>
        <w:spacing w:after="0" w:line="240" w:lineRule="auto"/>
        <w:jc w:val="both"/>
        <w:rPr>
          <w:rFonts w:ascii="Arial" w:hAnsi="Arial" w:cs="Arial"/>
          <w:sz w:val="24"/>
        </w:rPr>
      </w:pPr>
    </w:p>
    <w:p w14:paraId="22BA5023" w14:textId="7DDB642C" w:rsidR="00FC67F9" w:rsidRPr="00DB7156" w:rsidRDefault="00841D51" w:rsidP="00DB7156">
      <w:pPr>
        <w:keepNext/>
        <w:autoSpaceDE w:val="0"/>
        <w:autoSpaceDN w:val="0"/>
        <w:adjustRightInd w:val="0"/>
        <w:spacing w:after="0" w:line="240" w:lineRule="auto"/>
        <w:jc w:val="both"/>
        <w:outlineLvl w:val="1"/>
        <w:rPr>
          <w:rFonts w:ascii="Arial" w:hAnsi="Arial" w:cs="Arial"/>
          <w:b/>
          <w:snapToGrid w:val="0"/>
          <w:color w:val="000080"/>
          <w:sz w:val="24"/>
          <w:szCs w:val="24"/>
        </w:rPr>
      </w:pPr>
      <w:bookmarkStart w:id="111" w:name="_Toc527987341"/>
      <w:bookmarkStart w:id="112" w:name="_Toc527983888"/>
      <w:bookmarkStart w:id="113" w:name="_Toc530487272"/>
      <w:bookmarkStart w:id="114" w:name="_Toc535908140"/>
      <w:bookmarkStart w:id="115" w:name="_Hlk528666346"/>
      <w:r w:rsidRPr="00DB7156">
        <w:rPr>
          <w:rFonts w:ascii="Arial" w:hAnsi="Arial" w:cs="Arial"/>
          <w:b/>
          <w:bCs/>
          <w:color w:val="000080"/>
          <w:sz w:val="24"/>
          <w:szCs w:val="24"/>
        </w:rPr>
        <w:t>2.1</w:t>
      </w:r>
      <w:r w:rsidR="007376BD" w:rsidRPr="00DB7156">
        <w:rPr>
          <w:rFonts w:ascii="Arial" w:hAnsi="Arial" w:cs="Arial"/>
          <w:b/>
          <w:bCs/>
          <w:color w:val="000080"/>
          <w:sz w:val="24"/>
          <w:szCs w:val="24"/>
        </w:rPr>
        <w:t>5</w:t>
      </w:r>
      <w:r w:rsidRPr="00DB7156">
        <w:rPr>
          <w:rFonts w:ascii="Arial" w:hAnsi="Arial" w:cs="Arial"/>
          <w:b/>
          <w:bCs/>
          <w:color w:val="000080"/>
          <w:sz w:val="24"/>
          <w:szCs w:val="24"/>
        </w:rPr>
        <w:tab/>
      </w:r>
      <w:r w:rsidR="00FC67F9" w:rsidRPr="00DB7156">
        <w:rPr>
          <w:rFonts w:ascii="Arial" w:hAnsi="Arial" w:cs="Arial"/>
          <w:b/>
          <w:snapToGrid w:val="0"/>
          <w:color w:val="000080"/>
          <w:sz w:val="24"/>
          <w:szCs w:val="24"/>
        </w:rPr>
        <w:t>Effluent Limitations Guidelines</w:t>
      </w:r>
      <w:r w:rsidR="00985F54">
        <w:rPr>
          <w:rFonts w:ascii="Arial" w:hAnsi="Arial" w:cs="Arial"/>
          <w:b/>
          <w:snapToGrid w:val="0"/>
          <w:color w:val="000080"/>
          <w:sz w:val="24"/>
          <w:szCs w:val="24"/>
        </w:rPr>
        <w:t xml:space="preserve"> </w:t>
      </w:r>
      <w:r w:rsidR="00FC67F9" w:rsidRPr="00DB7156">
        <w:rPr>
          <w:rFonts w:ascii="Arial" w:hAnsi="Arial" w:cs="Arial"/>
          <w:b/>
          <w:snapToGrid w:val="0"/>
          <w:color w:val="000080"/>
          <w:sz w:val="24"/>
          <w:szCs w:val="24"/>
        </w:rPr>
        <w:t>Revision</w:t>
      </w:r>
      <w:bookmarkEnd w:id="111"/>
      <w:bookmarkEnd w:id="112"/>
      <w:bookmarkEnd w:id="113"/>
      <w:bookmarkEnd w:id="114"/>
    </w:p>
    <w:p w14:paraId="3A51BFBE" w14:textId="77777777" w:rsidR="00A40796" w:rsidRDefault="00A40796" w:rsidP="00DB7156">
      <w:pPr>
        <w:spacing w:after="0" w:line="240" w:lineRule="auto"/>
        <w:jc w:val="both"/>
        <w:rPr>
          <w:rFonts w:ascii="Arial" w:hAnsi="Arial" w:cs="Arial"/>
          <w:sz w:val="24"/>
          <w:szCs w:val="24"/>
        </w:rPr>
      </w:pPr>
    </w:p>
    <w:p w14:paraId="22BA5024" w14:textId="282F5161" w:rsidR="00FC67F9" w:rsidRPr="00DB7156" w:rsidRDefault="004C058F" w:rsidP="00DB7156">
      <w:pPr>
        <w:spacing w:after="0" w:line="240" w:lineRule="auto"/>
        <w:jc w:val="both"/>
        <w:rPr>
          <w:rFonts w:ascii="Arial" w:hAnsi="Arial" w:cs="Arial"/>
          <w:sz w:val="24"/>
          <w:szCs w:val="24"/>
        </w:rPr>
      </w:pPr>
      <w:r>
        <w:rPr>
          <w:rFonts w:ascii="Arial" w:hAnsi="Arial" w:cs="Arial"/>
          <w:sz w:val="24"/>
          <w:szCs w:val="24"/>
        </w:rPr>
        <w:t>I</w:t>
      </w:r>
      <w:r w:rsidR="00FC67F9" w:rsidRPr="00DB7156">
        <w:rPr>
          <w:rFonts w:ascii="Arial" w:hAnsi="Arial" w:cs="Arial"/>
          <w:sz w:val="24"/>
          <w:szCs w:val="24"/>
        </w:rPr>
        <w:t xml:space="preserve">n September 2009, EPA announced its plans to commence a rulemaking to revise the effluent </w:t>
      </w:r>
      <w:r w:rsidR="009310F1" w:rsidRPr="00DB7156">
        <w:rPr>
          <w:rFonts w:ascii="Arial" w:hAnsi="Arial" w:cs="Arial"/>
          <w:sz w:val="24"/>
          <w:szCs w:val="24"/>
        </w:rPr>
        <w:t xml:space="preserve">limitations </w:t>
      </w:r>
      <w:r w:rsidR="00FC67F9" w:rsidRPr="00DB7156">
        <w:rPr>
          <w:rFonts w:ascii="Arial" w:hAnsi="Arial" w:cs="Arial"/>
          <w:sz w:val="24"/>
          <w:szCs w:val="24"/>
        </w:rPr>
        <w:t xml:space="preserve">guidelines </w:t>
      </w:r>
      <w:r w:rsidR="00A54FE5" w:rsidRPr="00DB7156">
        <w:rPr>
          <w:rFonts w:ascii="Arial" w:hAnsi="Arial" w:cs="Arial"/>
          <w:sz w:val="24"/>
          <w:szCs w:val="24"/>
        </w:rPr>
        <w:t xml:space="preserve">and standards </w:t>
      </w:r>
      <w:r w:rsidR="00FC67F9" w:rsidRPr="00DB7156">
        <w:rPr>
          <w:rFonts w:ascii="Arial" w:hAnsi="Arial" w:cs="Arial"/>
          <w:sz w:val="24"/>
          <w:szCs w:val="24"/>
        </w:rPr>
        <w:t xml:space="preserve">for steam electric </w:t>
      </w:r>
      <w:r w:rsidR="00831893" w:rsidRPr="00DB7156">
        <w:rPr>
          <w:rFonts w:ascii="Arial" w:hAnsi="Arial" w:cs="Arial"/>
          <w:sz w:val="24"/>
          <w:szCs w:val="24"/>
        </w:rPr>
        <w:t xml:space="preserve">power </w:t>
      </w:r>
      <w:r w:rsidR="00FC67F9" w:rsidRPr="00DB7156">
        <w:rPr>
          <w:rFonts w:ascii="Arial" w:hAnsi="Arial" w:cs="Arial"/>
          <w:sz w:val="24"/>
          <w:szCs w:val="24"/>
        </w:rPr>
        <w:t>plants. The</w:t>
      </w:r>
      <w:r w:rsidR="009310F1" w:rsidRPr="00DB7156">
        <w:rPr>
          <w:rFonts w:ascii="Arial" w:hAnsi="Arial" w:cs="Arial"/>
          <w:sz w:val="24"/>
          <w:szCs w:val="24"/>
        </w:rPr>
        <w:t>se</w:t>
      </w:r>
      <w:r w:rsidR="00BE3825" w:rsidRPr="00DB7156">
        <w:rPr>
          <w:rFonts w:ascii="Arial" w:hAnsi="Arial" w:cs="Arial"/>
          <w:sz w:val="24"/>
          <w:szCs w:val="24"/>
        </w:rPr>
        <w:t xml:space="preserve"> </w:t>
      </w:r>
      <w:r w:rsidR="0067730E" w:rsidRPr="00DB7156">
        <w:rPr>
          <w:rFonts w:ascii="Arial" w:hAnsi="Arial" w:cs="Arial"/>
          <w:sz w:val="24"/>
          <w:szCs w:val="24"/>
        </w:rPr>
        <w:t>ELGs</w:t>
      </w:r>
      <w:r w:rsidR="00D25F8E" w:rsidRPr="00DB7156">
        <w:rPr>
          <w:rFonts w:ascii="Arial" w:hAnsi="Arial" w:cs="Arial"/>
          <w:sz w:val="24"/>
          <w:szCs w:val="24"/>
        </w:rPr>
        <w:t>,</w:t>
      </w:r>
      <w:r w:rsidR="0067730E" w:rsidRPr="00DB7156" w:rsidDel="00A54FE5">
        <w:rPr>
          <w:rFonts w:ascii="Arial" w:hAnsi="Arial" w:cs="Arial"/>
          <w:sz w:val="24"/>
          <w:szCs w:val="24"/>
        </w:rPr>
        <w:t xml:space="preserve"> which</w:t>
      </w:r>
      <w:r w:rsidR="00FC67F9" w:rsidRPr="00DB7156" w:rsidDel="00A54FE5">
        <w:rPr>
          <w:rFonts w:ascii="Arial" w:hAnsi="Arial" w:cs="Arial"/>
          <w:sz w:val="24"/>
          <w:szCs w:val="24"/>
        </w:rPr>
        <w:t xml:space="preserve"> </w:t>
      </w:r>
      <w:r w:rsidR="009310F1" w:rsidRPr="00DB7156">
        <w:rPr>
          <w:rFonts w:ascii="Arial" w:hAnsi="Arial" w:cs="Arial"/>
          <w:sz w:val="24"/>
          <w:szCs w:val="24"/>
        </w:rPr>
        <w:t xml:space="preserve">were last </w:t>
      </w:r>
      <w:r w:rsidR="00FC67F9" w:rsidRPr="00DB7156" w:rsidDel="00A54FE5">
        <w:rPr>
          <w:rFonts w:ascii="Arial" w:hAnsi="Arial" w:cs="Arial"/>
          <w:sz w:val="24"/>
          <w:szCs w:val="24"/>
        </w:rPr>
        <w:t xml:space="preserve">promulgated in 1982, </w:t>
      </w:r>
      <w:r w:rsidR="006B6F34" w:rsidRPr="00DB7156" w:rsidDel="00A54FE5">
        <w:rPr>
          <w:rFonts w:ascii="Arial" w:hAnsi="Arial" w:cs="Arial"/>
          <w:sz w:val="24"/>
          <w:szCs w:val="24"/>
        </w:rPr>
        <w:t xml:space="preserve">established </w:t>
      </w:r>
      <w:r w:rsidR="00FC67F9" w:rsidRPr="00DB7156" w:rsidDel="00A54FE5">
        <w:rPr>
          <w:rFonts w:ascii="Arial" w:hAnsi="Arial" w:cs="Arial"/>
          <w:sz w:val="24"/>
          <w:szCs w:val="24"/>
        </w:rPr>
        <w:t xml:space="preserve">technology-based effluent limitations for new and existing discharges. </w:t>
      </w:r>
      <w:r w:rsidR="00831893" w:rsidRPr="00DB7156">
        <w:rPr>
          <w:rFonts w:ascii="Arial" w:hAnsi="Arial" w:cs="Arial"/>
          <w:sz w:val="24"/>
          <w:szCs w:val="24"/>
        </w:rPr>
        <w:t>EPA’s</w:t>
      </w:r>
      <w:r w:rsidR="00A54FE5" w:rsidRPr="00DB7156">
        <w:rPr>
          <w:rFonts w:ascii="Arial" w:hAnsi="Arial" w:cs="Arial"/>
          <w:sz w:val="24"/>
          <w:szCs w:val="24"/>
        </w:rPr>
        <w:t xml:space="preserve"> decision </w:t>
      </w:r>
      <w:r w:rsidR="009310F1" w:rsidRPr="00DB7156">
        <w:rPr>
          <w:rFonts w:ascii="Arial" w:hAnsi="Arial" w:cs="Arial"/>
          <w:sz w:val="24"/>
          <w:szCs w:val="24"/>
        </w:rPr>
        <w:t xml:space="preserve">to revise them </w:t>
      </w:r>
      <w:r w:rsidR="00A54FE5" w:rsidRPr="00DB7156">
        <w:rPr>
          <w:rFonts w:ascii="Arial" w:hAnsi="Arial" w:cs="Arial"/>
          <w:sz w:val="24"/>
          <w:szCs w:val="24"/>
        </w:rPr>
        <w:t xml:space="preserve">was based on </w:t>
      </w:r>
      <w:r w:rsidR="00FC67F9" w:rsidRPr="00DB7156">
        <w:rPr>
          <w:rFonts w:ascii="Arial" w:hAnsi="Arial" w:cs="Arial"/>
          <w:sz w:val="24"/>
          <w:szCs w:val="24"/>
        </w:rPr>
        <w:t>a multi-year study of power plant wastewater discharges</w:t>
      </w:r>
      <w:r w:rsidR="00FF0256" w:rsidRPr="00DB7156">
        <w:rPr>
          <w:rFonts w:ascii="Arial" w:hAnsi="Arial" w:cs="Arial"/>
          <w:sz w:val="24"/>
          <w:szCs w:val="24"/>
        </w:rPr>
        <w:t>,</w:t>
      </w:r>
      <w:r w:rsidR="00FC67F9" w:rsidRPr="00DB7156">
        <w:rPr>
          <w:rFonts w:ascii="Arial" w:hAnsi="Arial" w:cs="Arial"/>
          <w:sz w:val="24"/>
          <w:szCs w:val="24"/>
        </w:rPr>
        <w:t xml:space="preserve"> </w:t>
      </w:r>
      <w:r w:rsidR="00ED32D2" w:rsidRPr="00DB7156">
        <w:rPr>
          <w:rFonts w:ascii="Arial" w:hAnsi="Arial" w:cs="Arial"/>
          <w:sz w:val="24"/>
          <w:szCs w:val="24"/>
        </w:rPr>
        <w:t xml:space="preserve">from </w:t>
      </w:r>
      <w:r w:rsidR="00A54FE5" w:rsidRPr="00DB7156">
        <w:rPr>
          <w:rFonts w:ascii="Arial" w:hAnsi="Arial" w:cs="Arial"/>
          <w:sz w:val="24"/>
          <w:szCs w:val="24"/>
        </w:rPr>
        <w:t>which</w:t>
      </w:r>
      <w:r w:rsidR="00FC67F9" w:rsidRPr="00DB7156">
        <w:rPr>
          <w:rFonts w:ascii="Arial" w:hAnsi="Arial" w:cs="Arial"/>
          <w:sz w:val="24"/>
          <w:szCs w:val="24"/>
        </w:rPr>
        <w:t xml:space="preserve"> </w:t>
      </w:r>
      <w:r w:rsidR="00ED32D2" w:rsidRPr="00DB7156">
        <w:rPr>
          <w:rFonts w:ascii="Arial" w:hAnsi="Arial" w:cs="Arial"/>
          <w:sz w:val="24"/>
          <w:szCs w:val="24"/>
        </w:rPr>
        <w:t xml:space="preserve">EPA </w:t>
      </w:r>
      <w:r w:rsidR="00FC67F9" w:rsidRPr="00DB7156">
        <w:rPr>
          <w:rFonts w:ascii="Arial" w:hAnsi="Arial" w:cs="Arial"/>
          <w:sz w:val="24"/>
          <w:szCs w:val="24"/>
        </w:rPr>
        <w:t xml:space="preserve">concluded that pollutant discharges from coal-fired power plants </w:t>
      </w:r>
      <w:r w:rsidR="008E4FEA" w:rsidRPr="00DB7156">
        <w:rPr>
          <w:rFonts w:ascii="Arial" w:hAnsi="Arial" w:cs="Arial"/>
          <w:sz w:val="24"/>
          <w:szCs w:val="24"/>
        </w:rPr>
        <w:t xml:space="preserve">would </w:t>
      </w:r>
      <w:r w:rsidR="00FC67F9" w:rsidRPr="00DB7156">
        <w:rPr>
          <w:rFonts w:ascii="Arial" w:hAnsi="Arial" w:cs="Arial"/>
          <w:sz w:val="24"/>
          <w:szCs w:val="24"/>
        </w:rPr>
        <w:t>increase as new air pollution controls are installed</w:t>
      </w:r>
      <w:r w:rsidR="001267EE" w:rsidRPr="00DB7156">
        <w:rPr>
          <w:rFonts w:ascii="Arial" w:hAnsi="Arial" w:cs="Arial"/>
          <w:sz w:val="24"/>
          <w:szCs w:val="24"/>
        </w:rPr>
        <w:t xml:space="preserve"> and </w:t>
      </w:r>
      <w:r w:rsidR="00FC67F9" w:rsidRPr="00DB7156">
        <w:rPr>
          <w:rFonts w:ascii="Arial" w:hAnsi="Arial" w:cs="Arial"/>
          <w:sz w:val="24"/>
          <w:szCs w:val="24"/>
        </w:rPr>
        <w:t xml:space="preserve">that technologies are available to reduce pollutant loadings from ash transport water and </w:t>
      </w:r>
      <w:r w:rsidR="007336C5" w:rsidRPr="00DB7156">
        <w:rPr>
          <w:rFonts w:ascii="Arial" w:hAnsi="Arial" w:cs="Arial"/>
          <w:sz w:val="24"/>
          <w:szCs w:val="24"/>
        </w:rPr>
        <w:t>FGD</w:t>
      </w:r>
      <w:r w:rsidR="00FC67F9" w:rsidRPr="00DB7156">
        <w:rPr>
          <w:rFonts w:ascii="Arial" w:hAnsi="Arial" w:cs="Arial"/>
          <w:sz w:val="24"/>
          <w:szCs w:val="24"/>
        </w:rPr>
        <w:t xml:space="preserve"> wastewater.</w:t>
      </w:r>
    </w:p>
    <w:p w14:paraId="22BA5025" w14:textId="77777777" w:rsidR="002F1DF0" w:rsidRPr="00DB7156" w:rsidRDefault="002F1DF0" w:rsidP="00DB7156">
      <w:pPr>
        <w:spacing w:after="0" w:line="240" w:lineRule="auto"/>
        <w:jc w:val="both"/>
        <w:rPr>
          <w:rFonts w:ascii="Arial" w:hAnsi="Arial" w:cs="Arial"/>
          <w:sz w:val="24"/>
          <w:szCs w:val="24"/>
        </w:rPr>
      </w:pPr>
    </w:p>
    <w:p w14:paraId="22BA5026" w14:textId="0A3033BA" w:rsidR="00FC67F9" w:rsidRPr="00DB7156" w:rsidRDefault="008E4FEA" w:rsidP="00DB7156">
      <w:pPr>
        <w:spacing w:after="0" w:line="240" w:lineRule="auto"/>
        <w:jc w:val="both"/>
        <w:rPr>
          <w:rFonts w:ascii="Arial" w:hAnsi="Arial" w:cs="Arial"/>
          <w:sz w:val="24"/>
          <w:szCs w:val="24"/>
        </w:rPr>
      </w:pPr>
      <w:r w:rsidRPr="00DB7156">
        <w:rPr>
          <w:rFonts w:ascii="Arial" w:hAnsi="Arial" w:cs="Arial"/>
          <w:sz w:val="24"/>
          <w:szCs w:val="24"/>
        </w:rPr>
        <w:t>Prior to proposing changes to the rule</w:t>
      </w:r>
      <w:r w:rsidR="00FC67F9" w:rsidRPr="00DB7156">
        <w:rPr>
          <w:rFonts w:ascii="Arial" w:hAnsi="Arial" w:cs="Arial"/>
          <w:sz w:val="24"/>
          <w:szCs w:val="24"/>
        </w:rPr>
        <w:t>, EPA sent a lengthy and comprehensive Information Collection Request (</w:t>
      </w:r>
      <w:r w:rsidR="0015298C">
        <w:rPr>
          <w:rFonts w:ascii="Arial" w:hAnsi="Arial" w:cs="Arial"/>
          <w:sz w:val="24"/>
          <w:szCs w:val="24"/>
        </w:rPr>
        <w:t>“</w:t>
      </w:r>
      <w:r w:rsidR="00FC67F9" w:rsidRPr="00DB7156">
        <w:rPr>
          <w:rFonts w:ascii="Arial" w:hAnsi="Arial" w:cs="Arial"/>
          <w:sz w:val="24"/>
          <w:szCs w:val="24"/>
        </w:rPr>
        <w:t>ICR</w:t>
      </w:r>
      <w:r w:rsidR="0015298C">
        <w:rPr>
          <w:rFonts w:ascii="Arial" w:hAnsi="Arial" w:cs="Arial"/>
          <w:sz w:val="24"/>
          <w:szCs w:val="24"/>
        </w:rPr>
        <w:t>”</w:t>
      </w:r>
      <w:r w:rsidR="00FC67F9" w:rsidRPr="00DB7156">
        <w:rPr>
          <w:rFonts w:ascii="Arial" w:hAnsi="Arial" w:cs="Arial"/>
          <w:sz w:val="24"/>
          <w:szCs w:val="24"/>
        </w:rPr>
        <w:t>) to 733 facilities seeking technical and economic data about FGD wastewater, ash handling, metal cleaning wastes, surface impoundments, wastewater treatment</w:t>
      </w:r>
      <w:r w:rsidR="00831893" w:rsidRPr="00DB7156">
        <w:rPr>
          <w:rFonts w:ascii="Arial" w:hAnsi="Arial" w:cs="Arial"/>
          <w:sz w:val="24"/>
          <w:szCs w:val="24"/>
        </w:rPr>
        <w:t xml:space="preserve"> systems</w:t>
      </w:r>
      <w:r w:rsidR="00FC67F9" w:rsidRPr="00DB7156">
        <w:rPr>
          <w:rFonts w:ascii="Arial" w:hAnsi="Arial" w:cs="Arial"/>
          <w:sz w:val="24"/>
          <w:szCs w:val="24"/>
        </w:rPr>
        <w:t xml:space="preserve">, and landfill operations. In addition, EPA </w:t>
      </w:r>
      <w:r w:rsidR="00A54FE5" w:rsidRPr="00DB7156">
        <w:rPr>
          <w:rFonts w:ascii="Arial" w:hAnsi="Arial" w:cs="Arial"/>
          <w:sz w:val="24"/>
          <w:szCs w:val="24"/>
        </w:rPr>
        <w:t>conducted</w:t>
      </w:r>
      <w:r w:rsidR="00FC67F9" w:rsidRPr="00DB7156">
        <w:rPr>
          <w:rFonts w:ascii="Arial" w:hAnsi="Arial" w:cs="Arial"/>
          <w:sz w:val="24"/>
          <w:szCs w:val="24"/>
        </w:rPr>
        <w:t xml:space="preserve"> a wastewater sampling program focused on the evaluation of FGD wastewater treatment systems (e.g., </w:t>
      </w:r>
      <w:r w:rsidR="00A54FE5" w:rsidRPr="00DB7156">
        <w:rPr>
          <w:rFonts w:ascii="Arial" w:hAnsi="Arial" w:cs="Arial"/>
          <w:sz w:val="24"/>
          <w:szCs w:val="24"/>
        </w:rPr>
        <w:t>chemical precipitation</w:t>
      </w:r>
      <w:r w:rsidR="00FC67F9" w:rsidRPr="00DB7156">
        <w:rPr>
          <w:rFonts w:ascii="Arial" w:hAnsi="Arial" w:cs="Arial"/>
          <w:sz w:val="24"/>
          <w:szCs w:val="24"/>
        </w:rPr>
        <w:t>, biological</w:t>
      </w:r>
      <w:r w:rsidR="00A54FE5" w:rsidRPr="00DB7156">
        <w:rPr>
          <w:rFonts w:ascii="Arial" w:hAnsi="Arial" w:cs="Arial"/>
          <w:sz w:val="24"/>
          <w:szCs w:val="24"/>
        </w:rPr>
        <w:t>, and evaporation</w:t>
      </w:r>
      <w:r w:rsidR="00FC67F9" w:rsidRPr="00DB7156">
        <w:rPr>
          <w:rFonts w:ascii="Arial" w:hAnsi="Arial" w:cs="Arial"/>
          <w:sz w:val="24"/>
          <w:szCs w:val="24"/>
        </w:rPr>
        <w:t xml:space="preserve"> processes) </w:t>
      </w:r>
      <w:r w:rsidR="002D5703" w:rsidRPr="00DB7156">
        <w:rPr>
          <w:rFonts w:ascii="Arial" w:hAnsi="Arial" w:cs="Arial"/>
          <w:sz w:val="24"/>
          <w:szCs w:val="24"/>
        </w:rPr>
        <w:t>for</w:t>
      </w:r>
      <w:r w:rsidR="00FC67F9" w:rsidRPr="00DB7156">
        <w:rPr>
          <w:rFonts w:ascii="Arial" w:hAnsi="Arial" w:cs="Arial"/>
          <w:sz w:val="24"/>
          <w:szCs w:val="24"/>
        </w:rPr>
        <w:t xml:space="preserve"> the removal of nutrients</w:t>
      </w:r>
      <w:r w:rsidR="00D7472F" w:rsidRPr="00DB7156">
        <w:rPr>
          <w:rFonts w:ascii="Arial" w:hAnsi="Arial" w:cs="Arial"/>
          <w:sz w:val="24"/>
          <w:szCs w:val="24"/>
        </w:rPr>
        <w:t xml:space="preserve"> </w:t>
      </w:r>
      <w:r w:rsidR="00FC67F9" w:rsidRPr="00DB7156">
        <w:rPr>
          <w:rFonts w:ascii="Arial" w:hAnsi="Arial" w:cs="Arial"/>
          <w:sz w:val="24"/>
          <w:szCs w:val="24"/>
        </w:rPr>
        <w:t xml:space="preserve">and metals. </w:t>
      </w:r>
      <w:r w:rsidR="00D25F8E" w:rsidRPr="00DB7156">
        <w:rPr>
          <w:rFonts w:ascii="Arial" w:hAnsi="Arial" w:cs="Arial"/>
          <w:sz w:val="24"/>
          <w:szCs w:val="24"/>
        </w:rPr>
        <w:t xml:space="preserve">In </w:t>
      </w:r>
      <w:r w:rsidR="007336C5" w:rsidRPr="00DB7156">
        <w:rPr>
          <w:rFonts w:ascii="Arial" w:hAnsi="Arial" w:cs="Arial"/>
          <w:sz w:val="24"/>
          <w:szCs w:val="24"/>
        </w:rPr>
        <w:t>June 2013, EPA published a proposed rule with eight regulatory options</w:t>
      </w:r>
      <w:r w:rsidR="00A72879" w:rsidRPr="00DB7156">
        <w:rPr>
          <w:rFonts w:ascii="Arial" w:hAnsi="Arial" w:cs="Arial"/>
          <w:sz w:val="24"/>
          <w:szCs w:val="24"/>
        </w:rPr>
        <w:t>,</w:t>
      </w:r>
      <w:r w:rsidR="007336C5" w:rsidRPr="00DB7156">
        <w:rPr>
          <w:rFonts w:ascii="Arial" w:hAnsi="Arial" w:cs="Arial"/>
          <w:sz w:val="24"/>
          <w:szCs w:val="24"/>
        </w:rPr>
        <w:t xml:space="preserve"> </w:t>
      </w:r>
      <w:r w:rsidR="00831893" w:rsidRPr="00DB7156">
        <w:rPr>
          <w:rFonts w:ascii="Arial" w:hAnsi="Arial" w:cs="Arial"/>
          <w:sz w:val="24"/>
          <w:szCs w:val="24"/>
        </w:rPr>
        <w:t xml:space="preserve">four </w:t>
      </w:r>
      <w:r w:rsidR="00A72879" w:rsidRPr="00DB7156">
        <w:rPr>
          <w:rFonts w:ascii="Arial" w:hAnsi="Arial" w:cs="Arial"/>
          <w:sz w:val="24"/>
          <w:szCs w:val="24"/>
        </w:rPr>
        <w:t xml:space="preserve">of which were </w:t>
      </w:r>
      <w:r w:rsidR="00831893" w:rsidRPr="00DB7156">
        <w:rPr>
          <w:rFonts w:ascii="Arial" w:hAnsi="Arial" w:cs="Arial"/>
          <w:sz w:val="24"/>
          <w:szCs w:val="24"/>
        </w:rPr>
        <w:t>“preferred”</w:t>
      </w:r>
      <w:r w:rsidR="00A72879" w:rsidRPr="00DB7156">
        <w:rPr>
          <w:rFonts w:ascii="Arial" w:hAnsi="Arial" w:cs="Arial"/>
          <w:sz w:val="24"/>
          <w:szCs w:val="24"/>
        </w:rPr>
        <w:t xml:space="preserve"> by EPA,</w:t>
      </w:r>
      <w:r w:rsidR="00831893" w:rsidRPr="00DB7156">
        <w:rPr>
          <w:rFonts w:ascii="Arial" w:hAnsi="Arial" w:cs="Arial"/>
          <w:sz w:val="24"/>
          <w:szCs w:val="24"/>
        </w:rPr>
        <w:t xml:space="preserve"> </w:t>
      </w:r>
      <w:r w:rsidR="007336C5" w:rsidRPr="00DB7156">
        <w:rPr>
          <w:rFonts w:ascii="Arial" w:hAnsi="Arial" w:cs="Arial"/>
          <w:sz w:val="24"/>
          <w:szCs w:val="24"/>
        </w:rPr>
        <w:t>covering seven wastestreams.</w:t>
      </w:r>
    </w:p>
    <w:p w14:paraId="22BA5027" w14:textId="77777777" w:rsidR="00FC67F9" w:rsidRPr="00DB7156" w:rsidRDefault="00FC67F9" w:rsidP="00DB7156">
      <w:pPr>
        <w:spacing w:after="0" w:line="240" w:lineRule="auto"/>
        <w:jc w:val="both"/>
        <w:rPr>
          <w:rFonts w:ascii="Arial" w:hAnsi="Arial" w:cs="Arial"/>
          <w:sz w:val="24"/>
          <w:szCs w:val="24"/>
        </w:rPr>
      </w:pPr>
    </w:p>
    <w:p w14:paraId="3B6000DF" w14:textId="47BF9EF6" w:rsidR="00A72879" w:rsidRPr="00DB7156" w:rsidRDefault="004C058F" w:rsidP="00DB7156">
      <w:pPr>
        <w:spacing w:after="0" w:line="240" w:lineRule="auto"/>
        <w:jc w:val="both"/>
        <w:rPr>
          <w:rFonts w:ascii="Arial" w:hAnsi="Arial" w:cs="Arial"/>
          <w:sz w:val="24"/>
          <w:szCs w:val="24"/>
        </w:rPr>
      </w:pPr>
      <w:r>
        <w:rPr>
          <w:rFonts w:ascii="Arial" w:hAnsi="Arial" w:cs="Arial"/>
          <w:sz w:val="24"/>
          <w:szCs w:val="24"/>
        </w:rPr>
        <w:t>I</w:t>
      </w:r>
      <w:r w:rsidR="007336C5" w:rsidRPr="00DB7156">
        <w:rPr>
          <w:rFonts w:ascii="Arial" w:hAnsi="Arial" w:cs="Arial"/>
          <w:sz w:val="24"/>
          <w:szCs w:val="24"/>
        </w:rPr>
        <w:t xml:space="preserve">n November 2015, EPA published a </w:t>
      </w:r>
      <w:r w:rsidR="00996DFB" w:rsidRPr="00DB7156">
        <w:rPr>
          <w:rFonts w:ascii="Arial" w:hAnsi="Arial" w:cs="Arial"/>
          <w:sz w:val="24"/>
          <w:szCs w:val="24"/>
        </w:rPr>
        <w:t xml:space="preserve">final rule </w:t>
      </w:r>
      <w:r w:rsidR="008E4FEA" w:rsidRPr="00DB7156">
        <w:rPr>
          <w:rFonts w:ascii="Arial" w:hAnsi="Arial" w:cs="Arial"/>
          <w:sz w:val="24"/>
          <w:szCs w:val="24"/>
        </w:rPr>
        <w:t>that</w:t>
      </w:r>
      <w:r w:rsidR="00936869" w:rsidRPr="00DB7156">
        <w:rPr>
          <w:rFonts w:ascii="Arial" w:hAnsi="Arial" w:cs="Arial"/>
          <w:sz w:val="24"/>
          <w:szCs w:val="24"/>
        </w:rPr>
        <w:t xml:space="preserve"> revise</w:t>
      </w:r>
      <w:r w:rsidR="008E4FEA" w:rsidRPr="00DB7156">
        <w:rPr>
          <w:rFonts w:ascii="Arial" w:hAnsi="Arial" w:cs="Arial"/>
          <w:sz w:val="24"/>
          <w:szCs w:val="24"/>
        </w:rPr>
        <w:t>d</w:t>
      </w:r>
      <w:r w:rsidR="00936869" w:rsidRPr="00DB7156">
        <w:rPr>
          <w:rFonts w:ascii="Arial" w:hAnsi="Arial" w:cs="Arial"/>
          <w:sz w:val="24"/>
          <w:szCs w:val="24"/>
        </w:rPr>
        <w:t xml:space="preserve"> or establishe</w:t>
      </w:r>
      <w:r w:rsidR="008E4FEA" w:rsidRPr="00DB7156">
        <w:rPr>
          <w:rFonts w:ascii="Arial" w:hAnsi="Arial" w:cs="Arial"/>
          <w:sz w:val="24"/>
          <w:szCs w:val="24"/>
        </w:rPr>
        <w:t>d</w:t>
      </w:r>
      <w:r w:rsidR="00936869" w:rsidRPr="00DB7156">
        <w:rPr>
          <w:rFonts w:ascii="Arial" w:hAnsi="Arial" w:cs="Arial"/>
          <w:sz w:val="24"/>
          <w:szCs w:val="24"/>
        </w:rPr>
        <w:t xml:space="preserve"> standards for BPT, BAT, PSES, NSPS, and PSNS that apply to six wastestreams: FGD wastewater, fly ash transport water, bottom ash transport water, combustion residual leachate, gasification wastewater, and flue gas mercury control</w:t>
      </w:r>
      <w:r w:rsidR="00FF0A7E">
        <w:rPr>
          <w:rFonts w:ascii="Arial" w:hAnsi="Arial" w:cs="Arial"/>
          <w:sz w:val="24"/>
          <w:szCs w:val="24"/>
        </w:rPr>
        <w:t xml:space="preserve"> </w:t>
      </w:r>
      <w:r w:rsidR="00936869" w:rsidRPr="00DB7156">
        <w:rPr>
          <w:rFonts w:ascii="Arial" w:hAnsi="Arial" w:cs="Arial"/>
          <w:sz w:val="24"/>
          <w:szCs w:val="24"/>
        </w:rPr>
        <w:t xml:space="preserve">wastewater. </w:t>
      </w:r>
      <w:r w:rsidR="00F34B76">
        <w:rPr>
          <w:rFonts w:ascii="Arial" w:hAnsi="Arial" w:cs="Arial"/>
          <w:sz w:val="24"/>
          <w:szCs w:val="24"/>
        </w:rPr>
        <w:t>Of these six wastestreams, fly ash transport water, bottom ash transport water, and FGD wastewater are the primary wastestreams applicable to Company operations</w:t>
      </w:r>
      <w:r w:rsidR="00E527F6">
        <w:rPr>
          <w:rFonts w:ascii="Arial" w:hAnsi="Arial" w:cs="Arial"/>
          <w:sz w:val="24"/>
          <w:szCs w:val="24"/>
        </w:rPr>
        <w:t>. The 2015 Rule established a “zero discharge” standard for bottom</w:t>
      </w:r>
      <w:r>
        <w:rPr>
          <w:rFonts w:ascii="Arial" w:hAnsi="Arial" w:cs="Arial"/>
          <w:sz w:val="24"/>
          <w:szCs w:val="24"/>
        </w:rPr>
        <w:t xml:space="preserve"> ash transport water</w:t>
      </w:r>
      <w:r w:rsidR="00E527F6">
        <w:rPr>
          <w:rFonts w:ascii="Arial" w:hAnsi="Arial" w:cs="Arial"/>
          <w:sz w:val="24"/>
          <w:szCs w:val="24"/>
        </w:rPr>
        <w:t xml:space="preserve"> and fly ash transport water,</w:t>
      </w:r>
      <w:r w:rsidR="00A74A96">
        <w:rPr>
          <w:rFonts w:ascii="Arial" w:hAnsi="Arial" w:cs="Arial"/>
          <w:sz w:val="24"/>
          <w:szCs w:val="24"/>
        </w:rPr>
        <w:t xml:space="preserve"> with one exception applying to bott</w:t>
      </w:r>
      <w:r w:rsidR="00A54DF4">
        <w:rPr>
          <w:rFonts w:ascii="Arial" w:hAnsi="Arial" w:cs="Arial"/>
          <w:sz w:val="24"/>
          <w:szCs w:val="24"/>
        </w:rPr>
        <w:t>om ash transport water being re</w:t>
      </w:r>
      <w:r w:rsidR="00A74A96">
        <w:rPr>
          <w:rFonts w:ascii="Arial" w:hAnsi="Arial" w:cs="Arial"/>
          <w:sz w:val="24"/>
          <w:szCs w:val="24"/>
        </w:rPr>
        <w:t>used for FGD make-up</w:t>
      </w:r>
      <w:r>
        <w:rPr>
          <w:rFonts w:ascii="Arial" w:hAnsi="Arial" w:cs="Arial"/>
          <w:sz w:val="24"/>
          <w:szCs w:val="24"/>
        </w:rPr>
        <w:t xml:space="preserve"> water</w:t>
      </w:r>
      <w:r w:rsidR="00FF78FF">
        <w:rPr>
          <w:rFonts w:ascii="Arial" w:hAnsi="Arial" w:cs="Arial"/>
          <w:sz w:val="24"/>
          <w:szCs w:val="24"/>
        </w:rPr>
        <w:t xml:space="preserve"> (i.e., water recycled</w:t>
      </w:r>
      <w:r w:rsidR="00A54DF4">
        <w:rPr>
          <w:rFonts w:ascii="Arial" w:hAnsi="Arial" w:cs="Arial"/>
          <w:sz w:val="24"/>
          <w:szCs w:val="24"/>
        </w:rPr>
        <w:t xml:space="preserve"> for </w:t>
      </w:r>
      <w:r w:rsidR="00FF78FF">
        <w:rPr>
          <w:rFonts w:ascii="Arial" w:hAnsi="Arial" w:cs="Arial"/>
          <w:sz w:val="24"/>
          <w:szCs w:val="24"/>
        </w:rPr>
        <w:t xml:space="preserve">the </w:t>
      </w:r>
      <w:r w:rsidR="00A54DF4">
        <w:rPr>
          <w:rFonts w:ascii="Arial" w:hAnsi="Arial" w:cs="Arial"/>
          <w:sz w:val="24"/>
          <w:szCs w:val="24"/>
        </w:rPr>
        <w:t xml:space="preserve">FGD in lieu of </w:t>
      </w:r>
      <w:r w:rsidR="006708EB">
        <w:rPr>
          <w:rFonts w:ascii="Arial" w:hAnsi="Arial" w:cs="Arial"/>
          <w:sz w:val="24"/>
          <w:szCs w:val="24"/>
        </w:rPr>
        <w:t>discharge</w:t>
      </w:r>
      <w:r w:rsidR="00FF78FF">
        <w:rPr>
          <w:rFonts w:ascii="Arial" w:hAnsi="Arial" w:cs="Arial"/>
          <w:sz w:val="24"/>
          <w:szCs w:val="24"/>
        </w:rPr>
        <w:t>)</w:t>
      </w:r>
      <w:r w:rsidR="00A74A96">
        <w:rPr>
          <w:rFonts w:ascii="Arial" w:hAnsi="Arial" w:cs="Arial"/>
          <w:sz w:val="24"/>
          <w:szCs w:val="24"/>
        </w:rPr>
        <w:t xml:space="preserve">. The ELG </w:t>
      </w:r>
      <w:r w:rsidR="00800812">
        <w:rPr>
          <w:rFonts w:ascii="Arial" w:hAnsi="Arial" w:cs="Arial"/>
          <w:sz w:val="24"/>
          <w:szCs w:val="24"/>
        </w:rPr>
        <w:t>R</w:t>
      </w:r>
      <w:r w:rsidR="00A74A96">
        <w:rPr>
          <w:rFonts w:ascii="Arial" w:hAnsi="Arial" w:cs="Arial"/>
          <w:sz w:val="24"/>
          <w:szCs w:val="24"/>
        </w:rPr>
        <w:t xml:space="preserve">ule also established </w:t>
      </w:r>
      <w:r w:rsidR="00E527F6">
        <w:rPr>
          <w:rFonts w:ascii="Arial" w:hAnsi="Arial" w:cs="Arial"/>
          <w:sz w:val="24"/>
          <w:szCs w:val="24"/>
        </w:rPr>
        <w:t xml:space="preserve">stringent FGD </w:t>
      </w:r>
      <w:r w:rsidR="00C412B3">
        <w:rPr>
          <w:rFonts w:ascii="Arial" w:hAnsi="Arial" w:cs="Arial"/>
          <w:sz w:val="24"/>
          <w:szCs w:val="24"/>
        </w:rPr>
        <w:t>w</w:t>
      </w:r>
      <w:r w:rsidR="00E527F6">
        <w:rPr>
          <w:rFonts w:ascii="Arial" w:hAnsi="Arial" w:cs="Arial"/>
          <w:sz w:val="24"/>
          <w:szCs w:val="24"/>
        </w:rPr>
        <w:t>astewater limits for mercury, a</w:t>
      </w:r>
      <w:r w:rsidR="00A74A96">
        <w:rPr>
          <w:rFonts w:ascii="Arial" w:hAnsi="Arial" w:cs="Arial"/>
          <w:sz w:val="24"/>
          <w:szCs w:val="24"/>
        </w:rPr>
        <w:t>rsen</w:t>
      </w:r>
      <w:r w:rsidR="00E527F6">
        <w:rPr>
          <w:rFonts w:ascii="Arial" w:hAnsi="Arial" w:cs="Arial"/>
          <w:sz w:val="24"/>
          <w:szCs w:val="24"/>
        </w:rPr>
        <w:t xml:space="preserve">ic, selenium, and nitrate-nitrite. </w:t>
      </w:r>
      <w:r w:rsidR="00A74A96">
        <w:rPr>
          <w:rFonts w:ascii="Arial" w:hAnsi="Arial" w:cs="Arial"/>
          <w:sz w:val="24"/>
          <w:szCs w:val="24"/>
        </w:rPr>
        <w:t>Furthermore</w:t>
      </w:r>
      <w:r w:rsidR="007336C5" w:rsidRPr="00DB7156">
        <w:rPr>
          <w:rFonts w:ascii="Arial" w:hAnsi="Arial" w:cs="Arial"/>
          <w:sz w:val="24"/>
          <w:szCs w:val="24"/>
        </w:rPr>
        <w:t>, t</w:t>
      </w:r>
      <w:r w:rsidR="00EA7F55" w:rsidRPr="00DB7156">
        <w:rPr>
          <w:rFonts w:ascii="Arial" w:hAnsi="Arial" w:cs="Arial"/>
          <w:sz w:val="24"/>
          <w:szCs w:val="24"/>
        </w:rPr>
        <w:t xml:space="preserve">he </w:t>
      </w:r>
      <w:r w:rsidR="006B1FF6" w:rsidRPr="00DB7156">
        <w:rPr>
          <w:rFonts w:ascii="Arial" w:hAnsi="Arial" w:cs="Arial"/>
          <w:sz w:val="24"/>
          <w:szCs w:val="24"/>
        </w:rPr>
        <w:t>2015 R</w:t>
      </w:r>
      <w:r w:rsidR="00EA7F55" w:rsidRPr="00DB7156">
        <w:rPr>
          <w:rFonts w:ascii="Arial" w:hAnsi="Arial" w:cs="Arial"/>
          <w:sz w:val="24"/>
          <w:szCs w:val="24"/>
        </w:rPr>
        <w:t>ule establishe</w:t>
      </w:r>
      <w:r w:rsidR="0048692F" w:rsidRPr="00DB7156">
        <w:rPr>
          <w:rFonts w:ascii="Arial" w:hAnsi="Arial" w:cs="Arial"/>
          <w:sz w:val="24"/>
          <w:szCs w:val="24"/>
        </w:rPr>
        <w:t>d</w:t>
      </w:r>
      <w:r w:rsidR="00EA7F55" w:rsidRPr="00DB7156">
        <w:rPr>
          <w:rFonts w:ascii="Arial" w:hAnsi="Arial" w:cs="Arial"/>
          <w:sz w:val="24"/>
          <w:szCs w:val="24"/>
        </w:rPr>
        <w:t xml:space="preserve"> a new voluntary incentive program that </w:t>
      </w:r>
      <w:r w:rsidR="00A74A96">
        <w:rPr>
          <w:rFonts w:ascii="Arial" w:hAnsi="Arial" w:cs="Arial"/>
          <w:sz w:val="24"/>
          <w:szCs w:val="24"/>
        </w:rPr>
        <w:t>provided a firm</w:t>
      </w:r>
      <w:r w:rsidR="008E4FEA" w:rsidRPr="00DB7156">
        <w:rPr>
          <w:rFonts w:ascii="Arial" w:hAnsi="Arial" w:cs="Arial"/>
          <w:sz w:val="24"/>
          <w:szCs w:val="24"/>
        </w:rPr>
        <w:t xml:space="preserve"> compliance date </w:t>
      </w:r>
      <w:r w:rsidR="00A74A96">
        <w:rPr>
          <w:rFonts w:ascii="Arial" w:hAnsi="Arial" w:cs="Arial"/>
          <w:sz w:val="24"/>
          <w:szCs w:val="24"/>
        </w:rPr>
        <w:t>of</w:t>
      </w:r>
      <w:r w:rsidR="00EA7F55" w:rsidRPr="00DB7156">
        <w:rPr>
          <w:rFonts w:ascii="Arial" w:hAnsi="Arial" w:cs="Arial"/>
          <w:sz w:val="24"/>
          <w:szCs w:val="24"/>
        </w:rPr>
        <w:t xml:space="preserve"> December 31, 2023 for plants willing to meet </w:t>
      </w:r>
      <w:r w:rsidR="006708EB">
        <w:rPr>
          <w:rFonts w:ascii="Arial" w:hAnsi="Arial" w:cs="Arial"/>
          <w:sz w:val="24"/>
          <w:szCs w:val="24"/>
        </w:rPr>
        <w:t xml:space="preserve">even </w:t>
      </w:r>
      <w:r w:rsidR="00EA7F55" w:rsidRPr="00DB7156">
        <w:rPr>
          <w:rFonts w:ascii="Arial" w:hAnsi="Arial" w:cs="Arial"/>
          <w:sz w:val="24"/>
          <w:szCs w:val="24"/>
        </w:rPr>
        <w:t>more stringent FGD wastewater limits based on evaporation technology.</w:t>
      </w:r>
    </w:p>
    <w:p w14:paraId="1BE27AD9" w14:textId="77777777" w:rsidR="00936869" w:rsidRPr="00DB7156" w:rsidRDefault="00936869" w:rsidP="00DB7156">
      <w:pPr>
        <w:spacing w:after="0" w:line="240" w:lineRule="auto"/>
        <w:jc w:val="both"/>
        <w:rPr>
          <w:rFonts w:ascii="Arial" w:hAnsi="Arial" w:cs="Arial"/>
          <w:sz w:val="24"/>
          <w:szCs w:val="24"/>
        </w:rPr>
      </w:pPr>
    </w:p>
    <w:p w14:paraId="0C874327" w14:textId="2993B802" w:rsidR="00082F09" w:rsidRPr="00DB7156" w:rsidRDefault="007336C5" w:rsidP="00DB7156">
      <w:pPr>
        <w:spacing w:after="0" w:line="240" w:lineRule="auto"/>
        <w:jc w:val="both"/>
        <w:rPr>
          <w:rFonts w:ascii="Arial" w:hAnsi="Arial" w:cs="Arial"/>
          <w:sz w:val="24"/>
          <w:szCs w:val="24"/>
        </w:rPr>
      </w:pPr>
      <w:r w:rsidRPr="00DB7156">
        <w:rPr>
          <w:rFonts w:ascii="Arial" w:hAnsi="Arial" w:cs="Arial"/>
          <w:sz w:val="24"/>
          <w:szCs w:val="24"/>
        </w:rPr>
        <w:t xml:space="preserve">EPA </w:t>
      </w:r>
      <w:r w:rsidR="00507BD0" w:rsidRPr="00DB7156">
        <w:rPr>
          <w:rFonts w:ascii="Arial" w:hAnsi="Arial" w:cs="Arial"/>
          <w:sz w:val="24"/>
          <w:szCs w:val="24"/>
        </w:rPr>
        <w:t xml:space="preserve">also </w:t>
      </w:r>
      <w:r w:rsidRPr="00DB7156">
        <w:rPr>
          <w:rFonts w:ascii="Arial" w:hAnsi="Arial" w:cs="Arial"/>
          <w:sz w:val="24"/>
          <w:szCs w:val="24"/>
        </w:rPr>
        <w:t xml:space="preserve">set new BAT limitations for direct discharges of </w:t>
      </w:r>
      <w:r w:rsidR="00E227CA" w:rsidRPr="00DB7156">
        <w:rPr>
          <w:rFonts w:ascii="Arial" w:hAnsi="Arial" w:cs="Arial"/>
          <w:sz w:val="24"/>
          <w:szCs w:val="24"/>
        </w:rPr>
        <w:t>“</w:t>
      </w:r>
      <w:r w:rsidRPr="00DB7156">
        <w:rPr>
          <w:rFonts w:ascii="Arial" w:hAnsi="Arial" w:cs="Arial"/>
          <w:sz w:val="24"/>
          <w:szCs w:val="24"/>
        </w:rPr>
        <w:t>l</w:t>
      </w:r>
      <w:r w:rsidR="00082F09" w:rsidRPr="00DB7156">
        <w:rPr>
          <w:rFonts w:ascii="Arial" w:hAnsi="Arial" w:cs="Arial"/>
          <w:sz w:val="24"/>
          <w:szCs w:val="24"/>
        </w:rPr>
        <w:t>egacy wastewater</w:t>
      </w:r>
      <w:r w:rsidR="00070FF9">
        <w:rPr>
          <w:rFonts w:ascii="Arial" w:hAnsi="Arial" w:cs="Arial"/>
          <w:sz w:val="24"/>
          <w:szCs w:val="24"/>
        </w:rPr>
        <w:t>.</w:t>
      </w:r>
      <w:r w:rsidR="00E227CA" w:rsidRPr="00DB7156">
        <w:rPr>
          <w:rFonts w:ascii="Arial" w:hAnsi="Arial" w:cs="Arial"/>
          <w:sz w:val="24"/>
          <w:szCs w:val="24"/>
        </w:rPr>
        <w:t>”</w:t>
      </w:r>
      <w:r w:rsidRPr="00DB7156">
        <w:rPr>
          <w:rFonts w:ascii="Arial" w:hAnsi="Arial" w:cs="Arial"/>
          <w:sz w:val="24"/>
          <w:szCs w:val="24"/>
        </w:rPr>
        <w:t xml:space="preserve"> Legacy wastewater</w:t>
      </w:r>
      <w:r w:rsidR="00082F09" w:rsidRPr="00DB7156">
        <w:rPr>
          <w:rFonts w:ascii="Arial" w:hAnsi="Arial" w:cs="Arial"/>
          <w:sz w:val="24"/>
          <w:szCs w:val="24"/>
        </w:rPr>
        <w:t xml:space="preserve"> </w:t>
      </w:r>
      <w:r w:rsidR="00E227CA" w:rsidRPr="00DB7156">
        <w:rPr>
          <w:rFonts w:ascii="Arial" w:hAnsi="Arial" w:cs="Arial"/>
          <w:sz w:val="24"/>
          <w:szCs w:val="24"/>
        </w:rPr>
        <w:t>refer</w:t>
      </w:r>
      <w:r w:rsidR="00134DE8">
        <w:rPr>
          <w:rFonts w:ascii="Arial" w:hAnsi="Arial" w:cs="Arial"/>
          <w:sz w:val="24"/>
          <w:szCs w:val="24"/>
        </w:rPr>
        <w:t>s</w:t>
      </w:r>
      <w:r w:rsidR="00E227CA" w:rsidRPr="00DB7156">
        <w:rPr>
          <w:rFonts w:ascii="Arial" w:hAnsi="Arial" w:cs="Arial"/>
          <w:sz w:val="24"/>
          <w:szCs w:val="24"/>
        </w:rPr>
        <w:t xml:space="preserve"> to “FGD wastewater, fly ash transport water, bottom ash transport water, </w:t>
      </w:r>
      <w:r w:rsidR="00EA156E">
        <w:rPr>
          <w:rFonts w:ascii="Arial" w:hAnsi="Arial" w:cs="Arial"/>
          <w:sz w:val="24"/>
          <w:szCs w:val="24"/>
        </w:rPr>
        <w:t>flue gas mercury control</w:t>
      </w:r>
      <w:r w:rsidR="00EA156E" w:rsidRPr="00DB7156">
        <w:rPr>
          <w:rFonts w:ascii="Arial" w:hAnsi="Arial" w:cs="Arial"/>
          <w:sz w:val="24"/>
          <w:szCs w:val="24"/>
        </w:rPr>
        <w:t xml:space="preserve"> </w:t>
      </w:r>
      <w:r w:rsidR="00E227CA" w:rsidRPr="00DB7156">
        <w:rPr>
          <w:rFonts w:ascii="Arial" w:hAnsi="Arial" w:cs="Arial"/>
          <w:sz w:val="24"/>
          <w:szCs w:val="24"/>
        </w:rPr>
        <w:t xml:space="preserve">wastewater, or gasification wastewater generated </w:t>
      </w:r>
      <w:r w:rsidR="00082F09" w:rsidRPr="00DB7156">
        <w:rPr>
          <w:rFonts w:ascii="Arial" w:hAnsi="Arial" w:cs="Arial"/>
          <w:sz w:val="24"/>
          <w:szCs w:val="24"/>
        </w:rPr>
        <w:t xml:space="preserve">prior to the date </w:t>
      </w:r>
      <w:r w:rsidR="00E227CA" w:rsidRPr="00DB7156">
        <w:rPr>
          <w:rFonts w:ascii="Arial" w:hAnsi="Arial" w:cs="Arial"/>
          <w:sz w:val="24"/>
          <w:szCs w:val="24"/>
        </w:rPr>
        <w:t>determined</w:t>
      </w:r>
      <w:r w:rsidR="00082F09" w:rsidRPr="00DB7156">
        <w:rPr>
          <w:rFonts w:ascii="Arial" w:hAnsi="Arial" w:cs="Arial"/>
          <w:sz w:val="24"/>
          <w:szCs w:val="24"/>
        </w:rPr>
        <w:t xml:space="preserve"> by the permitting authority that is as soon as possible beginning Nov</w:t>
      </w:r>
      <w:r w:rsidR="00E227CA" w:rsidRPr="00DB7156">
        <w:rPr>
          <w:rFonts w:ascii="Arial" w:hAnsi="Arial" w:cs="Arial"/>
          <w:sz w:val="24"/>
          <w:szCs w:val="24"/>
        </w:rPr>
        <w:t>ember</w:t>
      </w:r>
      <w:r w:rsidR="00082F09" w:rsidRPr="00DB7156">
        <w:rPr>
          <w:rFonts w:ascii="Arial" w:hAnsi="Arial" w:cs="Arial"/>
          <w:sz w:val="24"/>
          <w:szCs w:val="24"/>
        </w:rPr>
        <w:t xml:space="preserve"> 1, 2018, but not later than Dec</w:t>
      </w:r>
      <w:r w:rsidR="00E227CA" w:rsidRPr="00DB7156">
        <w:rPr>
          <w:rFonts w:ascii="Arial" w:hAnsi="Arial" w:cs="Arial"/>
          <w:sz w:val="24"/>
          <w:szCs w:val="24"/>
        </w:rPr>
        <w:t>ember</w:t>
      </w:r>
      <w:r w:rsidR="00082F09" w:rsidRPr="00DB7156">
        <w:rPr>
          <w:rFonts w:ascii="Arial" w:hAnsi="Arial" w:cs="Arial"/>
          <w:sz w:val="24"/>
          <w:szCs w:val="24"/>
        </w:rPr>
        <w:t xml:space="preserve"> 31, 2023.</w:t>
      </w:r>
      <w:r w:rsidR="00EA7F55" w:rsidRPr="00DB7156">
        <w:rPr>
          <w:rFonts w:ascii="Arial" w:hAnsi="Arial" w:cs="Arial"/>
          <w:sz w:val="24"/>
          <w:szCs w:val="24"/>
        </w:rPr>
        <w:t>”</w:t>
      </w:r>
    </w:p>
    <w:p w14:paraId="726C156E" w14:textId="6C389434" w:rsidR="007112A5" w:rsidRPr="00DB7156" w:rsidRDefault="007112A5" w:rsidP="00DB7156">
      <w:pPr>
        <w:spacing w:after="0" w:line="240" w:lineRule="auto"/>
        <w:jc w:val="both"/>
        <w:rPr>
          <w:rFonts w:ascii="Arial" w:hAnsi="Arial" w:cs="Arial"/>
          <w:sz w:val="24"/>
          <w:szCs w:val="24"/>
        </w:rPr>
      </w:pPr>
    </w:p>
    <w:p w14:paraId="7CFDF5C4" w14:textId="4FBD757F" w:rsidR="007112A5" w:rsidRPr="00DB7156" w:rsidRDefault="00C866D5" w:rsidP="00DB7156">
      <w:pPr>
        <w:spacing w:after="0" w:line="240" w:lineRule="auto"/>
        <w:jc w:val="both"/>
        <w:rPr>
          <w:rFonts w:ascii="Arial" w:hAnsi="Arial" w:cs="Arial"/>
          <w:sz w:val="24"/>
          <w:szCs w:val="24"/>
        </w:rPr>
      </w:pPr>
      <w:r w:rsidRPr="00DB7156">
        <w:rPr>
          <w:rFonts w:ascii="Arial" w:hAnsi="Arial" w:cs="Arial"/>
          <w:sz w:val="24"/>
          <w:szCs w:val="24"/>
        </w:rPr>
        <w:t xml:space="preserve">The 2015 </w:t>
      </w:r>
      <w:r w:rsidR="0015298C">
        <w:rPr>
          <w:rFonts w:ascii="Arial" w:hAnsi="Arial" w:cs="Arial"/>
          <w:sz w:val="24"/>
          <w:szCs w:val="24"/>
        </w:rPr>
        <w:t>R</w:t>
      </w:r>
      <w:r w:rsidRPr="00DB7156">
        <w:rPr>
          <w:rFonts w:ascii="Arial" w:hAnsi="Arial" w:cs="Arial"/>
          <w:sz w:val="24"/>
          <w:szCs w:val="24"/>
        </w:rPr>
        <w:t>ule stated that c</w:t>
      </w:r>
      <w:r w:rsidR="007112A5" w:rsidRPr="00DB7156">
        <w:rPr>
          <w:rFonts w:ascii="Arial" w:hAnsi="Arial" w:cs="Arial"/>
          <w:sz w:val="24"/>
          <w:szCs w:val="24"/>
        </w:rPr>
        <w:t>ompliance</w:t>
      </w:r>
      <w:r w:rsidR="00BF0231" w:rsidRPr="00DB7156">
        <w:rPr>
          <w:rFonts w:ascii="Arial" w:hAnsi="Arial" w:cs="Arial"/>
          <w:sz w:val="24"/>
          <w:szCs w:val="24"/>
        </w:rPr>
        <w:t xml:space="preserve"> with </w:t>
      </w:r>
      <w:r w:rsidR="00040A94" w:rsidRPr="00DB7156">
        <w:rPr>
          <w:rFonts w:ascii="Arial" w:hAnsi="Arial" w:cs="Arial"/>
          <w:sz w:val="24"/>
          <w:szCs w:val="24"/>
        </w:rPr>
        <w:t xml:space="preserve">all of </w:t>
      </w:r>
      <w:r w:rsidR="00BF0231" w:rsidRPr="00DB7156">
        <w:rPr>
          <w:rFonts w:ascii="Arial" w:hAnsi="Arial" w:cs="Arial"/>
          <w:sz w:val="24"/>
          <w:szCs w:val="24"/>
        </w:rPr>
        <w:t>the new</w:t>
      </w:r>
      <w:r w:rsidR="001E482A" w:rsidRPr="00DB7156">
        <w:rPr>
          <w:rFonts w:ascii="Arial" w:hAnsi="Arial" w:cs="Arial"/>
          <w:sz w:val="24"/>
          <w:szCs w:val="24"/>
        </w:rPr>
        <w:t>, more stringent</w:t>
      </w:r>
      <w:r w:rsidR="00BF0231" w:rsidRPr="00DB7156">
        <w:rPr>
          <w:rFonts w:ascii="Arial" w:hAnsi="Arial" w:cs="Arial"/>
          <w:sz w:val="24"/>
          <w:szCs w:val="24"/>
        </w:rPr>
        <w:t xml:space="preserve"> BAT limits do</w:t>
      </w:r>
      <w:r w:rsidR="00040A94" w:rsidRPr="00DB7156">
        <w:rPr>
          <w:rFonts w:ascii="Arial" w:hAnsi="Arial" w:cs="Arial"/>
          <w:sz w:val="24"/>
          <w:szCs w:val="24"/>
        </w:rPr>
        <w:t>es</w:t>
      </w:r>
      <w:r w:rsidR="00BF0231" w:rsidRPr="00DB7156">
        <w:rPr>
          <w:rFonts w:ascii="Arial" w:hAnsi="Arial" w:cs="Arial"/>
          <w:sz w:val="24"/>
          <w:szCs w:val="24"/>
        </w:rPr>
        <w:t xml:space="preserve"> not apply until a date determined by the permitting authority that is “as soon as possible” beginning November 1, 2018, “but in no case later than December 31, 2023.” </w:t>
      </w:r>
      <w:r w:rsidR="001E482A" w:rsidRPr="00DB7156">
        <w:rPr>
          <w:rFonts w:ascii="Arial" w:hAnsi="Arial" w:cs="Arial"/>
          <w:sz w:val="24"/>
          <w:szCs w:val="24"/>
        </w:rPr>
        <w:t xml:space="preserve">The permitting authority must consider </w:t>
      </w:r>
      <w:r w:rsidR="00E05CB1" w:rsidRPr="00DB7156">
        <w:rPr>
          <w:rFonts w:ascii="Arial" w:hAnsi="Arial" w:cs="Arial"/>
          <w:sz w:val="24"/>
          <w:szCs w:val="24"/>
        </w:rPr>
        <w:t xml:space="preserve">relevant </w:t>
      </w:r>
      <w:r w:rsidR="001E482A" w:rsidRPr="00DB7156">
        <w:rPr>
          <w:rFonts w:ascii="Arial" w:hAnsi="Arial" w:cs="Arial"/>
          <w:sz w:val="24"/>
          <w:szCs w:val="24"/>
        </w:rPr>
        <w:t xml:space="preserve">information from the </w:t>
      </w:r>
      <w:r w:rsidRPr="00DB7156">
        <w:rPr>
          <w:rFonts w:ascii="Arial" w:hAnsi="Arial" w:cs="Arial"/>
          <w:sz w:val="24"/>
          <w:szCs w:val="24"/>
        </w:rPr>
        <w:t>regulated source</w:t>
      </w:r>
      <w:r w:rsidR="001E482A" w:rsidRPr="00DB7156">
        <w:rPr>
          <w:rFonts w:ascii="Arial" w:hAnsi="Arial" w:cs="Arial"/>
          <w:sz w:val="24"/>
          <w:szCs w:val="24"/>
        </w:rPr>
        <w:t xml:space="preserve"> to</w:t>
      </w:r>
      <w:r w:rsidR="00070FF9">
        <w:rPr>
          <w:rFonts w:ascii="Arial" w:hAnsi="Arial" w:cs="Arial"/>
          <w:sz w:val="24"/>
          <w:szCs w:val="24"/>
        </w:rPr>
        <w:t xml:space="preserve"> determine</w:t>
      </w:r>
      <w:r w:rsidR="001E482A" w:rsidRPr="00DB7156" w:rsidDel="00070FF9">
        <w:rPr>
          <w:rFonts w:ascii="Arial" w:hAnsi="Arial" w:cs="Arial"/>
          <w:sz w:val="24"/>
          <w:szCs w:val="24"/>
        </w:rPr>
        <w:t xml:space="preserve"> </w:t>
      </w:r>
      <w:r w:rsidR="00070FF9">
        <w:rPr>
          <w:rFonts w:ascii="Arial" w:hAnsi="Arial" w:cs="Arial"/>
          <w:sz w:val="24"/>
          <w:szCs w:val="24"/>
        </w:rPr>
        <w:t>the</w:t>
      </w:r>
      <w:r w:rsidR="001E482A" w:rsidRPr="00DB7156">
        <w:rPr>
          <w:rFonts w:ascii="Arial" w:hAnsi="Arial" w:cs="Arial"/>
          <w:sz w:val="24"/>
          <w:szCs w:val="24"/>
        </w:rPr>
        <w:t xml:space="preserve"> appropriate </w:t>
      </w:r>
      <w:r w:rsidR="00E05CB1" w:rsidRPr="00DB7156">
        <w:rPr>
          <w:rFonts w:ascii="Arial" w:hAnsi="Arial" w:cs="Arial"/>
          <w:sz w:val="24"/>
          <w:szCs w:val="24"/>
        </w:rPr>
        <w:t>applicability date</w:t>
      </w:r>
      <w:r w:rsidR="00070FF9" w:rsidRPr="00070FF9">
        <w:rPr>
          <w:rFonts w:ascii="Arial" w:hAnsi="Arial" w:cs="Arial"/>
          <w:sz w:val="24"/>
          <w:szCs w:val="24"/>
        </w:rPr>
        <w:t xml:space="preserve"> </w:t>
      </w:r>
      <w:r w:rsidR="00070FF9">
        <w:rPr>
          <w:rFonts w:ascii="Arial" w:hAnsi="Arial" w:cs="Arial"/>
          <w:sz w:val="24"/>
          <w:szCs w:val="24"/>
        </w:rPr>
        <w:t>within the November 1, 2018 and December 31, 2023 compliance window</w:t>
      </w:r>
      <w:r w:rsidR="00E05CB1" w:rsidRPr="00DB7156">
        <w:rPr>
          <w:rFonts w:ascii="Arial" w:hAnsi="Arial" w:cs="Arial"/>
          <w:sz w:val="24"/>
          <w:szCs w:val="24"/>
        </w:rPr>
        <w:t>.</w:t>
      </w:r>
      <w:r w:rsidR="001E482A" w:rsidRPr="00DB7156">
        <w:rPr>
          <w:rFonts w:ascii="Arial" w:hAnsi="Arial" w:cs="Arial"/>
          <w:sz w:val="24"/>
          <w:szCs w:val="24"/>
        </w:rPr>
        <w:t xml:space="preserve"> </w:t>
      </w:r>
      <w:r w:rsidR="00E05CB1" w:rsidRPr="00DB7156">
        <w:rPr>
          <w:rFonts w:ascii="Arial" w:hAnsi="Arial" w:cs="Arial"/>
          <w:sz w:val="24"/>
          <w:szCs w:val="24"/>
        </w:rPr>
        <w:t>For facilities in the voluntary incentive program for FGD wastewater, the date for meeting those limitations is December 31, 2023.</w:t>
      </w:r>
    </w:p>
    <w:p w14:paraId="6B2067D0" w14:textId="77777777" w:rsidR="007112A5" w:rsidRPr="00DB7156" w:rsidRDefault="007112A5" w:rsidP="00DB7156">
      <w:pPr>
        <w:spacing w:after="0" w:line="240" w:lineRule="auto"/>
        <w:jc w:val="both"/>
        <w:rPr>
          <w:rFonts w:ascii="Arial" w:hAnsi="Arial" w:cs="Arial"/>
          <w:sz w:val="24"/>
          <w:szCs w:val="24"/>
        </w:rPr>
      </w:pPr>
    </w:p>
    <w:p w14:paraId="36D03BA4" w14:textId="2358C7EA" w:rsidR="007A6CE1" w:rsidRPr="00DB7156" w:rsidRDefault="00C866D5" w:rsidP="00DB7156">
      <w:pPr>
        <w:spacing w:after="0" w:line="240" w:lineRule="auto"/>
        <w:jc w:val="both"/>
        <w:rPr>
          <w:rFonts w:ascii="Arial" w:hAnsi="Arial" w:cs="Arial"/>
          <w:sz w:val="24"/>
          <w:szCs w:val="24"/>
        </w:rPr>
      </w:pPr>
      <w:r w:rsidRPr="00DB7156">
        <w:rPr>
          <w:rFonts w:ascii="Arial" w:hAnsi="Arial" w:cs="Arial"/>
          <w:sz w:val="24"/>
          <w:szCs w:val="24"/>
        </w:rPr>
        <w:t>I</w:t>
      </w:r>
      <w:r w:rsidR="00EE2598" w:rsidRPr="00DB7156">
        <w:rPr>
          <w:rFonts w:ascii="Arial" w:hAnsi="Arial" w:cs="Arial"/>
          <w:sz w:val="24"/>
          <w:szCs w:val="24"/>
        </w:rPr>
        <w:t>n November 2015,</w:t>
      </w:r>
      <w:r w:rsidRPr="00DB7156">
        <w:rPr>
          <w:rFonts w:ascii="Arial" w:hAnsi="Arial" w:cs="Arial"/>
          <w:sz w:val="24"/>
          <w:szCs w:val="24"/>
        </w:rPr>
        <w:t xml:space="preserve"> several groups filed </w:t>
      </w:r>
      <w:r w:rsidR="006B1FF6" w:rsidRPr="00DB7156">
        <w:rPr>
          <w:rFonts w:ascii="Arial" w:hAnsi="Arial" w:cs="Arial"/>
          <w:sz w:val="24"/>
          <w:szCs w:val="24"/>
        </w:rPr>
        <w:t>P</w:t>
      </w:r>
      <w:r w:rsidRPr="00DB7156">
        <w:rPr>
          <w:rFonts w:ascii="Arial" w:hAnsi="Arial" w:cs="Arial"/>
          <w:sz w:val="24"/>
          <w:szCs w:val="24"/>
        </w:rPr>
        <w:t xml:space="preserve">etitions for </w:t>
      </w:r>
      <w:r w:rsidR="006B1FF6" w:rsidRPr="00DB7156">
        <w:rPr>
          <w:rFonts w:ascii="Arial" w:hAnsi="Arial" w:cs="Arial"/>
          <w:sz w:val="24"/>
          <w:szCs w:val="24"/>
        </w:rPr>
        <w:t>R</w:t>
      </w:r>
      <w:r w:rsidRPr="00DB7156">
        <w:rPr>
          <w:rFonts w:ascii="Arial" w:hAnsi="Arial" w:cs="Arial"/>
          <w:sz w:val="24"/>
          <w:szCs w:val="24"/>
        </w:rPr>
        <w:t xml:space="preserve">eview of the </w:t>
      </w:r>
      <w:r w:rsidR="006B1FF6" w:rsidRPr="00DB7156">
        <w:rPr>
          <w:rFonts w:ascii="Arial" w:hAnsi="Arial" w:cs="Arial"/>
          <w:sz w:val="24"/>
          <w:szCs w:val="24"/>
        </w:rPr>
        <w:t>2015 R</w:t>
      </w:r>
      <w:r w:rsidRPr="00DB7156">
        <w:rPr>
          <w:rFonts w:ascii="Arial" w:hAnsi="Arial" w:cs="Arial"/>
          <w:sz w:val="24"/>
          <w:szCs w:val="24"/>
        </w:rPr>
        <w:t>ule, including</w:t>
      </w:r>
      <w:r w:rsidR="00EE2598" w:rsidRPr="00DB7156">
        <w:rPr>
          <w:rFonts w:ascii="Arial" w:hAnsi="Arial" w:cs="Arial"/>
          <w:sz w:val="24"/>
          <w:szCs w:val="24"/>
        </w:rPr>
        <w:t xml:space="preserve"> </w:t>
      </w:r>
      <w:r w:rsidR="00F45AF2" w:rsidRPr="00DB7156">
        <w:rPr>
          <w:rFonts w:ascii="Arial" w:hAnsi="Arial" w:cs="Arial"/>
          <w:sz w:val="24"/>
          <w:szCs w:val="24"/>
        </w:rPr>
        <w:t xml:space="preserve">industry, industry groups, </w:t>
      </w:r>
      <w:r w:rsidR="00503716" w:rsidRPr="00DB7156">
        <w:rPr>
          <w:rFonts w:ascii="Arial" w:hAnsi="Arial" w:cs="Arial"/>
          <w:sz w:val="24"/>
          <w:szCs w:val="24"/>
        </w:rPr>
        <w:t>including</w:t>
      </w:r>
      <w:r w:rsidR="00D327D8">
        <w:rPr>
          <w:rFonts w:ascii="Arial" w:hAnsi="Arial" w:cs="Arial"/>
          <w:sz w:val="24"/>
          <w:szCs w:val="24"/>
        </w:rPr>
        <w:t xml:space="preserve"> Utility Water </w:t>
      </w:r>
      <w:r w:rsidR="00716A99">
        <w:rPr>
          <w:rFonts w:ascii="Arial" w:hAnsi="Arial" w:cs="Arial"/>
          <w:sz w:val="24"/>
          <w:szCs w:val="24"/>
        </w:rPr>
        <w:t xml:space="preserve">Action </w:t>
      </w:r>
      <w:r w:rsidR="00D327D8">
        <w:rPr>
          <w:rFonts w:ascii="Arial" w:hAnsi="Arial" w:cs="Arial"/>
          <w:sz w:val="24"/>
          <w:szCs w:val="24"/>
        </w:rPr>
        <w:t>Group</w:t>
      </w:r>
      <w:r w:rsidR="00F45AF2" w:rsidRPr="00DB7156">
        <w:rPr>
          <w:rFonts w:ascii="Arial" w:hAnsi="Arial" w:cs="Arial"/>
          <w:sz w:val="24"/>
          <w:szCs w:val="24"/>
        </w:rPr>
        <w:t xml:space="preserve"> </w:t>
      </w:r>
      <w:r w:rsidR="00716A99">
        <w:rPr>
          <w:rFonts w:ascii="Arial" w:hAnsi="Arial" w:cs="Arial"/>
          <w:sz w:val="24"/>
          <w:szCs w:val="24"/>
        </w:rPr>
        <w:t>(</w:t>
      </w:r>
      <w:r w:rsidR="00070FF9">
        <w:rPr>
          <w:rFonts w:ascii="Arial" w:hAnsi="Arial" w:cs="Arial"/>
          <w:sz w:val="24"/>
          <w:szCs w:val="24"/>
        </w:rPr>
        <w:t>“</w:t>
      </w:r>
      <w:r w:rsidR="00EB793D" w:rsidRPr="00DB7156">
        <w:rPr>
          <w:rFonts w:ascii="Arial" w:hAnsi="Arial" w:cs="Arial"/>
          <w:sz w:val="24"/>
          <w:szCs w:val="24"/>
        </w:rPr>
        <w:t>UWAG</w:t>
      </w:r>
      <w:r w:rsidR="00070FF9">
        <w:rPr>
          <w:rFonts w:ascii="Arial" w:hAnsi="Arial" w:cs="Arial"/>
          <w:sz w:val="24"/>
          <w:szCs w:val="24"/>
        </w:rPr>
        <w:t>”</w:t>
      </w:r>
      <w:r w:rsidR="00716A99">
        <w:rPr>
          <w:rFonts w:ascii="Arial" w:hAnsi="Arial" w:cs="Arial"/>
          <w:sz w:val="24"/>
          <w:szCs w:val="24"/>
        </w:rPr>
        <w:t>)</w:t>
      </w:r>
      <w:r w:rsidRPr="00DB7156">
        <w:rPr>
          <w:rFonts w:ascii="Arial" w:hAnsi="Arial" w:cs="Arial"/>
          <w:sz w:val="24"/>
          <w:szCs w:val="24"/>
        </w:rPr>
        <w:t>, environmental groups,</w:t>
      </w:r>
      <w:r w:rsidR="00ED32D2" w:rsidRPr="00DB7156">
        <w:rPr>
          <w:rFonts w:ascii="Arial" w:hAnsi="Arial" w:cs="Arial"/>
          <w:sz w:val="24"/>
          <w:szCs w:val="24"/>
        </w:rPr>
        <w:t xml:space="preserve"> </w:t>
      </w:r>
      <w:r w:rsidR="001978E7" w:rsidRPr="00DB7156">
        <w:rPr>
          <w:rFonts w:ascii="Arial" w:hAnsi="Arial" w:cs="Arial"/>
          <w:sz w:val="24"/>
          <w:szCs w:val="24"/>
        </w:rPr>
        <w:t xml:space="preserve">and </w:t>
      </w:r>
      <w:r w:rsidR="00ED32D2" w:rsidRPr="00DB7156">
        <w:rPr>
          <w:rFonts w:ascii="Arial" w:hAnsi="Arial" w:cs="Arial"/>
          <w:sz w:val="24"/>
          <w:szCs w:val="24"/>
        </w:rPr>
        <w:t xml:space="preserve">other interested parties. </w:t>
      </w:r>
      <w:r w:rsidR="00D25F8E" w:rsidRPr="00DB7156">
        <w:rPr>
          <w:rFonts w:ascii="Arial" w:hAnsi="Arial" w:cs="Arial"/>
          <w:sz w:val="24"/>
          <w:szCs w:val="24"/>
        </w:rPr>
        <w:t xml:space="preserve">In </w:t>
      </w:r>
      <w:r w:rsidR="007A6CE1" w:rsidRPr="00DB7156">
        <w:rPr>
          <w:rFonts w:ascii="Arial" w:hAnsi="Arial" w:cs="Arial"/>
          <w:sz w:val="24"/>
          <w:szCs w:val="24"/>
        </w:rPr>
        <w:t>December 2015</w:t>
      </w:r>
      <w:r w:rsidR="00EB793D" w:rsidRPr="00DB7156">
        <w:rPr>
          <w:rFonts w:ascii="Arial" w:hAnsi="Arial" w:cs="Arial"/>
          <w:sz w:val="24"/>
          <w:szCs w:val="24"/>
        </w:rPr>
        <w:t>, all petitions were consolidated in the Fifth Circuit</w:t>
      </w:r>
      <w:r w:rsidR="00D25F8E" w:rsidRPr="00DB7156">
        <w:rPr>
          <w:rFonts w:ascii="Arial" w:hAnsi="Arial" w:cs="Arial"/>
          <w:sz w:val="24"/>
          <w:szCs w:val="24"/>
        </w:rPr>
        <w:t xml:space="preserve"> and</w:t>
      </w:r>
      <w:r w:rsidR="00183871">
        <w:rPr>
          <w:rFonts w:ascii="Arial" w:hAnsi="Arial" w:cs="Arial"/>
          <w:sz w:val="24"/>
          <w:szCs w:val="24"/>
        </w:rPr>
        <w:t>,</w:t>
      </w:r>
      <w:r w:rsidR="00D25F8E" w:rsidRPr="00DB7156">
        <w:rPr>
          <w:rFonts w:ascii="Arial" w:hAnsi="Arial" w:cs="Arial"/>
          <w:sz w:val="24"/>
          <w:szCs w:val="24"/>
        </w:rPr>
        <w:t xml:space="preserve"> in </w:t>
      </w:r>
      <w:bookmarkStart w:id="116" w:name="_Hlk494884953"/>
      <w:r w:rsidR="006B2D9F" w:rsidRPr="00DB7156">
        <w:rPr>
          <w:rFonts w:ascii="Arial" w:hAnsi="Arial" w:cs="Arial"/>
          <w:sz w:val="24"/>
          <w:szCs w:val="24"/>
        </w:rPr>
        <w:t>December</w:t>
      </w:r>
      <w:r w:rsidR="00D25F8E" w:rsidRPr="00DB7156">
        <w:rPr>
          <w:rFonts w:ascii="Arial" w:hAnsi="Arial" w:cs="Arial"/>
          <w:sz w:val="24"/>
          <w:szCs w:val="24"/>
        </w:rPr>
        <w:t xml:space="preserve"> </w:t>
      </w:r>
      <w:r w:rsidR="006B2D9F" w:rsidRPr="00DB7156">
        <w:rPr>
          <w:rFonts w:ascii="Arial" w:hAnsi="Arial" w:cs="Arial"/>
          <w:sz w:val="24"/>
          <w:szCs w:val="24"/>
        </w:rPr>
        <w:t xml:space="preserve">2016, opening briefs were filed with the </w:t>
      </w:r>
      <w:r w:rsidR="00183871">
        <w:rPr>
          <w:rFonts w:ascii="Arial" w:hAnsi="Arial" w:cs="Arial"/>
          <w:sz w:val="24"/>
          <w:szCs w:val="24"/>
        </w:rPr>
        <w:t>c</w:t>
      </w:r>
      <w:r w:rsidR="006B2D9F" w:rsidRPr="00DB7156">
        <w:rPr>
          <w:rFonts w:ascii="Arial" w:hAnsi="Arial" w:cs="Arial"/>
          <w:sz w:val="24"/>
          <w:szCs w:val="24"/>
        </w:rPr>
        <w:t xml:space="preserve">ourt.  </w:t>
      </w:r>
      <w:bookmarkEnd w:id="116"/>
    </w:p>
    <w:p w14:paraId="7FED022F" w14:textId="10F551D8" w:rsidR="00AB3983" w:rsidRPr="00DB7156" w:rsidRDefault="00AB3983" w:rsidP="00DB7156">
      <w:pPr>
        <w:spacing w:after="0" w:line="240" w:lineRule="auto"/>
        <w:jc w:val="both"/>
        <w:rPr>
          <w:rFonts w:ascii="Arial" w:hAnsi="Arial" w:cs="Arial"/>
          <w:sz w:val="24"/>
          <w:szCs w:val="24"/>
        </w:rPr>
      </w:pPr>
    </w:p>
    <w:p w14:paraId="20CB2F24" w14:textId="602AA496" w:rsidR="0001007F" w:rsidRPr="00DB7156" w:rsidRDefault="002F1B1F" w:rsidP="00DB7156">
      <w:pPr>
        <w:spacing w:after="0" w:line="240" w:lineRule="auto"/>
        <w:jc w:val="both"/>
        <w:rPr>
          <w:rFonts w:ascii="Arial" w:hAnsi="Arial" w:cs="Arial"/>
        </w:rPr>
      </w:pPr>
      <w:r>
        <w:rPr>
          <w:rFonts w:ascii="Arial" w:hAnsi="Arial" w:cs="Arial"/>
          <w:sz w:val="24"/>
          <w:szCs w:val="24"/>
        </w:rPr>
        <w:t>I</w:t>
      </w:r>
      <w:r w:rsidR="006B2D9F" w:rsidRPr="00DB7156">
        <w:rPr>
          <w:rFonts w:ascii="Arial" w:hAnsi="Arial" w:cs="Arial"/>
          <w:sz w:val="24"/>
          <w:szCs w:val="24"/>
        </w:rPr>
        <w:t xml:space="preserve">n March </w:t>
      </w:r>
      <w:r w:rsidR="00444054" w:rsidRPr="00DB7156">
        <w:rPr>
          <w:rFonts w:ascii="Arial" w:hAnsi="Arial" w:cs="Arial"/>
          <w:sz w:val="24"/>
          <w:szCs w:val="24"/>
        </w:rPr>
        <w:t xml:space="preserve">2017, </w:t>
      </w:r>
      <w:r w:rsidR="006B2D9F" w:rsidRPr="00DB7156">
        <w:rPr>
          <w:rFonts w:ascii="Arial" w:hAnsi="Arial" w:cs="Arial"/>
          <w:sz w:val="24"/>
          <w:szCs w:val="24"/>
        </w:rPr>
        <w:t>UWAG filed a Petition for Reconsideration of the</w:t>
      </w:r>
      <w:r w:rsidR="001978E7" w:rsidRPr="00DB7156">
        <w:rPr>
          <w:rFonts w:ascii="Arial" w:hAnsi="Arial" w:cs="Arial"/>
          <w:sz w:val="24"/>
          <w:szCs w:val="24"/>
        </w:rPr>
        <w:t xml:space="preserve"> </w:t>
      </w:r>
      <w:r w:rsidR="006B4261" w:rsidRPr="00DB7156">
        <w:rPr>
          <w:rFonts w:ascii="Arial" w:hAnsi="Arial" w:cs="Arial"/>
          <w:sz w:val="24"/>
          <w:szCs w:val="24"/>
        </w:rPr>
        <w:t xml:space="preserve">2015 </w:t>
      </w:r>
      <w:r w:rsidR="006B1FF6" w:rsidRPr="00DB7156">
        <w:rPr>
          <w:rFonts w:ascii="Arial" w:hAnsi="Arial" w:cs="Arial"/>
          <w:sz w:val="24"/>
          <w:szCs w:val="24"/>
        </w:rPr>
        <w:t>R</w:t>
      </w:r>
      <w:r w:rsidR="006B2D9F" w:rsidRPr="00DB7156">
        <w:rPr>
          <w:rFonts w:ascii="Arial" w:hAnsi="Arial" w:cs="Arial"/>
          <w:sz w:val="24"/>
          <w:szCs w:val="24"/>
        </w:rPr>
        <w:t>ule</w:t>
      </w:r>
      <w:r w:rsidR="002049F1" w:rsidRPr="00DB7156">
        <w:rPr>
          <w:rFonts w:ascii="Arial" w:hAnsi="Arial" w:cs="Arial"/>
          <w:sz w:val="24"/>
          <w:szCs w:val="24"/>
        </w:rPr>
        <w:t>. O</w:t>
      </w:r>
      <w:r w:rsidR="006B2D9F" w:rsidRPr="00DB7156">
        <w:rPr>
          <w:rFonts w:ascii="Arial" w:hAnsi="Arial" w:cs="Arial"/>
          <w:sz w:val="24"/>
          <w:szCs w:val="24"/>
        </w:rPr>
        <w:t xml:space="preserve">n April 12, </w:t>
      </w:r>
      <w:r w:rsidR="0001007F" w:rsidRPr="00DB7156">
        <w:rPr>
          <w:rFonts w:ascii="Arial" w:hAnsi="Arial" w:cs="Arial"/>
          <w:sz w:val="24"/>
          <w:szCs w:val="24"/>
        </w:rPr>
        <w:t>2017,</w:t>
      </w:r>
      <w:r w:rsidR="006B2D9F" w:rsidRPr="00DB7156">
        <w:rPr>
          <w:rFonts w:ascii="Arial" w:hAnsi="Arial" w:cs="Arial"/>
          <w:sz w:val="24"/>
          <w:szCs w:val="24"/>
        </w:rPr>
        <w:t xml:space="preserve"> the EPA Administrator granted the </w:t>
      </w:r>
      <w:r w:rsidR="00DA3401" w:rsidRPr="00DB7156">
        <w:rPr>
          <w:rFonts w:ascii="Arial" w:hAnsi="Arial" w:cs="Arial"/>
          <w:sz w:val="24"/>
          <w:szCs w:val="24"/>
        </w:rPr>
        <w:t>P</w:t>
      </w:r>
      <w:r w:rsidR="006B2D9F" w:rsidRPr="00DB7156">
        <w:rPr>
          <w:rFonts w:ascii="Arial" w:hAnsi="Arial" w:cs="Arial"/>
          <w:sz w:val="24"/>
          <w:szCs w:val="24"/>
        </w:rPr>
        <w:t>etition</w:t>
      </w:r>
      <w:r w:rsidR="002049F1" w:rsidRPr="00DB7156">
        <w:rPr>
          <w:rFonts w:ascii="Arial" w:hAnsi="Arial" w:cs="Arial"/>
          <w:sz w:val="24"/>
          <w:szCs w:val="24"/>
        </w:rPr>
        <w:t xml:space="preserve"> and</w:t>
      </w:r>
      <w:r w:rsidR="006B2D9F" w:rsidRPr="00DB7156">
        <w:rPr>
          <w:rFonts w:ascii="Arial" w:hAnsi="Arial" w:cs="Arial"/>
          <w:sz w:val="24"/>
          <w:szCs w:val="24"/>
        </w:rPr>
        <w:t xml:space="preserve"> </w:t>
      </w:r>
      <w:r w:rsidR="005A5E8E" w:rsidRPr="00DB7156">
        <w:rPr>
          <w:rFonts w:ascii="Arial" w:hAnsi="Arial" w:cs="Arial"/>
          <w:sz w:val="24"/>
          <w:szCs w:val="24"/>
        </w:rPr>
        <w:t>announced</w:t>
      </w:r>
      <w:r w:rsidR="006B2D9F" w:rsidRPr="00DB7156">
        <w:rPr>
          <w:rFonts w:ascii="Arial" w:hAnsi="Arial" w:cs="Arial"/>
          <w:sz w:val="24"/>
          <w:szCs w:val="24"/>
        </w:rPr>
        <w:t xml:space="preserve"> an administrative stay pursuant to § 705 of the Administrative Procedure</w:t>
      </w:r>
      <w:r w:rsidR="006B4261" w:rsidRPr="00DB7156">
        <w:rPr>
          <w:rFonts w:ascii="Arial" w:hAnsi="Arial" w:cs="Arial"/>
          <w:sz w:val="24"/>
          <w:szCs w:val="24"/>
        </w:rPr>
        <w:t>s</w:t>
      </w:r>
      <w:r w:rsidR="006B2D9F" w:rsidRPr="00DB7156">
        <w:rPr>
          <w:rFonts w:ascii="Arial" w:hAnsi="Arial" w:cs="Arial"/>
          <w:sz w:val="24"/>
          <w:szCs w:val="24"/>
        </w:rPr>
        <w:t xml:space="preserve"> Act. </w:t>
      </w:r>
      <w:r w:rsidR="00212C95" w:rsidRPr="00DB7156">
        <w:rPr>
          <w:rFonts w:ascii="Arial" w:hAnsi="Arial" w:cs="Arial"/>
          <w:sz w:val="24"/>
          <w:szCs w:val="24"/>
        </w:rPr>
        <w:t>This administrative stay applie</w:t>
      </w:r>
      <w:r w:rsidR="00ED3195" w:rsidRPr="00DB7156">
        <w:rPr>
          <w:rFonts w:ascii="Arial" w:hAnsi="Arial" w:cs="Arial"/>
          <w:sz w:val="24"/>
          <w:szCs w:val="24"/>
        </w:rPr>
        <w:t>d</w:t>
      </w:r>
      <w:r w:rsidR="00212C95" w:rsidRPr="00DB7156">
        <w:rPr>
          <w:rFonts w:ascii="Arial" w:hAnsi="Arial" w:cs="Arial"/>
          <w:sz w:val="24"/>
          <w:szCs w:val="24"/>
        </w:rPr>
        <w:t xml:space="preserve"> to the compliance applicability dates of the more stringent BAT limitations and pretreatment standards of the 2015 ELG Rule (e.g.</w:t>
      </w:r>
      <w:r w:rsidR="00B070BC" w:rsidRPr="00DB7156">
        <w:rPr>
          <w:rFonts w:ascii="Arial" w:hAnsi="Arial" w:cs="Arial"/>
          <w:sz w:val="24"/>
          <w:szCs w:val="24"/>
        </w:rPr>
        <w:t>,</w:t>
      </w:r>
      <w:r w:rsidR="00212C95" w:rsidRPr="00DB7156">
        <w:rPr>
          <w:rFonts w:ascii="Arial" w:hAnsi="Arial" w:cs="Arial"/>
          <w:sz w:val="24"/>
          <w:szCs w:val="24"/>
        </w:rPr>
        <w:t xml:space="preserve"> those for fly ash transport water, bottom ash transport water, FGD wastewater, combustion residual leachate, flue gas mercury control wastewater and gasification wastewater). </w:t>
      </w:r>
      <w:r w:rsidR="002049F1" w:rsidRPr="00DB7156">
        <w:rPr>
          <w:rFonts w:ascii="Arial" w:hAnsi="Arial" w:cs="Arial"/>
          <w:sz w:val="24"/>
          <w:szCs w:val="24"/>
        </w:rPr>
        <w:t>On April 14</w:t>
      </w:r>
      <w:r w:rsidR="006B4261" w:rsidRPr="00DB7156">
        <w:rPr>
          <w:rFonts w:ascii="Arial" w:hAnsi="Arial" w:cs="Arial"/>
          <w:sz w:val="24"/>
          <w:szCs w:val="24"/>
        </w:rPr>
        <w:t>,</w:t>
      </w:r>
      <w:r w:rsidR="0048692F" w:rsidRPr="00DB7156">
        <w:rPr>
          <w:rFonts w:ascii="Arial" w:hAnsi="Arial" w:cs="Arial"/>
          <w:sz w:val="24"/>
          <w:szCs w:val="24"/>
        </w:rPr>
        <w:t xml:space="preserve"> 2017,</w:t>
      </w:r>
      <w:r w:rsidR="006B4261" w:rsidRPr="00DB7156">
        <w:rPr>
          <w:rFonts w:ascii="Arial" w:hAnsi="Arial" w:cs="Arial"/>
          <w:sz w:val="24"/>
          <w:szCs w:val="24"/>
        </w:rPr>
        <w:t xml:space="preserve"> EPA asked the </w:t>
      </w:r>
      <w:r w:rsidR="002049F1" w:rsidRPr="00DB7156">
        <w:rPr>
          <w:rFonts w:ascii="Arial" w:hAnsi="Arial" w:cs="Arial"/>
          <w:sz w:val="24"/>
          <w:szCs w:val="24"/>
        </w:rPr>
        <w:t>court</w:t>
      </w:r>
      <w:r w:rsidR="006B4261" w:rsidRPr="00DB7156">
        <w:rPr>
          <w:rFonts w:ascii="Arial" w:hAnsi="Arial" w:cs="Arial"/>
          <w:sz w:val="24"/>
          <w:szCs w:val="24"/>
        </w:rPr>
        <w:t xml:space="preserve"> </w:t>
      </w:r>
      <w:r w:rsidR="002049F1" w:rsidRPr="00DB7156">
        <w:rPr>
          <w:rFonts w:ascii="Arial" w:hAnsi="Arial" w:cs="Arial"/>
          <w:sz w:val="24"/>
          <w:szCs w:val="24"/>
        </w:rPr>
        <w:t xml:space="preserve">to hold the case in abeyance </w:t>
      </w:r>
      <w:r w:rsidR="006B4261" w:rsidRPr="00DB7156">
        <w:rPr>
          <w:rFonts w:ascii="Arial" w:hAnsi="Arial" w:cs="Arial"/>
          <w:sz w:val="24"/>
          <w:szCs w:val="24"/>
        </w:rPr>
        <w:t>for 120 days</w:t>
      </w:r>
      <w:r w:rsidR="00EE20FA" w:rsidRPr="00DB7156">
        <w:rPr>
          <w:rFonts w:ascii="Arial" w:hAnsi="Arial" w:cs="Arial"/>
          <w:sz w:val="24"/>
          <w:szCs w:val="24"/>
        </w:rPr>
        <w:t xml:space="preserve"> while </w:t>
      </w:r>
      <w:r w:rsidR="002049F1" w:rsidRPr="00DB7156">
        <w:rPr>
          <w:rFonts w:ascii="Arial" w:hAnsi="Arial" w:cs="Arial"/>
          <w:sz w:val="24"/>
          <w:szCs w:val="24"/>
        </w:rPr>
        <w:t>it</w:t>
      </w:r>
      <w:r w:rsidR="00EE20FA" w:rsidRPr="00DB7156">
        <w:rPr>
          <w:rFonts w:ascii="Arial" w:hAnsi="Arial" w:cs="Arial"/>
          <w:sz w:val="24"/>
          <w:szCs w:val="24"/>
        </w:rPr>
        <w:t xml:space="preserve"> reconsider</w:t>
      </w:r>
      <w:r w:rsidR="0048692F" w:rsidRPr="00DB7156">
        <w:rPr>
          <w:rFonts w:ascii="Arial" w:hAnsi="Arial" w:cs="Arial"/>
          <w:sz w:val="24"/>
          <w:szCs w:val="24"/>
        </w:rPr>
        <w:t>ed</w:t>
      </w:r>
      <w:r w:rsidR="00EE20FA" w:rsidRPr="00DB7156">
        <w:rPr>
          <w:rFonts w:ascii="Arial" w:hAnsi="Arial" w:cs="Arial"/>
          <w:sz w:val="24"/>
          <w:szCs w:val="24"/>
        </w:rPr>
        <w:t xml:space="preserve"> specific aspects of the rule</w:t>
      </w:r>
      <w:r w:rsidR="00DA3401" w:rsidRPr="00DB7156">
        <w:rPr>
          <w:rFonts w:ascii="Arial" w:hAnsi="Arial" w:cs="Arial"/>
          <w:sz w:val="24"/>
          <w:szCs w:val="24"/>
        </w:rPr>
        <w:t>.</w:t>
      </w:r>
      <w:r w:rsidR="00EE20FA" w:rsidRPr="00DB7156">
        <w:rPr>
          <w:rFonts w:ascii="Arial" w:hAnsi="Arial" w:cs="Arial"/>
          <w:sz w:val="24"/>
          <w:szCs w:val="24"/>
        </w:rPr>
        <w:t xml:space="preserve"> </w:t>
      </w:r>
      <w:r w:rsidR="006B2D9F" w:rsidRPr="00DB7156">
        <w:rPr>
          <w:rFonts w:ascii="Arial" w:hAnsi="Arial" w:cs="Arial"/>
          <w:sz w:val="24"/>
          <w:szCs w:val="24"/>
        </w:rPr>
        <w:t xml:space="preserve">The </w:t>
      </w:r>
      <w:r w:rsidR="002049F1" w:rsidRPr="00DB7156">
        <w:rPr>
          <w:rFonts w:ascii="Arial" w:hAnsi="Arial" w:cs="Arial"/>
          <w:sz w:val="24"/>
          <w:szCs w:val="24"/>
        </w:rPr>
        <w:t>court</w:t>
      </w:r>
      <w:r w:rsidR="008411B8" w:rsidRPr="00DB7156">
        <w:rPr>
          <w:rFonts w:ascii="Arial" w:hAnsi="Arial" w:cs="Arial"/>
          <w:sz w:val="24"/>
          <w:szCs w:val="24"/>
        </w:rPr>
        <w:t xml:space="preserve"> granted </w:t>
      </w:r>
      <w:r w:rsidR="002049F1" w:rsidRPr="00DB7156">
        <w:rPr>
          <w:rFonts w:ascii="Arial" w:hAnsi="Arial" w:cs="Arial"/>
          <w:sz w:val="24"/>
          <w:szCs w:val="24"/>
        </w:rPr>
        <w:t>EPA’s request</w:t>
      </w:r>
      <w:r w:rsidR="008411B8" w:rsidRPr="00DB7156">
        <w:rPr>
          <w:rFonts w:ascii="Arial" w:hAnsi="Arial" w:cs="Arial"/>
          <w:sz w:val="24"/>
          <w:szCs w:val="24"/>
        </w:rPr>
        <w:t xml:space="preserve"> on April 24, 2017</w:t>
      </w:r>
      <w:r w:rsidR="00D25F8E" w:rsidRPr="00DB7156">
        <w:rPr>
          <w:rFonts w:ascii="Arial" w:hAnsi="Arial" w:cs="Arial"/>
          <w:sz w:val="24"/>
          <w:szCs w:val="24"/>
        </w:rPr>
        <w:t>, with t</w:t>
      </w:r>
      <w:r w:rsidR="006B2D9F" w:rsidRPr="00DB7156">
        <w:rPr>
          <w:rFonts w:ascii="Arial" w:hAnsi="Arial" w:cs="Arial"/>
          <w:sz w:val="24"/>
          <w:szCs w:val="24"/>
        </w:rPr>
        <w:t xml:space="preserve">he </w:t>
      </w:r>
      <w:r w:rsidR="006B4261" w:rsidRPr="00DB7156">
        <w:rPr>
          <w:rFonts w:ascii="Arial" w:hAnsi="Arial" w:cs="Arial"/>
          <w:sz w:val="24"/>
          <w:szCs w:val="24"/>
        </w:rPr>
        <w:t xml:space="preserve">administrative </w:t>
      </w:r>
      <w:r w:rsidR="002049F1" w:rsidRPr="00DB7156">
        <w:rPr>
          <w:rFonts w:ascii="Arial" w:hAnsi="Arial" w:cs="Arial"/>
          <w:sz w:val="24"/>
          <w:szCs w:val="24"/>
        </w:rPr>
        <w:t xml:space="preserve">stay </w:t>
      </w:r>
      <w:r w:rsidR="00D25F8E" w:rsidRPr="00DB7156">
        <w:rPr>
          <w:rFonts w:ascii="Arial" w:hAnsi="Arial" w:cs="Arial"/>
          <w:sz w:val="24"/>
          <w:szCs w:val="24"/>
        </w:rPr>
        <w:t xml:space="preserve">becoming </w:t>
      </w:r>
      <w:r w:rsidR="00897A7E" w:rsidRPr="00DB7156">
        <w:rPr>
          <w:rFonts w:ascii="Arial" w:hAnsi="Arial" w:cs="Arial"/>
          <w:sz w:val="24"/>
          <w:szCs w:val="24"/>
        </w:rPr>
        <w:t>effective</w:t>
      </w:r>
      <w:r w:rsidR="006B2D9F" w:rsidRPr="00DB7156">
        <w:rPr>
          <w:rFonts w:ascii="Arial" w:hAnsi="Arial" w:cs="Arial"/>
          <w:sz w:val="24"/>
          <w:szCs w:val="24"/>
        </w:rPr>
        <w:t xml:space="preserve"> </w:t>
      </w:r>
      <w:r w:rsidR="009931E3" w:rsidRPr="00DB7156">
        <w:rPr>
          <w:rFonts w:ascii="Arial" w:hAnsi="Arial" w:cs="Arial"/>
          <w:sz w:val="24"/>
          <w:szCs w:val="24"/>
        </w:rPr>
        <w:t>the following day</w:t>
      </w:r>
      <w:r w:rsidR="0001007F" w:rsidRPr="00DB7156">
        <w:rPr>
          <w:rFonts w:ascii="Arial" w:hAnsi="Arial" w:cs="Arial"/>
          <w:sz w:val="24"/>
          <w:szCs w:val="24"/>
        </w:rPr>
        <w:t>.</w:t>
      </w:r>
      <w:r w:rsidR="00D77B6C" w:rsidRPr="00DB7156">
        <w:rPr>
          <w:rFonts w:ascii="Arial" w:hAnsi="Arial" w:cs="Arial"/>
          <w:sz w:val="24"/>
          <w:szCs w:val="24"/>
        </w:rPr>
        <w:t xml:space="preserve"> </w:t>
      </w:r>
    </w:p>
    <w:p w14:paraId="16405737" w14:textId="775BEDA6" w:rsidR="008411B8" w:rsidRPr="00DB7156" w:rsidRDefault="008411B8" w:rsidP="00DB7156">
      <w:pPr>
        <w:pStyle w:val="Default"/>
        <w:jc w:val="both"/>
        <w:rPr>
          <w:rFonts w:ascii="Arial" w:hAnsi="Arial" w:cs="Arial"/>
        </w:rPr>
      </w:pPr>
    </w:p>
    <w:p w14:paraId="7FE2A55C" w14:textId="1EB890B2" w:rsidR="006B4261" w:rsidRDefault="006B672C" w:rsidP="00DB7156">
      <w:pPr>
        <w:spacing w:after="0" w:line="240" w:lineRule="auto"/>
        <w:jc w:val="both"/>
        <w:rPr>
          <w:rFonts w:ascii="Arial" w:eastAsia="Calibri" w:hAnsi="Arial" w:cs="Arial"/>
          <w:sz w:val="24"/>
          <w:shd w:val="clear" w:color="auto" w:fill="FFFFFF" w:themeFill="background1"/>
        </w:rPr>
      </w:pPr>
      <w:bookmarkStart w:id="117" w:name="_Hlk496108967"/>
      <w:r w:rsidRPr="00DB7156">
        <w:rPr>
          <w:rFonts w:ascii="Arial" w:hAnsi="Arial" w:cs="Arial"/>
          <w:sz w:val="24"/>
          <w:szCs w:val="24"/>
        </w:rPr>
        <w:t xml:space="preserve">On June 6, 2017, EPA issued a proposed stay-by-rule on the postponement of the more stringent BAT limitations and pretreatment standards of the 2015 ELG Rule. This </w:t>
      </w:r>
      <w:r w:rsidR="003F7EE0">
        <w:rPr>
          <w:rFonts w:ascii="Arial" w:hAnsi="Arial" w:cs="Arial"/>
          <w:sz w:val="24"/>
          <w:szCs w:val="24"/>
        </w:rPr>
        <w:t xml:space="preserve">ELG </w:t>
      </w:r>
      <w:r w:rsidR="00DA3401" w:rsidRPr="00DB7156">
        <w:rPr>
          <w:rFonts w:ascii="Arial" w:hAnsi="Arial" w:cs="Arial"/>
          <w:sz w:val="24"/>
          <w:szCs w:val="24"/>
        </w:rPr>
        <w:t xml:space="preserve">Postponement Rule </w:t>
      </w:r>
      <w:r w:rsidRPr="00DB7156">
        <w:rPr>
          <w:rFonts w:ascii="Arial" w:hAnsi="Arial" w:cs="Arial"/>
          <w:sz w:val="24"/>
          <w:szCs w:val="24"/>
        </w:rPr>
        <w:t xml:space="preserve">was finalized on September 18, 2017, postponing </w:t>
      </w:r>
      <w:r w:rsidR="006B4261" w:rsidRPr="00DB7156">
        <w:rPr>
          <w:rFonts w:ascii="Arial" w:eastAsia="Calibri" w:hAnsi="Arial" w:cs="Arial"/>
          <w:sz w:val="24"/>
          <w:szCs w:val="24"/>
        </w:rPr>
        <w:t>the earliest compliance dates for the</w:t>
      </w:r>
      <w:r w:rsidRPr="00DB7156">
        <w:rPr>
          <w:rFonts w:ascii="Arial" w:eastAsia="Calibri" w:hAnsi="Arial" w:cs="Arial"/>
          <w:sz w:val="24"/>
          <w:szCs w:val="24"/>
        </w:rPr>
        <w:t xml:space="preserve"> 2015</w:t>
      </w:r>
      <w:r w:rsidR="006B4261" w:rsidRPr="00DB7156">
        <w:rPr>
          <w:rFonts w:ascii="Arial" w:eastAsia="Calibri" w:hAnsi="Arial" w:cs="Arial"/>
          <w:sz w:val="24"/>
          <w:szCs w:val="24"/>
        </w:rPr>
        <w:t xml:space="preserve"> BAT effluent limitations for bottom ash transport water and FGD wastewater until November 1, 2020 rather than November 1, 2018. </w:t>
      </w:r>
      <w:r w:rsidR="00587FF6" w:rsidRPr="00DB7156">
        <w:rPr>
          <w:rFonts w:ascii="Arial" w:eastAsia="Calibri" w:hAnsi="Arial" w:cs="Arial"/>
          <w:sz w:val="24"/>
        </w:rPr>
        <w:t xml:space="preserve">With issuance of the Postponement Rule, EPA withdrew the administrative stay that it had issued on April 12, 2017 such that </w:t>
      </w:r>
      <w:r w:rsidR="00587FF6" w:rsidRPr="00DB7156">
        <w:rPr>
          <w:rFonts w:ascii="Arial" w:hAnsi="Arial" w:cs="Arial"/>
          <w:sz w:val="24"/>
          <w:shd w:val="clear" w:color="auto" w:fill="FFFFFF" w:themeFill="background1"/>
        </w:rPr>
        <w:t xml:space="preserve">the 2015 ELG Rule applicability dates for fly ash transport water, flue gas mercury control wastewater and gasification wastewater were once again in effect. </w:t>
      </w:r>
      <w:r w:rsidR="00264636" w:rsidRPr="00DB7156">
        <w:rPr>
          <w:rFonts w:ascii="Arial" w:hAnsi="Arial" w:cs="Arial"/>
          <w:sz w:val="24"/>
          <w:shd w:val="clear" w:color="auto" w:fill="FFFFFF" w:themeFill="background1"/>
        </w:rPr>
        <w:t>EPA also stated that it plan</w:t>
      </w:r>
      <w:r w:rsidR="003B7C71">
        <w:rPr>
          <w:rFonts w:ascii="Arial" w:hAnsi="Arial" w:cs="Arial"/>
          <w:sz w:val="24"/>
          <w:shd w:val="clear" w:color="auto" w:fill="FFFFFF" w:themeFill="background1"/>
        </w:rPr>
        <w:t>n</w:t>
      </w:r>
      <w:r w:rsidR="000341A1">
        <w:rPr>
          <w:rFonts w:ascii="Arial" w:hAnsi="Arial" w:cs="Arial"/>
          <w:sz w:val="24"/>
          <w:shd w:val="clear" w:color="auto" w:fill="FFFFFF" w:themeFill="background1"/>
        </w:rPr>
        <w:t>ed</w:t>
      </w:r>
      <w:r w:rsidR="00264636" w:rsidRPr="00DB7156">
        <w:rPr>
          <w:rFonts w:ascii="Arial" w:hAnsi="Arial" w:cs="Arial"/>
          <w:sz w:val="24"/>
          <w:shd w:val="clear" w:color="auto" w:fill="FFFFFF" w:themeFill="background1"/>
        </w:rPr>
        <w:t xml:space="preserve"> to take approximately three years to propose and finalize a new rule addressing bottom ash transport water and FGD wastewater.</w:t>
      </w:r>
      <w:bookmarkEnd w:id="117"/>
    </w:p>
    <w:p w14:paraId="420A5200" w14:textId="20F89741" w:rsidR="00B05F54" w:rsidRDefault="00B05F54" w:rsidP="00DB7156">
      <w:pPr>
        <w:spacing w:after="0" w:line="240" w:lineRule="auto"/>
        <w:jc w:val="both"/>
        <w:rPr>
          <w:rFonts w:ascii="Arial" w:hAnsi="Arial" w:cs="Arial"/>
          <w:sz w:val="24"/>
          <w:shd w:val="clear" w:color="auto" w:fill="FFFFFF" w:themeFill="background1"/>
        </w:rPr>
      </w:pPr>
    </w:p>
    <w:p w14:paraId="7BCF5680" w14:textId="1A9CBF46" w:rsidR="00B05F54" w:rsidRPr="00CE2860" w:rsidRDefault="00B05F54" w:rsidP="00DB7156">
      <w:pPr>
        <w:spacing w:after="0" w:line="240" w:lineRule="auto"/>
        <w:jc w:val="both"/>
        <w:rPr>
          <w:rFonts w:ascii="Arial" w:eastAsia="Calibri" w:hAnsi="Arial" w:cs="Arial"/>
          <w:sz w:val="24"/>
          <w:szCs w:val="24"/>
        </w:rPr>
      </w:pPr>
      <w:r w:rsidRPr="00CE2860">
        <w:rPr>
          <w:rFonts w:ascii="Arial" w:eastAsia="Calibri" w:hAnsi="Arial" w:cs="Arial"/>
          <w:sz w:val="24"/>
          <w:szCs w:val="24"/>
        </w:rPr>
        <w:t>On October 3, 2018, the U.S. Court of Appeals for the Fifth Circuit conducted oral argument</w:t>
      </w:r>
      <w:r w:rsidR="003B7C71">
        <w:rPr>
          <w:rFonts w:ascii="Arial" w:eastAsia="Calibri" w:hAnsi="Arial" w:cs="Arial"/>
          <w:sz w:val="24"/>
          <w:szCs w:val="24"/>
        </w:rPr>
        <w:t>s</w:t>
      </w:r>
      <w:r w:rsidRPr="00CE2860">
        <w:rPr>
          <w:rFonts w:ascii="Arial" w:eastAsia="Calibri" w:hAnsi="Arial" w:cs="Arial"/>
          <w:sz w:val="24"/>
          <w:szCs w:val="24"/>
        </w:rPr>
        <w:t xml:space="preserve"> concerning </w:t>
      </w:r>
      <w:r w:rsidR="00030E6F" w:rsidRPr="00CE2860">
        <w:rPr>
          <w:rFonts w:ascii="Arial" w:eastAsia="Calibri" w:hAnsi="Arial" w:cs="Arial"/>
          <w:sz w:val="24"/>
          <w:szCs w:val="24"/>
        </w:rPr>
        <w:t>a 3</w:t>
      </w:r>
      <w:r w:rsidR="00030E6F" w:rsidRPr="00CE2860">
        <w:rPr>
          <w:rFonts w:ascii="Arial" w:eastAsia="Calibri" w:hAnsi="Arial" w:cs="Arial"/>
          <w:sz w:val="24"/>
          <w:szCs w:val="24"/>
          <w:vertAlign w:val="superscript"/>
        </w:rPr>
        <w:t>rd</w:t>
      </w:r>
      <w:r w:rsidR="00030E6F" w:rsidRPr="00CE2860">
        <w:rPr>
          <w:rFonts w:ascii="Arial" w:eastAsia="Calibri" w:hAnsi="Arial" w:cs="Arial"/>
          <w:sz w:val="24"/>
          <w:szCs w:val="24"/>
        </w:rPr>
        <w:t xml:space="preserve"> party</w:t>
      </w:r>
      <w:r w:rsidRPr="00CE2860">
        <w:rPr>
          <w:rFonts w:ascii="Arial" w:eastAsia="Calibri" w:hAnsi="Arial" w:cs="Arial"/>
          <w:sz w:val="24"/>
          <w:szCs w:val="24"/>
        </w:rPr>
        <w:t xml:space="preserve"> challenge on the 2015 ELG Rule’s BAT determinations for legacy wastewater and combustion </w:t>
      </w:r>
      <w:r w:rsidR="00340C51">
        <w:rPr>
          <w:rFonts w:ascii="Arial" w:eastAsia="Calibri" w:hAnsi="Arial" w:cs="Arial"/>
          <w:sz w:val="24"/>
          <w:szCs w:val="24"/>
        </w:rPr>
        <w:t xml:space="preserve">residual </w:t>
      </w:r>
      <w:r w:rsidRPr="00CE2860">
        <w:rPr>
          <w:rFonts w:ascii="Arial" w:eastAsia="Calibri" w:hAnsi="Arial" w:cs="Arial"/>
          <w:sz w:val="24"/>
          <w:szCs w:val="24"/>
        </w:rPr>
        <w:t xml:space="preserve">leachate. </w:t>
      </w:r>
      <w:r w:rsidR="00030E6F" w:rsidRPr="00CE2860">
        <w:rPr>
          <w:rFonts w:ascii="Arial" w:eastAsia="Calibri" w:hAnsi="Arial" w:cs="Arial"/>
          <w:sz w:val="24"/>
          <w:szCs w:val="24"/>
        </w:rPr>
        <w:t>A decision by the court is expected in early 2019.</w:t>
      </w:r>
    </w:p>
    <w:p w14:paraId="2FABFCAA" w14:textId="01158616" w:rsidR="001305A4" w:rsidRPr="00DB7156" w:rsidRDefault="001305A4" w:rsidP="00DB7156">
      <w:pPr>
        <w:spacing w:after="0" w:line="240" w:lineRule="auto"/>
        <w:jc w:val="both"/>
        <w:rPr>
          <w:rFonts w:ascii="Arial" w:hAnsi="Arial" w:cs="Arial"/>
          <w:sz w:val="24"/>
          <w:szCs w:val="24"/>
        </w:rPr>
      </w:pPr>
    </w:p>
    <w:p w14:paraId="2541BC63" w14:textId="6808BFE5" w:rsidR="009A357C" w:rsidRDefault="003B7C71" w:rsidP="00DB7156">
      <w:pPr>
        <w:spacing w:after="0" w:line="240" w:lineRule="auto"/>
        <w:jc w:val="both"/>
        <w:rPr>
          <w:rFonts w:ascii="Arial" w:eastAsia="Calibri" w:hAnsi="Arial" w:cs="Arial"/>
          <w:color w:val="000000"/>
          <w:sz w:val="24"/>
          <w:szCs w:val="24"/>
        </w:rPr>
      </w:pPr>
      <w:r>
        <w:rPr>
          <w:rFonts w:ascii="Arial" w:hAnsi="Arial" w:cs="Arial"/>
          <w:sz w:val="24"/>
          <w:szCs w:val="24"/>
        </w:rPr>
        <w:t>Also i</w:t>
      </w:r>
      <w:r w:rsidR="0019144C" w:rsidRPr="00DB7156">
        <w:rPr>
          <w:rFonts w:ascii="Arial" w:hAnsi="Arial" w:cs="Arial"/>
          <w:sz w:val="24"/>
          <w:szCs w:val="24"/>
        </w:rPr>
        <w:t xml:space="preserve">n </w:t>
      </w:r>
      <w:r w:rsidR="00B9414E" w:rsidRPr="00DB7156">
        <w:rPr>
          <w:rFonts w:ascii="Arial" w:hAnsi="Arial" w:cs="Arial"/>
          <w:sz w:val="24"/>
          <w:szCs w:val="24"/>
        </w:rPr>
        <w:t xml:space="preserve">October </w:t>
      </w:r>
      <w:r w:rsidR="0019144C" w:rsidRPr="00DB7156">
        <w:rPr>
          <w:rFonts w:ascii="Arial" w:hAnsi="Arial" w:cs="Arial"/>
          <w:sz w:val="24"/>
          <w:szCs w:val="24"/>
        </w:rPr>
        <w:t xml:space="preserve">2018, </w:t>
      </w:r>
      <w:r w:rsidR="00264636" w:rsidRPr="00DB7156">
        <w:rPr>
          <w:rFonts w:ascii="Arial" w:hAnsi="Arial" w:cs="Arial"/>
          <w:sz w:val="24"/>
          <w:szCs w:val="24"/>
        </w:rPr>
        <w:t xml:space="preserve">EPA </w:t>
      </w:r>
      <w:r w:rsidR="00F4050F" w:rsidRPr="00DB7156">
        <w:rPr>
          <w:rFonts w:ascii="Arial" w:hAnsi="Arial" w:cs="Arial"/>
          <w:sz w:val="24"/>
          <w:szCs w:val="24"/>
        </w:rPr>
        <w:t>stated</w:t>
      </w:r>
      <w:r w:rsidR="0095570E" w:rsidRPr="00DB7156">
        <w:rPr>
          <w:rFonts w:ascii="Arial" w:hAnsi="Arial" w:cs="Arial"/>
          <w:sz w:val="24"/>
          <w:szCs w:val="24"/>
        </w:rPr>
        <w:t xml:space="preserve"> that it expected to issue a</w:t>
      </w:r>
      <w:r w:rsidR="00264636" w:rsidRPr="00DB7156">
        <w:rPr>
          <w:rFonts w:ascii="Arial" w:hAnsi="Arial" w:cs="Arial"/>
          <w:sz w:val="24"/>
          <w:szCs w:val="24"/>
        </w:rPr>
        <w:t xml:space="preserve"> proposed rule</w:t>
      </w:r>
      <w:r w:rsidR="0095570E" w:rsidRPr="00DB7156">
        <w:rPr>
          <w:rFonts w:ascii="Arial" w:hAnsi="Arial" w:cs="Arial"/>
          <w:sz w:val="24"/>
          <w:szCs w:val="24"/>
        </w:rPr>
        <w:t xml:space="preserve"> for the ELG reconsideration </w:t>
      </w:r>
      <w:r w:rsidR="00264636" w:rsidRPr="00DB7156">
        <w:rPr>
          <w:rFonts w:ascii="Arial" w:hAnsi="Arial" w:cs="Arial"/>
          <w:sz w:val="24"/>
          <w:szCs w:val="24"/>
        </w:rPr>
        <w:t xml:space="preserve">in </w:t>
      </w:r>
      <w:r w:rsidR="0019144C" w:rsidRPr="00DB7156">
        <w:rPr>
          <w:rFonts w:ascii="Arial" w:hAnsi="Arial" w:cs="Arial"/>
          <w:sz w:val="24"/>
          <w:szCs w:val="24"/>
        </w:rPr>
        <w:t>March 2019.</w:t>
      </w:r>
      <w:r w:rsidR="00264636" w:rsidRPr="00DB7156">
        <w:rPr>
          <w:rFonts w:ascii="Arial" w:hAnsi="Arial" w:cs="Arial"/>
          <w:sz w:val="24"/>
          <w:szCs w:val="24"/>
        </w:rPr>
        <w:t xml:space="preserve"> EPA </w:t>
      </w:r>
      <w:r w:rsidR="005A5258">
        <w:rPr>
          <w:rFonts w:ascii="Arial" w:hAnsi="Arial" w:cs="Arial"/>
          <w:sz w:val="24"/>
          <w:szCs w:val="24"/>
        </w:rPr>
        <w:t xml:space="preserve">stated it </w:t>
      </w:r>
      <w:r w:rsidR="00264636" w:rsidRPr="00DB7156">
        <w:rPr>
          <w:rFonts w:ascii="Arial" w:hAnsi="Arial" w:cs="Arial"/>
          <w:sz w:val="24"/>
          <w:szCs w:val="24"/>
        </w:rPr>
        <w:t xml:space="preserve">is currently </w:t>
      </w:r>
      <w:r w:rsidR="00CB7813" w:rsidRPr="00DB7156">
        <w:rPr>
          <w:rFonts w:ascii="Arial" w:hAnsi="Arial" w:cs="Arial"/>
          <w:sz w:val="24"/>
          <w:szCs w:val="24"/>
        </w:rPr>
        <w:t xml:space="preserve">evaluating </w:t>
      </w:r>
      <w:r w:rsidR="00264636" w:rsidRPr="00DB7156">
        <w:rPr>
          <w:rFonts w:ascii="Arial" w:hAnsi="Arial" w:cs="Arial"/>
          <w:sz w:val="24"/>
          <w:szCs w:val="24"/>
        </w:rPr>
        <w:t xml:space="preserve">new </w:t>
      </w:r>
      <w:r w:rsidR="00CB7813" w:rsidRPr="00DB7156">
        <w:rPr>
          <w:rFonts w:ascii="Arial" w:hAnsi="Arial" w:cs="Arial"/>
          <w:sz w:val="24"/>
          <w:szCs w:val="24"/>
        </w:rPr>
        <w:t>information</w:t>
      </w:r>
      <w:r w:rsidR="00264636" w:rsidRPr="00DB7156">
        <w:rPr>
          <w:rFonts w:ascii="Arial" w:hAnsi="Arial" w:cs="Arial"/>
          <w:sz w:val="24"/>
          <w:szCs w:val="24"/>
        </w:rPr>
        <w:t xml:space="preserve"> for this rulemaking</w:t>
      </w:r>
      <w:r w:rsidR="00B9414E" w:rsidRPr="00DB7156">
        <w:rPr>
          <w:rFonts w:ascii="Arial" w:hAnsi="Arial" w:cs="Arial"/>
          <w:sz w:val="24"/>
          <w:szCs w:val="24"/>
        </w:rPr>
        <w:t xml:space="preserve"> that may change </w:t>
      </w:r>
      <w:r w:rsidR="00B9414E" w:rsidRPr="00DB7156">
        <w:rPr>
          <w:rFonts w:ascii="Arial" w:eastAsia="Calibri" w:hAnsi="Arial" w:cs="Arial"/>
          <w:color w:val="000000"/>
          <w:sz w:val="24"/>
          <w:szCs w:val="24"/>
        </w:rPr>
        <w:t>the limits for bottom ash transport water and FGD wastewater, but there is still uncertainty</w:t>
      </w:r>
      <w:r w:rsidR="00F4050F" w:rsidRPr="00DB7156">
        <w:rPr>
          <w:rFonts w:ascii="Arial" w:eastAsia="Calibri" w:hAnsi="Arial" w:cs="Arial"/>
          <w:color w:val="000000"/>
          <w:sz w:val="24"/>
          <w:szCs w:val="24"/>
        </w:rPr>
        <w:t>,</w:t>
      </w:r>
      <w:r w:rsidR="00B9414E" w:rsidRPr="00DB7156">
        <w:rPr>
          <w:rFonts w:ascii="Arial" w:eastAsia="Calibri" w:hAnsi="Arial" w:cs="Arial"/>
          <w:color w:val="000000"/>
          <w:sz w:val="24"/>
          <w:szCs w:val="24"/>
        </w:rPr>
        <w:t xml:space="preserve"> at this time</w:t>
      </w:r>
      <w:r w:rsidR="00F4050F" w:rsidRPr="00DB7156">
        <w:rPr>
          <w:rFonts w:ascii="Arial" w:eastAsia="Calibri" w:hAnsi="Arial" w:cs="Arial"/>
          <w:color w:val="000000"/>
          <w:sz w:val="24"/>
          <w:szCs w:val="24"/>
        </w:rPr>
        <w:t>,</w:t>
      </w:r>
      <w:r w:rsidR="00B9414E" w:rsidRPr="00DB7156">
        <w:rPr>
          <w:rFonts w:ascii="Arial" w:eastAsia="Calibri" w:hAnsi="Arial" w:cs="Arial"/>
          <w:color w:val="000000"/>
          <w:sz w:val="24"/>
          <w:szCs w:val="24"/>
        </w:rPr>
        <w:t xml:space="preserve"> as to what the final rule will require for compliance and when the new limits will apply.</w:t>
      </w:r>
      <w:r>
        <w:rPr>
          <w:rFonts w:ascii="Arial" w:eastAsia="Calibri" w:hAnsi="Arial" w:cs="Arial"/>
          <w:color w:val="000000"/>
          <w:sz w:val="24"/>
          <w:szCs w:val="24"/>
        </w:rPr>
        <w:t xml:space="preserve"> EPA stated that it expects to issue the final ELG </w:t>
      </w:r>
      <w:r w:rsidR="00EB7E25">
        <w:rPr>
          <w:rFonts w:ascii="Arial" w:eastAsia="Calibri" w:hAnsi="Arial" w:cs="Arial"/>
          <w:color w:val="000000"/>
          <w:sz w:val="24"/>
          <w:szCs w:val="24"/>
        </w:rPr>
        <w:t>R</w:t>
      </w:r>
      <w:r>
        <w:rPr>
          <w:rFonts w:ascii="Arial" w:eastAsia="Calibri" w:hAnsi="Arial" w:cs="Arial"/>
          <w:color w:val="000000"/>
          <w:sz w:val="24"/>
          <w:szCs w:val="24"/>
        </w:rPr>
        <w:t>ule reconsideration in December 2019.</w:t>
      </w:r>
    </w:p>
    <w:bookmarkEnd w:id="115"/>
    <w:p w14:paraId="22BA502D" w14:textId="2A60C64F" w:rsidR="00841D51" w:rsidRPr="00DB7156" w:rsidRDefault="00841D51" w:rsidP="00DB7156">
      <w:pPr>
        <w:spacing w:after="0" w:line="240" w:lineRule="auto"/>
        <w:jc w:val="both"/>
        <w:rPr>
          <w:rFonts w:ascii="Arial" w:hAnsi="Arial" w:cs="Arial"/>
          <w:b/>
          <w:bCs/>
          <w:color w:val="000080"/>
          <w:sz w:val="24"/>
          <w:szCs w:val="24"/>
        </w:rPr>
      </w:pPr>
    </w:p>
    <w:p w14:paraId="22BA502E" w14:textId="4D302D46" w:rsidR="00FC67F9" w:rsidRPr="00DB7156" w:rsidRDefault="00841D51" w:rsidP="00DB7156">
      <w:pPr>
        <w:keepNext/>
        <w:autoSpaceDE w:val="0"/>
        <w:autoSpaceDN w:val="0"/>
        <w:adjustRightInd w:val="0"/>
        <w:spacing w:after="0" w:line="240" w:lineRule="auto"/>
        <w:jc w:val="both"/>
        <w:outlineLvl w:val="1"/>
        <w:rPr>
          <w:rFonts w:ascii="Arial" w:hAnsi="Arial" w:cs="Arial"/>
          <w:b/>
          <w:color w:val="000080"/>
          <w:sz w:val="24"/>
          <w:szCs w:val="24"/>
        </w:rPr>
      </w:pPr>
      <w:bookmarkStart w:id="118" w:name="_Toc535908141"/>
      <w:bookmarkStart w:id="119" w:name="_Toc527987342"/>
      <w:bookmarkStart w:id="120" w:name="_Toc527983889"/>
      <w:bookmarkStart w:id="121" w:name="_Toc530487273"/>
      <w:r w:rsidRPr="00DB7156">
        <w:rPr>
          <w:rFonts w:ascii="Arial" w:hAnsi="Arial" w:cs="Arial"/>
          <w:b/>
          <w:bCs/>
          <w:color w:val="000080"/>
          <w:sz w:val="24"/>
          <w:szCs w:val="24"/>
        </w:rPr>
        <w:t>2.1</w:t>
      </w:r>
      <w:r w:rsidR="007376BD" w:rsidRPr="00DB7156">
        <w:rPr>
          <w:rFonts w:ascii="Arial" w:hAnsi="Arial" w:cs="Arial"/>
          <w:b/>
          <w:bCs/>
          <w:color w:val="000080"/>
          <w:sz w:val="24"/>
          <w:szCs w:val="24"/>
        </w:rPr>
        <w:t>6</w:t>
      </w:r>
      <w:r w:rsidRPr="00DB7156">
        <w:rPr>
          <w:rFonts w:ascii="Arial" w:hAnsi="Arial" w:cs="Arial"/>
          <w:b/>
          <w:bCs/>
          <w:color w:val="000080"/>
          <w:sz w:val="24"/>
          <w:szCs w:val="24"/>
        </w:rPr>
        <w:tab/>
      </w:r>
      <w:r w:rsidRPr="00DB7156">
        <w:rPr>
          <w:rFonts w:ascii="Arial" w:hAnsi="Arial" w:cs="Arial"/>
          <w:b/>
          <w:snapToGrid w:val="0"/>
          <w:color w:val="000080"/>
          <w:sz w:val="24"/>
          <w:szCs w:val="24"/>
        </w:rPr>
        <w:t>Water Quality Standards and T</w:t>
      </w:r>
      <w:r w:rsidR="00800812">
        <w:rPr>
          <w:rFonts w:ascii="Arial" w:hAnsi="Arial" w:cs="Arial"/>
          <w:b/>
          <w:snapToGrid w:val="0"/>
          <w:color w:val="000080"/>
          <w:sz w:val="24"/>
          <w:szCs w:val="24"/>
        </w:rPr>
        <w:t>otal Maximum Daily Load</w:t>
      </w:r>
      <w:bookmarkEnd w:id="118"/>
      <w:r w:rsidR="00800812">
        <w:rPr>
          <w:rFonts w:ascii="Arial" w:hAnsi="Arial" w:cs="Arial"/>
          <w:b/>
          <w:snapToGrid w:val="0"/>
          <w:color w:val="000080"/>
          <w:sz w:val="24"/>
          <w:szCs w:val="24"/>
        </w:rPr>
        <w:t xml:space="preserve"> </w:t>
      </w:r>
      <w:bookmarkEnd w:id="119"/>
      <w:bookmarkEnd w:id="120"/>
      <w:bookmarkEnd w:id="121"/>
    </w:p>
    <w:p w14:paraId="41A5846A" w14:textId="77777777" w:rsidR="00A40796" w:rsidRDefault="00A40796" w:rsidP="00DB7156">
      <w:pPr>
        <w:spacing w:after="0" w:line="240" w:lineRule="auto"/>
        <w:jc w:val="both"/>
        <w:rPr>
          <w:rFonts w:ascii="Arial" w:hAnsi="Arial" w:cs="Arial"/>
          <w:sz w:val="24"/>
        </w:rPr>
      </w:pPr>
    </w:p>
    <w:p w14:paraId="22BA502F" w14:textId="6D35BD21" w:rsidR="00BB3765" w:rsidRPr="00DB7156" w:rsidRDefault="00BE2F21" w:rsidP="00DB7156">
      <w:pPr>
        <w:spacing w:after="0" w:line="240" w:lineRule="auto"/>
        <w:jc w:val="both"/>
        <w:rPr>
          <w:rFonts w:ascii="Arial" w:hAnsi="Arial" w:cs="Arial"/>
          <w:b/>
          <w:color w:val="000080"/>
          <w:sz w:val="24"/>
        </w:rPr>
      </w:pPr>
      <w:r w:rsidRPr="00DB7156">
        <w:rPr>
          <w:rFonts w:ascii="Arial" w:hAnsi="Arial" w:cs="Arial"/>
          <w:sz w:val="24"/>
        </w:rPr>
        <w:t>Water quality</w:t>
      </w:r>
      <w:r w:rsidRPr="00DB7156">
        <w:rPr>
          <w:rFonts w:ascii="Arial" w:hAnsi="Arial" w:cs="Arial"/>
          <w:color w:val="000080"/>
          <w:sz w:val="24"/>
        </w:rPr>
        <w:t xml:space="preserve"> </w:t>
      </w:r>
      <w:r w:rsidRPr="00DB7156">
        <w:rPr>
          <w:rFonts w:ascii="Arial" w:hAnsi="Arial" w:cs="Arial"/>
          <w:color w:val="000000"/>
          <w:sz w:val="24"/>
        </w:rPr>
        <w:t>standards</w:t>
      </w:r>
      <w:r w:rsidRPr="00DB7156">
        <w:rPr>
          <w:rFonts w:ascii="Arial" w:hAnsi="Arial" w:cs="Arial"/>
          <w:sz w:val="24"/>
        </w:rPr>
        <w:t xml:space="preserve"> are set by state law on toxics and other pollutants based on the protection of aquatic life and human health. </w:t>
      </w:r>
      <w:r w:rsidR="008B3194" w:rsidRPr="00DB7156">
        <w:rPr>
          <w:rFonts w:ascii="Arial" w:hAnsi="Arial" w:cs="Arial"/>
          <w:sz w:val="24"/>
        </w:rPr>
        <w:t xml:space="preserve">A water quality standard establishes the designated use of a waterbody and the water quality criteria to protect that use. </w:t>
      </w:r>
      <w:r w:rsidR="006A4D3C" w:rsidRPr="00DB7156">
        <w:rPr>
          <w:rFonts w:ascii="Arial" w:hAnsi="Arial" w:cs="Arial"/>
          <w:sz w:val="24"/>
        </w:rPr>
        <w:t xml:space="preserve">Water quality </w:t>
      </w:r>
      <w:r w:rsidR="003F7EE0">
        <w:rPr>
          <w:rFonts w:ascii="Arial" w:hAnsi="Arial" w:cs="Arial"/>
          <w:sz w:val="24"/>
        </w:rPr>
        <w:t xml:space="preserve">standards serve as </w:t>
      </w:r>
      <w:r w:rsidR="0004495C">
        <w:rPr>
          <w:rFonts w:ascii="Arial" w:hAnsi="Arial" w:cs="Arial"/>
          <w:sz w:val="24"/>
        </w:rPr>
        <w:t>the</w:t>
      </w:r>
      <w:r w:rsidR="003F7EE0">
        <w:rPr>
          <w:rFonts w:ascii="Arial" w:hAnsi="Arial" w:cs="Arial"/>
          <w:sz w:val="24"/>
        </w:rPr>
        <w:t xml:space="preserve"> basis for establishing water quality-based effluent limitations in NPDES permits</w:t>
      </w:r>
      <w:r w:rsidR="003F7EE0" w:rsidRPr="00DB7156">
        <w:rPr>
          <w:rFonts w:ascii="Arial" w:hAnsi="Arial" w:cs="Arial"/>
          <w:sz w:val="24"/>
        </w:rPr>
        <w:t xml:space="preserve">. </w:t>
      </w:r>
      <w:r w:rsidRPr="00DB7156">
        <w:rPr>
          <w:rFonts w:ascii="Arial" w:hAnsi="Arial" w:cs="Arial"/>
          <w:sz w:val="24"/>
        </w:rPr>
        <w:t xml:space="preserve">To meet </w:t>
      </w:r>
      <w:r w:rsidR="003F7EE0">
        <w:rPr>
          <w:rFonts w:ascii="Arial" w:hAnsi="Arial" w:cs="Arial"/>
          <w:sz w:val="24"/>
        </w:rPr>
        <w:t xml:space="preserve">water quality-based effluent limits, </w:t>
      </w:r>
      <w:r w:rsidRPr="00DB7156">
        <w:rPr>
          <w:rFonts w:ascii="Arial" w:hAnsi="Arial" w:cs="Arial"/>
          <w:sz w:val="24"/>
        </w:rPr>
        <w:t xml:space="preserve">additional </w:t>
      </w:r>
      <w:r w:rsidR="00F821E5" w:rsidRPr="00DB7156">
        <w:rPr>
          <w:rFonts w:ascii="Arial" w:hAnsi="Arial" w:cs="Arial"/>
          <w:sz w:val="24"/>
        </w:rPr>
        <w:t>controls may be required</w:t>
      </w:r>
      <w:r w:rsidR="00842DA3" w:rsidRPr="00DB7156">
        <w:rPr>
          <w:rFonts w:ascii="Arial" w:hAnsi="Arial" w:cs="Arial"/>
          <w:sz w:val="24"/>
        </w:rPr>
        <w:t xml:space="preserve"> </w:t>
      </w:r>
      <w:r w:rsidR="00587FF6" w:rsidRPr="00DB7156">
        <w:rPr>
          <w:rFonts w:ascii="Arial" w:hAnsi="Arial" w:cs="Arial"/>
          <w:sz w:val="24"/>
        </w:rPr>
        <w:t xml:space="preserve">in the form of </w:t>
      </w:r>
      <w:r w:rsidRPr="00DB7156">
        <w:rPr>
          <w:rFonts w:ascii="Arial" w:hAnsi="Arial" w:cs="Arial"/>
          <w:sz w:val="24"/>
        </w:rPr>
        <w:t>wastewater treatment</w:t>
      </w:r>
      <w:r w:rsidR="00587FF6" w:rsidRPr="00DB7156">
        <w:rPr>
          <w:rFonts w:ascii="Arial" w:hAnsi="Arial" w:cs="Arial"/>
          <w:sz w:val="24"/>
        </w:rPr>
        <w:t xml:space="preserve"> (e.g., </w:t>
      </w:r>
      <w:r w:rsidR="00F821E5" w:rsidRPr="00DB7156">
        <w:rPr>
          <w:rFonts w:ascii="Arial" w:hAnsi="Arial" w:cs="Arial"/>
          <w:sz w:val="24"/>
        </w:rPr>
        <w:t>physical-chemical</w:t>
      </w:r>
      <w:r w:rsidR="00A364FA" w:rsidRPr="00DB7156">
        <w:rPr>
          <w:rFonts w:ascii="Arial" w:hAnsi="Arial" w:cs="Arial"/>
          <w:sz w:val="24"/>
        </w:rPr>
        <w:t>,</w:t>
      </w:r>
      <w:r w:rsidRPr="00DB7156">
        <w:rPr>
          <w:rFonts w:ascii="Arial" w:hAnsi="Arial" w:cs="Arial"/>
          <w:sz w:val="24"/>
        </w:rPr>
        <w:t xml:space="preserve"> biological</w:t>
      </w:r>
      <w:r w:rsidR="00A364FA" w:rsidRPr="00DB7156">
        <w:rPr>
          <w:rFonts w:ascii="Arial" w:hAnsi="Arial" w:cs="Arial"/>
          <w:sz w:val="24"/>
        </w:rPr>
        <w:t xml:space="preserve">, </w:t>
      </w:r>
      <w:r w:rsidR="00AA136B" w:rsidRPr="00DB7156">
        <w:rPr>
          <w:rFonts w:ascii="Arial" w:hAnsi="Arial" w:cs="Arial"/>
          <w:sz w:val="24"/>
        </w:rPr>
        <w:t>or</w:t>
      </w:r>
      <w:r w:rsidR="00A364FA" w:rsidRPr="00DB7156">
        <w:rPr>
          <w:rFonts w:ascii="Arial" w:hAnsi="Arial" w:cs="Arial"/>
          <w:sz w:val="24"/>
        </w:rPr>
        <w:t xml:space="preserve"> evaporation</w:t>
      </w:r>
      <w:r w:rsidRPr="00DB7156">
        <w:rPr>
          <w:rFonts w:ascii="Arial" w:hAnsi="Arial" w:cs="Arial"/>
          <w:sz w:val="24"/>
        </w:rPr>
        <w:t xml:space="preserve"> systems</w:t>
      </w:r>
      <w:r w:rsidR="00587FF6" w:rsidRPr="00DB7156">
        <w:rPr>
          <w:rFonts w:ascii="Arial" w:hAnsi="Arial" w:cs="Arial"/>
          <w:sz w:val="24"/>
        </w:rPr>
        <w:t>)</w:t>
      </w:r>
      <w:r w:rsidRPr="00DB7156">
        <w:rPr>
          <w:rFonts w:ascii="Arial" w:hAnsi="Arial" w:cs="Arial"/>
          <w:sz w:val="24"/>
        </w:rPr>
        <w:t xml:space="preserve"> </w:t>
      </w:r>
      <w:r w:rsidR="00587FF6" w:rsidRPr="00DB7156">
        <w:rPr>
          <w:rFonts w:ascii="Arial" w:hAnsi="Arial" w:cs="Arial"/>
          <w:sz w:val="24"/>
        </w:rPr>
        <w:t xml:space="preserve">or </w:t>
      </w:r>
      <w:r w:rsidR="00F821E5" w:rsidRPr="00DB7156">
        <w:rPr>
          <w:rFonts w:ascii="Arial" w:hAnsi="Arial" w:cs="Arial"/>
          <w:sz w:val="24"/>
        </w:rPr>
        <w:t>in the form of adjustments to power plant operations.</w:t>
      </w:r>
    </w:p>
    <w:p w14:paraId="1D5663C1" w14:textId="03D156E9" w:rsidR="008A5A02" w:rsidRPr="00DB7156" w:rsidRDefault="008A5A02" w:rsidP="00DB7156">
      <w:pPr>
        <w:spacing w:after="0" w:line="240" w:lineRule="auto"/>
        <w:jc w:val="both"/>
        <w:rPr>
          <w:rFonts w:ascii="Arial" w:hAnsi="Arial" w:cs="Arial"/>
          <w:color w:val="151515"/>
          <w:sz w:val="24"/>
        </w:rPr>
      </w:pPr>
    </w:p>
    <w:p w14:paraId="22BA5031" w14:textId="0FE43737" w:rsidR="00BB3765" w:rsidRPr="00DB7156" w:rsidRDefault="000341A1" w:rsidP="00DB7156">
      <w:pPr>
        <w:spacing w:after="0" w:line="240" w:lineRule="auto"/>
        <w:jc w:val="both"/>
        <w:rPr>
          <w:rFonts w:ascii="Arial" w:hAnsi="Arial" w:cs="Arial"/>
          <w:color w:val="151515"/>
          <w:sz w:val="24"/>
        </w:rPr>
      </w:pPr>
      <w:r>
        <w:rPr>
          <w:rFonts w:ascii="Arial" w:hAnsi="Arial" w:cs="Arial"/>
          <w:color w:val="151515"/>
          <w:sz w:val="24"/>
        </w:rPr>
        <w:t>I</w:t>
      </w:r>
      <w:r w:rsidR="008A5A02" w:rsidRPr="00DB7156">
        <w:rPr>
          <w:rFonts w:ascii="Arial" w:hAnsi="Arial" w:cs="Arial"/>
          <w:color w:val="151515"/>
          <w:sz w:val="24"/>
        </w:rPr>
        <w:t xml:space="preserve">n August 2015, EPA published its </w:t>
      </w:r>
      <w:r w:rsidR="001B6518" w:rsidRPr="00DB7156">
        <w:rPr>
          <w:rFonts w:ascii="Arial" w:hAnsi="Arial" w:cs="Arial"/>
          <w:color w:val="151515"/>
          <w:sz w:val="24"/>
        </w:rPr>
        <w:t xml:space="preserve">final rule to </w:t>
      </w:r>
      <w:r w:rsidR="008A5A02" w:rsidRPr="00DB7156">
        <w:rPr>
          <w:rFonts w:ascii="Arial" w:hAnsi="Arial" w:cs="Arial"/>
          <w:color w:val="151515"/>
          <w:sz w:val="24"/>
        </w:rPr>
        <w:t>update the federal water quality standards regulation</w:t>
      </w:r>
      <w:r w:rsidR="001B6518" w:rsidRPr="00DB7156">
        <w:rPr>
          <w:rFonts w:ascii="Arial" w:hAnsi="Arial" w:cs="Arial"/>
          <w:color w:val="151515"/>
          <w:sz w:val="24"/>
        </w:rPr>
        <w:t>s</w:t>
      </w:r>
      <w:r w:rsidR="008A5A02" w:rsidRPr="00DB7156">
        <w:rPr>
          <w:rFonts w:ascii="Arial" w:hAnsi="Arial" w:cs="Arial"/>
          <w:color w:val="151515"/>
          <w:sz w:val="24"/>
        </w:rPr>
        <w:t xml:space="preserve">. The rule </w:t>
      </w:r>
      <w:r w:rsidR="00A82C88" w:rsidRPr="00DB7156">
        <w:rPr>
          <w:rFonts w:ascii="Arial" w:hAnsi="Arial" w:cs="Arial"/>
          <w:color w:val="151515"/>
          <w:sz w:val="24"/>
        </w:rPr>
        <w:t>became</w:t>
      </w:r>
      <w:r w:rsidR="008A5A02" w:rsidRPr="00DB7156">
        <w:rPr>
          <w:rFonts w:ascii="Arial" w:hAnsi="Arial" w:cs="Arial"/>
          <w:color w:val="151515"/>
          <w:sz w:val="24"/>
        </w:rPr>
        <w:t xml:space="preserve"> effective </w:t>
      </w:r>
      <w:r>
        <w:rPr>
          <w:rFonts w:ascii="Arial" w:hAnsi="Arial" w:cs="Arial"/>
          <w:color w:val="151515"/>
          <w:sz w:val="24"/>
        </w:rPr>
        <w:t>i</w:t>
      </w:r>
      <w:r w:rsidR="008A5A02" w:rsidRPr="00DB7156">
        <w:rPr>
          <w:rFonts w:ascii="Arial" w:hAnsi="Arial" w:cs="Arial"/>
          <w:color w:val="151515"/>
          <w:sz w:val="24"/>
        </w:rPr>
        <w:t>n October 2015 and revises six program requirements: (1)</w:t>
      </w:r>
      <w:r w:rsidR="00503716" w:rsidRPr="00DB7156">
        <w:rPr>
          <w:rFonts w:ascii="Arial" w:hAnsi="Arial" w:cs="Arial"/>
          <w:color w:val="151515"/>
          <w:sz w:val="24"/>
        </w:rPr>
        <w:t xml:space="preserve"> </w:t>
      </w:r>
      <w:r w:rsidR="005A417A" w:rsidRPr="00DB7156">
        <w:rPr>
          <w:rFonts w:ascii="Arial" w:hAnsi="Arial" w:cs="Arial"/>
          <w:color w:val="151515"/>
          <w:sz w:val="24"/>
        </w:rPr>
        <w:t>the EPA Administrator's determinations that new or revised water quality standards are necessary;</w:t>
      </w:r>
      <w:r w:rsidR="008A5A02" w:rsidRPr="00DB7156">
        <w:rPr>
          <w:rFonts w:ascii="Arial" w:hAnsi="Arial" w:cs="Arial"/>
          <w:color w:val="151515"/>
          <w:sz w:val="24"/>
        </w:rPr>
        <w:t xml:space="preserve"> </w:t>
      </w:r>
      <w:r w:rsidR="009D3921" w:rsidRPr="00DB7156">
        <w:rPr>
          <w:rFonts w:ascii="Arial" w:hAnsi="Arial" w:cs="Arial"/>
          <w:color w:val="151515"/>
          <w:sz w:val="24"/>
        </w:rPr>
        <w:t>(2)</w:t>
      </w:r>
      <w:r w:rsidR="00503716" w:rsidRPr="00DB7156">
        <w:rPr>
          <w:rFonts w:ascii="Arial" w:hAnsi="Arial" w:cs="Arial"/>
          <w:color w:val="151515"/>
          <w:sz w:val="24"/>
        </w:rPr>
        <w:t xml:space="preserve"> </w:t>
      </w:r>
      <w:r w:rsidR="009D3921" w:rsidRPr="00DB7156">
        <w:rPr>
          <w:rFonts w:ascii="Arial" w:hAnsi="Arial" w:cs="Arial"/>
          <w:color w:val="151515"/>
          <w:sz w:val="24"/>
        </w:rPr>
        <w:t>designated uses</w:t>
      </w:r>
      <w:r w:rsidR="003E1749" w:rsidRPr="00DB7156">
        <w:rPr>
          <w:rFonts w:ascii="Arial" w:hAnsi="Arial" w:cs="Arial"/>
          <w:color w:val="151515"/>
          <w:sz w:val="24"/>
        </w:rPr>
        <w:t>; (</w:t>
      </w:r>
      <w:r w:rsidR="009A629A" w:rsidRPr="00DB7156">
        <w:rPr>
          <w:rFonts w:ascii="Arial" w:hAnsi="Arial" w:cs="Arial"/>
          <w:color w:val="151515"/>
          <w:sz w:val="24"/>
        </w:rPr>
        <w:t>3</w:t>
      </w:r>
      <w:r w:rsidR="003E1749" w:rsidRPr="00DB7156">
        <w:rPr>
          <w:rFonts w:ascii="Arial" w:hAnsi="Arial" w:cs="Arial"/>
          <w:color w:val="151515"/>
          <w:sz w:val="24"/>
        </w:rPr>
        <w:t>) triennial reviews; (</w:t>
      </w:r>
      <w:r w:rsidR="009A629A" w:rsidRPr="00DB7156">
        <w:rPr>
          <w:rFonts w:ascii="Arial" w:hAnsi="Arial" w:cs="Arial"/>
          <w:color w:val="151515"/>
          <w:sz w:val="24"/>
        </w:rPr>
        <w:t>4</w:t>
      </w:r>
      <w:r w:rsidR="003E1749" w:rsidRPr="00DB7156">
        <w:rPr>
          <w:rFonts w:ascii="Arial" w:hAnsi="Arial" w:cs="Arial"/>
          <w:color w:val="151515"/>
          <w:sz w:val="24"/>
        </w:rPr>
        <w:t>) antidegradation; (</w:t>
      </w:r>
      <w:r w:rsidR="009A629A" w:rsidRPr="00DB7156">
        <w:rPr>
          <w:rFonts w:ascii="Arial" w:hAnsi="Arial" w:cs="Arial"/>
          <w:color w:val="151515"/>
          <w:sz w:val="24"/>
        </w:rPr>
        <w:t>5</w:t>
      </w:r>
      <w:r w:rsidR="003E1749" w:rsidRPr="00DB7156">
        <w:rPr>
          <w:rFonts w:ascii="Arial" w:hAnsi="Arial" w:cs="Arial"/>
          <w:color w:val="151515"/>
          <w:sz w:val="24"/>
        </w:rPr>
        <w:t>) water quality standards variances; and (</w:t>
      </w:r>
      <w:r w:rsidR="009A629A" w:rsidRPr="00DB7156">
        <w:rPr>
          <w:rFonts w:ascii="Arial" w:hAnsi="Arial" w:cs="Arial"/>
          <w:color w:val="151515"/>
          <w:sz w:val="24"/>
        </w:rPr>
        <w:t>6</w:t>
      </w:r>
      <w:r w:rsidR="005A417A" w:rsidRPr="00DB7156">
        <w:rPr>
          <w:rFonts w:ascii="Arial" w:hAnsi="Arial" w:cs="Arial"/>
          <w:color w:val="151515"/>
          <w:sz w:val="24"/>
        </w:rPr>
        <w:t xml:space="preserve">) compliance schedules.  </w:t>
      </w:r>
      <w:r w:rsidR="003E1749" w:rsidRPr="00DB7156">
        <w:rPr>
          <w:rFonts w:ascii="Arial" w:hAnsi="Arial" w:cs="Arial"/>
          <w:color w:val="151515"/>
          <w:sz w:val="24"/>
        </w:rPr>
        <w:t xml:space="preserve">The rule requires states to </w:t>
      </w:r>
      <w:r w:rsidR="005A417A" w:rsidRPr="00DB7156">
        <w:rPr>
          <w:rFonts w:ascii="Arial" w:hAnsi="Arial" w:cs="Arial"/>
          <w:color w:val="151515"/>
          <w:sz w:val="24"/>
        </w:rPr>
        <w:t>address</w:t>
      </w:r>
      <w:r w:rsidR="003E1749" w:rsidRPr="00DB7156">
        <w:rPr>
          <w:rFonts w:ascii="Arial" w:hAnsi="Arial" w:cs="Arial"/>
          <w:color w:val="151515"/>
          <w:sz w:val="24"/>
        </w:rPr>
        <w:t xml:space="preserve"> EPA’s CWA 304(a) </w:t>
      </w:r>
      <w:r w:rsidR="0029191F" w:rsidRPr="00DB7156">
        <w:rPr>
          <w:rFonts w:ascii="Arial" w:hAnsi="Arial" w:cs="Arial"/>
          <w:color w:val="151515"/>
          <w:sz w:val="24"/>
        </w:rPr>
        <w:t>nationally</w:t>
      </w:r>
      <w:r w:rsidR="00587FF6" w:rsidRPr="00DB7156">
        <w:rPr>
          <w:rFonts w:ascii="Arial" w:hAnsi="Arial" w:cs="Arial"/>
          <w:color w:val="151515"/>
          <w:sz w:val="24"/>
        </w:rPr>
        <w:t>-</w:t>
      </w:r>
      <w:r w:rsidR="0029191F" w:rsidRPr="00DB7156">
        <w:rPr>
          <w:rFonts w:ascii="Arial" w:hAnsi="Arial" w:cs="Arial"/>
          <w:color w:val="151515"/>
          <w:sz w:val="24"/>
        </w:rPr>
        <w:t xml:space="preserve">recommended water quality </w:t>
      </w:r>
      <w:r w:rsidR="003E1749" w:rsidRPr="00DB7156">
        <w:rPr>
          <w:rFonts w:ascii="Arial" w:hAnsi="Arial" w:cs="Arial"/>
          <w:color w:val="151515"/>
          <w:sz w:val="24"/>
        </w:rPr>
        <w:t xml:space="preserve">criteria and either adopt them or </w:t>
      </w:r>
      <w:r w:rsidR="005A417A" w:rsidRPr="00DB7156">
        <w:rPr>
          <w:rFonts w:ascii="Arial" w:hAnsi="Arial" w:cs="Arial"/>
          <w:color w:val="151515"/>
          <w:sz w:val="24"/>
        </w:rPr>
        <w:t xml:space="preserve">otherwise </w:t>
      </w:r>
      <w:r w:rsidR="003E1749" w:rsidRPr="00DB7156">
        <w:rPr>
          <w:rFonts w:ascii="Arial" w:hAnsi="Arial" w:cs="Arial"/>
          <w:color w:val="151515"/>
          <w:sz w:val="24"/>
        </w:rPr>
        <w:t>prov</w:t>
      </w:r>
      <w:r w:rsidR="005A417A" w:rsidRPr="00DB7156">
        <w:rPr>
          <w:rFonts w:ascii="Arial" w:hAnsi="Arial" w:cs="Arial"/>
          <w:color w:val="151515"/>
          <w:sz w:val="24"/>
        </w:rPr>
        <w:t>ide an explanation</w:t>
      </w:r>
      <w:r w:rsidR="003E1749" w:rsidRPr="00DB7156">
        <w:rPr>
          <w:rFonts w:ascii="Arial" w:hAnsi="Arial" w:cs="Arial"/>
          <w:color w:val="151515"/>
          <w:sz w:val="24"/>
        </w:rPr>
        <w:t xml:space="preserve">.  </w:t>
      </w:r>
    </w:p>
    <w:p w14:paraId="5F6E1DCE" w14:textId="2B9E1FEB" w:rsidR="00A364FA" w:rsidRPr="00DB7156" w:rsidRDefault="00A364FA" w:rsidP="00DB7156">
      <w:pPr>
        <w:spacing w:after="0" w:line="240" w:lineRule="auto"/>
        <w:jc w:val="both"/>
        <w:rPr>
          <w:rFonts w:ascii="Arial" w:hAnsi="Arial" w:cs="Arial"/>
          <w:color w:val="151515"/>
          <w:sz w:val="24"/>
        </w:rPr>
      </w:pPr>
    </w:p>
    <w:p w14:paraId="6C3B3650" w14:textId="4C0568B5" w:rsidR="00A364FA" w:rsidRPr="00DB7156" w:rsidRDefault="000341A1" w:rsidP="00DB7156">
      <w:pPr>
        <w:spacing w:after="0" w:line="240" w:lineRule="auto"/>
        <w:jc w:val="both"/>
        <w:rPr>
          <w:rFonts w:ascii="Arial" w:hAnsi="Arial" w:cs="Arial"/>
          <w:color w:val="151515"/>
          <w:sz w:val="24"/>
        </w:rPr>
      </w:pPr>
      <w:r>
        <w:rPr>
          <w:rFonts w:ascii="Arial" w:hAnsi="Arial" w:cs="Arial"/>
          <w:color w:val="151515"/>
          <w:sz w:val="24"/>
        </w:rPr>
        <w:t>I</w:t>
      </w:r>
      <w:r w:rsidR="00943D7C" w:rsidRPr="00DB7156">
        <w:rPr>
          <w:rFonts w:ascii="Arial" w:hAnsi="Arial" w:cs="Arial"/>
          <w:color w:val="151515"/>
          <w:sz w:val="24"/>
        </w:rPr>
        <w:t>n</w:t>
      </w:r>
      <w:r w:rsidR="00A364FA" w:rsidRPr="00DB7156">
        <w:rPr>
          <w:rFonts w:ascii="Arial" w:hAnsi="Arial" w:cs="Arial"/>
          <w:color w:val="151515"/>
          <w:sz w:val="24"/>
        </w:rPr>
        <w:t xml:space="preserve"> July 2016, EPA </w:t>
      </w:r>
      <w:r w:rsidR="00FA7F83" w:rsidRPr="00DB7156">
        <w:rPr>
          <w:rFonts w:ascii="Arial" w:hAnsi="Arial" w:cs="Arial"/>
          <w:color w:val="151515"/>
          <w:sz w:val="24"/>
        </w:rPr>
        <w:t>revised the selenium a</w:t>
      </w:r>
      <w:r w:rsidR="00A364FA" w:rsidRPr="00DB7156">
        <w:rPr>
          <w:rFonts w:ascii="Arial" w:hAnsi="Arial" w:cs="Arial"/>
          <w:color w:val="151515"/>
          <w:sz w:val="24"/>
        </w:rPr>
        <w:t>quatic life water quality criteria</w:t>
      </w:r>
      <w:r>
        <w:rPr>
          <w:rFonts w:ascii="Arial" w:hAnsi="Arial" w:cs="Arial"/>
          <w:color w:val="151515"/>
          <w:sz w:val="24"/>
        </w:rPr>
        <w:t>, superseding EPA’s 1999 CWA section 304(a) recommendations</w:t>
      </w:r>
      <w:r w:rsidR="00FA7F83" w:rsidRPr="00DB7156">
        <w:rPr>
          <w:rFonts w:ascii="Arial" w:hAnsi="Arial" w:cs="Arial"/>
          <w:color w:val="151515"/>
          <w:sz w:val="24"/>
        </w:rPr>
        <w:t>. The new criteria consist of fish tissue and water column elements with the fish tissue elements generally taking preceden</w:t>
      </w:r>
      <w:r w:rsidR="003B7C71">
        <w:rPr>
          <w:rFonts w:ascii="Arial" w:hAnsi="Arial" w:cs="Arial"/>
          <w:color w:val="151515"/>
          <w:sz w:val="24"/>
        </w:rPr>
        <w:t>ce</w:t>
      </w:r>
      <w:r w:rsidR="00FA7F83" w:rsidRPr="00DB7156">
        <w:rPr>
          <w:rFonts w:ascii="Arial" w:hAnsi="Arial" w:cs="Arial"/>
          <w:color w:val="151515"/>
          <w:sz w:val="24"/>
        </w:rPr>
        <w:t xml:space="preserve"> over the water column elements. </w:t>
      </w:r>
      <w:r w:rsidR="00943D7C" w:rsidRPr="00DB7156">
        <w:rPr>
          <w:rFonts w:ascii="Arial" w:hAnsi="Arial" w:cs="Arial"/>
          <w:color w:val="151515"/>
          <w:sz w:val="24"/>
        </w:rPr>
        <w:t xml:space="preserve">EPA </w:t>
      </w:r>
      <w:r w:rsidR="00FA7F83" w:rsidRPr="00DB7156">
        <w:rPr>
          <w:rFonts w:ascii="Arial" w:hAnsi="Arial" w:cs="Arial"/>
          <w:color w:val="151515"/>
          <w:sz w:val="24"/>
        </w:rPr>
        <w:t xml:space="preserve">subsequently proposed implementation </w:t>
      </w:r>
      <w:r w:rsidR="00943D7C" w:rsidRPr="00DB7156">
        <w:rPr>
          <w:rFonts w:ascii="Arial" w:hAnsi="Arial" w:cs="Arial"/>
          <w:color w:val="151515"/>
          <w:sz w:val="24"/>
        </w:rPr>
        <w:t xml:space="preserve">guidance. </w:t>
      </w:r>
      <w:r w:rsidR="003E7D7E" w:rsidRPr="00DB7156">
        <w:rPr>
          <w:rFonts w:ascii="Arial" w:hAnsi="Arial" w:cs="Arial"/>
          <w:color w:val="151515"/>
          <w:sz w:val="24"/>
        </w:rPr>
        <w:t>During Georgia’s 2016 triennial review, Georgia EPD evaluated EPA’s new selenium criteria and decided not to adopt</w:t>
      </w:r>
      <w:r w:rsidR="00FC6D4A" w:rsidRPr="00DB7156">
        <w:rPr>
          <w:rFonts w:ascii="Arial" w:hAnsi="Arial" w:cs="Arial"/>
          <w:color w:val="151515"/>
          <w:sz w:val="24"/>
        </w:rPr>
        <w:t xml:space="preserve"> due to insufficient and unreliable laboratory methods to detect selenium levels below the recommended criteria concentration.</w:t>
      </w:r>
      <w:r w:rsidR="00062BCC" w:rsidRPr="00DB7156">
        <w:rPr>
          <w:rFonts w:ascii="Arial" w:hAnsi="Arial" w:cs="Arial"/>
          <w:color w:val="151515"/>
          <w:sz w:val="24"/>
        </w:rPr>
        <w:t xml:space="preserve"> </w:t>
      </w:r>
      <w:r w:rsidR="003E7D7E" w:rsidRPr="00DB7156">
        <w:rPr>
          <w:rFonts w:ascii="Arial" w:hAnsi="Arial" w:cs="Arial"/>
          <w:sz w:val="24"/>
          <w:szCs w:val="23"/>
        </w:rPr>
        <w:t xml:space="preserve">In its response to comments, </w:t>
      </w:r>
      <w:r w:rsidR="00800812">
        <w:rPr>
          <w:rFonts w:ascii="Arial" w:hAnsi="Arial" w:cs="Arial"/>
          <w:sz w:val="24"/>
          <w:szCs w:val="23"/>
        </w:rPr>
        <w:t xml:space="preserve">Georgia </w:t>
      </w:r>
      <w:r w:rsidR="003E7D7E" w:rsidRPr="00DB7156">
        <w:rPr>
          <w:rFonts w:ascii="Arial" w:hAnsi="Arial" w:cs="Arial"/>
          <w:sz w:val="24"/>
          <w:szCs w:val="23"/>
        </w:rPr>
        <w:t>EPD stated that it will evaluate whether there are alternative EPA-approved laboratory methods that could be used to support a change in the selenium criteria during its 2019 triennial review process.</w:t>
      </w:r>
    </w:p>
    <w:p w14:paraId="6A83E6F8" w14:textId="0BCAEA10" w:rsidR="00943D7C" w:rsidRPr="00DB7156" w:rsidRDefault="00943D7C" w:rsidP="00DB7156">
      <w:pPr>
        <w:spacing w:after="0" w:line="240" w:lineRule="auto"/>
        <w:jc w:val="both"/>
        <w:rPr>
          <w:rFonts w:ascii="Arial" w:hAnsi="Arial" w:cs="Arial"/>
          <w:color w:val="151515"/>
          <w:sz w:val="24"/>
        </w:rPr>
      </w:pPr>
    </w:p>
    <w:p w14:paraId="0DD097B1" w14:textId="143A4831" w:rsidR="00C55DC2" w:rsidRPr="00DB7156" w:rsidRDefault="000341A1" w:rsidP="00DB7156">
      <w:pPr>
        <w:spacing w:after="0" w:line="240" w:lineRule="auto"/>
        <w:jc w:val="both"/>
        <w:rPr>
          <w:rFonts w:ascii="Arial" w:hAnsi="Arial" w:cs="Arial"/>
          <w:color w:val="151515"/>
          <w:sz w:val="24"/>
        </w:rPr>
      </w:pPr>
      <w:r>
        <w:rPr>
          <w:rFonts w:ascii="Arial" w:hAnsi="Arial" w:cs="Arial"/>
          <w:color w:val="151515"/>
          <w:sz w:val="24"/>
        </w:rPr>
        <w:t>I</w:t>
      </w:r>
      <w:r w:rsidR="00943D7C" w:rsidRPr="00DB7156">
        <w:rPr>
          <w:rFonts w:ascii="Arial" w:hAnsi="Arial" w:cs="Arial"/>
          <w:color w:val="151515"/>
          <w:sz w:val="24"/>
        </w:rPr>
        <w:t xml:space="preserve">n December 2016, EPA </w:t>
      </w:r>
      <w:r w:rsidR="00FA7F83" w:rsidRPr="00DB7156">
        <w:rPr>
          <w:rFonts w:ascii="Arial" w:hAnsi="Arial" w:cs="Arial"/>
          <w:color w:val="151515"/>
          <w:sz w:val="24"/>
        </w:rPr>
        <w:t>proposed</w:t>
      </w:r>
      <w:r w:rsidR="00943D7C" w:rsidRPr="00DB7156">
        <w:rPr>
          <w:rFonts w:ascii="Arial" w:hAnsi="Arial" w:cs="Arial"/>
          <w:color w:val="151515"/>
          <w:sz w:val="24"/>
        </w:rPr>
        <w:t xml:space="preserve"> a draft field-based methodology for developing aquatic-life criteria for specific conductivity</w:t>
      </w:r>
      <w:r w:rsidR="00266DC2" w:rsidRPr="00DB7156">
        <w:rPr>
          <w:rFonts w:ascii="Arial" w:hAnsi="Arial" w:cs="Arial"/>
          <w:color w:val="151515"/>
          <w:sz w:val="24"/>
        </w:rPr>
        <w:t>, which is an indicator of water salinity. Once finalized, Georgia EPD could use this methodology to</w:t>
      </w:r>
      <w:r w:rsidR="00C55DC2" w:rsidRPr="00DB7156">
        <w:rPr>
          <w:rFonts w:ascii="Arial" w:hAnsi="Arial" w:cs="Arial"/>
          <w:color w:val="151515"/>
          <w:sz w:val="24"/>
        </w:rPr>
        <w:t xml:space="preserve"> adopt specific conductivity criteria into its water quality standards. UWAG and </w:t>
      </w:r>
      <w:r w:rsidR="007B5AB2">
        <w:rPr>
          <w:rFonts w:ascii="Arial" w:hAnsi="Arial" w:cs="Arial"/>
          <w:color w:val="151515"/>
          <w:sz w:val="24"/>
        </w:rPr>
        <w:t>Electric Power Research Institute (</w:t>
      </w:r>
      <w:r w:rsidR="003F7EE0">
        <w:rPr>
          <w:rFonts w:ascii="Arial" w:hAnsi="Arial" w:cs="Arial"/>
          <w:color w:val="151515"/>
          <w:sz w:val="24"/>
        </w:rPr>
        <w:t>“</w:t>
      </w:r>
      <w:r w:rsidR="00C55DC2" w:rsidRPr="00DB7156">
        <w:rPr>
          <w:rFonts w:ascii="Arial" w:hAnsi="Arial" w:cs="Arial"/>
          <w:color w:val="151515"/>
          <w:sz w:val="24"/>
        </w:rPr>
        <w:t>EPRI</w:t>
      </w:r>
      <w:r w:rsidR="003F7EE0">
        <w:rPr>
          <w:rFonts w:ascii="Arial" w:hAnsi="Arial" w:cs="Arial"/>
          <w:color w:val="151515"/>
          <w:sz w:val="24"/>
        </w:rPr>
        <w:t>”</w:t>
      </w:r>
      <w:r w:rsidR="007B5AB2">
        <w:rPr>
          <w:rFonts w:ascii="Arial" w:hAnsi="Arial" w:cs="Arial"/>
          <w:color w:val="151515"/>
          <w:sz w:val="24"/>
        </w:rPr>
        <w:t>)</w:t>
      </w:r>
      <w:r w:rsidR="00C55DC2" w:rsidRPr="00DB7156">
        <w:rPr>
          <w:rFonts w:ascii="Arial" w:hAnsi="Arial" w:cs="Arial"/>
          <w:color w:val="151515"/>
          <w:sz w:val="24"/>
        </w:rPr>
        <w:t xml:space="preserve"> filed comments on the draft methodology </w:t>
      </w:r>
      <w:r>
        <w:rPr>
          <w:rFonts w:ascii="Arial" w:hAnsi="Arial" w:cs="Arial"/>
          <w:color w:val="151515"/>
          <w:sz w:val="24"/>
        </w:rPr>
        <w:t>i</w:t>
      </w:r>
      <w:r w:rsidR="00C55DC2" w:rsidRPr="00DB7156">
        <w:rPr>
          <w:rFonts w:ascii="Arial" w:hAnsi="Arial" w:cs="Arial"/>
          <w:color w:val="151515"/>
          <w:sz w:val="24"/>
        </w:rPr>
        <w:t xml:space="preserve">n April 2017. </w:t>
      </w:r>
    </w:p>
    <w:p w14:paraId="63801052" w14:textId="11141A0C" w:rsidR="00FA7F83" w:rsidRPr="00DB7156" w:rsidRDefault="00FA7F83" w:rsidP="00DB7156">
      <w:pPr>
        <w:spacing w:after="0" w:line="240" w:lineRule="auto"/>
        <w:jc w:val="both"/>
        <w:rPr>
          <w:rFonts w:ascii="Arial" w:hAnsi="Arial" w:cs="Arial"/>
          <w:color w:val="151515"/>
          <w:sz w:val="24"/>
        </w:rPr>
      </w:pPr>
    </w:p>
    <w:p w14:paraId="0FE31EA0" w14:textId="06E14AEE" w:rsidR="00BA25C0" w:rsidRPr="00DB7156" w:rsidRDefault="00BA25C0" w:rsidP="00DB7156">
      <w:pPr>
        <w:spacing w:after="0" w:line="240" w:lineRule="auto"/>
        <w:jc w:val="both"/>
        <w:rPr>
          <w:rFonts w:ascii="Arial" w:hAnsi="Arial" w:cs="Arial"/>
          <w:color w:val="151515"/>
          <w:sz w:val="24"/>
        </w:rPr>
      </w:pPr>
      <w:r w:rsidRPr="00DB7156">
        <w:rPr>
          <w:rFonts w:ascii="Arial" w:hAnsi="Arial" w:cs="Arial"/>
          <w:sz w:val="24"/>
        </w:rPr>
        <w:t xml:space="preserve">In addition, states are </w:t>
      </w:r>
      <w:r w:rsidR="00A261C1" w:rsidRPr="00DB7156">
        <w:rPr>
          <w:rFonts w:ascii="Arial" w:hAnsi="Arial" w:cs="Arial"/>
          <w:sz w:val="24"/>
        </w:rPr>
        <w:t>required</w:t>
      </w:r>
      <w:r w:rsidRPr="00DB7156">
        <w:rPr>
          <w:rFonts w:ascii="Arial" w:hAnsi="Arial" w:cs="Arial"/>
          <w:sz w:val="24"/>
        </w:rPr>
        <w:t xml:space="preserve"> to identify impaired waters (waters that do not meet applicable wat</w:t>
      </w:r>
      <w:r w:rsidR="00800812">
        <w:rPr>
          <w:rFonts w:ascii="Arial" w:hAnsi="Arial" w:cs="Arial"/>
          <w:sz w:val="24"/>
        </w:rPr>
        <w:t xml:space="preserve">er quality standards), develop </w:t>
      </w:r>
      <w:r w:rsidR="003F7EE0">
        <w:rPr>
          <w:rFonts w:ascii="Arial" w:hAnsi="Arial" w:cs="Arial"/>
          <w:sz w:val="24"/>
        </w:rPr>
        <w:t>total maximum daily loads (“</w:t>
      </w:r>
      <w:r w:rsidR="00800812">
        <w:rPr>
          <w:rFonts w:ascii="Arial" w:hAnsi="Arial" w:cs="Arial"/>
          <w:sz w:val="24"/>
        </w:rPr>
        <w:t>TMDLs</w:t>
      </w:r>
      <w:r w:rsidR="003F7EE0">
        <w:rPr>
          <w:rFonts w:ascii="Arial" w:hAnsi="Arial" w:cs="Arial"/>
          <w:sz w:val="24"/>
        </w:rPr>
        <w:t>”)</w:t>
      </w:r>
      <w:r w:rsidRPr="00DB7156">
        <w:rPr>
          <w:rFonts w:ascii="Arial" w:hAnsi="Arial" w:cs="Arial"/>
          <w:sz w:val="24"/>
        </w:rPr>
        <w:t xml:space="preserve"> for those waters, and impose point and non-point source </w:t>
      </w:r>
      <w:r w:rsidR="00266DC2" w:rsidRPr="00DB7156">
        <w:rPr>
          <w:rFonts w:ascii="Arial" w:hAnsi="Arial" w:cs="Arial"/>
          <w:sz w:val="24"/>
        </w:rPr>
        <w:t xml:space="preserve">limitations </w:t>
      </w:r>
      <w:r w:rsidRPr="00DB7156">
        <w:rPr>
          <w:rFonts w:ascii="Arial" w:hAnsi="Arial" w:cs="Arial"/>
          <w:sz w:val="24"/>
        </w:rPr>
        <w:t xml:space="preserve">designed to bring the waters into compliance. </w:t>
      </w:r>
      <w:r w:rsidRPr="00DB7156">
        <w:rPr>
          <w:rFonts w:ascii="Arial" w:hAnsi="Arial" w:cs="Arial"/>
          <w:color w:val="151515"/>
          <w:sz w:val="24"/>
        </w:rPr>
        <w:t>A TMDL is a calculation of the maximum amount of a pollutant that a water body can receive and still safely meet water quality standards.</w:t>
      </w:r>
      <w:r w:rsidR="000341A1">
        <w:rPr>
          <w:rFonts w:ascii="Arial" w:hAnsi="Arial" w:cs="Arial"/>
          <w:color w:val="151515"/>
          <w:sz w:val="24"/>
        </w:rPr>
        <w:t xml:space="preserve"> </w:t>
      </w:r>
      <w:r w:rsidRPr="00DB7156">
        <w:rPr>
          <w:rFonts w:ascii="Arial" w:hAnsi="Arial" w:cs="Arial"/>
          <w:color w:val="151515"/>
          <w:sz w:val="24"/>
        </w:rPr>
        <w:t xml:space="preserve">In developing TMDLs, the states have the responsibility to establish reasonable, scientifically sound allocations and divide the estimated pollutant loads equitably among non-point and point sources, such as utilities. </w:t>
      </w:r>
      <w:r w:rsidR="00A261C1" w:rsidRPr="00DB7156">
        <w:rPr>
          <w:rFonts w:ascii="Arial" w:hAnsi="Arial" w:cs="Arial"/>
          <w:color w:val="151515"/>
          <w:sz w:val="24"/>
        </w:rPr>
        <w:t xml:space="preserve">The state of Georgia has identified numerous impaired waters, and in some cases, developed and implemented associated TMDLs for waterways on which Georgia Power operates.  </w:t>
      </w:r>
    </w:p>
    <w:p w14:paraId="22BA5032" w14:textId="77777777" w:rsidR="00CA7F72" w:rsidRPr="00DB7156" w:rsidRDefault="00CA7F72" w:rsidP="00DB7156">
      <w:pPr>
        <w:spacing w:after="0" w:line="240" w:lineRule="auto"/>
        <w:jc w:val="both"/>
        <w:rPr>
          <w:rFonts w:ascii="Arial" w:hAnsi="Arial" w:cs="Arial"/>
          <w:color w:val="151515"/>
          <w:sz w:val="24"/>
        </w:rPr>
      </w:pPr>
    </w:p>
    <w:p w14:paraId="6EA43297" w14:textId="248AF7B0" w:rsidR="00527B85" w:rsidRPr="00DB7156" w:rsidRDefault="00527B85" w:rsidP="00DB7156">
      <w:pPr>
        <w:keepNext/>
        <w:autoSpaceDE w:val="0"/>
        <w:autoSpaceDN w:val="0"/>
        <w:adjustRightInd w:val="0"/>
        <w:spacing w:after="0" w:line="240" w:lineRule="auto"/>
        <w:jc w:val="both"/>
        <w:outlineLvl w:val="1"/>
        <w:rPr>
          <w:rFonts w:ascii="Arial" w:hAnsi="Arial" w:cs="Arial"/>
          <w:b/>
          <w:color w:val="000080"/>
          <w:sz w:val="24"/>
          <w:szCs w:val="24"/>
        </w:rPr>
      </w:pPr>
      <w:bookmarkStart w:id="122" w:name="_Toc527987343"/>
      <w:bookmarkStart w:id="123" w:name="_Toc527983890"/>
      <w:bookmarkStart w:id="124" w:name="_Toc530487274"/>
      <w:bookmarkStart w:id="125" w:name="_Toc535908142"/>
      <w:r w:rsidRPr="00DB7156">
        <w:rPr>
          <w:rFonts w:ascii="Arial" w:hAnsi="Arial" w:cs="Arial"/>
          <w:b/>
          <w:bCs/>
          <w:color w:val="000080"/>
          <w:sz w:val="24"/>
          <w:szCs w:val="24"/>
        </w:rPr>
        <w:t>2.1</w:t>
      </w:r>
      <w:r w:rsidR="007376BD" w:rsidRPr="00DB7156">
        <w:rPr>
          <w:rFonts w:ascii="Arial" w:hAnsi="Arial" w:cs="Arial"/>
          <w:b/>
          <w:bCs/>
          <w:color w:val="000080"/>
          <w:sz w:val="24"/>
          <w:szCs w:val="24"/>
        </w:rPr>
        <w:t>7</w:t>
      </w:r>
      <w:r w:rsidRPr="00DB7156">
        <w:rPr>
          <w:rFonts w:ascii="Arial" w:hAnsi="Arial" w:cs="Arial"/>
          <w:b/>
          <w:bCs/>
          <w:color w:val="000080"/>
          <w:sz w:val="24"/>
          <w:szCs w:val="24"/>
        </w:rPr>
        <w:tab/>
      </w:r>
      <w:r w:rsidRPr="00DB7156">
        <w:rPr>
          <w:rFonts w:ascii="Arial" w:hAnsi="Arial" w:cs="Arial"/>
          <w:b/>
          <w:snapToGrid w:val="0"/>
          <w:color w:val="000080"/>
          <w:sz w:val="24"/>
          <w:szCs w:val="24"/>
        </w:rPr>
        <w:t>Water</w:t>
      </w:r>
      <w:r w:rsidR="00F4050F" w:rsidRPr="00DB7156">
        <w:rPr>
          <w:rFonts w:ascii="Arial" w:hAnsi="Arial" w:cs="Arial"/>
          <w:b/>
          <w:snapToGrid w:val="0"/>
          <w:color w:val="000080"/>
          <w:sz w:val="24"/>
          <w:szCs w:val="24"/>
        </w:rPr>
        <w:t>s</w:t>
      </w:r>
      <w:r w:rsidRPr="00DB7156">
        <w:rPr>
          <w:rFonts w:ascii="Arial" w:hAnsi="Arial" w:cs="Arial"/>
          <w:b/>
          <w:snapToGrid w:val="0"/>
          <w:color w:val="000080"/>
          <w:sz w:val="24"/>
          <w:szCs w:val="24"/>
        </w:rPr>
        <w:t xml:space="preserve"> of the United States</w:t>
      </w:r>
      <w:bookmarkEnd w:id="122"/>
      <w:bookmarkEnd w:id="123"/>
      <w:bookmarkEnd w:id="124"/>
      <w:bookmarkEnd w:id="125"/>
    </w:p>
    <w:p w14:paraId="6F62B474" w14:textId="77777777" w:rsidR="00A40796" w:rsidRDefault="00A40796" w:rsidP="00DB7156">
      <w:pPr>
        <w:spacing w:after="0" w:line="240" w:lineRule="auto"/>
        <w:jc w:val="both"/>
        <w:rPr>
          <w:rFonts w:ascii="Arial" w:hAnsi="Arial" w:cs="Arial"/>
          <w:sz w:val="24"/>
        </w:rPr>
      </w:pPr>
    </w:p>
    <w:p w14:paraId="063D3660" w14:textId="05D59FDE" w:rsidR="0096214C" w:rsidRPr="00DB7156" w:rsidRDefault="000341A1" w:rsidP="00DB7156">
      <w:pPr>
        <w:spacing w:after="0" w:line="240" w:lineRule="auto"/>
        <w:jc w:val="both"/>
        <w:rPr>
          <w:rFonts w:ascii="Arial" w:hAnsi="Arial" w:cs="Arial"/>
          <w:sz w:val="24"/>
        </w:rPr>
      </w:pPr>
      <w:r>
        <w:rPr>
          <w:rFonts w:ascii="Arial" w:hAnsi="Arial" w:cs="Arial"/>
          <w:sz w:val="24"/>
        </w:rPr>
        <w:t>I</w:t>
      </w:r>
      <w:r w:rsidR="0039145F" w:rsidRPr="00DB7156">
        <w:rPr>
          <w:rFonts w:ascii="Arial" w:hAnsi="Arial" w:cs="Arial"/>
          <w:sz w:val="24"/>
        </w:rPr>
        <w:t xml:space="preserve">n July 2015, the EPA and the </w:t>
      </w:r>
      <w:r w:rsidR="003564CA" w:rsidRPr="00DB7156">
        <w:rPr>
          <w:rFonts w:ascii="Arial" w:hAnsi="Arial" w:cs="Arial"/>
          <w:sz w:val="24"/>
        </w:rPr>
        <w:t xml:space="preserve">U.S. </w:t>
      </w:r>
      <w:r w:rsidR="0033023F" w:rsidRPr="00DB7156">
        <w:rPr>
          <w:rFonts w:ascii="Arial" w:hAnsi="Arial" w:cs="Arial"/>
          <w:sz w:val="24"/>
        </w:rPr>
        <w:t xml:space="preserve">Army </w:t>
      </w:r>
      <w:r w:rsidR="0039145F" w:rsidRPr="00DB7156">
        <w:rPr>
          <w:rFonts w:ascii="Arial" w:hAnsi="Arial" w:cs="Arial"/>
          <w:sz w:val="24"/>
        </w:rPr>
        <w:t xml:space="preserve">Corps of Engineers </w:t>
      </w:r>
      <w:r w:rsidR="00E71410" w:rsidRPr="00DB7156">
        <w:rPr>
          <w:rFonts w:ascii="Arial" w:hAnsi="Arial" w:cs="Arial"/>
          <w:sz w:val="24"/>
        </w:rPr>
        <w:t xml:space="preserve">(“the Agencies”) </w:t>
      </w:r>
      <w:r w:rsidR="0039145F" w:rsidRPr="00DB7156">
        <w:rPr>
          <w:rFonts w:ascii="Arial" w:hAnsi="Arial" w:cs="Arial"/>
          <w:sz w:val="24"/>
        </w:rPr>
        <w:t xml:space="preserve">published </w:t>
      </w:r>
      <w:r w:rsidR="003564CA" w:rsidRPr="00DB7156">
        <w:rPr>
          <w:rFonts w:ascii="Arial" w:hAnsi="Arial" w:cs="Arial"/>
          <w:sz w:val="24"/>
        </w:rPr>
        <w:t xml:space="preserve">in the </w:t>
      </w:r>
      <w:r w:rsidR="003564CA" w:rsidRPr="003F7EE0">
        <w:rPr>
          <w:rFonts w:ascii="Arial" w:hAnsi="Arial" w:cs="Arial"/>
          <w:sz w:val="24"/>
        </w:rPr>
        <w:t>Federal Register</w:t>
      </w:r>
      <w:r w:rsidR="003564CA" w:rsidRPr="00DB7156">
        <w:rPr>
          <w:rFonts w:ascii="Arial" w:hAnsi="Arial" w:cs="Arial"/>
          <w:sz w:val="24"/>
        </w:rPr>
        <w:t xml:space="preserve"> </w:t>
      </w:r>
      <w:r w:rsidR="00AA136B" w:rsidRPr="00DB7156">
        <w:rPr>
          <w:rFonts w:ascii="Arial" w:hAnsi="Arial" w:cs="Arial"/>
          <w:sz w:val="24"/>
        </w:rPr>
        <w:t>a</w:t>
      </w:r>
      <w:r w:rsidR="0015298C">
        <w:rPr>
          <w:rFonts w:ascii="Arial" w:hAnsi="Arial" w:cs="Arial"/>
          <w:sz w:val="24"/>
        </w:rPr>
        <w:t xml:space="preserve"> final rule re-defining </w:t>
      </w:r>
      <w:r w:rsidR="0039145F" w:rsidRPr="00DB7156">
        <w:rPr>
          <w:rFonts w:ascii="Arial" w:hAnsi="Arial" w:cs="Arial"/>
          <w:sz w:val="24"/>
        </w:rPr>
        <w:t xml:space="preserve">WOTUS </w:t>
      </w:r>
      <w:r w:rsidR="004203D1" w:rsidRPr="00DB7156">
        <w:rPr>
          <w:rFonts w:ascii="Arial" w:hAnsi="Arial" w:cs="Arial"/>
          <w:sz w:val="24"/>
        </w:rPr>
        <w:t>under the Clean Water Act</w:t>
      </w:r>
      <w:r>
        <w:rPr>
          <w:rFonts w:ascii="Arial" w:hAnsi="Arial" w:cs="Arial"/>
          <w:sz w:val="24"/>
        </w:rPr>
        <w:t xml:space="preserve"> with an effective date in August 2015</w:t>
      </w:r>
      <w:r w:rsidR="0096214C" w:rsidRPr="00DB7156">
        <w:rPr>
          <w:rFonts w:ascii="Arial" w:hAnsi="Arial" w:cs="Arial"/>
          <w:sz w:val="24"/>
        </w:rPr>
        <w:t xml:space="preserve">. The final rule exerts very </w:t>
      </w:r>
      <w:r w:rsidR="00AA136B" w:rsidRPr="00DB7156">
        <w:rPr>
          <w:rFonts w:ascii="Arial" w:hAnsi="Arial" w:cs="Arial"/>
          <w:sz w:val="24"/>
        </w:rPr>
        <w:t>broad jurisdiction over water f</w:t>
      </w:r>
      <w:r w:rsidR="0096214C" w:rsidRPr="00DB7156">
        <w:rPr>
          <w:rFonts w:ascii="Arial" w:hAnsi="Arial" w:cs="Arial"/>
          <w:sz w:val="24"/>
        </w:rPr>
        <w:t xml:space="preserve">eatures, including features that have not previously been regulated, such as ephemeral drainages and isolated ponds on industrial facilities. </w:t>
      </w:r>
      <w:r w:rsidR="004203D1" w:rsidRPr="00DB7156">
        <w:rPr>
          <w:rFonts w:ascii="Arial" w:hAnsi="Arial" w:cs="Arial"/>
          <w:sz w:val="24"/>
        </w:rPr>
        <w:t xml:space="preserve">The rule </w:t>
      </w:r>
      <w:r>
        <w:rPr>
          <w:rFonts w:ascii="Arial" w:hAnsi="Arial" w:cs="Arial"/>
          <w:sz w:val="24"/>
        </w:rPr>
        <w:t xml:space="preserve">affects </w:t>
      </w:r>
      <w:r w:rsidR="004203D1" w:rsidRPr="00DB7156">
        <w:rPr>
          <w:rFonts w:ascii="Arial" w:hAnsi="Arial" w:cs="Arial"/>
          <w:sz w:val="24"/>
        </w:rPr>
        <w:t>all CWA programs that rely on this definition, including</w:t>
      </w:r>
      <w:r w:rsidR="00B657E3" w:rsidRPr="00DB7156">
        <w:rPr>
          <w:rFonts w:ascii="Arial" w:hAnsi="Arial" w:cs="Arial"/>
          <w:sz w:val="24"/>
        </w:rPr>
        <w:t xml:space="preserve"> the</w:t>
      </w:r>
      <w:r w:rsidR="004203D1" w:rsidRPr="00DB7156">
        <w:rPr>
          <w:rFonts w:ascii="Arial" w:hAnsi="Arial" w:cs="Arial"/>
          <w:sz w:val="24"/>
        </w:rPr>
        <w:t xml:space="preserve"> NPDES permit program under Section 402, the dredge-and-fill permit program under Section 404, and oil spill prevention and response programs under Se</w:t>
      </w:r>
      <w:r w:rsidR="00B20F33" w:rsidRPr="00DB7156">
        <w:rPr>
          <w:rFonts w:ascii="Arial" w:hAnsi="Arial" w:cs="Arial"/>
          <w:sz w:val="24"/>
        </w:rPr>
        <w:t>c</w:t>
      </w:r>
      <w:r w:rsidR="004203D1" w:rsidRPr="00DB7156">
        <w:rPr>
          <w:rFonts w:ascii="Arial" w:hAnsi="Arial" w:cs="Arial"/>
          <w:sz w:val="24"/>
        </w:rPr>
        <w:t xml:space="preserve">tion 311. </w:t>
      </w:r>
    </w:p>
    <w:p w14:paraId="747FD7C3" w14:textId="3404F008" w:rsidR="0096214C" w:rsidRPr="00DB7156" w:rsidRDefault="0096214C" w:rsidP="00DB7156">
      <w:pPr>
        <w:spacing w:after="0" w:line="240" w:lineRule="auto"/>
        <w:jc w:val="both"/>
        <w:rPr>
          <w:rFonts w:ascii="Arial" w:hAnsi="Arial" w:cs="Arial"/>
          <w:sz w:val="24"/>
        </w:rPr>
      </w:pPr>
    </w:p>
    <w:p w14:paraId="3DEFF1B0" w14:textId="3275DFC1" w:rsidR="00E26A84" w:rsidRPr="00DB7156" w:rsidRDefault="0096214C" w:rsidP="00DB7156">
      <w:pPr>
        <w:spacing w:after="0" w:line="240" w:lineRule="auto"/>
        <w:jc w:val="both"/>
        <w:rPr>
          <w:rFonts w:ascii="Arial" w:hAnsi="Arial" w:cs="Arial"/>
          <w:sz w:val="24"/>
        </w:rPr>
      </w:pPr>
      <w:r w:rsidRPr="00DB7156">
        <w:rPr>
          <w:rFonts w:ascii="Arial" w:hAnsi="Arial" w:cs="Arial"/>
          <w:sz w:val="24"/>
        </w:rPr>
        <w:t>Thirty</w:t>
      </w:r>
      <w:r w:rsidR="002E1949" w:rsidRPr="00DB7156">
        <w:rPr>
          <w:rFonts w:ascii="Arial" w:hAnsi="Arial" w:cs="Arial"/>
          <w:sz w:val="24"/>
        </w:rPr>
        <w:t>-</w:t>
      </w:r>
      <w:r w:rsidRPr="00DB7156">
        <w:rPr>
          <w:rFonts w:ascii="Arial" w:hAnsi="Arial" w:cs="Arial"/>
          <w:sz w:val="24"/>
        </w:rPr>
        <w:t>one states</w:t>
      </w:r>
      <w:r w:rsidR="00B657E3" w:rsidRPr="00DB7156">
        <w:rPr>
          <w:rFonts w:ascii="Arial" w:hAnsi="Arial" w:cs="Arial"/>
          <w:sz w:val="24"/>
        </w:rPr>
        <w:t>, including Georgia,</w:t>
      </w:r>
      <w:r w:rsidR="009D72D3" w:rsidRPr="00DB7156">
        <w:rPr>
          <w:rFonts w:ascii="Arial" w:hAnsi="Arial" w:cs="Arial"/>
          <w:sz w:val="24"/>
        </w:rPr>
        <w:t xml:space="preserve"> and </w:t>
      </w:r>
      <w:r w:rsidRPr="00DB7156">
        <w:rPr>
          <w:rFonts w:ascii="Arial" w:hAnsi="Arial" w:cs="Arial"/>
          <w:sz w:val="24"/>
        </w:rPr>
        <w:t xml:space="preserve">a number of industry and environmental groups filed challenges to the rule. </w:t>
      </w:r>
      <w:r w:rsidR="000341A1">
        <w:rPr>
          <w:rFonts w:ascii="Arial" w:hAnsi="Arial" w:cs="Arial"/>
          <w:sz w:val="24"/>
        </w:rPr>
        <w:t xml:space="preserve">In </w:t>
      </w:r>
      <w:r w:rsidR="009504EE" w:rsidRPr="00DB7156">
        <w:rPr>
          <w:rFonts w:ascii="Arial" w:hAnsi="Arial" w:cs="Arial"/>
          <w:sz w:val="24"/>
        </w:rPr>
        <w:t>October 2015, the Sixth Circuit issued an order staying the rule nation</w:t>
      </w:r>
      <w:r w:rsidR="00F6628B" w:rsidRPr="00DB7156">
        <w:rPr>
          <w:rFonts w:ascii="Arial" w:hAnsi="Arial" w:cs="Arial"/>
          <w:sz w:val="24"/>
        </w:rPr>
        <w:t>wide pending completion of the c</w:t>
      </w:r>
      <w:r w:rsidR="009504EE" w:rsidRPr="00DB7156">
        <w:rPr>
          <w:rFonts w:ascii="Arial" w:hAnsi="Arial" w:cs="Arial"/>
          <w:sz w:val="24"/>
        </w:rPr>
        <w:t>ourt’s review of the merits of the rule. As a result of multiple motions challenging the Sixth Court’s jurisdiction over the rule litiga</w:t>
      </w:r>
      <w:r w:rsidR="00D811D0" w:rsidRPr="00DB7156">
        <w:rPr>
          <w:rFonts w:ascii="Arial" w:hAnsi="Arial" w:cs="Arial"/>
          <w:sz w:val="24"/>
        </w:rPr>
        <w:t>tion, the c</w:t>
      </w:r>
      <w:r w:rsidR="009504EE" w:rsidRPr="00DB7156">
        <w:rPr>
          <w:rFonts w:ascii="Arial" w:hAnsi="Arial" w:cs="Arial"/>
          <w:sz w:val="24"/>
        </w:rPr>
        <w:t xml:space="preserve">ourt issued a decision </w:t>
      </w:r>
      <w:r w:rsidR="00505AE2" w:rsidRPr="00DB7156">
        <w:rPr>
          <w:rFonts w:ascii="Arial" w:hAnsi="Arial" w:cs="Arial"/>
          <w:sz w:val="24"/>
        </w:rPr>
        <w:t xml:space="preserve">in February 2016 </w:t>
      </w:r>
      <w:r w:rsidR="009504EE" w:rsidRPr="00DB7156">
        <w:rPr>
          <w:rFonts w:ascii="Arial" w:hAnsi="Arial" w:cs="Arial"/>
          <w:sz w:val="24"/>
        </w:rPr>
        <w:t xml:space="preserve">holding that it has exclusive jurisdiction to decide the challenges </w:t>
      </w:r>
      <w:r w:rsidR="00226A14" w:rsidRPr="00DB7156">
        <w:rPr>
          <w:rFonts w:ascii="Arial" w:hAnsi="Arial" w:cs="Arial"/>
          <w:sz w:val="24"/>
        </w:rPr>
        <w:t>of the rule</w:t>
      </w:r>
      <w:r w:rsidR="009504EE" w:rsidRPr="00DB7156">
        <w:rPr>
          <w:rFonts w:ascii="Arial" w:hAnsi="Arial" w:cs="Arial"/>
          <w:sz w:val="24"/>
        </w:rPr>
        <w:t>.</w:t>
      </w:r>
      <w:r w:rsidR="00226A14" w:rsidRPr="00DB7156">
        <w:rPr>
          <w:rFonts w:ascii="Arial" w:hAnsi="Arial" w:cs="Arial"/>
          <w:sz w:val="24"/>
        </w:rPr>
        <w:t xml:space="preserve"> Several industry petitioners filed petitions for rehearing, but the Sixth Circuit denied them.</w:t>
      </w:r>
    </w:p>
    <w:p w14:paraId="02676490" w14:textId="77777777" w:rsidR="00E26A84" w:rsidRPr="00DB7156" w:rsidRDefault="00E26A84" w:rsidP="00DB7156">
      <w:pPr>
        <w:spacing w:after="0" w:line="240" w:lineRule="auto"/>
        <w:jc w:val="both"/>
        <w:rPr>
          <w:rFonts w:ascii="Arial" w:hAnsi="Arial" w:cs="Arial"/>
          <w:sz w:val="24"/>
        </w:rPr>
      </w:pPr>
    </w:p>
    <w:p w14:paraId="1C52093E" w14:textId="3E15F283" w:rsidR="00025D52" w:rsidRPr="00DB7156" w:rsidRDefault="00E26A84" w:rsidP="00DB7156">
      <w:pPr>
        <w:spacing w:after="0" w:line="240" w:lineRule="auto"/>
        <w:jc w:val="both"/>
        <w:rPr>
          <w:rFonts w:ascii="Arial" w:hAnsi="Arial" w:cs="Arial"/>
          <w:sz w:val="24"/>
        </w:rPr>
      </w:pPr>
      <w:r w:rsidRPr="00DB7156">
        <w:rPr>
          <w:rFonts w:ascii="Arial" w:hAnsi="Arial" w:cs="Arial"/>
          <w:sz w:val="24"/>
        </w:rPr>
        <w:t xml:space="preserve">The National Association of Manufacturers filed a petition </w:t>
      </w:r>
      <w:r w:rsidR="00FC61FF">
        <w:rPr>
          <w:rFonts w:ascii="Arial" w:hAnsi="Arial" w:cs="Arial"/>
          <w:sz w:val="24"/>
        </w:rPr>
        <w:t>i</w:t>
      </w:r>
      <w:r w:rsidR="002E1949" w:rsidRPr="00DB7156">
        <w:rPr>
          <w:rFonts w:ascii="Arial" w:hAnsi="Arial" w:cs="Arial"/>
          <w:sz w:val="24"/>
        </w:rPr>
        <w:t xml:space="preserve">n September 2016 seeking </w:t>
      </w:r>
      <w:r w:rsidR="00246D21">
        <w:rPr>
          <w:rFonts w:ascii="Arial" w:hAnsi="Arial" w:cs="Arial"/>
          <w:sz w:val="24"/>
        </w:rPr>
        <w:t xml:space="preserve">U.S. </w:t>
      </w:r>
      <w:r w:rsidR="002E1949" w:rsidRPr="00DB7156">
        <w:rPr>
          <w:rFonts w:ascii="Arial" w:hAnsi="Arial" w:cs="Arial"/>
          <w:sz w:val="24"/>
        </w:rPr>
        <w:t>S</w:t>
      </w:r>
      <w:r w:rsidRPr="00DB7156">
        <w:rPr>
          <w:rFonts w:ascii="Arial" w:hAnsi="Arial" w:cs="Arial"/>
          <w:sz w:val="24"/>
        </w:rPr>
        <w:t>upreme Court review of the Sixth Circuit’s decision that the courts of appeals have jurisdictio</w:t>
      </w:r>
      <w:r w:rsidR="00800812">
        <w:rPr>
          <w:rFonts w:ascii="Arial" w:hAnsi="Arial" w:cs="Arial"/>
          <w:sz w:val="24"/>
        </w:rPr>
        <w:t>n over challenges to the WOTUS R</w:t>
      </w:r>
      <w:r w:rsidRPr="00DB7156">
        <w:rPr>
          <w:rFonts w:ascii="Arial" w:hAnsi="Arial" w:cs="Arial"/>
          <w:sz w:val="24"/>
        </w:rPr>
        <w:t xml:space="preserve">ule. </w:t>
      </w:r>
      <w:r w:rsidR="00FC61FF">
        <w:rPr>
          <w:rFonts w:ascii="Arial" w:hAnsi="Arial" w:cs="Arial"/>
          <w:sz w:val="24"/>
        </w:rPr>
        <w:t>I</w:t>
      </w:r>
      <w:r w:rsidRPr="00DB7156">
        <w:rPr>
          <w:rFonts w:ascii="Arial" w:hAnsi="Arial" w:cs="Arial"/>
          <w:sz w:val="24"/>
        </w:rPr>
        <w:t xml:space="preserve">n January 2017, the </w:t>
      </w:r>
      <w:r w:rsidR="00246D21">
        <w:rPr>
          <w:rFonts w:ascii="Arial" w:hAnsi="Arial" w:cs="Arial"/>
          <w:sz w:val="24"/>
        </w:rPr>
        <w:t xml:space="preserve">U.S. </w:t>
      </w:r>
      <w:r w:rsidRPr="00DB7156">
        <w:rPr>
          <w:rFonts w:ascii="Arial" w:hAnsi="Arial" w:cs="Arial"/>
          <w:sz w:val="24"/>
        </w:rPr>
        <w:t xml:space="preserve">Supreme Court </w:t>
      </w:r>
      <w:r w:rsidR="004D3EDE" w:rsidRPr="00DB7156">
        <w:rPr>
          <w:rFonts w:ascii="Arial" w:hAnsi="Arial" w:cs="Arial"/>
          <w:sz w:val="24"/>
        </w:rPr>
        <w:t>agreed to review the case</w:t>
      </w:r>
      <w:r w:rsidR="00FC61FF">
        <w:rPr>
          <w:rFonts w:ascii="Arial" w:hAnsi="Arial" w:cs="Arial"/>
          <w:sz w:val="24"/>
        </w:rPr>
        <w:t xml:space="preserve"> and subsequently, </w:t>
      </w:r>
      <w:r w:rsidR="00025D52" w:rsidRPr="00DB7156">
        <w:rPr>
          <w:rFonts w:ascii="Arial" w:hAnsi="Arial" w:cs="Arial"/>
          <w:sz w:val="24"/>
        </w:rPr>
        <w:t xml:space="preserve">the Sixth Circuit stayed briefing on the merits of the rule pending the </w:t>
      </w:r>
      <w:r w:rsidR="00246D21">
        <w:rPr>
          <w:rFonts w:ascii="Arial" w:hAnsi="Arial" w:cs="Arial"/>
          <w:sz w:val="24"/>
        </w:rPr>
        <w:t xml:space="preserve">U.S. </w:t>
      </w:r>
      <w:r w:rsidR="00025D52" w:rsidRPr="00DB7156">
        <w:rPr>
          <w:rFonts w:ascii="Arial" w:hAnsi="Arial" w:cs="Arial"/>
          <w:sz w:val="24"/>
        </w:rPr>
        <w:t>Supreme Cou</w:t>
      </w:r>
      <w:r w:rsidR="00FC6D4A" w:rsidRPr="00DB7156">
        <w:rPr>
          <w:rFonts w:ascii="Arial" w:hAnsi="Arial" w:cs="Arial"/>
          <w:sz w:val="24"/>
        </w:rPr>
        <w:t xml:space="preserve">rt’s decision on jurisdiction. </w:t>
      </w:r>
    </w:p>
    <w:p w14:paraId="4448D69A" w14:textId="395D989A" w:rsidR="00855C8A" w:rsidRPr="00DB7156" w:rsidRDefault="00855C8A" w:rsidP="00DB7156">
      <w:pPr>
        <w:spacing w:after="0" w:line="240" w:lineRule="auto"/>
        <w:jc w:val="both"/>
        <w:rPr>
          <w:rFonts w:ascii="Arial" w:hAnsi="Arial" w:cs="Arial"/>
          <w:sz w:val="24"/>
        </w:rPr>
      </w:pPr>
    </w:p>
    <w:p w14:paraId="34E794A4" w14:textId="5B1C022A" w:rsidR="00117F7E" w:rsidRPr="00DB7156" w:rsidRDefault="0033023F" w:rsidP="00DB7156">
      <w:pPr>
        <w:spacing w:after="0" w:line="240" w:lineRule="auto"/>
        <w:jc w:val="both"/>
        <w:rPr>
          <w:rFonts w:ascii="Arial" w:hAnsi="Arial" w:cs="Arial"/>
          <w:sz w:val="24"/>
        </w:rPr>
      </w:pPr>
      <w:r w:rsidRPr="00DB7156">
        <w:rPr>
          <w:rFonts w:ascii="Arial" w:hAnsi="Arial" w:cs="Arial"/>
          <w:sz w:val="24"/>
        </w:rPr>
        <w:t xml:space="preserve">In response to EO 13778, the Agencies undertook a two-step process to rescind the 2015 WOTUS Rule and adopt a new rule defining “waters of the U.S.” </w:t>
      </w:r>
      <w:r w:rsidR="00FC61FF">
        <w:rPr>
          <w:rFonts w:ascii="Arial" w:hAnsi="Arial" w:cs="Arial"/>
          <w:sz w:val="24"/>
        </w:rPr>
        <w:t>I</w:t>
      </w:r>
      <w:r w:rsidR="00117F7E" w:rsidRPr="00DB7156">
        <w:rPr>
          <w:rFonts w:ascii="Arial" w:hAnsi="Arial" w:cs="Arial"/>
          <w:sz w:val="24"/>
        </w:rPr>
        <w:t>n July 2017, the Agencies</w:t>
      </w:r>
      <w:r w:rsidRPr="00DB7156">
        <w:rPr>
          <w:rFonts w:ascii="Arial" w:hAnsi="Arial" w:cs="Arial"/>
          <w:sz w:val="24"/>
        </w:rPr>
        <w:t xml:space="preserve"> </w:t>
      </w:r>
      <w:r w:rsidR="00FA1366" w:rsidRPr="00DB7156">
        <w:rPr>
          <w:rFonts w:ascii="Arial" w:hAnsi="Arial" w:cs="Arial"/>
          <w:sz w:val="24"/>
        </w:rPr>
        <w:t xml:space="preserve">proposed </w:t>
      </w:r>
      <w:r w:rsidRPr="00DB7156">
        <w:rPr>
          <w:rFonts w:ascii="Arial" w:hAnsi="Arial" w:cs="Arial"/>
          <w:sz w:val="24"/>
        </w:rPr>
        <w:t xml:space="preserve">a rule to repeal the 2015 WOTUS </w:t>
      </w:r>
      <w:r w:rsidR="00800812">
        <w:rPr>
          <w:rFonts w:ascii="Arial" w:hAnsi="Arial" w:cs="Arial"/>
          <w:sz w:val="24"/>
        </w:rPr>
        <w:t>R</w:t>
      </w:r>
      <w:r w:rsidRPr="00DB7156">
        <w:rPr>
          <w:rFonts w:ascii="Arial" w:hAnsi="Arial" w:cs="Arial"/>
          <w:sz w:val="24"/>
        </w:rPr>
        <w:t xml:space="preserve">ule and recodify the regulatory text that </w:t>
      </w:r>
      <w:r w:rsidR="009A1014" w:rsidRPr="00DB7156">
        <w:rPr>
          <w:rFonts w:ascii="Arial" w:hAnsi="Arial" w:cs="Arial"/>
          <w:sz w:val="24"/>
        </w:rPr>
        <w:t>was in place prior to the 2015 R</w:t>
      </w:r>
      <w:r w:rsidRPr="00DB7156">
        <w:rPr>
          <w:rFonts w:ascii="Arial" w:hAnsi="Arial" w:cs="Arial"/>
          <w:sz w:val="24"/>
        </w:rPr>
        <w:t>ule.</w:t>
      </w:r>
      <w:r w:rsidR="00117F7E" w:rsidRPr="00DB7156">
        <w:rPr>
          <w:rFonts w:ascii="Arial" w:hAnsi="Arial" w:cs="Arial"/>
          <w:sz w:val="24"/>
        </w:rPr>
        <w:t xml:space="preserve"> </w:t>
      </w:r>
      <w:r w:rsidR="00FC61FF">
        <w:rPr>
          <w:rFonts w:ascii="Arial" w:hAnsi="Arial" w:cs="Arial"/>
          <w:sz w:val="24"/>
          <w:szCs w:val="24"/>
        </w:rPr>
        <w:t>I</w:t>
      </w:r>
      <w:r w:rsidR="009248A4" w:rsidRPr="00DB7156">
        <w:rPr>
          <w:rFonts w:ascii="Arial" w:hAnsi="Arial" w:cs="Arial"/>
          <w:sz w:val="24"/>
          <w:szCs w:val="24"/>
        </w:rPr>
        <w:t xml:space="preserve">n November </w:t>
      </w:r>
      <w:r w:rsidR="00117F7E" w:rsidRPr="00DB7156">
        <w:rPr>
          <w:rFonts w:ascii="Arial" w:hAnsi="Arial" w:cs="Arial"/>
          <w:sz w:val="24"/>
          <w:szCs w:val="24"/>
        </w:rPr>
        <w:t>2017</w:t>
      </w:r>
      <w:r w:rsidR="00117F7E" w:rsidRPr="00DB7156">
        <w:rPr>
          <w:rFonts w:ascii="Arial" w:hAnsi="Arial" w:cs="Arial"/>
          <w:sz w:val="24"/>
        </w:rPr>
        <w:t xml:space="preserve">, the Agencies proposed a rule </w:t>
      </w:r>
      <w:r w:rsidR="009248A4" w:rsidRPr="00DB7156">
        <w:rPr>
          <w:rFonts w:ascii="Arial" w:hAnsi="Arial" w:cs="Arial"/>
          <w:sz w:val="24"/>
        </w:rPr>
        <w:t>(</w:t>
      </w:r>
      <w:r w:rsidR="009A1014" w:rsidRPr="00DB7156">
        <w:rPr>
          <w:rFonts w:ascii="Arial" w:hAnsi="Arial" w:cs="Arial"/>
          <w:sz w:val="24"/>
        </w:rPr>
        <w:t xml:space="preserve">the </w:t>
      </w:r>
      <w:r w:rsidR="009248A4" w:rsidRPr="00DB7156">
        <w:rPr>
          <w:rFonts w:ascii="Arial" w:hAnsi="Arial" w:cs="Arial"/>
          <w:sz w:val="24"/>
        </w:rPr>
        <w:t xml:space="preserve">“Applicability Rule”) </w:t>
      </w:r>
      <w:r w:rsidR="00117F7E" w:rsidRPr="00DB7156">
        <w:rPr>
          <w:rFonts w:ascii="Arial" w:hAnsi="Arial" w:cs="Arial"/>
          <w:sz w:val="24"/>
        </w:rPr>
        <w:t xml:space="preserve">to extend the applicability date of the 2015 Rule </w:t>
      </w:r>
      <w:r w:rsidR="009248A4" w:rsidRPr="00DB7156">
        <w:rPr>
          <w:rFonts w:ascii="Arial" w:hAnsi="Arial" w:cs="Arial"/>
          <w:sz w:val="24"/>
        </w:rPr>
        <w:t xml:space="preserve">by two years, providing certainty and continuity </w:t>
      </w:r>
      <w:r w:rsidR="009A1014" w:rsidRPr="00DB7156">
        <w:rPr>
          <w:rFonts w:ascii="Arial" w:hAnsi="Arial" w:cs="Arial"/>
          <w:sz w:val="24"/>
        </w:rPr>
        <w:t>while the Agencies consider revisions to the rule</w:t>
      </w:r>
      <w:r w:rsidR="00117F7E" w:rsidRPr="00DB7156">
        <w:rPr>
          <w:rFonts w:ascii="Arial" w:hAnsi="Arial" w:cs="Arial"/>
          <w:sz w:val="24"/>
        </w:rPr>
        <w:t>. Th</w:t>
      </w:r>
      <w:r w:rsidR="009A1014" w:rsidRPr="00DB7156">
        <w:rPr>
          <w:rFonts w:ascii="Arial" w:hAnsi="Arial" w:cs="Arial"/>
          <w:sz w:val="24"/>
        </w:rPr>
        <w:t>e</w:t>
      </w:r>
      <w:r w:rsidR="00117F7E" w:rsidRPr="00DB7156">
        <w:rPr>
          <w:rFonts w:ascii="Arial" w:hAnsi="Arial" w:cs="Arial"/>
          <w:sz w:val="24"/>
        </w:rPr>
        <w:t xml:space="preserve"> Applicability Rule was finalized </w:t>
      </w:r>
      <w:r w:rsidR="00FC61FF">
        <w:rPr>
          <w:rFonts w:ascii="Arial" w:hAnsi="Arial" w:cs="Arial"/>
          <w:sz w:val="24"/>
        </w:rPr>
        <w:t>i</w:t>
      </w:r>
      <w:r w:rsidR="009A1014" w:rsidRPr="00DB7156">
        <w:rPr>
          <w:rFonts w:ascii="Arial" w:hAnsi="Arial" w:cs="Arial"/>
          <w:sz w:val="24"/>
        </w:rPr>
        <w:t xml:space="preserve">n </w:t>
      </w:r>
      <w:r w:rsidR="00117F7E" w:rsidRPr="00DB7156">
        <w:rPr>
          <w:rFonts w:ascii="Arial" w:hAnsi="Arial" w:cs="Arial"/>
          <w:sz w:val="24"/>
        </w:rPr>
        <w:t>February</w:t>
      </w:r>
      <w:r w:rsidR="009A1014" w:rsidRPr="00DB7156">
        <w:rPr>
          <w:rFonts w:ascii="Arial" w:hAnsi="Arial" w:cs="Arial"/>
          <w:sz w:val="24"/>
        </w:rPr>
        <w:t xml:space="preserve"> </w:t>
      </w:r>
      <w:r w:rsidR="00117F7E" w:rsidRPr="00DB7156">
        <w:rPr>
          <w:rFonts w:ascii="Arial" w:hAnsi="Arial" w:cs="Arial"/>
          <w:sz w:val="24"/>
        </w:rPr>
        <w:t>2018</w:t>
      </w:r>
      <w:r w:rsidR="009A1014" w:rsidRPr="00DB7156">
        <w:rPr>
          <w:rFonts w:ascii="Arial" w:hAnsi="Arial" w:cs="Arial"/>
          <w:sz w:val="24"/>
        </w:rPr>
        <w:t>, extending the 2015 Rule applicability date to February 2020.</w:t>
      </w:r>
    </w:p>
    <w:p w14:paraId="7522BA38" w14:textId="77777777" w:rsidR="009A1014" w:rsidRPr="00DB7156" w:rsidRDefault="009A1014" w:rsidP="00DB7156">
      <w:pPr>
        <w:spacing w:after="0" w:line="240" w:lineRule="auto"/>
        <w:jc w:val="both"/>
        <w:rPr>
          <w:rFonts w:ascii="Arial" w:hAnsi="Arial" w:cs="Arial"/>
          <w:sz w:val="24"/>
        </w:rPr>
      </w:pPr>
    </w:p>
    <w:p w14:paraId="626FE615" w14:textId="6B0557A4" w:rsidR="000B5090" w:rsidRPr="00DB7156" w:rsidRDefault="009A1014" w:rsidP="00DB7156">
      <w:pPr>
        <w:spacing w:after="0" w:line="240" w:lineRule="auto"/>
        <w:jc w:val="both"/>
        <w:rPr>
          <w:rFonts w:ascii="Arial" w:hAnsi="Arial" w:cs="Arial"/>
          <w:sz w:val="24"/>
          <w:szCs w:val="24"/>
        </w:rPr>
      </w:pPr>
      <w:r w:rsidRPr="00DB7156">
        <w:rPr>
          <w:rFonts w:ascii="Arial" w:hAnsi="Arial" w:cs="Arial"/>
          <w:sz w:val="24"/>
          <w:szCs w:val="24"/>
        </w:rPr>
        <w:t xml:space="preserve">Prior to the Applicability Rule being finalized, </w:t>
      </w:r>
      <w:r w:rsidR="00117F7E" w:rsidRPr="00DB7156">
        <w:rPr>
          <w:rFonts w:ascii="Arial" w:hAnsi="Arial" w:cs="Arial"/>
          <w:sz w:val="24"/>
          <w:szCs w:val="24"/>
        </w:rPr>
        <w:t xml:space="preserve">the </w:t>
      </w:r>
      <w:r w:rsidR="00246D21">
        <w:rPr>
          <w:rFonts w:ascii="Arial" w:hAnsi="Arial" w:cs="Arial"/>
          <w:sz w:val="24"/>
        </w:rPr>
        <w:t xml:space="preserve">U.S. </w:t>
      </w:r>
      <w:r w:rsidR="00117F7E" w:rsidRPr="00DB7156">
        <w:rPr>
          <w:rFonts w:ascii="Arial" w:hAnsi="Arial" w:cs="Arial"/>
          <w:sz w:val="24"/>
          <w:szCs w:val="24"/>
        </w:rPr>
        <w:t xml:space="preserve">Supreme Court issued a decision </w:t>
      </w:r>
      <w:r w:rsidR="00FC61FF">
        <w:rPr>
          <w:rFonts w:ascii="Arial" w:hAnsi="Arial" w:cs="Arial"/>
          <w:sz w:val="24"/>
          <w:szCs w:val="24"/>
        </w:rPr>
        <w:t>i</w:t>
      </w:r>
      <w:r w:rsidR="00D34CED" w:rsidRPr="00DB7156">
        <w:rPr>
          <w:rFonts w:ascii="Arial" w:hAnsi="Arial" w:cs="Arial"/>
          <w:sz w:val="24"/>
          <w:szCs w:val="24"/>
        </w:rPr>
        <w:t>n</w:t>
      </w:r>
      <w:r w:rsidRPr="00DB7156">
        <w:rPr>
          <w:rFonts w:ascii="Arial" w:hAnsi="Arial" w:cs="Arial"/>
          <w:sz w:val="24"/>
          <w:szCs w:val="24"/>
        </w:rPr>
        <w:t xml:space="preserve"> January</w:t>
      </w:r>
      <w:r w:rsidR="00D34CED" w:rsidRPr="00DB7156">
        <w:rPr>
          <w:rFonts w:ascii="Arial" w:hAnsi="Arial" w:cs="Arial"/>
          <w:sz w:val="24"/>
          <w:szCs w:val="24"/>
        </w:rPr>
        <w:t xml:space="preserve"> </w:t>
      </w:r>
      <w:r w:rsidRPr="00DB7156">
        <w:rPr>
          <w:rFonts w:ascii="Arial" w:hAnsi="Arial" w:cs="Arial"/>
          <w:sz w:val="24"/>
          <w:szCs w:val="24"/>
        </w:rPr>
        <w:t xml:space="preserve">2018 </w:t>
      </w:r>
      <w:r w:rsidR="00117F7E" w:rsidRPr="00DB7156">
        <w:rPr>
          <w:rFonts w:ascii="Arial" w:hAnsi="Arial" w:cs="Arial"/>
          <w:sz w:val="24"/>
          <w:szCs w:val="24"/>
        </w:rPr>
        <w:t xml:space="preserve">finding that jurisdiction over challenges to the </w:t>
      </w:r>
      <w:r w:rsidRPr="00DB7156">
        <w:rPr>
          <w:rFonts w:ascii="Arial" w:hAnsi="Arial" w:cs="Arial"/>
          <w:sz w:val="24"/>
          <w:szCs w:val="24"/>
        </w:rPr>
        <w:t xml:space="preserve">2015 Rule </w:t>
      </w:r>
      <w:r w:rsidR="00117F7E" w:rsidRPr="00DB7156">
        <w:rPr>
          <w:rFonts w:ascii="Arial" w:hAnsi="Arial" w:cs="Arial"/>
          <w:sz w:val="24"/>
          <w:szCs w:val="24"/>
        </w:rPr>
        <w:t>lie in the district courts. As a result, the Sixth Circuit lif</w:t>
      </w:r>
      <w:r w:rsidR="006B24B7" w:rsidRPr="00DB7156">
        <w:rPr>
          <w:rFonts w:ascii="Arial" w:hAnsi="Arial" w:cs="Arial"/>
          <w:sz w:val="24"/>
          <w:szCs w:val="24"/>
        </w:rPr>
        <w:t>t</w:t>
      </w:r>
      <w:r w:rsidR="00117F7E" w:rsidRPr="00DB7156">
        <w:rPr>
          <w:rFonts w:ascii="Arial" w:hAnsi="Arial" w:cs="Arial"/>
          <w:sz w:val="24"/>
          <w:szCs w:val="24"/>
        </w:rPr>
        <w:t xml:space="preserve">ed </w:t>
      </w:r>
      <w:r w:rsidRPr="00DB7156">
        <w:rPr>
          <w:rFonts w:ascii="Arial" w:hAnsi="Arial" w:cs="Arial"/>
          <w:sz w:val="24"/>
          <w:szCs w:val="24"/>
        </w:rPr>
        <w:t>its</w:t>
      </w:r>
      <w:r w:rsidR="00117F7E" w:rsidRPr="00DB7156">
        <w:rPr>
          <w:rFonts w:ascii="Arial" w:hAnsi="Arial" w:cs="Arial"/>
          <w:sz w:val="24"/>
          <w:szCs w:val="24"/>
        </w:rPr>
        <w:t xml:space="preserve"> nationwide stay </w:t>
      </w:r>
      <w:r w:rsidR="00FC61FF">
        <w:rPr>
          <w:rFonts w:ascii="Arial" w:hAnsi="Arial" w:cs="Arial"/>
          <w:sz w:val="24"/>
          <w:szCs w:val="24"/>
        </w:rPr>
        <w:t>i</w:t>
      </w:r>
      <w:r w:rsidR="00117F7E" w:rsidRPr="00DB7156">
        <w:rPr>
          <w:rFonts w:ascii="Arial" w:hAnsi="Arial" w:cs="Arial"/>
          <w:sz w:val="24"/>
          <w:szCs w:val="24"/>
        </w:rPr>
        <w:t xml:space="preserve">n </w:t>
      </w:r>
      <w:r w:rsidR="00474530" w:rsidRPr="00DB7156">
        <w:rPr>
          <w:rFonts w:ascii="Arial" w:hAnsi="Arial" w:cs="Arial"/>
          <w:sz w:val="24"/>
          <w:szCs w:val="24"/>
        </w:rPr>
        <w:t xml:space="preserve">February </w:t>
      </w:r>
      <w:r w:rsidR="00117F7E" w:rsidRPr="00DB7156">
        <w:rPr>
          <w:rFonts w:ascii="Arial" w:hAnsi="Arial" w:cs="Arial"/>
          <w:sz w:val="24"/>
          <w:szCs w:val="24"/>
        </w:rPr>
        <w:t>2018</w:t>
      </w:r>
      <w:r w:rsidR="00B6381D" w:rsidRPr="00DB7156">
        <w:rPr>
          <w:rFonts w:ascii="Arial" w:hAnsi="Arial" w:cs="Arial"/>
          <w:sz w:val="24"/>
          <w:szCs w:val="24"/>
        </w:rPr>
        <w:t>. S</w:t>
      </w:r>
      <w:r w:rsidR="009603FD" w:rsidRPr="00DB7156">
        <w:rPr>
          <w:rFonts w:ascii="Arial" w:hAnsi="Arial" w:cs="Arial"/>
          <w:sz w:val="24"/>
          <w:szCs w:val="24"/>
        </w:rPr>
        <w:t>tates, industry</w:t>
      </w:r>
      <w:r w:rsidR="00B6381D" w:rsidRPr="00DB7156">
        <w:rPr>
          <w:rFonts w:ascii="Arial" w:hAnsi="Arial" w:cs="Arial"/>
          <w:sz w:val="24"/>
          <w:szCs w:val="24"/>
        </w:rPr>
        <w:t>,</w:t>
      </w:r>
      <w:r w:rsidR="009603FD" w:rsidRPr="00DB7156">
        <w:rPr>
          <w:rFonts w:ascii="Arial" w:hAnsi="Arial" w:cs="Arial"/>
          <w:sz w:val="24"/>
          <w:szCs w:val="24"/>
        </w:rPr>
        <w:t xml:space="preserve"> and environmental groups filed new and renewed litigation</w:t>
      </w:r>
      <w:r w:rsidR="00855C8A" w:rsidRPr="00DB7156">
        <w:rPr>
          <w:rFonts w:ascii="Arial" w:hAnsi="Arial" w:cs="Arial"/>
          <w:sz w:val="24"/>
          <w:szCs w:val="24"/>
        </w:rPr>
        <w:t xml:space="preserve"> over the 2015 Rule </w:t>
      </w:r>
      <w:r w:rsidRPr="00DB7156">
        <w:rPr>
          <w:rFonts w:ascii="Arial" w:hAnsi="Arial" w:cs="Arial"/>
          <w:sz w:val="24"/>
          <w:szCs w:val="24"/>
        </w:rPr>
        <w:t>as well as</w:t>
      </w:r>
      <w:r w:rsidR="00855C8A" w:rsidRPr="00DB7156">
        <w:rPr>
          <w:rFonts w:ascii="Arial" w:hAnsi="Arial" w:cs="Arial"/>
          <w:sz w:val="24"/>
          <w:szCs w:val="24"/>
        </w:rPr>
        <w:t xml:space="preserve"> the Applicability Rule in multiple district courts across the country. </w:t>
      </w:r>
    </w:p>
    <w:p w14:paraId="54B37540" w14:textId="77777777" w:rsidR="000B5090" w:rsidRPr="00DB7156" w:rsidRDefault="000B5090" w:rsidP="00DB7156">
      <w:pPr>
        <w:spacing w:after="0" w:line="240" w:lineRule="auto"/>
        <w:jc w:val="both"/>
        <w:rPr>
          <w:rFonts w:ascii="Arial" w:hAnsi="Arial" w:cs="Arial"/>
          <w:sz w:val="24"/>
          <w:szCs w:val="24"/>
        </w:rPr>
      </w:pPr>
    </w:p>
    <w:p w14:paraId="56B430CC" w14:textId="2D899B54" w:rsidR="00855C8A" w:rsidRDefault="009603FD" w:rsidP="00DB7156">
      <w:pPr>
        <w:spacing w:after="0" w:line="240" w:lineRule="auto"/>
        <w:jc w:val="both"/>
        <w:rPr>
          <w:rFonts w:ascii="Arial" w:hAnsi="Arial" w:cs="Arial"/>
          <w:sz w:val="24"/>
          <w:szCs w:val="24"/>
        </w:rPr>
      </w:pPr>
      <w:r w:rsidRPr="00DB7156">
        <w:rPr>
          <w:rFonts w:ascii="Arial" w:hAnsi="Arial" w:cs="Arial"/>
          <w:sz w:val="24"/>
          <w:szCs w:val="24"/>
        </w:rPr>
        <w:t xml:space="preserve">The 2015 Rule </w:t>
      </w:r>
      <w:r w:rsidR="00855C8A" w:rsidRPr="00DB7156">
        <w:rPr>
          <w:rFonts w:ascii="Arial" w:hAnsi="Arial" w:cs="Arial"/>
          <w:sz w:val="24"/>
          <w:szCs w:val="24"/>
        </w:rPr>
        <w:t>is stayed in 2</w:t>
      </w:r>
      <w:r w:rsidR="007412CB" w:rsidRPr="00DB7156">
        <w:rPr>
          <w:rFonts w:ascii="Arial" w:hAnsi="Arial" w:cs="Arial"/>
          <w:sz w:val="24"/>
          <w:szCs w:val="24"/>
        </w:rPr>
        <w:t>8</w:t>
      </w:r>
      <w:r w:rsidR="00855C8A" w:rsidRPr="00DB7156">
        <w:rPr>
          <w:rFonts w:ascii="Arial" w:hAnsi="Arial" w:cs="Arial"/>
          <w:sz w:val="24"/>
          <w:szCs w:val="24"/>
        </w:rPr>
        <w:t xml:space="preserve"> states,</w:t>
      </w:r>
      <w:r w:rsidR="009A1014" w:rsidRPr="00DB7156">
        <w:rPr>
          <w:rFonts w:ascii="Arial" w:hAnsi="Arial" w:cs="Arial"/>
          <w:sz w:val="24"/>
          <w:szCs w:val="24"/>
        </w:rPr>
        <w:t xml:space="preserve"> including</w:t>
      </w:r>
      <w:r w:rsidR="00855C8A" w:rsidRPr="00DB7156">
        <w:rPr>
          <w:rFonts w:ascii="Arial" w:hAnsi="Arial" w:cs="Arial"/>
          <w:sz w:val="24"/>
          <w:szCs w:val="24"/>
        </w:rPr>
        <w:t xml:space="preserve"> </w:t>
      </w:r>
      <w:r w:rsidR="009A1014" w:rsidRPr="00DB7156">
        <w:rPr>
          <w:rFonts w:ascii="Arial" w:hAnsi="Arial" w:cs="Arial"/>
          <w:sz w:val="24"/>
          <w:szCs w:val="24"/>
        </w:rPr>
        <w:t xml:space="preserve">Georgia, </w:t>
      </w:r>
      <w:r w:rsidR="00855C8A" w:rsidRPr="00DB7156">
        <w:rPr>
          <w:rFonts w:ascii="Arial" w:hAnsi="Arial" w:cs="Arial"/>
          <w:sz w:val="24"/>
          <w:szCs w:val="24"/>
        </w:rPr>
        <w:t xml:space="preserve">pursuant to </w:t>
      </w:r>
      <w:r w:rsidR="001305A4" w:rsidRPr="00DB7156">
        <w:rPr>
          <w:rFonts w:ascii="Arial" w:hAnsi="Arial" w:cs="Arial"/>
          <w:sz w:val="24"/>
          <w:szCs w:val="24"/>
        </w:rPr>
        <w:t>three</w:t>
      </w:r>
      <w:r w:rsidR="00855C8A" w:rsidRPr="00DB7156">
        <w:rPr>
          <w:rFonts w:ascii="Arial" w:hAnsi="Arial" w:cs="Arial"/>
          <w:sz w:val="24"/>
          <w:szCs w:val="24"/>
        </w:rPr>
        <w:t xml:space="preserve"> district court orders</w:t>
      </w:r>
      <w:r w:rsidRPr="00DB7156">
        <w:rPr>
          <w:rFonts w:ascii="Arial" w:hAnsi="Arial" w:cs="Arial"/>
          <w:sz w:val="24"/>
          <w:szCs w:val="24"/>
        </w:rPr>
        <w:t xml:space="preserve"> despite a South Carolina district court overturning the Applicability Rule </w:t>
      </w:r>
      <w:r w:rsidR="00FC61FF">
        <w:rPr>
          <w:rFonts w:ascii="Arial" w:hAnsi="Arial" w:cs="Arial"/>
          <w:sz w:val="24"/>
          <w:szCs w:val="24"/>
        </w:rPr>
        <w:t>i</w:t>
      </w:r>
      <w:r w:rsidR="000B5090" w:rsidRPr="00DB7156">
        <w:rPr>
          <w:rFonts w:ascii="Arial" w:hAnsi="Arial" w:cs="Arial"/>
          <w:sz w:val="24"/>
          <w:szCs w:val="24"/>
        </w:rPr>
        <w:t xml:space="preserve">n </w:t>
      </w:r>
      <w:r w:rsidRPr="00DB7156">
        <w:rPr>
          <w:rFonts w:ascii="Arial" w:hAnsi="Arial" w:cs="Arial"/>
          <w:sz w:val="24"/>
          <w:szCs w:val="24"/>
        </w:rPr>
        <w:t>August 2018</w:t>
      </w:r>
      <w:r w:rsidR="00855C8A" w:rsidRPr="00DB7156">
        <w:rPr>
          <w:rFonts w:ascii="Arial" w:hAnsi="Arial" w:cs="Arial"/>
          <w:sz w:val="24"/>
          <w:szCs w:val="24"/>
        </w:rPr>
        <w:t xml:space="preserve">. </w:t>
      </w:r>
      <w:r w:rsidR="001305A4" w:rsidRPr="00DB7156">
        <w:rPr>
          <w:rFonts w:ascii="Arial" w:hAnsi="Arial" w:cs="Arial"/>
          <w:sz w:val="24"/>
          <w:szCs w:val="24"/>
        </w:rPr>
        <w:t>The</w:t>
      </w:r>
      <w:r w:rsidRPr="00DB7156">
        <w:rPr>
          <w:rFonts w:ascii="Arial" w:hAnsi="Arial" w:cs="Arial"/>
          <w:sz w:val="24"/>
          <w:szCs w:val="24"/>
        </w:rPr>
        <w:t xml:space="preserve"> </w:t>
      </w:r>
      <w:r w:rsidR="001305A4" w:rsidRPr="00DB7156">
        <w:rPr>
          <w:rFonts w:ascii="Arial" w:hAnsi="Arial" w:cs="Arial"/>
          <w:sz w:val="24"/>
          <w:szCs w:val="24"/>
        </w:rPr>
        <w:t xml:space="preserve">injunctions </w:t>
      </w:r>
      <w:r w:rsidR="00027F84" w:rsidRPr="00DB7156">
        <w:rPr>
          <w:rFonts w:ascii="Arial" w:hAnsi="Arial" w:cs="Arial"/>
          <w:sz w:val="24"/>
          <w:szCs w:val="24"/>
        </w:rPr>
        <w:t xml:space="preserve">from these three district courts </w:t>
      </w:r>
      <w:r w:rsidR="001305A4" w:rsidRPr="00DB7156">
        <w:rPr>
          <w:rFonts w:ascii="Arial" w:hAnsi="Arial" w:cs="Arial"/>
          <w:sz w:val="24"/>
          <w:szCs w:val="24"/>
        </w:rPr>
        <w:t xml:space="preserve">will remain in place until the Agencies finalize </w:t>
      </w:r>
      <w:r w:rsidR="00474530" w:rsidRPr="00DB7156">
        <w:rPr>
          <w:rFonts w:ascii="Arial" w:hAnsi="Arial" w:cs="Arial"/>
          <w:sz w:val="24"/>
          <w:szCs w:val="24"/>
        </w:rPr>
        <w:t xml:space="preserve">their </w:t>
      </w:r>
      <w:r w:rsidR="00FC61FF">
        <w:rPr>
          <w:rFonts w:ascii="Arial" w:hAnsi="Arial" w:cs="Arial"/>
          <w:sz w:val="24"/>
          <w:szCs w:val="24"/>
        </w:rPr>
        <w:t>proposed 2015 WOTUS repeal and recodify regulatory text</w:t>
      </w:r>
      <w:r w:rsidR="00474530" w:rsidRPr="00DB7156">
        <w:rPr>
          <w:rFonts w:ascii="Arial" w:hAnsi="Arial" w:cs="Arial"/>
          <w:sz w:val="24"/>
          <w:szCs w:val="24"/>
        </w:rPr>
        <w:t xml:space="preserve"> proposed rule </w:t>
      </w:r>
      <w:r w:rsidR="001305A4" w:rsidRPr="00DB7156">
        <w:rPr>
          <w:rFonts w:ascii="Arial" w:hAnsi="Arial" w:cs="Arial"/>
          <w:sz w:val="24"/>
          <w:szCs w:val="24"/>
        </w:rPr>
        <w:t xml:space="preserve">or </w:t>
      </w:r>
      <w:r w:rsidR="00474530" w:rsidRPr="00DB7156">
        <w:rPr>
          <w:rFonts w:ascii="Arial" w:hAnsi="Arial" w:cs="Arial"/>
          <w:sz w:val="24"/>
          <w:szCs w:val="24"/>
        </w:rPr>
        <w:t xml:space="preserve">until </w:t>
      </w:r>
      <w:r w:rsidR="001305A4" w:rsidRPr="00DB7156">
        <w:rPr>
          <w:rFonts w:ascii="Arial" w:hAnsi="Arial" w:cs="Arial"/>
          <w:sz w:val="24"/>
          <w:szCs w:val="24"/>
        </w:rPr>
        <w:t>a court issues a final decision on the merits of the 2015 Rule, either upholding or setting aside the Rule.</w:t>
      </w:r>
    </w:p>
    <w:p w14:paraId="1896BF4D" w14:textId="6A35A491" w:rsidR="00F94534" w:rsidRDefault="00F94534" w:rsidP="00DB7156">
      <w:pPr>
        <w:spacing w:after="0" w:line="240" w:lineRule="auto"/>
        <w:jc w:val="both"/>
        <w:rPr>
          <w:rFonts w:ascii="Arial" w:hAnsi="Arial" w:cs="Arial"/>
          <w:sz w:val="24"/>
          <w:szCs w:val="24"/>
        </w:rPr>
      </w:pPr>
    </w:p>
    <w:p w14:paraId="53A0D5AD" w14:textId="28315355" w:rsidR="00571CD7" w:rsidRPr="00DB7156" w:rsidRDefault="00571CD7" w:rsidP="00DB7156">
      <w:pPr>
        <w:spacing w:after="0" w:line="240" w:lineRule="auto"/>
        <w:jc w:val="both"/>
        <w:rPr>
          <w:rFonts w:ascii="Arial" w:hAnsi="Arial" w:cs="Arial"/>
          <w:sz w:val="24"/>
          <w:szCs w:val="24"/>
        </w:rPr>
      </w:pPr>
      <w:bookmarkStart w:id="126" w:name="_Hlk533000440"/>
      <w:r>
        <w:rPr>
          <w:rFonts w:ascii="Arial" w:hAnsi="Arial" w:cs="Arial"/>
          <w:sz w:val="24"/>
          <w:szCs w:val="24"/>
        </w:rPr>
        <w:t>I</w:t>
      </w:r>
      <w:r w:rsidR="00557797" w:rsidRPr="00557797">
        <w:rPr>
          <w:rFonts w:ascii="Arial" w:hAnsi="Arial" w:cs="Arial"/>
          <w:sz w:val="24"/>
          <w:szCs w:val="24"/>
        </w:rPr>
        <w:t xml:space="preserve">n December 2018, the Agencies released a proposal redefining WOTUS.  This proposal is the second step in </w:t>
      </w:r>
      <w:r w:rsidR="00353071">
        <w:rPr>
          <w:rFonts w:ascii="Arial" w:hAnsi="Arial" w:cs="Arial"/>
          <w:sz w:val="24"/>
          <w:szCs w:val="24"/>
        </w:rPr>
        <w:t>the</w:t>
      </w:r>
      <w:r w:rsidR="00557797" w:rsidRPr="00557797">
        <w:rPr>
          <w:rFonts w:ascii="Arial" w:hAnsi="Arial" w:cs="Arial"/>
          <w:sz w:val="24"/>
          <w:szCs w:val="24"/>
        </w:rPr>
        <w:t xml:space="preserve"> two-step process to review and revise the WOTUS definition consistent with EO 13778.</w:t>
      </w:r>
      <w:bookmarkEnd w:id="126"/>
    </w:p>
    <w:p w14:paraId="6DD91A39" w14:textId="77777777" w:rsidR="00E115FD" w:rsidRPr="00DB7156" w:rsidRDefault="00E115FD" w:rsidP="00DB7156">
      <w:pPr>
        <w:spacing w:after="0" w:line="240" w:lineRule="auto"/>
        <w:jc w:val="both"/>
        <w:rPr>
          <w:rFonts w:ascii="Arial" w:hAnsi="Arial" w:cs="Arial"/>
          <w:b/>
          <w:bCs/>
          <w:sz w:val="24"/>
          <w:szCs w:val="24"/>
        </w:rPr>
      </w:pPr>
    </w:p>
    <w:p w14:paraId="22BA5039" w14:textId="3A0A9C27"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127" w:name="_Toc496107753"/>
      <w:bookmarkStart w:id="128" w:name="_Toc535908143"/>
      <w:bookmarkStart w:id="129" w:name="_Toc527987344"/>
      <w:bookmarkStart w:id="130" w:name="_Toc527983891"/>
      <w:bookmarkStart w:id="131" w:name="_Toc530487275"/>
      <w:bookmarkStart w:id="132" w:name="_Hlk496014283"/>
      <w:r w:rsidRPr="00DB7156">
        <w:rPr>
          <w:rFonts w:ascii="Arial" w:hAnsi="Arial" w:cs="Arial"/>
          <w:b/>
          <w:bCs/>
          <w:color w:val="000080"/>
          <w:sz w:val="24"/>
          <w:szCs w:val="24"/>
        </w:rPr>
        <w:t>2.1</w:t>
      </w:r>
      <w:r w:rsidR="007376BD" w:rsidRPr="00DB7156">
        <w:rPr>
          <w:rFonts w:ascii="Arial" w:hAnsi="Arial" w:cs="Arial"/>
          <w:b/>
          <w:bCs/>
          <w:color w:val="000080"/>
          <w:sz w:val="24"/>
          <w:szCs w:val="24"/>
        </w:rPr>
        <w:t>8</w:t>
      </w:r>
      <w:r w:rsidRPr="00DB7156">
        <w:rPr>
          <w:rFonts w:ascii="Arial" w:hAnsi="Arial" w:cs="Arial"/>
          <w:b/>
          <w:bCs/>
          <w:color w:val="000080"/>
          <w:sz w:val="24"/>
          <w:szCs w:val="24"/>
        </w:rPr>
        <w:tab/>
      </w:r>
      <w:bookmarkEnd w:id="127"/>
      <w:r w:rsidRPr="00DB7156">
        <w:rPr>
          <w:rFonts w:ascii="Arial" w:hAnsi="Arial" w:cs="Arial"/>
          <w:b/>
          <w:bCs/>
          <w:color w:val="000080"/>
          <w:sz w:val="24"/>
          <w:szCs w:val="24"/>
        </w:rPr>
        <w:t xml:space="preserve">Coal Combustion </w:t>
      </w:r>
      <w:r w:rsidR="00BD3D0D" w:rsidRPr="00DB7156">
        <w:rPr>
          <w:rFonts w:ascii="Arial" w:hAnsi="Arial" w:cs="Arial"/>
          <w:b/>
          <w:bCs/>
          <w:color w:val="000080"/>
          <w:sz w:val="24"/>
          <w:szCs w:val="24"/>
        </w:rPr>
        <w:t>Residuals</w:t>
      </w:r>
      <w:bookmarkEnd w:id="128"/>
      <w:r w:rsidR="004A7FC9" w:rsidRPr="00DB7156">
        <w:rPr>
          <w:rFonts w:ascii="Arial" w:hAnsi="Arial" w:cs="Arial"/>
          <w:b/>
          <w:bCs/>
          <w:color w:val="000080"/>
          <w:sz w:val="24"/>
          <w:szCs w:val="24"/>
        </w:rPr>
        <w:t xml:space="preserve"> </w:t>
      </w:r>
      <w:bookmarkEnd w:id="129"/>
      <w:bookmarkEnd w:id="130"/>
      <w:bookmarkEnd w:id="131"/>
    </w:p>
    <w:p w14:paraId="0FE59930" w14:textId="77777777" w:rsidR="00A40796" w:rsidRDefault="00A40796" w:rsidP="00DB7156">
      <w:pPr>
        <w:spacing w:after="0" w:line="240" w:lineRule="auto"/>
        <w:jc w:val="both"/>
        <w:rPr>
          <w:rFonts w:ascii="Arial" w:hAnsi="Arial" w:cs="Arial"/>
          <w:sz w:val="24"/>
          <w:szCs w:val="24"/>
        </w:rPr>
      </w:pPr>
    </w:p>
    <w:p w14:paraId="22BA503A" w14:textId="2D8CDC21" w:rsidR="00FC67F9" w:rsidRPr="00DB7156" w:rsidRDefault="00FC67F9" w:rsidP="00DB7156">
      <w:pPr>
        <w:spacing w:after="0" w:line="240" w:lineRule="auto"/>
        <w:jc w:val="both"/>
        <w:rPr>
          <w:rFonts w:ascii="Arial" w:hAnsi="Arial" w:cs="Arial"/>
          <w:b/>
          <w:bCs/>
          <w:sz w:val="24"/>
          <w:szCs w:val="24"/>
        </w:rPr>
      </w:pPr>
      <w:r w:rsidRPr="00DB7156">
        <w:rPr>
          <w:rFonts w:ascii="Arial" w:hAnsi="Arial" w:cs="Arial"/>
          <w:sz w:val="24"/>
          <w:szCs w:val="24"/>
        </w:rPr>
        <w:t xml:space="preserve">In May 2000, after nearly 20 years of study, </w:t>
      </w:r>
      <w:r w:rsidR="003F7EE0" w:rsidRPr="00DB7156">
        <w:rPr>
          <w:rFonts w:ascii="Arial" w:hAnsi="Arial" w:cs="Arial"/>
          <w:sz w:val="24"/>
          <w:szCs w:val="24"/>
        </w:rPr>
        <w:t xml:space="preserve">EPA concluded </w:t>
      </w:r>
      <w:r w:rsidRPr="00DB7156">
        <w:rPr>
          <w:rFonts w:ascii="Arial" w:hAnsi="Arial" w:cs="Arial"/>
          <w:sz w:val="24"/>
          <w:szCs w:val="24"/>
        </w:rPr>
        <w:t xml:space="preserve">that coal ash </w:t>
      </w:r>
      <w:r w:rsidR="00282D78">
        <w:rPr>
          <w:rFonts w:ascii="Arial" w:hAnsi="Arial" w:cs="Arial"/>
          <w:sz w:val="24"/>
          <w:szCs w:val="24"/>
        </w:rPr>
        <w:t>should not be regulated as a</w:t>
      </w:r>
      <w:r w:rsidRPr="00DB7156">
        <w:rPr>
          <w:rFonts w:ascii="Arial" w:hAnsi="Arial" w:cs="Arial"/>
          <w:sz w:val="24"/>
          <w:szCs w:val="24"/>
        </w:rPr>
        <w:t xml:space="preserve"> hazardous waste under </w:t>
      </w:r>
      <w:r w:rsidR="00B616EB" w:rsidRPr="00DB7156">
        <w:rPr>
          <w:rFonts w:ascii="Arial" w:hAnsi="Arial" w:cs="Arial"/>
          <w:sz w:val="24"/>
          <w:szCs w:val="24"/>
        </w:rPr>
        <w:t xml:space="preserve">RCRA </w:t>
      </w:r>
      <w:r w:rsidRPr="00DB7156">
        <w:rPr>
          <w:rFonts w:ascii="Arial" w:hAnsi="Arial" w:cs="Arial"/>
          <w:sz w:val="24"/>
          <w:szCs w:val="24"/>
        </w:rPr>
        <w:t>Subtitle C and that states should continue to be the primary environmental regulators for coal ash management.</w:t>
      </w:r>
    </w:p>
    <w:p w14:paraId="22BA503B" w14:textId="77777777" w:rsidR="00FC67F9" w:rsidRPr="00DB7156" w:rsidRDefault="00FC67F9" w:rsidP="00DB7156">
      <w:pPr>
        <w:spacing w:after="0" w:line="240" w:lineRule="auto"/>
        <w:jc w:val="both"/>
        <w:rPr>
          <w:rFonts w:ascii="Arial" w:hAnsi="Arial" w:cs="Arial"/>
          <w:sz w:val="24"/>
          <w:szCs w:val="24"/>
        </w:rPr>
      </w:pPr>
    </w:p>
    <w:p w14:paraId="7CDC7E73" w14:textId="25490132" w:rsidR="00134F68" w:rsidRPr="00DB7156" w:rsidRDefault="00DC436D" w:rsidP="00DB7156">
      <w:pPr>
        <w:spacing w:after="0" w:line="240" w:lineRule="auto"/>
        <w:jc w:val="both"/>
        <w:rPr>
          <w:rFonts w:ascii="Arial" w:hAnsi="Arial" w:cs="Arial"/>
          <w:sz w:val="24"/>
          <w:szCs w:val="24"/>
        </w:rPr>
      </w:pPr>
      <w:r w:rsidRPr="00DB7156">
        <w:rPr>
          <w:rFonts w:ascii="Arial" w:hAnsi="Arial" w:cs="Arial"/>
          <w:sz w:val="24"/>
          <w:szCs w:val="24"/>
        </w:rPr>
        <w:t>I</w:t>
      </w:r>
      <w:r w:rsidR="00AC111B" w:rsidRPr="00DB7156">
        <w:rPr>
          <w:rFonts w:ascii="Arial" w:hAnsi="Arial" w:cs="Arial"/>
          <w:sz w:val="24"/>
          <w:szCs w:val="24"/>
        </w:rPr>
        <w:t xml:space="preserve">n June 2010, EPA issued a proposal for regulating the management and disposal of </w:t>
      </w:r>
      <w:r w:rsidR="0050449B" w:rsidRPr="00DB7156">
        <w:rPr>
          <w:rFonts w:ascii="Arial" w:hAnsi="Arial" w:cs="Arial"/>
          <w:sz w:val="24"/>
          <w:szCs w:val="24"/>
        </w:rPr>
        <w:t>CCR</w:t>
      </w:r>
      <w:r w:rsidR="00B9487A" w:rsidRPr="00DB7156">
        <w:rPr>
          <w:rFonts w:ascii="Arial" w:hAnsi="Arial" w:cs="Arial"/>
          <w:sz w:val="24"/>
          <w:szCs w:val="24"/>
        </w:rPr>
        <w:t xml:space="preserve">. </w:t>
      </w:r>
      <w:r w:rsidR="00FC61FF">
        <w:rPr>
          <w:rFonts w:ascii="Arial" w:hAnsi="Arial" w:cs="Arial"/>
          <w:sz w:val="24"/>
          <w:szCs w:val="24"/>
        </w:rPr>
        <w:t>I</w:t>
      </w:r>
      <w:r w:rsidR="00EB774D" w:rsidRPr="00DB7156">
        <w:rPr>
          <w:rFonts w:ascii="Arial" w:hAnsi="Arial" w:cs="Arial"/>
          <w:sz w:val="24"/>
          <w:szCs w:val="24"/>
        </w:rPr>
        <w:t xml:space="preserve">n April 2015, EPA </w:t>
      </w:r>
      <w:r w:rsidR="00F83FDB" w:rsidRPr="00DB7156">
        <w:rPr>
          <w:rFonts w:ascii="Arial" w:hAnsi="Arial" w:cs="Arial"/>
          <w:sz w:val="24"/>
          <w:szCs w:val="24"/>
        </w:rPr>
        <w:t>published the</w:t>
      </w:r>
      <w:r w:rsidR="00EB774D" w:rsidRPr="00DB7156">
        <w:rPr>
          <w:rFonts w:ascii="Arial" w:hAnsi="Arial" w:cs="Arial"/>
          <w:sz w:val="24"/>
          <w:szCs w:val="24"/>
        </w:rPr>
        <w:t xml:space="preserve"> final rule </w:t>
      </w:r>
      <w:r w:rsidR="006708EB">
        <w:rPr>
          <w:rFonts w:ascii="Arial" w:hAnsi="Arial" w:cs="Arial"/>
          <w:sz w:val="24"/>
          <w:szCs w:val="24"/>
        </w:rPr>
        <w:t xml:space="preserve">regulating CCR </w:t>
      </w:r>
      <w:r w:rsidR="00EB774D" w:rsidRPr="00DB7156">
        <w:rPr>
          <w:rFonts w:ascii="Arial" w:hAnsi="Arial" w:cs="Arial"/>
          <w:sz w:val="24"/>
          <w:szCs w:val="24"/>
        </w:rPr>
        <w:t>under Subtitle D of RCRA for non-hazardous waste</w:t>
      </w:r>
      <w:r w:rsidR="006708EB">
        <w:rPr>
          <w:rFonts w:ascii="Arial" w:hAnsi="Arial" w:cs="Arial"/>
          <w:sz w:val="24"/>
          <w:szCs w:val="24"/>
        </w:rPr>
        <w:t xml:space="preserve"> (“Federal CCR Rule”)</w:t>
      </w:r>
      <w:r w:rsidR="00EB774D" w:rsidRPr="00DB7156">
        <w:rPr>
          <w:rFonts w:ascii="Arial" w:hAnsi="Arial" w:cs="Arial"/>
          <w:sz w:val="24"/>
          <w:szCs w:val="24"/>
        </w:rPr>
        <w:t xml:space="preserve">. The rule became effective </w:t>
      </w:r>
      <w:r w:rsidR="00FC61FF">
        <w:rPr>
          <w:rFonts w:ascii="Arial" w:hAnsi="Arial" w:cs="Arial"/>
          <w:sz w:val="24"/>
          <w:szCs w:val="24"/>
        </w:rPr>
        <w:t>i</w:t>
      </w:r>
      <w:r w:rsidR="00EB774D" w:rsidRPr="00DB7156">
        <w:rPr>
          <w:rFonts w:ascii="Arial" w:hAnsi="Arial" w:cs="Arial"/>
          <w:sz w:val="24"/>
          <w:szCs w:val="24"/>
        </w:rPr>
        <w:t>n October 2015 and applies to: (i) new and existing CCR landfills and surface impoundments</w:t>
      </w:r>
      <w:r w:rsidR="00F83FDB" w:rsidRPr="00DB7156">
        <w:rPr>
          <w:rFonts w:ascii="Arial" w:hAnsi="Arial" w:cs="Arial"/>
          <w:sz w:val="24"/>
          <w:szCs w:val="24"/>
        </w:rPr>
        <w:t xml:space="preserve"> (“units”</w:t>
      </w:r>
      <w:r w:rsidR="004424CA">
        <w:rPr>
          <w:rFonts w:ascii="Arial" w:hAnsi="Arial" w:cs="Arial"/>
          <w:sz w:val="24"/>
          <w:szCs w:val="24"/>
        </w:rPr>
        <w:t xml:space="preserve"> or ash ponds</w:t>
      </w:r>
      <w:r w:rsidR="00F83FDB" w:rsidRPr="00DB7156">
        <w:rPr>
          <w:rFonts w:ascii="Arial" w:hAnsi="Arial" w:cs="Arial"/>
          <w:sz w:val="24"/>
          <w:szCs w:val="24"/>
        </w:rPr>
        <w:t>)</w:t>
      </w:r>
      <w:r w:rsidR="00EB774D" w:rsidRPr="00DB7156">
        <w:rPr>
          <w:rFonts w:ascii="Arial" w:hAnsi="Arial" w:cs="Arial"/>
          <w:sz w:val="24"/>
          <w:szCs w:val="24"/>
        </w:rPr>
        <w:t>, including any lateral expansions of such units</w:t>
      </w:r>
      <w:r w:rsidR="00A828BF" w:rsidRPr="00DB7156">
        <w:rPr>
          <w:rFonts w:ascii="Arial" w:hAnsi="Arial" w:cs="Arial"/>
          <w:sz w:val="24"/>
          <w:szCs w:val="24"/>
        </w:rPr>
        <w:t xml:space="preserve"> </w:t>
      </w:r>
      <w:r w:rsidR="00EB774D" w:rsidRPr="00DB7156">
        <w:rPr>
          <w:rFonts w:ascii="Arial" w:hAnsi="Arial" w:cs="Arial"/>
          <w:sz w:val="24"/>
          <w:szCs w:val="24"/>
        </w:rPr>
        <w:t>that dispose or otherwise manage CCR generated by electric utilities and independent power producers (</w:t>
      </w:r>
      <w:r w:rsidR="0015298C">
        <w:rPr>
          <w:rFonts w:ascii="Arial" w:hAnsi="Arial" w:cs="Arial"/>
          <w:sz w:val="24"/>
          <w:szCs w:val="24"/>
        </w:rPr>
        <w:t>“</w:t>
      </w:r>
      <w:r w:rsidR="00EB774D" w:rsidRPr="00DB7156">
        <w:rPr>
          <w:rFonts w:ascii="Arial" w:hAnsi="Arial" w:cs="Arial"/>
          <w:sz w:val="24"/>
          <w:szCs w:val="24"/>
        </w:rPr>
        <w:t>IPPs</w:t>
      </w:r>
      <w:r w:rsidR="0015298C">
        <w:rPr>
          <w:rFonts w:ascii="Arial" w:hAnsi="Arial" w:cs="Arial"/>
          <w:sz w:val="24"/>
          <w:szCs w:val="24"/>
        </w:rPr>
        <w:t>”</w:t>
      </w:r>
      <w:r w:rsidR="00EB774D" w:rsidRPr="00DB7156">
        <w:rPr>
          <w:rFonts w:ascii="Arial" w:hAnsi="Arial" w:cs="Arial"/>
          <w:sz w:val="24"/>
          <w:szCs w:val="24"/>
        </w:rPr>
        <w:t xml:space="preserve">); and (ii) inactive surface impoundments, located at active electric </w:t>
      </w:r>
      <w:r w:rsidR="001B0E5F" w:rsidRPr="00DB7156">
        <w:rPr>
          <w:rFonts w:ascii="Arial" w:hAnsi="Arial" w:cs="Arial"/>
          <w:sz w:val="24"/>
          <w:szCs w:val="24"/>
        </w:rPr>
        <w:t>generating facilities</w:t>
      </w:r>
      <w:r w:rsidR="00EB774D" w:rsidRPr="00DB7156">
        <w:rPr>
          <w:rFonts w:ascii="Arial" w:hAnsi="Arial" w:cs="Arial"/>
          <w:sz w:val="24"/>
          <w:szCs w:val="24"/>
        </w:rPr>
        <w:t>, regardless of fuel currently used (i.e. natural gas, coal, or oil).</w:t>
      </w:r>
      <w:r w:rsidR="00B04664" w:rsidRPr="00DB7156">
        <w:rPr>
          <w:rFonts w:ascii="Arial" w:hAnsi="Arial" w:cs="Arial"/>
          <w:sz w:val="24"/>
          <w:szCs w:val="24"/>
        </w:rPr>
        <w:t xml:space="preserve"> </w:t>
      </w:r>
      <w:bookmarkStart w:id="133" w:name="_Hlk530495719"/>
      <w:r w:rsidR="00EF37E7">
        <w:rPr>
          <w:rFonts w:ascii="Arial" w:hAnsi="Arial" w:cs="Arial"/>
          <w:sz w:val="24"/>
          <w:szCs w:val="24"/>
        </w:rPr>
        <w:t xml:space="preserve">The rule established </w:t>
      </w:r>
      <w:r w:rsidR="00C70855">
        <w:rPr>
          <w:rFonts w:ascii="Arial" w:hAnsi="Arial" w:cs="Arial"/>
          <w:sz w:val="24"/>
          <w:szCs w:val="24"/>
        </w:rPr>
        <w:t>compliance requirements</w:t>
      </w:r>
      <w:r w:rsidR="005D5D34">
        <w:rPr>
          <w:rFonts w:ascii="Arial" w:hAnsi="Arial" w:cs="Arial"/>
          <w:sz w:val="24"/>
          <w:szCs w:val="24"/>
        </w:rPr>
        <w:t>, compliance schedules,</w:t>
      </w:r>
      <w:r w:rsidR="00C70855">
        <w:rPr>
          <w:rFonts w:ascii="Arial" w:hAnsi="Arial" w:cs="Arial"/>
          <w:sz w:val="24"/>
          <w:szCs w:val="24"/>
        </w:rPr>
        <w:t xml:space="preserve"> and technical criteria for </w:t>
      </w:r>
      <w:r w:rsidR="006708EB">
        <w:rPr>
          <w:rFonts w:ascii="Arial" w:hAnsi="Arial" w:cs="Arial"/>
          <w:sz w:val="24"/>
          <w:szCs w:val="24"/>
        </w:rPr>
        <w:t xml:space="preserve">these categories of </w:t>
      </w:r>
      <w:r w:rsidR="00C70855">
        <w:rPr>
          <w:rFonts w:ascii="Arial" w:hAnsi="Arial" w:cs="Arial"/>
          <w:sz w:val="24"/>
          <w:szCs w:val="24"/>
        </w:rPr>
        <w:t xml:space="preserve">CCR surface impoundments and landfills. </w:t>
      </w:r>
      <w:r w:rsidR="00F00B67">
        <w:rPr>
          <w:rFonts w:ascii="Arial" w:hAnsi="Arial" w:cs="Arial"/>
          <w:sz w:val="24"/>
          <w:szCs w:val="24"/>
        </w:rPr>
        <w:t xml:space="preserve">The compliance requirements for CCR landfills and surface impoundments include operating standards, location restrictions, design standards, groundwater monitoring, closure and post-closure care, recordkeeping and internet posting. </w:t>
      </w:r>
      <w:r w:rsidR="00611E8A">
        <w:rPr>
          <w:rFonts w:ascii="Arial" w:hAnsi="Arial" w:cs="Arial"/>
          <w:sz w:val="24"/>
          <w:szCs w:val="24"/>
        </w:rPr>
        <w:t>CCR s</w:t>
      </w:r>
      <w:r w:rsidR="00C70855">
        <w:rPr>
          <w:rFonts w:ascii="Arial" w:hAnsi="Arial" w:cs="Arial"/>
          <w:sz w:val="24"/>
          <w:szCs w:val="24"/>
        </w:rPr>
        <w:t xml:space="preserve">urface impoundments are required to </w:t>
      </w:r>
      <w:r w:rsidR="005D5D34">
        <w:rPr>
          <w:rFonts w:ascii="Arial" w:hAnsi="Arial" w:cs="Arial"/>
          <w:sz w:val="24"/>
          <w:szCs w:val="24"/>
        </w:rPr>
        <w:t xml:space="preserve">begin </w:t>
      </w:r>
      <w:r w:rsidR="00C70855">
        <w:rPr>
          <w:rFonts w:ascii="Arial" w:hAnsi="Arial" w:cs="Arial"/>
          <w:sz w:val="24"/>
          <w:szCs w:val="24"/>
        </w:rPr>
        <w:t>clos</w:t>
      </w:r>
      <w:r w:rsidR="005D5D34">
        <w:rPr>
          <w:rFonts w:ascii="Arial" w:hAnsi="Arial" w:cs="Arial"/>
          <w:sz w:val="24"/>
          <w:szCs w:val="24"/>
        </w:rPr>
        <w:t>ure within specified time frames</w:t>
      </w:r>
      <w:r w:rsidR="00C70855">
        <w:rPr>
          <w:rFonts w:ascii="Arial" w:hAnsi="Arial" w:cs="Arial"/>
          <w:sz w:val="24"/>
          <w:szCs w:val="24"/>
        </w:rPr>
        <w:t xml:space="preserve"> if they do not meet</w:t>
      </w:r>
      <w:r w:rsidR="006708EB">
        <w:rPr>
          <w:rFonts w:ascii="Arial" w:hAnsi="Arial" w:cs="Arial"/>
          <w:sz w:val="24"/>
          <w:szCs w:val="24"/>
        </w:rPr>
        <w:t xml:space="preserve"> certain criteria in the rule</w:t>
      </w:r>
      <w:r w:rsidR="007B1D2D">
        <w:rPr>
          <w:rFonts w:ascii="Arial" w:hAnsi="Arial" w:cs="Arial"/>
          <w:sz w:val="24"/>
          <w:szCs w:val="24"/>
        </w:rPr>
        <w:t>, including</w:t>
      </w:r>
      <w:r w:rsidR="00C70855">
        <w:rPr>
          <w:rFonts w:ascii="Arial" w:hAnsi="Arial" w:cs="Arial"/>
          <w:sz w:val="24"/>
          <w:szCs w:val="24"/>
        </w:rPr>
        <w:t xml:space="preserve"> structural integrity requirements, location restrictions, or</w:t>
      </w:r>
      <w:r w:rsidR="006C689B">
        <w:rPr>
          <w:rFonts w:ascii="Arial" w:hAnsi="Arial" w:cs="Arial"/>
          <w:sz w:val="24"/>
          <w:szCs w:val="24"/>
        </w:rPr>
        <w:t>, if unlined,</w:t>
      </w:r>
      <w:r w:rsidR="00C70855">
        <w:rPr>
          <w:rFonts w:ascii="Arial" w:hAnsi="Arial" w:cs="Arial"/>
          <w:sz w:val="24"/>
          <w:szCs w:val="24"/>
        </w:rPr>
        <w:t xml:space="preserve"> groundwater protection standards. </w:t>
      </w:r>
      <w:r w:rsidR="005D5D34">
        <w:rPr>
          <w:rFonts w:ascii="Arial" w:hAnsi="Arial" w:cs="Arial"/>
          <w:sz w:val="24"/>
          <w:szCs w:val="24"/>
        </w:rPr>
        <w:t xml:space="preserve">The rule incorporates </w:t>
      </w:r>
      <w:r w:rsidR="005D5D34" w:rsidRPr="002F7853">
        <w:rPr>
          <w:rFonts w:ascii="Arial" w:hAnsi="Arial" w:cs="Arial"/>
          <w:sz w:val="24"/>
          <w:szCs w:val="24"/>
        </w:rPr>
        <w:t xml:space="preserve">alternative closure </w:t>
      </w:r>
      <w:r w:rsidR="00847135" w:rsidRPr="002F7853">
        <w:rPr>
          <w:rFonts w:ascii="Arial" w:hAnsi="Arial" w:cs="Arial"/>
          <w:sz w:val="24"/>
          <w:szCs w:val="24"/>
        </w:rPr>
        <w:t>requirements that</w:t>
      </w:r>
      <w:r w:rsidR="00847135">
        <w:rPr>
          <w:rFonts w:ascii="Arial" w:hAnsi="Arial" w:cs="Arial"/>
          <w:sz w:val="24"/>
          <w:szCs w:val="24"/>
        </w:rPr>
        <w:t xml:space="preserve"> allow </w:t>
      </w:r>
      <w:r w:rsidR="005D5D34">
        <w:rPr>
          <w:rFonts w:ascii="Arial" w:hAnsi="Arial" w:cs="Arial"/>
          <w:sz w:val="24"/>
          <w:szCs w:val="24"/>
        </w:rPr>
        <w:t>for surface impoundments</w:t>
      </w:r>
      <w:r w:rsidR="00847135">
        <w:rPr>
          <w:rFonts w:ascii="Arial" w:hAnsi="Arial" w:cs="Arial"/>
          <w:sz w:val="24"/>
          <w:szCs w:val="24"/>
        </w:rPr>
        <w:t xml:space="preserve"> to continue to receive CCR for a limited amount of time beyond a date for which it would otherwise have to begin closure if controls are not in place to manage CCR </w:t>
      </w:r>
      <w:r w:rsidR="00752058">
        <w:rPr>
          <w:rFonts w:ascii="Arial" w:hAnsi="Arial" w:cs="Arial"/>
          <w:sz w:val="24"/>
          <w:szCs w:val="24"/>
        </w:rPr>
        <w:t>without an ash pond.</w:t>
      </w:r>
      <w:r w:rsidR="00847135">
        <w:rPr>
          <w:rFonts w:ascii="Arial" w:hAnsi="Arial" w:cs="Arial"/>
          <w:sz w:val="24"/>
          <w:szCs w:val="24"/>
        </w:rPr>
        <w:t xml:space="preserve"> </w:t>
      </w:r>
      <w:r w:rsidR="005D5D34">
        <w:rPr>
          <w:rFonts w:ascii="Arial" w:hAnsi="Arial" w:cs="Arial"/>
          <w:sz w:val="24"/>
          <w:szCs w:val="24"/>
        </w:rPr>
        <w:t xml:space="preserve"> </w:t>
      </w:r>
      <w:r w:rsidR="00C70855">
        <w:rPr>
          <w:rFonts w:ascii="Arial" w:hAnsi="Arial" w:cs="Arial"/>
          <w:sz w:val="24"/>
          <w:szCs w:val="24"/>
        </w:rPr>
        <w:t xml:space="preserve">The rule establishes </w:t>
      </w:r>
      <w:r w:rsidR="007B1D2D">
        <w:rPr>
          <w:rFonts w:ascii="Arial" w:hAnsi="Arial" w:cs="Arial"/>
          <w:sz w:val="24"/>
          <w:szCs w:val="24"/>
        </w:rPr>
        <w:t>requirements</w:t>
      </w:r>
      <w:r w:rsidR="00C70855">
        <w:rPr>
          <w:rFonts w:ascii="Arial" w:hAnsi="Arial" w:cs="Arial"/>
          <w:sz w:val="24"/>
          <w:szCs w:val="24"/>
        </w:rPr>
        <w:t xml:space="preserve"> for closure, post closure</w:t>
      </w:r>
      <w:r w:rsidR="00C70855" w:rsidDel="008E76E1">
        <w:rPr>
          <w:rFonts w:ascii="Arial" w:hAnsi="Arial" w:cs="Arial"/>
          <w:sz w:val="24"/>
          <w:szCs w:val="24"/>
        </w:rPr>
        <w:t xml:space="preserve"> care</w:t>
      </w:r>
      <w:r w:rsidR="00C70855">
        <w:rPr>
          <w:rFonts w:ascii="Arial" w:hAnsi="Arial" w:cs="Arial"/>
          <w:sz w:val="24"/>
          <w:szCs w:val="24"/>
        </w:rPr>
        <w:t>, and corrective action</w:t>
      </w:r>
      <w:r w:rsidR="00E54B65">
        <w:rPr>
          <w:rFonts w:ascii="Arial" w:hAnsi="Arial" w:cs="Arial"/>
          <w:sz w:val="24"/>
          <w:szCs w:val="24"/>
        </w:rPr>
        <w:t xml:space="preserve"> for </w:t>
      </w:r>
      <w:r w:rsidR="0080792E">
        <w:rPr>
          <w:rFonts w:ascii="Arial" w:hAnsi="Arial" w:cs="Arial"/>
          <w:sz w:val="24"/>
          <w:szCs w:val="24"/>
        </w:rPr>
        <w:t xml:space="preserve">certain, not all, </w:t>
      </w:r>
      <w:r w:rsidR="00E54B65">
        <w:rPr>
          <w:rFonts w:ascii="Arial" w:hAnsi="Arial" w:cs="Arial"/>
          <w:sz w:val="24"/>
          <w:szCs w:val="24"/>
        </w:rPr>
        <w:t>CCR ash ponds and landfills</w:t>
      </w:r>
      <w:r w:rsidR="00C70855">
        <w:rPr>
          <w:rFonts w:ascii="Arial" w:hAnsi="Arial" w:cs="Arial"/>
          <w:sz w:val="24"/>
          <w:szCs w:val="24"/>
        </w:rPr>
        <w:t xml:space="preserve">. </w:t>
      </w:r>
      <w:r w:rsidR="00134F68" w:rsidRPr="00DB7156">
        <w:rPr>
          <w:rFonts w:ascii="Arial" w:hAnsi="Arial" w:cs="Arial"/>
          <w:sz w:val="24"/>
          <w:szCs w:val="24"/>
        </w:rPr>
        <w:t xml:space="preserve">The </w:t>
      </w:r>
      <w:r w:rsidR="00D30975">
        <w:rPr>
          <w:rFonts w:ascii="Arial" w:hAnsi="Arial" w:cs="Arial"/>
          <w:sz w:val="24"/>
          <w:szCs w:val="24"/>
        </w:rPr>
        <w:t>F</w:t>
      </w:r>
      <w:r w:rsidR="00134F68" w:rsidRPr="00DB7156">
        <w:rPr>
          <w:rFonts w:ascii="Arial" w:hAnsi="Arial" w:cs="Arial"/>
          <w:sz w:val="24"/>
          <w:szCs w:val="24"/>
        </w:rPr>
        <w:t xml:space="preserve">ederal </w:t>
      </w:r>
      <w:r w:rsidR="0015298C">
        <w:rPr>
          <w:rFonts w:ascii="Arial" w:hAnsi="Arial" w:cs="Arial"/>
          <w:sz w:val="24"/>
          <w:szCs w:val="24"/>
        </w:rPr>
        <w:t xml:space="preserve">CCR </w:t>
      </w:r>
      <w:r w:rsidR="00D30975">
        <w:rPr>
          <w:rFonts w:ascii="Arial" w:hAnsi="Arial" w:cs="Arial"/>
          <w:sz w:val="24"/>
          <w:szCs w:val="24"/>
        </w:rPr>
        <w:t>R</w:t>
      </w:r>
      <w:r w:rsidR="00134F68" w:rsidRPr="00DB7156">
        <w:rPr>
          <w:rFonts w:ascii="Arial" w:hAnsi="Arial" w:cs="Arial"/>
          <w:sz w:val="24"/>
          <w:szCs w:val="24"/>
        </w:rPr>
        <w:t xml:space="preserve">ule exempted inactive surface impoundments that closed within three years from </w:t>
      </w:r>
      <w:r w:rsidR="006B24B7" w:rsidRPr="00DB7156">
        <w:rPr>
          <w:rFonts w:ascii="Arial" w:hAnsi="Arial" w:cs="Arial"/>
          <w:sz w:val="24"/>
          <w:szCs w:val="24"/>
        </w:rPr>
        <w:t xml:space="preserve">the </w:t>
      </w:r>
      <w:r w:rsidR="00134F68" w:rsidRPr="00DB7156">
        <w:rPr>
          <w:rFonts w:ascii="Arial" w:hAnsi="Arial" w:cs="Arial"/>
          <w:sz w:val="24"/>
          <w:szCs w:val="24"/>
        </w:rPr>
        <w:t xml:space="preserve">operating, design, and location criteria, as well as groundwater monitoring and post closure care. </w:t>
      </w:r>
      <w:r w:rsidR="006B24B7" w:rsidRPr="00DB7156">
        <w:rPr>
          <w:rFonts w:ascii="Arial" w:hAnsi="Arial" w:cs="Arial"/>
          <w:sz w:val="24"/>
          <w:szCs w:val="24"/>
        </w:rPr>
        <w:t xml:space="preserve">The </w:t>
      </w:r>
      <w:r w:rsidR="00D30975">
        <w:rPr>
          <w:rFonts w:ascii="Arial" w:hAnsi="Arial" w:cs="Arial"/>
          <w:sz w:val="24"/>
          <w:szCs w:val="24"/>
        </w:rPr>
        <w:t>F</w:t>
      </w:r>
      <w:r w:rsidR="006B24B7" w:rsidRPr="00DB7156">
        <w:rPr>
          <w:rFonts w:ascii="Arial" w:hAnsi="Arial" w:cs="Arial"/>
          <w:sz w:val="24"/>
          <w:szCs w:val="24"/>
        </w:rPr>
        <w:t>ederal</w:t>
      </w:r>
      <w:r w:rsidR="0015298C">
        <w:rPr>
          <w:rFonts w:ascii="Arial" w:hAnsi="Arial" w:cs="Arial"/>
          <w:sz w:val="24"/>
          <w:szCs w:val="24"/>
        </w:rPr>
        <w:t xml:space="preserve"> CCR</w:t>
      </w:r>
      <w:r w:rsidR="006B24B7" w:rsidRPr="00DB7156">
        <w:rPr>
          <w:rFonts w:ascii="Arial" w:hAnsi="Arial" w:cs="Arial"/>
          <w:sz w:val="24"/>
          <w:szCs w:val="24"/>
        </w:rPr>
        <w:t xml:space="preserve"> </w:t>
      </w:r>
      <w:r w:rsidR="00D30975">
        <w:rPr>
          <w:rFonts w:ascii="Arial" w:hAnsi="Arial" w:cs="Arial"/>
          <w:sz w:val="24"/>
          <w:szCs w:val="24"/>
        </w:rPr>
        <w:t>R</w:t>
      </w:r>
      <w:r w:rsidR="006B24B7" w:rsidRPr="00DB7156">
        <w:rPr>
          <w:rFonts w:ascii="Arial" w:hAnsi="Arial" w:cs="Arial"/>
          <w:sz w:val="24"/>
          <w:szCs w:val="24"/>
        </w:rPr>
        <w:t xml:space="preserve">ule also exempted CCR units located at </w:t>
      </w:r>
      <w:r w:rsidR="00AD15CC">
        <w:rPr>
          <w:rFonts w:ascii="Arial" w:hAnsi="Arial" w:cs="Arial"/>
          <w:sz w:val="24"/>
          <w:szCs w:val="24"/>
        </w:rPr>
        <w:t xml:space="preserve">sites that ceased generating </w:t>
      </w:r>
      <w:r w:rsidR="00551659">
        <w:rPr>
          <w:rFonts w:ascii="Arial" w:hAnsi="Arial" w:cs="Arial"/>
          <w:sz w:val="24"/>
          <w:szCs w:val="24"/>
        </w:rPr>
        <w:t xml:space="preserve">electricity, regardless of the fuel type, </w:t>
      </w:r>
      <w:r w:rsidR="006B24B7" w:rsidRPr="00DB7156">
        <w:rPr>
          <w:rFonts w:ascii="Arial" w:hAnsi="Arial" w:cs="Arial"/>
          <w:sz w:val="24"/>
          <w:szCs w:val="24"/>
        </w:rPr>
        <w:t>as of October 19, 2015</w:t>
      </w:r>
      <w:r w:rsidR="00551659">
        <w:rPr>
          <w:rFonts w:ascii="Arial" w:hAnsi="Arial" w:cs="Arial"/>
          <w:sz w:val="24"/>
          <w:szCs w:val="24"/>
        </w:rPr>
        <w:t>.</w:t>
      </w:r>
      <w:r w:rsidR="00AD15CC">
        <w:rPr>
          <w:rFonts w:ascii="Arial" w:hAnsi="Arial" w:cs="Arial"/>
          <w:sz w:val="24"/>
          <w:szCs w:val="24"/>
        </w:rPr>
        <w:t xml:space="preserve"> </w:t>
      </w:r>
      <w:bookmarkEnd w:id="133"/>
    </w:p>
    <w:p w14:paraId="00AEAFFB" w14:textId="77777777" w:rsidR="00134F68" w:rsidRPr="00DB7156" w:rsidRDefault="00134F68" w:rsidP="00DB7156">
      <w:pPr>
        <w:spacing w:after="0" w:line="240" w:lineRule="auto"/>
        <w:jc w:val="both"/>
        <w:rPr>
          <w:rFonts w:ascii="Arial" w:hAnsi="Arial" w:cs="Arial"/>
          <w:sz w:val="24"/>
          <w:szCs w:val="24"/>
        </w:rPr>
      </w:pPr>
    </w:p>
    <w:p w14:paraId="4C11541A" w14:textId="7B47DC36" w:rsidR="00DE5222" w:rsidRPr="00DB7156" w:rsidRDefault="00B04664" w:rsidP="00DB7156">
      <w:pPr>
        <w:spacing w:after="0" w:line="240" w:lineRule="auto"/>
        <w:jc w:val="both"/>
        <w:rPr>
          <w:rFonts w:ascii="Arial" w:hAnsi="Arial" w:cs="Arial"/>
          <w:sz w:val="24"/>
          <w:szCs w:val="24"/>
        </w:rPr>
      </w:pPr>
      <w:bookmarkStart w:id="134" w:name="_Hlk527729925"/>
      <w:r w:rsidRPr="00DB7156">
        <w:rPr>
          <w:rFonts w:ascii="Arial" w:hAnsi="Arial" w:cs="Arial"/>
          <w:sz w:val="24"/>
          <w:szCs w:val="24"/>
        </w:rPr>
        <w:t>In July 2015, several parties</w:t>
      </w:r>
      <w:r w:rsidR="00A92308" w:rsidRPr="00DB7156">
        <w:rPr>
          <w:rFonts w:ascii="Arial" w:hAnsi="Arial" w:cs="Arial"/>
          <w:sz w:val="24"/>
          <w:szCs w:val="24"/>
        </w:rPr>
        <w:t>, including industry, industry groups</w:t>
      </w:r>
      <w:r w:rsidR="00BC572A" w:rsidRPr="00DB7156">
        <w:rPr>
          <w:rFonts w:ascii="Arial" w:hAnsi="Arial" w:cs="Arial"/>
          <w:sz w:val="24"/>
          <w:szCs w:val="24"/>
        </w:rPr>
        <w:t xml:space="preserve"> and </w:t>
      </w:r>
      <w:r w:rsidR="00A92308" w:rsidRPr="00DB7156">
        <w:rPr>
          <w:rFonts w:ascii="Arial" w:hAnsi="Arial" w:cs="Arial"/>
          <w:sz w:val="24"/>
          <w:szCs w:val="24"/>
        </w:rPr>
        <w:t xml:space="preserve">environmental groups filed legal </w:t>
      </w:r>
      <w:r w:rsidRPr="00DB7156">
        <w:rPr>
          <w:rFonts w:ascii="Arial" w:hAnsi="Arial" w:cs="Arial"/>
          <w:sz w:val="24"/>
          <w:szCs w:val="24"/>
        </w:rPr>
        <w:t>challenge</w:t>
      </w:r>
      <w:r w:rsidR="00A92308" w:rsidRPr="00DB7156">
        <w:rPr>
          <w:rFonts w:ascii="Arial" w:hAnsi="Arial" w:cs="Arial"/>
          <w:sz w:val="24"/>
          <w:szCs w:val="24"/>
        </w:rPr>
        <w:t>s to</w:t>
      </w:r>
      <w:r w:rsidRPr="00DB7156">
        <w:rPr>
          <w:rFonts w:ascii="Arial" w:hAnsi="Arial" w:cs="Arial"/>
          <w:sz w:val="24"/>
          <w:szCs w:val="24"/>
        </w:rPr>
        <w:t xml:space="preserve"> </w:t>
      </w:r>
      <w:r w:rsidR="0015298C">
        <w:rPr>
          <w:rFonts w:ascii="Arial" w:hAnsi="Arial" w:cs="Arial"/>
          <w:sz w:val="24"/>
          <w:szCs w:val="24"/>
        </w:rPr>
        <w:t>the Federal CCR Rule</w:t>
      </w:r>
      <w:r w:rsidR="00134F68" w:rsidRPr="00DB7156">
        <w:rPr>
          <w:rFonts w:ascii="Arial" w:hAnsi="Arial" w:cs="Arial"/>
          <w:sz w:val="24"/>
          <w:szCs w:val="24"/>
        </w:rPr>
        <w:t xml:space="preserve">. </w:t>
      </w:r>
      <w:r w:rsidR="00FC61FF">
        <w:rPr>
          <w:rFonts w:ascii="Arial" w:hAnsi="Arial" w:cs="Arial"/>
          <w:sz w:val="24"/>
          <w:szCs w:val="24"/>
        </w:rPr>
        <w:t>I</w:t>
      </w:r>
      <w:r w:rsidR="00DE5222" w:rsidRPr="00DB7156">
        <w:rPr>
          <w:rFonts w:ascii="Arial" w:hAnsi="Arial" w:cs="Arial"/>
          <w:sz w:val="24"/>
          <w:szCs w:val="24"/>
        </w:rPr>
        <w:t xml:space="preserve">n June 2016, the D.C. Circuit Court approved a settlement </w:t>
      </w:r>
      <w:r w:rsidR="00134F68" w:rsidRPr="00DB7156">
        <w:rPr>
          <w:rFonts w:ascii="Arial" w:hAnsi="Arial" w:cs="Arial"/>
          <w:sz w:val="24"/>
          <w:szCs w:val="24"/>
        </w:rPr>
        <w:t xml:space="preserve">addressing several issues that were </w:t>
      </w:r>
      <w:r w:rsidR="00E02C01" w:rsidRPr="00DB7156">
        <w:rPr>
          <w:rFonts w:ascii="Arial" w:hAnsi="Arial" w:cs="Arial"/>
          <w:sz w:val="24"/>
          <w:szCs w:val="24"/>
        </w:rPr>
        <w:t xml:space="preserve">raised </w:t>
      </w:r>
      <w:r w:rsidR="00134F68" w:rsidRPr="00DB7156">
        <w:rPr>
          <w:rFonts w:ascii="Arial" w:hAnsi="Arial" w:cs="Arial"/>
          <w:sz w:val="24"/>
          <w:szCs w:val="24"/>
        </w:rPr>
        <w:t>in the CCR litigation</w:t>
      </w:r>
      <w:r w:rsidR="00E02C01" w:rsidRPr="00DB7156">
        <w:rPr>
          <w:rFonts w:ascii="Arial" w:hAnsi="Arial" w:cs="Arial"/>
          <w:sz w:val="24"/>
          <w:szCs w:val="24"/>
        </w:rPr>
        <w:t xml:space="preserve">. First, as part of the settlement, the court </w:t>
      </w:r>
      <w:r w:rsidR="00DE5222" w:rsidRPr="00DB7156">
        <w:rPr>
          <w:rFonts w:ascii="Arial" w:hAnsi="Arial" w:cs="Arial"/>
          <w:sz w:val="24"/>
          <w:szCs w:val="24"/>
        </w:rPr>
        <w:t>vacat</w:t>
      </w:r>
      <w:r w:rsidR="00E02C01" w:rsidRPr="00DB7156">
        <w:rPr>
          <w:rFonts w:ascii="Arial" w:hAnsi="Arial" w:cs="Arial"/>
          <w:sz w:val="24"/>
          <w:szCs w:val="24"/>
        </w:rPr>
        <w:t>ed</w:t>
      </w:r>
      <w:r w:rsidR="00DE5222" w:rsidRPr="00DB7156">
        <w:rPr>
          <w:rFonts w:ascii="Arial" w:hAnsi="Arial" w:cs="Arial"/>
          <w:sz w:val="24"/>
          <w:szCs w:val="24"/>
        </w:rPr>
        <w:t xml:space="preserve"> the three-year closure exemption </w:t>
      </w:r>
      <w:r w:rsidR="001B0E5F" w:rsidRPr="00DB7156">
        <w:rPr>
          <w:rFonts w:ascii="Arial" w:hAnsi="Arial" w:cs="Arial"/>
          <w:sz w:val="24"/>
          <w:szCs w:val="24"/>
        </w:rPr>
        <w:t>for inactive surface impoundments</w:t>
      </w:r>
      <w:r w:rsidR="00F15BB6" w:rsidRPr="00DB7156">
        <w:rPr>
          <w:rFonts w:ascii="Arial" w:hAnsi="Arial" w:cs="Arial"/>
          <w:sz w:val="24"/>
          <w:szCs w:val="24"/>
        </w:rPr>
        <w:t>,</w:t>
      </w:r>
      <w:r w:rsidR="00DE5222" w:rsidRPr="00DB7156">
        <w:rPr>
          <w:rFonts w:ascii="Arial" w:hAnsi="Arial" w:cs="Arial"/>
          <w:sz w:val="24"/>
          <w:szCs w:val="24"/>
        </w:rPr>
        <w:t xml:space="preserve"> </w:t>
      </w:r>
      <w:r w:rsidR="00F83FDB" w:rsidRPr="00DB7156">
        <w:rPr>
          <w:rFonts w:ascii="Arial" w:hAnsi="Arial" w:cs="Arial"/>
          <w:sz w:val="24"/>
          <w:szCs w:val="24"/>
        </w:rPr>
        <w:t>which mean</w:t>
      </w:r>
      <w:r w:rsidR="00551659">
        <w:rPr>
          <w:rFonts w:ascii="Arial" w:hAnsi="Arial" w:cs="Arial"/>
          <w:sz w:val="24"/>
          <w:szCs w:val="24"/>
        </w:rPr>
        <w:t>t</w:t>
      </w:r>
      <w:r w:rsidR="00F83FDB" w:rsidRPr="00DB7156">
        <w:rPr>
          <w:rFonts w:ascii="Arial" w:hAnsi="Arial" w:cs="Arial"/>
          <w:sz w:val="24"/>
          <w:szCs w:val="24"/>
        </w:rPr>
        <w:t xml:space="preserve"> that inactive CCR units that were pursuing the three-year closure exemption would be subject to the same </w:t>
      </w:r>
      <w:r w:rsidRPr="00DB7156">
        <w:rPr>
          <w:rFonts w:ascii="Arial" w:hAnsi="Arial" w:cs="Arial"/>
          <w:sz w:val="24"/>
          <w:szCs w:val="24"/>
        </w:rPr>
        <w:t xml:space="preserve">rule </w:t>
      </w:r>
      <w:r w:rsidR="00F83FDB" w:rsidRPr="00DB7156">
        <w:rPr>
          <w:rFonts w:ascii="Arial" w:hAnsi="Arial" w:cs="Arial"/>
          <w:sz w:val="24"/>
          <w:szCs w:val="24"/>
        </w:rPr>
        <w:t xml:space="preserve">requirements as </w:t>
      </w:r>
      <w:r w:rsidR="00D30975">
        <w:rPr>
          <w:rFonts w:ascii="Arial" w:hAnsi="Arial" w:cs="Arial"/>
          <w:sz w:val="24"/>
          <w:szCs w:val="24"/>
        </w:rPr>
        <w:t>existing</w:t>
      </w:r>
      <w:r w:rsidR="00D30975" w:rsidRPr="00DB7156">
        <w:rPr>
          <w:rFonts w:ascii="Arial" w:hAnsi="Arial" w:cs="Arial"/>
          <w:sz w:val="24"/>
          <w:szCs w:val="24"/>
        </w:rPr>
        <w:t xml:space="preserve"> </w:t>
      </w:r>
      <w:r w:rsidR="00F83FDB" w:rsidRPr="00DB7156">
        <w:rPr>
          <w:rFonts w:ascii="Arial" w:hAnsi="Arial" w:cs="Arial"/>
          <w:sz w:val="24"/>
          <w:szCs w:val="24"/>
        </w:rPr>
        <w:t xml:space="preserve">CCR </w:t>
      </w:r>
      <w:r w:rsidR="00D30975">
        <w:rPr>
          <w:rFonts w:ascii="Arial" w:hAnsi="Arial" w:cs="Arial"/>
          <w:sz w:val="24"/>
          <w:szCs w:val="24"/>
        </w:rPr>
        <w:t>surface impoundments</w:t>
      </w:r>
      <w:r w:rsidR="00F83FDB" w:rsidRPr="00DB7156">
        <w:rPr>
          <w:rFonts w:ascii="Arial" w:hAnsi="Arial" w:cs="Arial"/>
          <w:sz w:val="24"/>
          <w:szCs w:val="24"/>
        </w:rPr>
        <w:t>, except on a revised schedule</w:t>
      </w:r>
      <w:r w:rsidR="00AD13EC" w:rsidRPr="00DB7156">
        <w:rPr>
          <w:rFonts w:ascii="Arial" w:hAnsi="Arial" w:cs="Arial"/>
          <w:sz w:val="24"/>
          <w:szCs w:val="24"/>
        </w:rPr>
        <w:t>.</w:t>
      </w:r>
      <w:r w:rsidR="00AD13EC" w:rsidRPr="00DB7156" w:rsidDel="00D30975">
        <w:rPr>
          <w:rFonts w:ascii="Arial" w:hAnsi="Arial" w:cs="Arial"/>
          <w:sz w:val="24"/>
          <w:szCs w:val="24"/>
        </w:rPr>
        <w:t xml:space="preserve"> </w:t>
      </w:r>
      <w:r w:rsidR="00E02C01" w:rsidRPr="00DB7156">
        <w:rPr>
          <w:rFonts w:ascii="Arial" w:hAnsi="Arial" w:cs="Arial"/>
          <w:sz w:val="24"/>
          <w:szCs w:val="24"/>
        </w:rPr>
        <w:t>EPA established a revised</w:t>
      </w:r>
      <w:r w:rsidR="00FD0503" w:rsidRPr="00DB7156">
        <w:rPr>
          <w:rFonts w:ascii="Arial" w:hAnsi="Arial" w:cs="Arial"/>
          <w:sz w:val="24"/>
          <w:szCs w:val="24"/>
        </w:rPr>
        <w:t xml:space="preserve"> compliance schedule </w:t>
      </w:r>
      <w:r w:rsidR="00E02C01" w:rsidRPr="00DB7156">
        <w:rPr>
          <w:rFonts w:ascii="Arial" w:hAnsi="Arial" w:cs="Arial"/>
          <w:sz w:val="24"/>
          <w:szCs w:val="24"/>
        </w:rPr>
        <w:t xml:space="preserve">for these units </w:t>
      </w:r>
      <w:r w:rsidR="00FD0503" w:rsidRPr="00DB7156">
        <w:rPr>
          <w:rFonts w:ascii="Arial" w:hAnsi="Arial" w:cs="Arial"/>
          <w:sz w:val="24"/>
          <w:szCs w:val="24"/>
        </w:rPr>
        <w:t xml:space="preserve">in the </w:t>
      </w:r>
      <w:r w:rsidRPr="00DB7156">
        <w:rPr>
          <w:rFonts w:ascii="Arial" w:hAnsi="Arial" w:cs="Arial"/>
          <w:sz w:val="24"/>
          <w:szCs w:val="24"/>
        </w:rPr>
        <w:t>“</w:t>
      </w:r>
      <w:r w:rsidR="00AD13EC" w:rsidRPr="00DB7156">
        <w:rPr>
          <w:rFonts w:ascii="Arial" w:hAnsi="Arial" w:cs="Arial"/>
          <w:sz w:val="24"/>
          <w:szCs w:val="24"/>
        </w:rPr>
        <w:t>Extension Rule</w:t>
      </w:r>
      <w:r w:rsidR="00D30975">
        <w:rPr>
          <w:rFonts w:ascii="Arial" w:hAnsi="Arial" w:cs="Arial"/>
          <w:sz w:val="24"/>
          <w:szCs w:val="24"/>
        </w:rPr>
        <w:t>,</w:t>
      </w:r>
      <w:r w:rsidRPr="00DB7156">
        <w:rPr>
          <w:rFonts w:ascii="Arial" w:hAnsi="Arial" w:cs="Arial"/>
          <w:sz w:val="24"/>
          <w:szCs w:val="24"/>
        </w:rPr>
        <w:t>”</w:t>
      </w:r>
      <w:r w:rsidR="00AD13EC" w:rsidRPr="00DB7156">
        <w:rPr>
          <w:rFonts w:ascii="Arial" w:hAnsi="Arial" w:cs="Arial"/>
          <w:sz w:val="24"/>
          <w:szCs w:val="24"/>
        </w:rPr>
        <w:t xml:space="preserve"> </w:t>
      </w:r>
      <w:r w:rsidR="0093147D" w:rsidRPr="00DB7156">
        <w:rPr>
          <w:rFonts w:ascii="Arial" w:hAnsi="Arial" w:cs="Arial"/>
          <w:sz w:val="24"/>
          <w:szCs w:val="24"/>
        </w:rPr>
        <w:t xml:space="preserve">effective October 4, 2016, which extended </w:t>
      </w:r>
      <w:r w:rsidR="00E02C01" w:rsidRPr="00DB7156">
        <w:rPr>
          <w:rFonts w:ascii="Arial" w:hAnsi="Arial" w:cs="Arial"/>
          <w:sz w:val="24"/>
          <w:szCs w:val="24"/>
        </w:rPr>
        <w:t xml:space="preserve">the </w:t>
      </w:r>
      <w:r w:rsidR="00AD13EC" w:rsidRPr="00DB7156">
        <w:rPr>
          <w:rFonts w:ascii="Arial" w:hAnsi="Arial" w:cs="Arial"/>
          <w:sz w:val="24"/>
          <w:szCs w:val="24"/>
        </w:rPr>
        <w:t xml:space="preserve">compliance dates by 547 days. </w:t>
      </w:r>
      <w:r w:rsidR="0067730E" w:rsidRPr="00DB7156">
        <w:rPr>
          <w:rFonts w:ascii="Arial" w:hAnsi="Arial" w:cs="Arial"/>
          <w:sz w:val="24"/>
          <w:szCs w:val="24"/>
        </w:rPr>
        <w:t>Additionally,</w:t>
      </w:r>
      <w:r w:rsidR="00877EEC" w:rsidRPr="00DB7156">
        <w:rPr>
          <w:rFonts w:ascii="Arial" w:hAnsi="Arial" w:cs="Arial"/>
          <w:sz w:val="24"/>
          <w:szCs w:val="24"/>
        </w:rPr>
        <w:t xml:space="preserve"> as part of the settlement, </w:t>
      </w:r>
      <w:r w:rsidR="00877EEC" w:rsidRPr="00DB7156">
        <w:rPr>
          <w:rFonts w:ascii="Arial" w:eastAsia="Calibri" w:hAnsi="Arial" w:cs="Arial"/>
          <w:color w:val="000000"/>
          <w:sz w:val="24"/>
          <w:szCs w:val="24"/>
        </w:rPr>
        <w:t xml:space="preserve">EPA agreed to finalize a rulemaking by June 2019 </w:t>
      </w:r>
      <w:r w:rsidR="007940AA">
        <w:rPr>
          <w:rFonts w:ascii="Arial" w:eastAsia="Calibri" w:hAnsi="Arial" w:cs="Arial"/>
          <w:color w:val="000000"/>
          <w:sz w:val="24"/>
          <w:szCs w:val="24"/>
        </w:rPr>
        <w:t>that will propose</w:t>
      </w:r>
      <w:r w:rsidR="007940AA" w:rsidRPr="00DB7156">
        <w:rPr>
          <w:rFonts w:ascii="Arial" w:eastAsia="Calibri" w:hAnsi="Arial" w:cs="Arial"/>
          <w:color w:val="000000"/>
          <w:sz w:val="24"/>
          <w:szCs w:val="24"/>
        </w:rPr>
        <w:t xml:space="preserve"> </w:t>
      </w:r>
      <w:r w:rsidR="00877EEC" w:rsidRPr="00DB7156">
        <w:rPr>
          <w:rFonts w:ascii="Arial" w:eastAsia="Calibri" w:hAnsi="Arial" w:cs="Arial"/>
          <w:color w:val="000000"/>
          <w:sz w:val="24"/>
          <w:szCs w:val="24"/>
        </w:rPr>
        <w:t>the following: (1) requirements relating to the use of vegetation for slope protection</w:t>
      </w:r>
      <w:r w:rsidR="00D30975">
        <w:rPr>
          <w:rFonts w:ascii="Arial" w:eastAsia="Calibri" w:hAnsi="Arial" w:cs="Arial"/>
          <w:color w:val="000000"/>
          <w:sz w:val="24"/>
          <w:szCs w:val="24"/>
        </w:rPr>
        <w:t>;</w:t>
      </w:r>
      <w:r w:rsidR="00877EEC" w:rsidRPr="00DB7156">
        <w:rPr>
          <w:rFonts w:ascii="Arial" w:eastAsia="Calibri" w:hAnsi="Arial" w:cs="Arial"/>
          <w:color w:val="000000"/>
          <w:sz w:val="24"/>
          <w:szCs w:val="24"/>
        </w:rPr>
        <w:t xml:space="preserve"> (2) type and magnitude of non-groundwater releases that require a facility to comply with some or all of the Rule’s corrective action procedures</w:t>
      </w:r>
      <w:r w:rsidR="00D30975">
        <w:rPr>
          <w:rFonts w:ascii="Arial" w:eastAsia="Calibri" w:hAnsi="Arial" w:cs="Arial"/>
          <w:color w:val="000000"/>
          <w:sz w:val="24"/>
          <w:szCs w:val="24"/>
        </w:rPr>
        <w:t>;</w:t>
      </w:r>
      <w:r w:rsidR="00877EEC" w:rsidRPr="00DB7156">
        <w:rPr>
          <w:rFonts w:ascii="Arial" w:eastAsia="Calibri" w:hAnsi="Arial" w:cs="Arial"/>
          <w:color w:val="000000"/>
          <w:sz w:val="24"/>
          <w:szCs w:val="24"/>
        </w:rPr>
        <w:t xml:space="preserve"> </w:t>
      </w:r>
      <w:r w:rsidR="00027F84" w:rsidRPr="00DB7156">
        <w:rPr>
          <w:rFonts w:ascii="Arial" w:eastAsia="Calibri" w:hAnsi="Arial" w:cs="Arial"/>
          <w:color w:val="000000"/>
          <w:sz w:val="24"/>
          <w:szCs w:val="24"/>
        </w:rPr>
        <w:t xml:space="preserve">and </w:t>
      </w:r>
      <w:r w:rsidR="00877EEC" w:rsidRPr="00DB7156">
        <w:rPr>
          <w:rFonts w:ascii="Arial" w:eastAsia="Calibri" w:hAnsi="Arial" w:cs="Arial"/>
          <w:color w:val="000000"/>
          <w:sz w:val="24"/>
          <w:szCs w:val="24"/>
        </w:rPr>
        <w:t xml:space="preserve">(3) </w:t>
      </w:r>
      <w:r w:rsidR="007940AA">
        <w:rPr>
          <w:rFonts w:ascii="Arial" w:eastAsia="Calibri" w:hAnsi="Arial" w:cs="Arial"/>
          <w:color w:val="000000"/>
          <w:sz w:val="24"/>
          <w:szCs w:val="24"/>
        </w:rPr>
        <w:t>adding</w:t>
      </w:r>
      <w:r w:rsidR="00877EEC" w:rsidRPr="00DB7156">
        <w:rPr>
          <w:rFonts w:ascii="Arial" w:eastAsia="Calibri" w:hAnsi="Arial" w:cs="Arial"/>
          <w:color w:val="000000"/>
          <w:sz w:val="24"/>
          <w:szCs w:val="24"/>
        </w:rPr>
        <w:t xml:space="preserve"> boron to the list of Appendix IV constituents.</w:t>
      </w:r>
      <w:r w:rsidR="00AD13EC" w:rsidRPr="00DB7156">
        <w:rPr>
          <w:rFonts w:ascii="Arial" w:hAnsi="Arial" w:cs="Arial"/>
          <w:sz w:val="24"/>
          <w:szCs w:val="24"/>
        </w:rPr>
        <w:t xml:space="preserve"> </w:t>
      </w:r>
      <w:r w:rsidR="00EF5F82" w:rsidRPr="00DB7156">
        <w:rPr>
          <w:rFonts w:ascii="Arial" w:hAnsi="Arial" w:cs="Arial"/>
          <w:sz w:val="24"/>
          <w:szCs w:val="24"/>
        </w:rPr>
        <w:t>EPA also agreed to review whether to modify the rule’s existing alternative closure provision to specifically include non-CCR waste streams.</w:t>
      </w:r>
    </w:p>
    <w:p w14:paraId="0FB074A8" w14:textId="15BC24B5" w:rsidR="00B616EB" w:rsidRPr="00DB7156" w:rsidRDefault="00B616EB" w:rsidP="00DB7156">
      <w:pPr>
        <w:spacing w:after="0" w:line="240" w:lineRule="auto"/>
        <w:jc w:val="both"/>
        <w:rPr>
          <w:rFonts w:ascii="Arial" w:hAnsi="Arial" w:cs="Arial"/>
          <w:sz w:val="24"/>
          <w:szCs w:val="24"/>
        </w:rPr>
      </w:pPr>
    </w:p>
    <w:p w14:paraId="6DDB2937" w14:textId="5A52C639" w:rsidR="00B616EB" w:rsidRPr="00DB7156" w:rsidRDefault="00B616EB" w:rsidP="00DB7156">
      <w:pPr>
        <w:autoSpaceDE w:val="0"/>
        <w:autoSpaceDN w:val="0"/>
        <w:adjustRightInd w:val="0"/>
        <w:spacing w:after="0" w:line="240" w:lineRule="auto"/>
        <w:jc w:val="both"/>
        <w:rPr>
          <w:rFonts w:ascii="Arial" w:eastAsia="Calibri" w:hAnsi="Arial" w:cs="Arial"/>
          <w:color w:val="000000"/>
          <w:sz w:val="24"/>
          <w:szCs w:val="24"/>
        </w:rPr>
      </w:pPr>
      <w:r w:rsidRPr="00DB7156">
        <w:rPr>
          <w:rFonts w:ascii="Arial" w:eastAsia="Calibri" w:hAnsi="Arial" w:cs="Arial"/>
          <w:color w:val="000000"/>
          <w:sz w:val="24"/>
          <w:szCs w:val="24"/>
        </w:rPr>
        <w:t xml:space="preserve">On </w:t>
      </w:r>
      <w:r w:rsidR="0067730E" w:rsidRPr="00DB7156">
        <w:rPr>
          <w:rFonts w:ascii="Arial" w:eastAsia="Calibri" w:hAnsi="Arial" w:cs="Arial"/>
          <w:color w:val="000000"/>
          <w:sz w:val="24"/>
          <w:szCs w:val="24"/>
        </w:rPr>
        <w:t>October 16, 2016,</w:t>
      </w:r>
      <w:r w:rsidRPr="00DB7156">
        <w:rPr>
          <w:rFonts w:ascii="Arial" w:eastAsia="Calibri" w:hAnsi="Arial" w:cs="Arial"/>
          <w:color w:val="000000"/>
          <w:sz w:val="24"/>
          <w:szCs w:val="24"/>
        </w:rPr>
        <w:t xml:space="preserve"> the Georgia </w:t>
      </w:r>
      <w:r w:rsidR="00F83FDB" w:rsidRPr="00DB7156">
        <w:rPr>
          <w:rFonts w:ascii="Arial" w:eastAsia="Calibri" w:hAnsi="Arial" w:cs="Arial"/>
          <w:color w:val="000000"/>
          <w:sz w:val="24"/>
          <w:szCs w:val="24"/>
        </w:rPr>
        <w:t>Department of</w:t>
      </w:r>
      <w:r w:rsidRPr="00DB7156">
        <w:rPr>
          <w:rFonts w:ascii="Arial" w:eastAsia="Calibri" w:hAnsi="Arial" w:cs="Arial"/>
          <w:color w:val="000000"/>
          <w:sz w:val="24"/>
          <w:szCs w:val="24"/>
        </w:rPr>
        <w:t xml:space="preserve"> Natural Resources </w:t>
      </w:r>
      <w:r w:rsidR="00F83FDB" w:rsidRPr="00DB7156">
        <w:rPr>
          <w:rFonts w:ascii="Arial" w:eastAsia="Calibri" w:hAnsi="Arial" w:cs="Arial"/>
          <w:color w:val="000000"/>
          <w:sz w:val="24"/>
          <w:szCs w:val="24"/>
        </w:rPr>
        <w:t xml:space="preserve">Board </w:t>
      </w:r>
      <w:r w:rsidRPr="00DB7156">
        <w:rPr>
          <w:rFonts w:ascii="Arial" w:eastAsia="Calibri" w:hAnsi="Arial" w:cs="Arial"/>
          <w:color w:val="000000"/>
          <w:sz w:val="24"/>
          <w:szCs w:val="24"/>
        </w:rPr>
        <w:t xml:space="preserve">adopted amendments to </w:t>
      </w:r>
      <w:r w:rsidR="00A36316" w:rsidRPr="00DB7156">
        <w:rPr>
          <w:rFonts w:ascii="Arial" w:eastAsia="Calibri" w:hAnsi="Arial" w:cs="Arial"/>
          <w:color w:val="000000"/>
          <w:sz w:val="24"/>
          <w:szCs w:val="24"/>
        </w:rPr>
        <w:t>Georgia’s</w:t>
      </w:r>
      <w:r w:rsidRPr="00DB7156">
        <w:rPr>
          <w:rFonts w:ascii="Arial" w:eastAsia="Calibri" w:hAnsi="Arial" w:cs="Arial"/>
          <w:color w:val="000000"/>
          <w:sz w:val="24"/>
          <w:szCs w:val="24"/>
        </w:rPr>
        <w:t xml:space="preserve"> Rules for Solid Waste Management pertaining to </w:t>
      </w:r>
      <w:r w:rsidR="00A36316" w:rsidRPr="00DB7156">
        <w:rPr>
          <w:rFonts w:ascii="Arial" w:eastAsia="Calibri" w:hAnsi="Arial" w:cs="Arial"/>
          <w:color w:val="000000"/>
          <w:sz w:val="24"/>
          <w:szCs w:val="24"/>
        </w:rPr>
        <w:t>the storage and disposal of CCR</w:t>
      </w:r>
      <w:r w:rsidRPr="00DB7156">
        <w:rPr>
          <w:rFonts w:ascii="Arial" w:eastAsia="Calibri" w:hAnsi="Arial" w:cs="Arial"/>
          <w:color w:val="000000"/>
          <w:sz w:val="24"/>
          <w:szCs w:val="24"/>
        </w:rPr>
        <w:t xml:space="preserve">. </w:t>
      </w:r>
      <w:r w:rsidR="00D86C29" w:rsidRPr="00DB7156">
        <w:rPr>
          <w:rFonts w:ascii="Arial" w:eastAsia="Calibri" w:hAnsi="Arial" w:cs="Arial"/>
          <w:color w:val="000000"/>
          <w:sz w:val="24"/>
          <w:szCs w:val="24"/>
        </w:rPr>
        <w:t xml:space="preserve"> The Georgia </w:t>
      </w:r>
      <w:r w:rsidR="00F83FDB" w:rsidRPr="00DB7156">
        <w:rPr>
          <w:rFonts w:ascii="Arial" w:eastAsia="Calibri" w:hAnsi="Arial" w:cs="Arial"/>
          <w:color w:val="000000"/>
          <w:sz w:val="24"/>
          <w:szCs w:val="24"/>
        </w:rPr>
        <w:t xml:space="preserve">CCR </w:t>
      </w:r>
      <w:r w:rsidR="00800812">
        <w:rPr>
          <w:rFonts w:ascii="Arial" w:eastAsia="Calibri" w:hAnsi="Arial" w:cs="Arial"/>
          <w:color w:val="000000"/>
          <w:sz w:val="24"/>
          <w:szCs w:val="24"/>
        </w:rPr>
        <w:t>R</w:t>
      </w:r>
      <w:r w:rsidR="00D86C29" w:rsidRPr="00DB7156">
        <w:rPr>
          <w:rFonts w:ascii="Arial" w:eastAsia="Calibri" w:hAnsi="Arial" w:cs="Arial"/>
          <w:color w:val="000000"/>
          <w:sz w:val="24"/>
          <w:szCs w:val="24"/>
        </w:rPr>
        <w:t xml:space="preserve">ule became effective </w:t>
      </w:r>
      <w:r w:rsidR="00D30975">
        <w:rPr>
          <w:rFonts w:ascii="Arial" w:eastAsia="Calibri" w:hAnsi="Arial" w:cs="Arial"/>
          <w:color w:val="000000"/>
          <w:sz w:val="24"/>
          <w:szCs w:val="24"/>
        </w:rPr>
        <w:t xml:space="preserve">on </w:t>
      </w:r>
      <w:r w:rsidR="00D86C29" w:rsidRPr="00DB7156">
        <w:rPr>
          <w:rFonts w:ascii="Arial" w:eastAsia="Calibri" w:hAnsi="Arial" w:cs="Arial"/>
          <w:color w:val="000000"/>
          <w:sz w:val="24"/>
          <w:szCs w:val="24"/>
        </w:rPr>
        <w:t>November 22, 2016</w:t>
      </w:r>
      <w:r w:rsidR="00EB01EB">
        <w:rPr>
          <w:rFonts w:ascii="Arial" w:eastAsia="Calibri" w:hAnsi="Arial" w:cs="Arial"/>
          <w:color w:val="000000"/>
          <w:sz w:val="24"/>
          <w:szCs w:val="24"/>
        </w:rPr>
        <w:t xml:space="preserve"> and</w:t>
      </w:r>
      <w:r w:rsidRPr="00DB7156">
        <w:rPr>
          <w:rFonts w:ascii="Arial" w:eastAsia="Calibri" w:hAnsi="Arial" w:cs="Arial"/>
          <w:color w:val="000000"/>
          <w:sz w:val="24"/>
          <w:szCs w:val="24"/>
        </w:rPr>
        <w:t xml:space="preserve"> </w:t>
      </w:r>
      <w:r w:rsidR="00595F10" w:rsidRPr="00DB7156">
        <w:rPr>
          <w:rFonts w:ascii="Arial" w:eastAsia="Calibri" w:hAnsi="Arial" w:cs="Arial"/>
          <w:color w:val="000000"/>
          <w:sz w:val="24"/>
          <w:szCs w:val="24"/>
        </w:rPr>
        <w:t xml:space="preserve">is </w:t>
      </w:r>
      <w:r w:rsidR="0079669E" w:rsidRPr="00DB7156">
        <w:rPr>
          <w:rFonts w:ascii="Arial" w:eastAsia="Calibri" w:hAnsi="Arial" w:cs="Arial"/>
          <w:color w:val="000000"/>
          <w:sz w:val="24"/>
          <w:szCs w:val="24"/>
        </w:rPr>
        <w:t xml:space="preserve">in addition to the </w:t>
      </w:r>
      <w:r w:rsidR="00A532D9" w:rsidRPr="00DB7156">
        <w:rPr>
          <w:rFonts w:ascii="Arial" w:eastAsia="Calibri" w:hAnsi="Arial" w:cs="Arial"/>
          <w:color w:val="000000"/>
          <w:sz w:val="24"/>
          <w:szCs w:val="24"/>
        </w:rPr>
        <w:t>F</w:t>
      </w:r>
      <w:r w:rsidR="0079669E" w:rsidRPr="00DB7156">
        <w:rPr>
          <w:rFonts w:ascii="Arial" w:eastAsia="Calibri" w:hAnsi="Arial" w:cs="Arial"/>
          <w:color w:val="000000"/>
          <w:sz w:val="24"/>
          <w:szCs w:val="24"/>
        </w:rPr>
        <w:t xml:space="preserve">ederal CCR </w:t>
      </w:r>
      <w:r w:rsidR="00A532D9" w:rsidRPr="00DB7156">
        <w:rPr>
          <w:rFonts w:ascii="Arial" w:eastAsia="Calibri" w:hAnsi="Arial" w:cs="Arial"/>
          <w:color w:val="000000"/>
          <w:sz w:val="24"/>
          <w:szCs w:val="24"/>
        </w:rPr>
        <w:t>R</w:t>
      </w:r>
      <w:r w:rsidR="0079669E" w:rsidRPr="00DB7156">
        <w:rPr>
          <w:rFonts w:ascii="Arial" w:eastAsia="Calibri" w:hAnsi="Arial" w:cs="Arial"/>
          <w:color w:val="000000"/>
          <w:sz w:val="24"/>
          <w:szCs w:val="24"/>
        </w:rPr>
        <w:t>ule</w:t>
      </w:r>
      <w:r w:rsidR="00EB01EB">
        <w:rPr>
          <w:rFonts w:ascii="Arial" w:eastAsia="Calibri" w:hAnsi="Arial" w:cs="Arial"/>
          <w:color w:val="000000"/>
          <w:sz w:val="24"/>
          <w:szCs w:val="24"/>
        </w:rPr>
        <w:t xml:space="preserve">. It </w:t>
      </w:r>
      <w:r w:rsidR="00551659" w:rsidRPr="00DB7156">
        <w:rPr>
          <w:rFonts w:ascii="Arial" w:eastAsia="Calibri" w:hAnsi="Arial" w:cs="Arial"/>
          <w:color w:val="000000"/>
          <w:sz w:val="24"/>
          <w:szCs w:val="24"/>
        </w:rPr>
        <w:t>includ</w:t>
      </w:r>
      <w:r w:rsidR="00551659">
        <w:rPr>
          <w:rFonts w:ascii="Arial" w:eastAsia="Calibri" w:hAnsi="Arial" w:cs="Arial"/>
          <w:color w:val="000000"/>
          <w:sz w:val="24"/>
          <w:szCs w:val="24"/>
        </w:rPr>
        <w:t>es</w:t>
      </w:r>
      <w:r w:rsidR="00551659" w:rsidRPr="00DB7156">
        <w:rPr>
          <w:rFonts w:ascii="Arial" w:eastAsia="Calibri" w:hAnsi="Arial" w:cs="Arial"/>
          <w:color w:val="000000"/>
          <w:sz w:val="24"/>
          <w:szCs w:val="24"/>
        </w:rPr>
        <w:t xml:space="preserve"> </w:t>
      </w:r>
      <w:r w:rsidR="0079669E" w:rsidRPr="00DB7156">
        <w:rPr>
          <w:rFonts w:ascii="Arial" w:eastAsia="Calibri" w:hAnsi="Arial" w:cs="Arial"/>
          <w:color w:val="000000"/>
          <w:sz w:val="24"/>
          <w:szCs w:val="24"/>
        </w:rPr>
        <w:t xml:space="preserve">more </w:t>
      </w:r>
      <w:r w:rsidR="00026388" w:rsidRPr="00DB7156">
        <w:rPr>
          <w:rFonts w:ascii="Arial" w:eastAsia="Calibri" w:hAnsi="Arial" w:cs="Arial"/>
          <w:color w:val="000000"/>
          <w:sz w:val="24"/>
          <w:szCs w:val="24"/>
        </w:rPr>
        <w:t xml:space="preserve">stringent </w:t>
      </w:r>
      <w:r w:rsidR="0079669E" w:rsidRPr="00DB7156">
        <w:rPr>
          <w:rFonts w:ascii="Arial" w:eastAsia="Calibri" w:hAnsi="Arial" w:cs="Arial"/>
          <w:color w:val="000000"/>
          <w:sz w:val="24"/>
          <w:szCs w:val="24"/>
        </w:rPr>
        <w:t>requirements</w:t>
      </w:r>
      <w:r w:rsidR="00800812">
        <w:rPr>
          <w:rFonts w:ascii="Arial" w:eastAsia="Calibri" w:hAnsi="Arial" w:cs="Arial"/>
          <w:color w:val="000000"/>
          <w:sz w:val="24"/>
          <w:szCs w:val="24"/>
        </w:rPr>
        <w:t xml:space="preserve"> than the Federal CCR R</w:t>
      </w:r>
      <w:r w:rsidR="00EB01EB">
        <w:rPr>
          <w:rFonts w:ascii="Arial" w:eastAsia="Calibri" w:hAnsi="Arial" w:cs="Arial"/>
          <w:color w:val="000000"/>
          <w:sz w:val="24"/>
          <w:szCs w:val="24"/>
        </w:rPr>
        <w:t>ule</w:t>
      </w:r>
      <w:r w:rsidR="0079669E" w:rsidRPr="00DB7156">
        <w:rPr>
          <w:rFonts w:ascii="Arial" w:eastAsia="Calibri" w:hAnsi="Arial" w:cs="Arial"/>
          <w:color w:val="000000"/>
          <w:sz w:val="24"/>
          <w:szCs w:val="24"/>
        </w:rPr>
        <w:t xml:space="preserve"> </w:t>
      </w:r>
      <w:r w:rsidR="00B83163">
        <w:rPr>
          <w:rFonts w:ascii="Arial" w:eastAsia="Calibri" w:hAnsi="Arial" w:cs="Arial"/>
          <w:color w:val="000000"/>
          <w:sz w:val="24"/>
          <w:szCs w:val="24"/>
        </w:rPr>
        <w:t xml:space="preserve">and </w:t>
      </w:r>
      <w:r w:rsidR="00B82CB7">
        <w:rPr>
          <w:rFonts w:ascii="Arial" w:eastAsia="Calibri" w:hAnsi="Arial" w:cs="Arial"/>
          <w:color w:val="000000"/>
          <w:sz w:val="24"/>
          <w:szCs w:val="24"/>
        </w:rPr>
        <w:t xml:space="preserve">requires permitting, oversight, and monitoring </w:t>
      </w:r>
      <w:r w:rsidR="0079669E" w:rsidRPr="00DB7156">
        <w:rPr>
          <w:rFonts w:ascii="Arial" w:eastAsia="Calibri" w:hAnsi="Arial" w:cs="Arial"/>
          <w:color w:val="000000"/>
          <w:sz w:val="24"/>
          <w:szCs w:val="24"/>
        </w:rPr>
        <w:t>for Georgia facilities</w:t>
      </w:r>
      <w:r w:rsidR="00B82CB7">
        <w:rPr>
          <w:rFonts w:ascii="Arial" w:eastAsia="Calibri" w:hAnsi="Arial" w:cs="Arial"/>
          <w:color w:val="000000"/>
          <w:sz w:val="24"/>
          <w:szCs w:val="24"/>
        </w:rPr>
        <w:t xml:space="preserve"> by Georgia EPD</w:t>
      </w:r>
      <w:r w:rsidR="0079669E" w:rsidRPr="00DB7156">
        <w:rPr>
          <w:rFonts w:ascii="Arial" w:eastAsia="Calibri" w:hAnsi="Arial" w:cs="Arial"/>
          <w:color w:val="000000"/>
          <w:sz w:val="24"/>
          <w:szCs w:val="24"/>
        </w:rPr>
        <w:t>.  For example:</w:t>
      </w:r>
    </w:p>
    <w:p w14:paraId="7A0AB398" w14:textId="77777777" w:rsidR="0079669E" w:rsidRPr="00DB7156" w:rsidRDefault="0079669E" w:rsidP="00DB7156">
      <w:pPr>
        <w:autoSpaceDE w:val="0"/>
        <w:autoSpaceDN w:val="0"/>
        <w:adjustRightInd w:val="0"/>
        <w:spacing w:after="0" w:line="240" w:lineRule="auto"/>
        <w:jc w:val="both"/>
        <w:rPr>
          <w:rFonts w:ascii="Arial" w:eastAsia="Calibri" w:hAnsi="Arial" w:cs="Arial"/>
          <w:color w:val="000000"/>
          <w:sz w:val="24"/>
          <w:szCs w:val="24"/>
        </w:rPr>
      </w:pPr>
    </w:p>
    <w:p w14:paraId="1B28A1E7" w14:textId="212554CF" w:rsidR="00595F10" w:rsidRPr="00DB7156" w:rsidRDefault="00FB5CE0" w:rsidP="00DB7156">
      <w:pPr>
        <w:pStyle w:val="ListParagraph"/>
        <w:numPr>
          <w:ilvl w:val="0"/>
          <w:numId w:val="17"/>
        </w:numPr>
        <w:autoSpaceDE w:val="0"/>
        <w:autoSpaceDN w:val="0"/>
        <w:adjustRightInd w:val="0"/>
        <w:spacing w:after="22"/>
        <w:jc w:val="both"/>
        <w:rPr>
          <w:rFonts w:ascii="Arial" w:hAnsi="Arial" w:cs="Arial"/>
          <w:color w:val="000000"/>
        </w:rPr>
      </w:pPr>
      <w:r w:rsidRPr="00DB7156">
        <w:rPr>
          <w:rFonts w:ascii="Arial" w:hAnsi="Arial" w:cs="Arial"/>
          <w:color w:val="000000"/>
        </w:rPr>
        <w:t xml:space="preserve">The </w:t>
      </w:r>
      <w:r w:rsidR="006C4A49" w:rsidRPr="00DB7156">
        <w:rPr>
          <w:rFonts w:ascii="Arial" w:hAnsi="Arial" w:cs="Arial"/>
          <w:color w:val="000000"/>
        </w:rPr>
        <w:t>Georgia CCR R</w:t>
      </w:r>
      <w:r w:rsidRPr="00DB7156">
        <w:rPr>
          <w:rFonts w:ascii="Arial" w:hAnsi="Arial" w:cs="Arial"/>
          <w:color w:val="000000"/>
        </w:rPr>
        <w:t xml:space="preserve">ule adopts requirements </w:t>
      </w:r>
      <w:r w:rsidR="0079669E" w:rsidRPr="00DB7156">
        <w:rPr>
          <w:rFonts w:ascii="Arial" w:hAnsi="Arial" w:cs="Arial"/>
          <w:color w:val="000000"/>
        </w:rPr>
        <w:t xml:space="preserve">from the </w:t>
      </w:r>
      <w:r w:rsidR="006C4A49" w:rsidRPr="00DB7156">
        <w:rPr>
          <w:rFonts w:ascii="Arial" w:hAnsi="Arial" w:cs="Arial"/>
          <w:color w:val="000000"/>
        </w:rPr>
        <w:t>F</w:t>
      </w:r>
      <w:r w:rsidR="0079669E" w:rsidRPr="00DB7156">
        <w:rPr>
          <w:rFonts w:ascii="Arial" w:hAnsi="Arial" w:cs="Arial"/>
          <w:color w:val="000000"/>
        </w:rPr>
        <w:t xml:space="preserve">ederal CCR </w:t>
      </w:r>
      <w:r w:rsidR="006C4A49" w:rsidRPr="00DB7156">
        <w:rPr>
          <w:rFonts w:ascii="Arial" w:hAnsi="Arial" w:cs="Arial"/>
          <w:color w:val="000000"/>
        </w:rPr>
        <w:t>R</w:t>
      </w:r>
      <w:r w:rsidR="0079669E" w:rsidRPr="00DB7156">
        <w:rPr>
          <w:rFonts w:ascii="Arial" w:hAnsi="Arial" w:cs="Arial"/>
          <w:color w:val="000000"/>
        </w:rPr>
        <w:t>ule</w:t>
      </w:r>
      <w:r w:rsidR="00EB01EB">
        <w:rPr>
          <w:rFonts w:ascii="Arial" w:hAnsi="Arial" w:cs="Arial"/>
          <w:color w:val="000000"/>
        </w:rPr>
        <w:t>,</w:t>
      </w:r>
      <w:r w:rsidR="0079669E" w:rsidRPr="00DB7156">
        <w:rPr>
          <w:rFonts w:ascii="Arial" w:hAnsi="Arial" w:cs="Arial"/>
          <w:color w:val="000000"/>
        </w:rPr>
        <w:t xml:space="preserve"> </w:t>
      </w:r>
      <w:r w:rsidR="00041218">
        <w:rPr>
          <w:rFonts w:ascii="Arial" w:hAnsi="Arial" w:cs="Arial"/>
          <w:color w:val="000000"/>
        </w:rPr>
        <w:t>but</w:t>
      </w:r>
      <w:r w:rsidR="00041218" w:rsidRPr="00DB7156">
        <w:rPr>
          <w:rFonts w:ascii="Arial" w:hAnsi="Arial" w:cs="Arial"/>
          <w:color w:val="000000"/>
        </w:rPr>
        <w:t xml:space="preserve"> </w:t>
      </w:r>
      <w:r w:rsidR="006C4A49" w:rsidRPr="00DB7156">
        <w:rPr>
          <w:rFonts w:ascii="Arial" w:hAnsi="Arial" w:cs="Arial"/>
          <w:color w:val="000000"/>
        </w:rPr>
        <w:t xml:space="preserve">unlike the Federal CCR Rule, which only regulates certain facilities, </w:t>
      </w:r>
      <w:r w:rsidR="005A38F4">
        <w:rPr>
          <w:rFonts w:ascii="Arial" w:hAnsi="Arial" w:cs="Arial"/>
          <w:color w:val="000000"/>
        </w:rPr>
        <w:t xml:space="preserve">the </w:t>
      </w:r>
      <w:r w:rsidR="00EB01EB">
        <w:rPr>
          <w:rFonts w:ascii="Arial" w:hAnsi="Arial" w:cs="Arial"/>
          <w:color w:val="000000"/>
        </w:rPr>
        <w:t>Georgia</w:t>
      </w:r>
      <w:r w:rsidR="005A38F4">
        <w:rPr>
          <w:rFonts w:ascii="Arial" w:hAnsi="Arial" w:cs="Arial"/>
          <w:color w:val="000000"/>
        </w:rPr>
        <w:t xml:space="preserve"> CCR Rule</w:t>
      </w:r>
      <w:r w:rsidR="00EB01EB">
        <w:rPr>
          <w:rFonts w:ascii="Arial" w:hAnsi="Arial" w:cs="Arial"/>
          <w:color w:val="000000"/>
        </w:rPr>
        <w:t xml:space="preserve"> </w:t>
      </w:r>
      <w:r w:rsidR="006C4A49" w:rsidRPr="00DB7156">
        <w:rPr>
          <w:rFonts w:ascii="Arial" w:hAnsi="Arial" w:cs="Arial"/>
          <w:color w:val="000000"/>
        </w:rPr>
        <w:t>regulates all CCR landfills and ash ponds</w:t>
      </w:r>
      <w:r w:rsidRPr="00DB7156">
        <w:rPr>
          <w:rFonts w:ascii="Arial" w:hAnsi="Arial" w:cs="Arial"/>
          <w:color w:val="000000"/>
        </w:rPr>
        <w:t>.</w:t>
      </w:r>
    </w:p>
    <w:p w14:paraId="2FE18AA4" w14:textId="0CD2E699" w:rsidR="00595F10" w:rsidRDefault="00B616EB" w:rsidP="00DB7156">
      <w:pPr>
        <w:pStyle w:val="ListParagraph"/>
        <w:numPr>
          <w:ilvl w:val="0"/>
          <w:numId w:val="17"/>
        </w:numPr>
        <w:autoSpaceDE w:val="0"/>
        <w:autoSpaceDN w:val="0"/>
        <w:adjustRightInd w:val="0"/>
        <w:spacing w:after="22"/>
        <w:jc w:val="both"/>
        <w:rPr>
          <w:rFonts w:ascii="Arial" w:hAnsi="Arial" w:cs="Arial"/>
          <w:color w:val="000000"/>
        </w:rPr>
      </w:pPr>
      <w:r w:rsidRPr="00DB7156">
        <w:rPr>
          <w:rFonts w:ascii="Arial" w:hAnsi="Arial" w:cs="Arial"/>
          <w:color w:val="000000"/>
        </w:rPr>
        <w:t xml:space="preserve">CCR units in Georgia </w:t>
      </w:r>
      <w:r w:rsidR="006C4A49" w:rsidRPr="00DB7156">
        <w:rPr>
          <w:rFonts w:ascii="Arial" w:hAnsi="Arial" w:cs="Arial"/>
          <w:color w:val="000000"/>
        </w:rPr>
        <w:t xml:space="preserve">are regulated by </w:t>
      </w:r>
      <w:r w:rsidR="00800812">
        <w:rPr>
          <w:rFonts w:ascii="Arial" w:hAnsi="Arial" w:cs="Arial"/>
          <w:color w:val="000000"/>
        </w:rPr>
        <w:t xml:space="preserve">Georgia </w:t>
      </w:r>
      <w:r w:rsidR="006C4A49" w:rsidRPr="00DB7156">
        <w:rPr>
          <w:rFonts w:ascii="Arial" w:hAnsi="Arial" w:cs="Arial"/>
          <w:color w:val="000000"/>
        </w:rPr>
        <w:t>EPD through a comprehensive permitting program</w:t>
      </w:r>
      <w:r w:rsidR="00EE3F67" w:rsidRPr="00DB7156">
        <w:rPr>
          <w:rFonts w:ascii="Arial" w:hAnsi="Arial" w:cs="Arial"/>
          <w:color w:val="000000"/>
        </w:rPr>
        <w:t xml:space="preserve">, which is not required by the Federal CCR </w:t>
      </w:r>
      <w:r w:rsidR="0015298C">
        <w:rPr>
          <w:rFonts w:ascii="Arial" w:hAnsi="Arial" w:cs="Arial"/>
          <w:color w:val="000000"/>
        </w:rPr>
        <w:t>R</w:t>
      </w:r>
      <w:r w:rsidR="00EE3F67" w:rsidRPr="00DB7156">
        <w:rPr>
          <w:rFonts w:ascii="Arial" w:hAnsi="Arial" w:cs="Arial"/>
          <w:color w:val="000000"/>
        </w:rPr>
        <w:t>ule</w:t>
      </w:r>
      <w:r w:rsidR="00237A6F" w:rsidRPr="00DB7156">
        <w:rPr>
          <w:rFonts w:ascii="Arial" w:hAnsi="Arial" w:cs="Arial"/>
          <w:color w:val="000000"/>
        </w:rPr>
        <w:t xml:space="preserve">. </w:t>
      </w:r>
      <w:r w:rsidR="00041218">
        <w:rPr>
          <w:rFonts w:ascii="Arial" w:hAnsi="Arial" w:cs="Arial"/>
          <w:color w:val="000000"/>
        </w:rPr>
        <w:t xml:space="preserve">CCR </w:t>
      </w:r>
      <w:r w:rsidR="00F20DAC">
        <w:rPr>
          <w:rFonts w:ascii="Arial" w:hAnsi="Arial" w:cs="Arial"/>
          <w:color w:val="000000"/>
        </w:rPr>
        <w:t>u</w:t>
      </w:r>
      <w:r w:rsidR="00041218">
        <w:rPr>
          <w:rFonts w:ascii="Arial" w:hAnsi="Arial" w:cs="Arial"/>
          <w:color w:val="000000"/>
        </w:rPr>
        <w:t>nit development, operation, and closure must be conducted in a</w:t>
      </w:r>
      <w:r w:rsidR="00F20DAC">
        <w:rPr>
          <w:rFonts w:ascii="Arial" w:hAnsi="Arial" w:cs="Arial"/>
          <w:color w:val="000000"/>
        </w:rPr>
        <w:t xml:space="preserve">ccordance with the requirements in </w:t>
      </w:r>
      <w:r w:rsidR="00041218">
        <w:rPr>
          <w:rFonts w:ascii="Arial" w:hAnsi="Arial" w:cs="Arial"/>
          <w:color w:val="000000"/>
        </w:rPr>
        <w:t xml:space="preserve">the permit, </w:t>
      </w:r>
      <w:r w:rsidR="00F20DAC">
        <w:rPr>
          <w:rFonts w:ascii="Arial" w:hAnsi="Arial" w:cs="Arial"/>
          <w:color w:val="000000"/>
        </w:rPr>
        <w:t xml:space="preserve">which is approved and enforced by </w:t>
      </w:r>
      <w:r w:rsidR="00800812">
        <w:rPr>
          <w:rFonts w:ascii="Arial" w:hAnsi="Arial" w:cs="Arial"/>
          <w:color w:val="000000"/>
        </w:rPr>
        <w:t xml:space="preserve">Georgia </w:t>
      </w:r>
      <w:r w:rsidR="00F20DAC">
        <w:rPr>
          <w:rFonts w:ascii="Arial" w:hAnsi="Arial" w:cs="Arial"/>
          <w:color w:val="000000"/>
        </w:rPr>
        <w:t>EPD.</w:t>
      </w:r>
      <w:r w:rsidR="00041218">
        <w:rPr>
          <w:rFonts w:ascii="Arial" w:hAnsi="Arial" w:cs="Arial"/>
          <w:color w:val="000000"/>
        </w:rPr>
        <w:t xml:space="preserve"> </w:t>
      </w:r>
    </w:p>
    <w:p w14:paraId="45DA580D" w14:textId="32523421" w:rsidR="00F20DAC" w:rsidRPr="00F8108A" w:rsidRDefault="005F781C" w:rsidP="00F20DAC">
      <w:pPr>
        <w:pStyle w:val="ListParagraph"/>
        <w:numPr>
          <w:ilvl w:val="0"/>
          <w:numId w:val="17"/>
        </w:numPr>
        <w:autoSpaceDE w:val="0"/>
        <w:autoSpaceDN w:val="0"/>
        <w:adjustRightInd w:val="0"/>
        <w:spacing w:after="22"/>
        <w:jc w:val="both"/>
        <w:rPr>
          <w:rFonts w:ascii="Arial" w:hAnsi="Arial" w:cs="Arial"/>
        </w:rPr>
      </w:pPr>
      <w:r>
        <w:rPr>
          <w:rFonts w:ascii="Arial" w:hAnsi="Arial" w:cs="Arial"/>
          <w:color w:val="000000"/>
        </w:rPr>
        <w:t xml:space="preserve">All </w:t>
      </w:r>
      <w:r w:rsidR="00F20DAC">
        <w:rPr>
          <w:rFonts w:ascii="Arial" w:hAnsi="Arial" w:cs="Arial"/>
          <w:color w:val="000000"/>
        </w:rPr>
        <w:t>CCR l</w:t>
      </w:r>
      <w:r w:rsidR="00F20DAC" w:rsidRPr="00DB7156">
        <w:rPr>
          <w:rFonts w:ascii="Arial" w:hAnsi="Arial" w:cs="Arial"/>
          <w:color w:val="000000"/>
        </w:rPr>
        <w:t xml:space="preserve">andfills with existing solid waste permits </w:t>
      </w:r>
      <w:r w:rsidR="00596FAE">
        <w:rPr>
          <w:rFonts w:ascii="Arial" w:hAnsi="Arial" w:cs="Arial"/>
          <w:color w:val="000000"/>
        </w:rPr>
        <w:t>were</w:t>
      </w:r>
      <w:r w:rsidR="00596FAE" w:rsidRPr="00DB7156">
        <w:rPr>
          <w:rFonts w:ascii="Arial" w:hAnsi="Arial" w:cs="Arial"/>
          <w:color w:val="000000"/>
        </w:rPr>
        <w:t xml:space="preserve"> </w:t>
      </w:r>
      <w:r w:rsidR="00F20DAC" w:rsidRPr="00DB7156">
        <w:rPr>
          <w:rFonts w:ascii="Arial" w:hAnsi="Arial" w:cs="Arial"/>
          <w:color w:val="000000"/>
        </w:rPr>
        <w:t xml:space="preserve">also </w:t>
      </w:r>
      <w:r w:rsidR="00596FAE">
        <w:rPr>
          <w:rFonts w:ascii="Arial" w:hAnsi="Arial" w:cs="Arial"/>
          <w:color w:val="000000"/>
        </w:rPr>
        <w:t xml:space="preserve">required to </w:t>
      </w:r>
      <w:r w:rsidR="00F20DAC" w:rsidRPr="00DB7156">
        <w:rPr>
          <w:rFonts w:ascii="Arial" w:hAnsi="Arial" w:cs="Arial"/>
          <w:color w:val="000000"/>
        </w:rPr>
        <w:t xml:space="preserve">submit a </w:t>
      </w:r>
      <w:r w:rsidR="001C1A48">
        <w:rPr>
          <w:rFonts w:ascii="Arial" w:hAnsi="Arial" w:cs="Arial"/>
          <w:color w:val="000000"/>
        </w:rPr>
        <w:t xml:space="preserve">new </w:t>
      </w:r>
      <w:r w:rsidR="00F20DAC" w:rsidRPr="00DB7156">
        <w:rPr>
          <w:rFonts w:ascii="Arial" w:hAnsi="Arial" w:cs="Arial"/>
          <w:color w:val="000000"/>
        </w:rPr>
        <w:t xml:space="preserve">CCR permit application to Georgia EPD by November 22, 2018. </w:t>
      </w:r>
      <w:r w:rsidR="002F7691">
        <w:rPr>
          <w:rFonts w:ascii="Arial" w:hAnsi="Arial" w:cs="Arial"/>
          <w:color w:val="000000"/>
        </w:rPr>
        <w:t>This included previously closed CCR landfills and ash ponds.</w:t>
      </w:r>
    </w:p>
    <w:p w14:paraId="6259092F" w14:textId="5A079822" w:rsidR="00345629" w:rsidRPr="00DB7156" w:rsidRDefault="00345629" w:rsidP="00DB7156">
      <w:pPr>
        <w:pStyle w:val="ListParagraph"/>
        <w:numPr>
          <w:ilvl w:val="0"/>
          <w:numId w:val="17"/>
        </w:numPr>
        <w:autoSpaceDE w:val="0"/>
        <w:autoSpaceDN w:val="0"/>
        <w:adjustRightInd w:val="0"/>
        <w:spacing w:after="22"/>
        <w:jc w:val="both"/>
        <w:rPr>
          <w:rFonts w:ascii="Arial" w:hAnsi="Arial" w:cs="Arial"/>
          <w:color w:val="000000"/>
        </w:rPr>
      </w:pPr>
      <w:r w:rsidRPr="00DB7156">
        <w:rPr>
          <w:rFonts w:ascii="Arial" w:hAnsi="Arial" w:cs="Arial"/>
          <w:color w:val="000000"/>
        </w:rPr>
        <w:t xml:space="preserve">These permits will set forth the requirements </w:t>
      </w:r>
      <w:r w:rsidR="00596FAE">
        <w:rPr>
          <w:rFonts w:ascii="Arial" w:hAnsi="Arial" w:cs="Arial"/>
          <w:color w:val="000000"/>
        </w:rPr>
        <w:t xml:space="preserve">at each facility </w:t>
      </w:r>
      <w:r w:rsidRPr="00DB7156">
        <w:rPr>
          <w:rFonts w:ascii="Arial" w:hAnsi="Arial" w:cs="Arial"/>
          <w:color w:val="000000"/>
        </w:rPr>
        <w:t xml:space="preserve">that Georgia Power will be subject to under the </w:t>
      </w:r>
      <w:r w:rsidR="006C4A49" w:rsidRPr="00DB7156">
        <w:rPr>
          <w:rFonts w:ascii="Arial" w:hAnsi="Arial" w:cs="Arial"/>
          <w:color w:val="000000"/>
        </w:rPr>
        <w:t>Georgia</w:t>
      </w:r>
      <w:r w:rsidRPr="00DB7156">
        <w:rPr>
          <w:rFonts w:ascii="Arial" w:hAnsi="Arial" w:cs="Arial"/>
          <w:color w:val="000000"/>
        </w:rPr>
        <w:t xml:space="preserve"> CCR Rule.</w:t>
      </w:r>
      <w:r w:rsidR="00E54B65">
        <w:rPr>
          <w:rFonts w:ascii="Arial" w:hAnsi="Arial" w:cs="Arial"/>
          <w:color w:val="000000"/>
        </w:rPr>
        <w:t xml:space="preserve"> </w:t>
      </w:r>
      <w:r w:rsidR="001C1A48">
        <w:rPr>
          <w:rFonts w:ascii="Arial" w:hAnsi="Arial" w:cs="Arial"/>
          <w:color w:val="000000"/>
        </w:rPr>
        <w:t xml:space="preserve">The permitting process will include </w:t>
      </w:r>
      <w:r w:rsidR="00596FAE">
        <w:rPr>
          <w:rFonts w:ascii="Arial" w:hAnsi="Arial" w:cs="Arial"/>
          <w:color w:val="000000"/>
        </w:rPr>
        <w:t xml:space="preserve">review of the Company’s plans, engineering design, </w:t>
      </w:r>
      <w:r w:rsidR="001C1A48">
        <w:rPr>
          <w:rFonts w:ascii="Arial" w:hAnsi="Arial" w:cs="Arial"/>
          <w:color w:val="000000"/>
        </w:rPr>
        <w:t>public notice</w:t>
      </w:r>
      <w:r w:rsidR="00853ABC">
        <w:rPr>
          <w:rFonts w:ascii="Arial" w:hAnsi="Arial" w:cs="Arial"/>
          <w:color w:val="000000"/>
        </w:rPr>
        <w:t>,</w:t>
      </w:r>
      <w:r w:rsidR="001C1A48">
        <w:rPr>
          <w:rFonts w:ascii="Arial" w:hAnsi="Arial" w:cs="Arial"/>
          <w:color w:val="000000"/>
        </w:rPr>
        <w:t xml:space="preserve"> and public comment. </w:t>
      </w:r>
    </w:p>
    <w:p w14:paraId="24822276" w14:textId="767D11DE" w:rsidR="00B616EB" w:rsidRPr="00DB7156" w:rsidRDefault="00B616EB" w:rsidP="00DB7156">
      <w:pPr>
        <w:autoSpaceDE w:val="0"/>
        <w:autoSpaceDN w:val="0"/>
        <w:adjustRightInd w:val="0"/>
        <w:spacing w:after="0" w:line="240" w:lineRule="auto"/>
        <w:jc w:val="both"/>
        <w:rPr>
          <w:rFonts w:ascii="Arial" w:eastAsia="Calibri" w:hAnsi="Arial" w:cs="Arial"/>
          <w:color w:val="000000"/>
          <w:sz w:val="24"/>
          <w:szCs w:val="24"/>
        </w:rPr>
      </w:pPr>
    </w:p>
    <w:p w14:paraId="546A55DB" w14:textId="295B8CC4" w:rsidR="001239ED" w:rsidRPr="00DB7156" w:rsidRDefault="001239ED" w:rsidP="00DB7156">
      <w:pPr>
        <w:spacing w:after="0" w:line="240" w:lineRule="auto"/>
        <w:jc w:val="both"/>
        <w:rPr>
          <w:rFonts w:ascii="Arial" w:hAnsi="Arial" w:cs="Arial"/>
        </w:rPr>
      </w:pPr>
      <w:r w:rsidRPr="00DB7156">
        <w:rPr>
          <w:rFonts w:ascii="Arial" w:hAnsi="Arial" w:cs="Arial"/>
          <w:sz w:val="24"/>
          <w:szCs w:val="24"/>
        </w:rPr>
        <w:t>In December 2016, the WIIN Act was approved</w:t>
      </w:r>
      <w:r w:rsidR="005A5258">
        <w:rPr>
          <w:rFonts w:ascii="Arial" w:hAnsi="Arial" w:cs="Arial"/>
          <w:sz w:val="24"/>
          <w:szCs w:val="24"/>
        </w:rPr>
        <w:t xml:space="preserve"> by the U.S. Congress.</w:t>
      </w:r>
      <w:r w:rsidRPr="00DB7156">
        <w:rPr>
          <w:rFonts w:ascii="Arial" w:hAnsi="Arial" w:cs="Arial"/>
          <w:sz w:val="24"/>
          <w:szCs w:val="24"/>
        </w:rPr>
        <w:t xml:space="preserve"> </w:t>
      </w:r>
      <w:r w:rsidR="005A5258">
        <w:rPr>
          <w:rFonts w:ascii="Arial" w:hAnsi="Arial" w:cs="Arial"/>
          <w:sz w:val="24"/>
          <w:szCs w:val="24"/>
        </w:rPr>
        <w:t>It</w:t>
      </w:r>
      <w:r w:rsidRPr="00DB7156">
        <w:rPr>
          <w:rFonts w:ascii="Arial" w:hAnsi="Arial" w:cs="Arial"/>
          <w:sz w:val="24"/>
          <w:szCs w:val="24"/>
        </w:rPr>
        <w:t xml:space="preserve"> </w:t>
      </w:r>
      <w:r w:rsidR="008A606C" w:rsidRPr="00DB7156">
        <w:rPr>
          <w:rFonts w:ascii="Arial" w:hAnsi="Arial" w:cs="Arial"/>
          <w:sz w:val="24"/>
          <w:szCs w:val="24"/>
        </w:rPr>
        <w:t>include</w:t>
      </w:r>
      <w:r w:rsidR="00B04664" w:rsidRPr="00DB7156">
        <w:rPr>
          <w:rFonts w:ascii="Arial" w:hAnsi="Arial" w:cs="Arial"/>
          <w:sz w:val="24"/>
          <w:szCs w:val="24"/>
        </w:rPr>
        <w:t>s</w:t>
      </w:r>
      <w:r w:rsidR="008A606C" w:rsidRPr="00DB7156">
        <w:rPr>
          <w:rFonts w:ascii="Arial" w:hAnsi="Arial" w:cs="Arial"/>
          <w:sz w:val="24"/>
          <w:szCs w:val="24"/>
        </w:rPr>
        <w:t xml:space="preserve"> </w:t>
      </w:r>
      <w:r w:rsidRPr="00DB7156">
        <w:rPr>
          <w:rFonts w:ascii="Arial" w:hAnsi="Arial" w:cs="Arial"/>
          <w:sz w:val="24"/>
          <w:szCs w:val="24"/>
        </w:rPr>
        <w:t xml:space="preserve">a framework whereby </w:t>
      </w:r>
      <w:r w:rsidR="00C9062D" w:rsidRPr="00DB7156">
        <w:rPr>
          <w:rFonts w:ascii="Arial" w:hAnsi="Arial" w:cs="Arial"/>
          <w:sz w:val="24"/>
          <w:szCs w:val="24"/>
        </w:rPr>
        <w:t>states c</w:t>
      </w:r>
      <w:r w:rsidR="00313EC7" w:rsidRPr="00DB7156">
        <w:rPr>
          <w:rFonts w:ascii="Arial" w:hAnsi="Arial" w:cs="Arial"/>
          <w:sz w:val="24"/>
          <w:szCs w:val="24"/>
        </w:rPr>
        <w:t>an</w:t>
      </w:r>
      <w:r w:rsidR="00C9062D" w:rsidRPr="00DB7156">
        <w:rPr>
          <w:rFonts w:ascii="Arial" w:hAnsi="Arial" w:cs="Arial"/>
          <w:sz w:val="24"/>
          <w:szCs w:val="24"/>
        </w:rPr>
        <w:t xml:space="preserve"> develop and implement </w:t>
      </w:r>
      <w:r w:rsidR="00BE2940" w:rsidRPr="00DB7156">
        <w:rPr>
          <w:rFonts w:ascii="Arial" w:hAnsi="Arial" w:cs="Arial"/>
          <w:sz w:val="24"/>
          <w:szCs w:val="24"/>
        </w:rPr>
        <w:t xml:space="preserve">a CCR permit program </w:t>
      </w:r>
      <w:r w:rsidR="00313EC7" w:rsidRPr="00DB7156">
        <w:rPr>
          <w:rFonts w:ascii="Arial" w:hAnsi="Arial" w:cs="Arial"/>
          <w:sz w:val="24"/>
          <w:szCs w:val="24"/>
        </w:rPr>
        <w:t xml:space="preserve">and operate in lieu of the federal rule </w:t>
      </w:r>
      <w:r w:rsidR="00BE2940" w:rsidRPr="00DB7156">
        <w:rPr>
          <w:rFonts w:ascii="Arial" w:hAnsi="Arial" w:cs="Arial"/>
          <w:sz w:val="24"/>
          <w:szCs w:val="24"/>
        </w:rPr>
        <w:t>as long as</w:t>
      </w:r>
      <w:r w:rsidR="0079669E" w:rsidRPr="00DB7156">
        <w:rPr>
          <w:rFonts w:ascii="Arial" w:hAnsi="Arial" w:cs="Arial"/>
          <w:sz w:val="24"/>
          <w:szCs w:val="24"/>
        </w:rPr>
        <w:t xml:space="preserve"> </w:t>
      </w:r>
      <w:r w:rsidRPr="00DB7156">
        <w:rPr>
          <w:rFonts w:ascii="Arial" w:hAnsi="Arial" w:cs="Arial"/>
          <w:sz w:val="24"/>
          <w:szCs w:val="24"/>
        </w:rPr>
        <w:t>EPA approve</w:t>
      </w:r>
      <w:r w:rsidR="00BE2940" w:rsidRPr="00DB7156">
        <w:rPr>
          <w:rFonts w:ascii="Arial" w:hAnsi="Arial" w:cs="Arial"/>
          <w:sz w:val="24"/>
          <w:szCs w:val="24"/>
        </w:rPr>
        <w:t>s</w:t>
      </w:r>
      <w:r w:rsidRPr="00DB7156">
        <w:rPr>
          <w:rFonts w:ascii="Arial" w:hAnsi="Arial" w:cs="Arial"/>
          <w:sz w:val="24"/>
          <w:szCs w:val="24"/>
        </w:rPr>
        <w:t xml:space="preserve"> </w:t>
      </w:r>
      <w:r w:rsidR="00BE2940" w:rsidRPr="00DB7156">
        <w:rPr>
          <w:rFonts w:ascii="Arial" w:hAnsi="Arial" w:cs="Arial"/>
          <w:sz w:val="24"/>
          <w:szCs w:val="24"/>
        </w:rPr>
        <w:t xml:space="preserve">the </w:t>
      </w:r>
      <w:r w:rsidRPr="00DB7156">
        <w:rPr>
          <w:rFonts w:ascii="Arial" w:hAnsi="Arial" w:cs="Arial"/>
          <w:sz w:val="24"/>
          <w:szCs w:val="24"/>
        </w:rPr>
        <w:t>state</w:t>
      </w:r>
      <w:r w:rsidR="00BE2940" w:rsidRPr="00DB7156">
        <w:rPr>
          <w:rFonts w:ascii="Arial" w:hAnsi="Arial" w:cs="Arial"/>
          <w:sz w:val="24"/>
          <w:szCs w:val="24"/>
        </w:rPr>
        <w:t xml:space="preserve"> program.</w:t>
      </w:r>
      <w:r w:rsidR="0079669E" w:rsidRPr="00DB7156">
        <w:rPr>
          <w:rFonts w:ascii="Arial" w:hAnsi="Arial" w:cs="Arial"/>
          <w:sz w:val="24"/>
          <w:szCs w:val="24"/>
        </w:rPr>
        <w:t xml:space="preserve"> </w:t>
      </w:r>
      <w:r w:rsidR="00FC61FF">
        <w:rPr>
          <w:rFonts w:ascii="Arial" w:hAnsi="Arial" w:cs="Arial"/>
          <w:sz w:val="24"/>
          <w:szCs w:val="24"/>
        </w:rPr>
        <w:t>I</w:t>
      </w:r>
      <w:r w:rsidR="00BE2940" w:rsidRPr="00DB7156">
        <w:rPr>
          <w:rFonts w:ascii="Arial" w:hAnsi="Arial" w:cs="Arial"/>
          <w:sz w:val="24"/>
          <w:szCs w:val="24"/>
        </w:rPr>
        <w:t xml:space="preserve">n August 2017, EPA published guidance for states </w:t>
      </w:r>
      <w:r w:rsidR="00313EC7" w:rsidRPr="00DB7156">
        <w:rPr>
          <w:rFonts w:ascii="Arial" w:hAnsi="Arial" w:cs="Arial"/>
          <w:sz w:val="24"/>
          <w:szCs w:val="24"/>
        </w:rPr>
        <w:t xml:space="preserve">to </w:t>
      </w:r>
      <w:r w:rsidR="00BE2940" w:rsidRPr="00DB7156">
        <w:rPr>
          <w:rFonts w:ascii="Arial" w:hAnsi="Arial" w:cs="Arial"/>
          <w:sz w:val="24"/>
          <w:szCs w:val="24"/>
        </w:rPr>
        <w:t>use in developing and submitting a state CCR permit prog</w:t>
      </w:r>
      <w:r w:rsidR="00877EEC" w:rsidRPr="00DB7156">
        <w:rPr>
          <w:rFonts w:ascii="Arial" w:hAnsi="Arial" w:cs="Arial"/>
          <w:sz w:val="24"/>
          <w:szCs w:val="24"/>
        </w:rPr>
        <w:t>r</w:t>
      </w:r>
      <w:r w:rsidR="00BE2940" w:rsidRPr="00DB7156">
        <w:rPr>
          <w:rFonts w:ascii="Arial" w:hAnsi="Arial" w:cs="Arial"/>
          <w:sz w:val="24"/>
          <w:szCs w:val="24"/>
        </w:rPr>
        <w:t xml:space="preserve">am for EPA approval under the WIIN Act. </w:t>
      </w:r>
      <w:r w:rsidR="0079669E" w:rsidRPr="00DB7156">
        <w:rPr>
          <w:rFonts w:ascii="Arial" w:hAnsi="Arial" w:cs="Arial"/>
          <w:sz w:val="24"/>
          <w:szCs w:val="24"/>
        </w:rPr>
        <w:t>According to the WIIN Act guidance, once EPA determines that a state’s</w:t>
      </w:r>
      <w:r w:rsidRPr="00DB7156">
        <w:rPr>
          <w:rFonts w:ascii="Arial" w:hAnsi="Arial" w:cs="Arial"/>
          <w:sz w:val="24"/>
          <w:szCs w:val="24"/>
        </w:rPr>
        <w:t xml:space="preserve"> permit package is administratively complete, EPA has 180 days to approve or deny their program. </w:t>
      </w:r>
      <w:r w:rsidR="00F14C9A" w:rsidRPr="00DB7156">
        <w:rPr>
          <w:rFonts w:ascii="Arial" w:hAnsi="Arial" w:cs="Arial"/>
          <w:sz w:val="24"/>
          <w:szCs w:val="24"/>
        </w:rPr>
        <w:t>A</w:t>
      </w:r>
      <w:r w:rsidR="0079669E" w:rsidRPr="00DB7156">
        <w:rPr>
          <w:rFonts w:ascii="Arial" w:hAnsi="Arial" w:cs="Arial"/>
          <w:sz w:val="24"/>
          <w:szCs w:val="24"/>
        </w:rPr>
        <w:t>n EPA-approved</w:t>
      </w:r>
      <w:r w:rsidR="00F14C9A" w:rsidRPr="00DB7156">
        <w:rPr>
          <w:rFonts w:ascii="Arial" w:hAnsi="Arial" w:cs="Arial"/>
          <w:sz w:val="24"/>
          <w:szCs w:val="24"/>
        </w:rPr>
        <w:t xml:space="preserve"> state permit program</w:t>
      </w:r>
      <w:r w:rsidR="00313EC7" w:rsidRPr="00DB7156">
        <w:rPr>
          <w:rFonts w:ascii="Arial" w:hAnsi="Arial" w:cs="Arial"/>
          <w:sz w:val="24"/>
          <w:szCs w:val="24"/>
        </w:rPr>
        <w:t xml:space="preserve"> provides more regulatory certainty and</w:t>
      </w:r>
      <w:r w:rsidR="00F14C9A" w:rsidRPr="00DB7156">
        <w:rPr>
          <w:rFonts w:ascii="Arial" w:hAnsi="Arial" w:cs="Arial"/>
          <w:sz w:val="24"/>
          <w:szCs w:val="24"/>
        </w:rPr>
        <w:t xml:space="preserve"> </w:t>
      </w:r>
      <w:r w:rsidR="00313EC7" w:rsidRPr="00DB7156">
        <w:rPr>
          <w:rFonts w:ascii="Arial" w:hAnsi="Arial" w:cs="Arial"/>
          <w:sz w:val="24"/>
          <w:szCs w:val="24"/>
        </w:rPr>
        <w:t>reduces</w:t>
      </w:r>
      <w:r w:rsidR="0079669E" w:rsidRPr="00DB7156">
        <w:rPr>
          <w:rFonts w:ascii="Arial" w:hAnsi="Arial" w:cs="Arial"/>
          <w:sz w:val="24"/>
          <w:szCs w:val="24"/>
        </w:rPr>
        <w:t xml:space="preserve"> the burden of</w:t>
      </w:r>
      <w:r w:rsidR="00313EC7" w:rsidRPr="00DB7156">
        <w:rPr>
          <w:rFonts w:ascii="Arial" w:hAnsi="Arial" w:cs="Arial"/>
          <w:sz w:val="24"/>
          <w:szCs w:val="24"/>
        </w:rPr>
        <w:t xml:space="preserve"> overlapping regulations.</w:t>
      </w:r>
      <w:r w:rsidR="0079669E" w:rsidRPr="00DB7156">
        <w:rPr>
          <w:rFonts w:ascii="Arial" w:hAnsi="Arial" w:cs="Arial"/>
          <w:sz w:val="24"/>
          <w:szCs w:val="24"/>
        </w:rPr>
        <w:t xml:space="preserve"> In March 2017, Georgia EPD submitted Georgia’s CCR Rule for EPA’s review</w:t>
      </w:r>
      <w:r w:rsidR="005A5258">
        <w:rPr>
          <w:rFonts w:ascii="Arial" w:hAnsi="Arial" w:cs="Arial"/>
          <w:sz w:val="24"/>
          <w:szCs w:val="24"/>
        </w:rPr>
        <w:t>, but at this time, EPA still has not acted on that submittal</w:t>
      </w:r>
      <w:r w:rsidR="005A5258" w:rsidRPr="00DB7156">
        <w:rPr>
          <w:rFonts w:ascii="Arial" w:hAnsi="Arial" w:cs="Arial"/>
          <w:sz w:val="24"/>
          <w:szCs w:val="24"/>
        </w:rPr>
        <w:t>.</w:t>
      </w:r>
      <w:r w:rsidR="005A5258">
        <w:rPr>
          <w:rFonts w:ascii="Arial" w:hAnsi="Arial" w:cs="Arial"/>
          <w:sz w:val="24"/>
          <w:szCs w:val="24"/>
        </w:rPr>
        <w:t xml:space="preserve">  </w:t>
      </w:r>
    </w:p>
    <w:p w14:paraId="0C222E0C" w14:textId="77777777" w:rsidR="001239ED" w:rsidRPr="00DB7156" w:rsidRDefault="001239ED" w:rsidP="00DB7156">
      <w:pPr>
        <w:spacing w:after="0" w:line="240" w:lineRule="auto"/>
        <w:jc w:val="both"/>
        <w:rPr>
          <w:rFonts w:ascii="Arial" w:eastAsia="Calibri" w:hAnsi="Arial" w:cs="Arial"/>
          <w:color w:val="000000"/>
          <w:sz w:val="24"/>
          <w:szCs w:val="24"/>
        </w:rPr>
      </w:pPr>
    </w:p>
    <w:p w14:paraId="52233C4A" w14:textId="595A2B3C" w:rsidR="000D2054" w:rsidRPr="00DB7156" w:rsidRDefault="009931E3" w:rsidP="00DB7156">
      <w:pPr>
        <w:spacing w:after="0" w:line="240" w:lineRule="auto"/>
        <w:jc w:val="both"/>
        <w:rPr>
          <w:rFonts w:ascii="Arial" w:eastAsia="Calibri" w:hAnsi="Arial" w:cs="Arial"/>
          <w:color w:val="000000"/>
          <w:sz w:val="24"/>
          <w:szCs w:val="24"/>
        </w:rPr>
      </w:pPr>
      <w:r w:rsidRPr="00DB7156">
        <w:rPr>
          <w:rFonts w:ascii="Arial" w:eastAsia="Calibri" w:hAnsi="Arial" w:cs="Arial"/>
          <w:color w:val="000000"/>
          <w:sz w:val="24"/>
          <w:szCs w:val="24"/>
        </w:rPr>
        <w:t>In</w:t>
      </w:r>
      <w:r w:rsidR="000D2054" w:rsidRPr="00DB7156">
        <w:rPr>
          <w:rFonts w:ascii="Arial" w:eastAsia="Calibri" w:hAnsi="Arial" w:cs="Arial"/>
          <w:color w:val="000000"/>
          <w:sz w:val="24"/>
          <w:szCs w:val="24"/>
        </w:rPr>
        <w:t xml:space="preserve"> September 2017, EPA responded to two petitions </w:t>
      </w:r>
      <w:r w:rsidR="00834EFD">
        <w:rPr>
          <w:rFonts w:ascii="Arial" w:eastAsia="Calibri" w:hAnsi="Arial" w:cs="Arial"/>
          <w:color w:val="000000"/>
          <w:sz w:val="24"/>
          <w:szCs w:val="24"/>
        </w:rPr>
        <w:t xml:space="preserve">for reconsideration of the </w:t>
      </w:r>
      <w:r w:rsidR="00F0735B">
        <w:rPr>
          <w:rFonts w:ascii="Arial" w:eastAsia="Calibri" w:hAnsi="Arial" w:cs="Arial"/>
          <w:color w:val="000000"/>
          <w:sz w:val="24"/>
          <w:szCs w:val="24"/>
        </w:rPr>
        <w:t xml:space="preserve">Federal </w:t>
      </w:r>
      <w:r w:rsidR="00834EFD">
        <w:rPr>
          <w:rFonts w:ascii="Arial" w:eastAsia="Calibri" w:hAnsi="Arial" w:cs="Arial"/>
          <w:color w:val="000000"/>
          <w:sz w:val="24"/>
          <w:szCs w:val="24"/>
        </w:rPr>
        <w:t>CCR R</w:t>
      </w:r>
      <w:r w:rsidR="000D2054" w:rsidRPr="00DB7156">
        <w:rPr>
          <w:rFonts w:ascii="Arial" w:eastAsia="Calibri" w:hAnsi="Arial" w:cs="Arial"/>
          <w:color w:val="000000"/>
          <w:sz w:val="24"/>
          <w:szCs w:val="24"/>
        </w:rPr>
        <w:t xml:space="preserve">ule by informing the petitioners that EPA has determined that it is appropriate to reconsider the </w:t>
      </w:r>
      <w:r w:rsidR="00F0735B">
        <w:rPr>
          <w:rFonts w:ascii="Arial" w:eastAsia="Calibri" w:hAnsi="Arial" w:cs="Arial"/>
          <w:color w:val="000000"/>
          <w:sz w:val="24"/>
          <w:szCs w:val="24"/>
        </w:rPr>
        <w:t xml:space="preserve">Federal </w:t>
      </w:r>
      <w:r w:rsidR="000D2054" w:rsidRPr="00DB7156">
        <w:rPr>
          <w:rFonts w:ascii="Arial" w:eastAsia="Calibri" w:hAnsi="Arial" w:cs="Arial"/>
          <w:color w:val="000000"/>
          <w:sz w:val="24"/>
          <w:szCs w:val="24"/>
        </w:rPr>
        <w:t xml:space="preserve">CCR </w:t>
      </w:r>
      <w:r w:rsidR="00834EFD">
        <w:rPr>
          <w:rFonts w:ascii="Arial" w:eastAsia="Calibri" w:hAnsi="Arial" w:cs="Arial"/>
          <w:color w:val="000000"/>
          <w:sz w:val="24"/>
          <w:szCs w:val="24"/>
        </w:rPr>
        <w:t>R</w:t>
      </w:r>
      <w:r w:rsidR="000D2054" w:rsidRPr="00DB7156">
        <w:rPr>
          <w:rFonts w:ascii="Arial" w:eastAsia="Calibri" w:hAnsi="Arial" w:cs="Arial"/>
          <w:color w:val="000000"/>
          <w:sz w:val="24"/>
          <w:szCs w:val="24"/>
        </w:rPr>
        <w:t>ule</w:t>
      </w:r>
      <w:r w:rsidR="00EF5F82" w:rsidRPr="00DB7156">
        <w:rPr>
          <w:rFonts w:ascii="Arial" w:eastAsia="Calibri" w:hAnsi="Arial" w:cs="Arial"/>
          <w:color w:val="000000"/>
          <w:sz w:val="24"/>
          <w:szCs w:val="24"/>
        </w:rPr>
        <w:t xml:space="preserve">. Subsequently, EPA </w:t>
      </w:r>
      <w:r w:rsidR="000D2054" w:rsidRPr="00DB7156">
        <w:rPr>
          <w:rFonts w:ascii="Arial" w:eastAsia="Calibri" w:hAnsi="Arial" w:cs="Arial"/>
          <w:color w:val="000000"/>
          <w:sz w:val="24"/>
          <w:szCs w:val="24"/>
        </w:rPr>
        <w:t>filed a motion asking the D.C. Circuit Court</w:t>
      </w:r>
      <w:r w:rsidR="00EF5F82" w:rsidRPr="00DB7156">
        <w:rPr>
          <w:rFonts w:ascii="Arial" w:eastAsia="Calibri" w:hAnsi="Arial" w:cs="Arial"/>
          <w:color w:val="000000"/>
          <w:sz w:val="24"/>
          <w:szCs w:val="24"/>
        </w:rPr>
        <w:t xml:space="preserve"> of Appeals</w:t>
      </w:r>
      <w:r w:rsidR="000D2054" w:rsidRPr="00DB7156">
        <w:rPr>
          <w:rFonts w:ascii="Arial" w:eastAsia="Calibri" w:hAnsi="Arial" w:cs="Arial"/>
          <w:color w:val="000000"/>
          <w:sz w:val="24"/>
          <w:szCs w:val="24"/>
        </w:rPr>
        <w:t xml:space="preserve"> to hold the active CCR litigation in abeyance and postpone oral argument in the case while it reconsiders the rule. </w:t>
      </w:r>
      <w:r w:rsidR="00EF5F82" w:rsidRPr="00DB7156">
        <w:rPr>
          <w:rFonts w:ascii="Arial" w:eastAsia="Calibri" w:hAnsi="Arial" w:cs="Arial"/>
          <w:color w:val="000000"/>
          <w:sz w:val="24"/>
          <w:szCs w:val="24"/>
        </w:rPr>
        <w:t>T</w:t>
      </w:r>
      <w:r w:rsidRPr="00DB7156">
        <w:rPr>
          <w:rFonts w:ascii="Arial" w:eastAsia="Calibri" w:hAnsi="Arial" w:cs="Arial"/>
          <w:color w:val="000000"/>
          <w:sz w:val="24"/>
          <w:szCs w:val="24"/>
        </w:rPr>
        <w:t>he</w:t>
      </w:r>
      <w:r w:rsidR="000D2054" w:rsidRPr="00DB7156">
        <w:rPr>
          <w:rFonts w:ascii="Arial" w:eastAsia="Calibri" w:hAnsi="Arial" w:cs="Arial"/>
          <w:color w:val="000000"/>
          <w:sz w:val="24"/>
          <w:szCs w:val="24"/>
        </w:rPr>
        <w:t xml:space="preserve"> </w:t>
      </w:r>
      <w:r w:rsidR="00EF5F82" w:rsidRPr="00DB7156">
        <w:rPr>
          <w:rFonts w:ascii="Arial" w:eastAsia="Calibri" w:hAnsi="Arial" w:cs="Arial"/>
          <w:color w:val="000000"/>
          <w:sz w:val="24"/>
          <w:szCs w:val="24"/>
        </w:rPr>
        <w:t xml:space="preserve">Court </w:t>
      </w:r>
      <w:r w:rsidR="000D2054" w:rsidRPr="00DB7156">
        <w:rPr>
          <w:rFonts w:ascii="Arial" w:eastAsia="Calibri" w:hAnsi="Arial" w:cs="Arial"/>
          <w:color w:val="000000"/>
          <w:sz w:val="24"/>
          <w:szCs w:val="24"/>
        </w:rPr>
        <w:t xml:space="preserve">rescheduled oral argument to November 20, 2017 and requested additional information from both parties before it would decide whether to hold litigation in abeyance. EPA </w:t>
      </w:r>
      <w:r w:rsidRPr="00DB7156">
        <w:rPr>
          <w:rFonts w:ascii="Arial" w:eastAsia="Calibri" w:hAnsi="Arial" w:cs="Arial"/>
          <w:color w:val="000000"/>
          <w:sz w:val="24"/>
          <w:szCs w:val="24"/>
        </w:rPr>
        <w:t xml:space="preserve">subsequently </w:t>
      </w:r>
      <w:r w:rsidR="005D2BCB" w:rsidRPr="00DB7156">
        <w:rPr>
          <w:rFonts w:ascii="Arial" w:eastAsia="Calibri" w:hAnsi="Arial" w:cs="Arial"/>
          <w:color w:val="000000"/>
          <w:sz w:val="24"/>
          <w:szCs w:val="24"/>
        </w:rPr>
        <w:t xml:space="preserve">filed a status report with the Court, outlining a phased approach to amend the </w:t>
      </w:r>
      <w:r w:rsidR="00F0735B">
        <w:rPr>
          <w:rFonts w:ascii="Arial" w:eastAsia="Calibri" w:hAnsi="Arial" w:cs="Arial"/>
          <w:color w:val="000000"/>
          <w:sz w:val="24"/>
          <w:szCs w:val="24"/>
        </w:rPr>
        <w:t xml:space="preserve">Federal </w:t>
      </w:r>
      <w:r w:rsidR="005D2BCB" w:rsidRPr="00DB7156">
        <w:rPr>
          <w:rFonts w:ascii="Arial" w:eastAsia="Calibri" w:hAnsi="Arial" w:cs="Arial"/>
          <w:color w:val="000000"/>
          <w:sz w:val="24"/>
          <w:szCs w:val="24"/>
        </w:rPr>
        <w:t>CCR Rule</w:t>
      </w:r>
      <w:r w:rsidR="000D2054" w:rsidRPr="00DB7156">
        <w:rPr>
          <w:rFonts w:ascii="Arial" w:eastAsia="Calibri" w:hAnsi="Arial" w:cs="Arial"/>
          <w:color w:val="000000"/>
          <w:sz w:val="24"/>
          <w:szCs w:val="24"/>
        </w:rPr>
        <w:t>.</w:t>
      </w:r>
      <w:r w:rsidR="00B81948">
        <w:rPr>
          <w:rFonts w:ascii="Arial" w:eastAsia="Calibri" w:hAnsi="Arial" w:cs="Arial"/>
          <w:color w:val="000000"/>
          <w:sz w:val="24"/>
          <w:szCs w:val="24"/>
        </w:rPr>
        <w:t xml:space="preserve"> </w:t>
      </w:r>
      <w:r w:rsidR="00EF5F82" w:rsidRPr="00DB7156">
        <w:rPr>
          <w:rFonts w:ascii="Arial" w:eastAsia="Calibri" w:hAnsi="Arial" w:cs="Arial"/>
          <w:color w:val="000000"/>
          <w:sz w:val="24"/>
          <w:szCs w:val="24"/>
        </w:rPr>
        <w:t xml:space="preserve">These amendments </w:t>
      </w:r>
      <w:r w:rsidR="005A5258">
        <w:rPr>
          <w:rFonts w:ascii="Arial" w:eastAsia="Calibri" w:hAnsi="Arial" w:cs="Arial"/>
          <w:color w:val="000000"/>
          <w:sz w:val="24"/>
          <w:szCs w:val="24"/>
        </w:rPr>
        <w:t>are expected to</w:t>
      </w:r>
      <w:r w:rsidR="005A5258" w:rsidRPr="00DB7156">
        <w:rPr>
          <w:rFonts w:ascii="Arial" w:eastAsia="Calibri" w:hAnsi="Arial" w:cs="Arial"/>
          <w:color w:val="000000"/>
          <w:sz w:val="24"/>
          <w:szCs w:val="24"/>
        </w:rPr>
        <w:t xml:space="preserve"> </w:t>
      </w:r>
      <w:r w:rsidR="00EF5F82" w:rsidRPr="00DB7156">
        <w:rPr>
          <w:rFonts w:ascii="Arial" w:eastAsia="Calibri" w:hAnsi="Arial" w:cs="Arial"/>
          <w:color w:val="000000"/>
          <w:sz w:val="24"/>
          <w:szCs w:val="24"/>
        </w:rPr>
        <w:t>address the issues remanded to EPA in June 2016 as well as issues raised in the petitions for reconsideration.</w:t>
      </w:r>
      <w:r w:rsidR="00C21F64">
        <w:rPr>
          <w:rFonts w:ascii="Arial" w:eastAsia="Calibri" w:hAnsi="Arial" w:cs="Arial"/>
          <w:color w:val="000000"/>
          <w:sz w:val="24"/>
          <w:szCs w:val="24"/>
        </w:rPr>
        <w:t xml:space="preserve"> EPA proposed to issue the amendments in phases</w:t>
      </w:r>
      <w:r w:rsidR="00B81948">
        <w:rPr>
          <w:rFonts w:ascii="Arial" w:eastAsia="Calibri" w:hAnsi="Arial" w:cs="Arial"/>
          <w:color w:val="000000"/>
          <w:sz w:val="24"/>
          <w:szCs w:val="24"/>
        </w:rPr>
        <w:t>, Phase One and Phase Two,</w:t>
      </w:r>
      <w:r w:rsidR="00C21F64">
        <w:rPr>
          <w:rFonts w:ascii="Arial" w:eastAsia="Calibri" w:hAnsi="Arial" w:cs="Arial"/>
          <w:color w:val="000000"/>
          <w:sz w:val="24"/>
          <w:szCs w:val="24"/>
        </w:rPr>
        <w:t xml:space="preserve"> recognizing </w:t>
      </w:r>
      <w:r w:rsidR="00DF3ED0">
        <w:rPr>
          <w:rFonts w:ascii="Arial" w:eastAsia="Calibri" w:hAnsi="Arial" w:cs="Arial"/>
          <w:color w:val="000000"/>
          <w:sz w:val="24"/>
          <w:szCs w:val="24"/>
        </w:rPr>
        <w:t xml:space="preserve">priorities and </w:t>
      </w:r>
      <w:r w:rsidR="00C21F64">
        <w:rPr>
          <w:rFonts w:ascii="Arial" w:eastAsia="Calibri" w:hAnsi="Arial" w:cs="Arial"/>
          <w:color w:val="000000"/>
          <w:sz w:val="24"/>
          <w:szCs w:val="24"/>
        </w:rPr>
        <w:t xml:space="preserve">the importance to compliance </w:t>
      </w:r>
      <w:r w:rsidR="00DF3ED0">
        <w:rPr>
          <w:rFonts w:ascii="Arial" w:eastAsia="Calibri" w:hAnsi="Arial" w:cs="Arial"/>
          <w:color w:val="000000"/>
          <w:sz w:val="24"/>
          <w:szCs w:val="24"/>
        </w:rPr>
        <w:t>deadlines of certain requirements.</w:t>
      </w:r>
    </w:p>
    <w:p w14:paraId="494DAA64" w14:textId="77777777" w:rsidR="000D2054" w:rsidRPr="00DB7156" w:rsidRDefault="000D2054" w:rsidP="00DB7156">
      <w:pPr>
        <w:spacing w:after="0" w:line="240" w:lineRule="auto"/>
        <w:jc w:val="both"/>
        <w:rPr>
          <w:rFonts w:ascii="Arial" w:eastAsia="Calibri" w:hAnsi="Arial" w:cs="Arial"/>
          <w:color w:val="000000"/>
          <w:sz w:val="24"/>
          <w:szCs w:val="24"/>
        </w:rPr>
      </w:pPr>
    </w:p>
    <w:p w14:paraId="47D4486C" w14:textId="4182060B" w:rsidR="0079669E" w:rsidRPr="00DB7156" w:rsidRDefault="00631EA2" w:rsidP="00DB7156">
      <w:pPr>
        <w:spacing w:after="0" w:line="240" w:lineRule="auto"/>
        <w:jc w:val="both"/>
        <w:rPr>
          <w:rFonts w:ascii="Arial" w:eastAsia="Calibri" w:hAnsi="Arial" w:cs="Arial"/>
          <w:color w:val="000000"/>
          <w:sz w:val="24"/>
          <w:szCs w:val="24"/>
        </w:rPr>
      </w:pPr>
      <w:bookmarkStart w:id="135" w:name="_Hlk525219683"/>
      <w:r w:rsidRPr="00DB7156">
        <w:rPr>
          <w:rFonts w:ascii="Arial" w:eastAsia="Calibri" w:hAnsi="Arial" w:cs="Arial"/>
          <w:color w:val="000000"/>
          <w:sz w:val="24"/>
          <w:szCs w:val="24"/>
        </w:rPr>
        <w:t xml:space="preserve">In </w:t>
      </w:r>
      <w:r w:rsidR="00DD42EF" w:rsidRPr="00DB7156">
        <w:rPr>
          <w:rFonts w:ascii="Arial" w:eastAsia="Calibri" w:hAnsi="Arial" w:cs="Arial"/>
          <w:color w:val="000000"/>
          <w:sz w:val="24"/>
          <w:szCs w:val="24"/>
        </w:rPr>
        <w:t xml:space="preserve">February </w:t>
      </w:r>
      <w:r w:rsidRPr="00DB7156">
        <w:rPr>
          <w:rFonts w:ascii="Arial" w:eastAsia="Calibri" w:hAnsi="Arial" w:cs="Arial"/>
          <w:color w:val="000000"/>
          <w:sz w:val="24"/>
          <w:szCs w:val="24"/>
        </w:rPr>
        <w:t>201</w:t>
      </w:r>
      <w:r w:rsidR="00DD42EF" w:rsidRPr="00DB7156">
        <w:rPr>
          <w:rFonts w:ascii="Arial" w:eastAsia="Calibri" w:hAnsi="Arial" w:cs="Arial"/>
          <w:color w:val="000000"/>
          <w:sz w:val="24"/>
          <w:szCs w:val="24"/>
        </w:rPr>
        <w:t>8</w:t>
      </w:r>
      <w:r w:rsidRPr="00DB7156">
        <w:rPr>
          <w:rFonts w:ascii="Arial" w:eastAsia="Calibri" w:hAnsi="Arial" w:cs="Arial"/>
          <w:color w:val="000000"/>
          <w:sz w:val="24"/>
          <w:szCs w:val="24"/>
        </w:rPr>
        <w:t xml:space="preserve">, </w:t>
      </w:r>
      <w:r w:rsidR="000D2054" w:rsidRPr="00DB7156">
        <w:rPr>
          <w:rFonts w:ascii="Arial" w:eastAsia="Calibri" w:hAnsi="Arial" w:cs="Arial"/>
          <w:color w:val="000000"/>
          <w:sz w:val="24"/>
          <w:szCs w:val="24"/>
        </w:rPr>
        <w:t>the Georgia Department of Natural Resources Board adopted</w:t>
      </w:r>
      <w:r w:rsidR="00A45227" w:rsidRPr="00DB7156">
        <w:rPr>
          <w:rFonts w:ascii="Arial" w:eastAsia="Calibri" w:hAnsi="Arial" w:cs="Arial"/>
          <w:color w:val="000000"/>
          <w:sz w:val="24"/>
          <w:szCs w:val="24"/>
        </w:rPr>
        <w:t xml:space="preserve"> </w:t>
      </w:r>
      <w:r w:rsidRPr="00DB7156">
        <w:rPr>
          <w:rFonts w:ascii="Arial" w:eastAsia="Calibri" w:hAnsi="Arial" w:cs="Arial"/>
          <w:color w:val="000000"/>
          <w:sz w:val="24"/>
          <w:szCs w:val="24"/>
        </w:rPr>
        <w:t xml:space="preserve">amendments to the </w:t>
      </w:r>
      <w:r w:rsidR="0079669E" w:rsidRPr="00DB7156">
        <w:rPr>
          <w:rFonts w:ascii="Arial" w:eastAsia="Calibri" w:hAnsi="Arial" w:cs="Arial"/>
          <w:color w:val="000000"/>
          <w:sz w:val="24"/>
          <w:szCs w:val="24"/>
        </w:rPr>
        <w:t>Georgia</w:t>
      </w:r>
      <w:r w:rsidRPr="00DB7156">
        <w:rPr>
          <w:rFonts w:ascii="Arial" w:eastAsia="Calibri" w:hAnsi="Arial" w:cs="Arial"/>
          <w:color w:val="000000"/>
          <w:sz w:val="24"/>
          <w:szCs w:val="24"/>
        </w:rPr>
        <w:t xml:space="preserve"> </w:t>
      </w:r>
      <w:r w:rsidR="00313EC7" w:rsidRPr="00DB7156">
        <w:rPr>
          <w:rFonts w:ascii="Arial" w:eastAsia="Calibri" w:hAnsi="Arial" w:cs="Arial"/>
          <w:color w:val="000000"/>
          <w:sz w:val="24"/>
          <w:szCs w:val="24"/>
        </w:rPr>
        <w:t>Solid Waste Rules</w:t>
      </w:r>
      <w:r w:rsidR="00354E4C" w:rsidRPr="00DB7156">
        <w:rPr>
          <w:rFonts w:ascii="Arial" w:eastAsia="Calibri" w:hAnsi="Arial" w:cs="Arial"/>
          <w:color w:val="000000"/>
          <w:sz w:val="24"/>
          <w:szCs w:val="24"/>
        </w:rPr>
        <w:t xml:space="preserve">, including the </w:t>
      </w:r>
      <w:r w:rsidR="0079669E" w:rsidRPr="00DB7156">
        <w:rPr>
          <w:rFonts w:ascii="Arial" w:eastAsia="Calibri" w:hAnsi="Arial" w:cs="Arial"/>
          <w:color w:val="000000"/>
          <w:sz w:val="24"/>
          <w:szCs w:val="24"/>
        </w:rPr>
        <w:t>Georgia</w:t>
      </w:r>
      <w:r w:rsidR="00097D6F" w:rsidRPr="00DB7156">
        <w:rPr>
          <w:rFonts w:ascii="Arial" w:eastAsia="Calibri" w:hAnsi="Arial" w:cs="Arial"/>
          <w:color w:val="000000"/>
          <w:sz w:val="24"/>
          <w:szCs w:val="24"/>
        </w:rPr>
        <w:t xml:space="preserve"> CCR Rule</w:t>
      </w:r>
      <w:r w:rsidR="00313EC7" w:rsidRPr="00DB7156">
        <w:rPr>
          <w:rFonts w:ascii="Arial" w:eastAsia="Calibri" w:hAnsi="Arial" w:cs="Arial"/>
          <w:color w:val="000000"/>
          <w:sz w:val="24"/>
          <w:szCs w:val="24"/>
        </w:rPr>
        <w:t>.</w:t>
      </w:r>
      <w:r w:rsidRPr="00DB7156">
        <w:rPr>
          <w:rFonts w:ascii="Arial" w:eastAsia="Calibri" w:hAnsi="Arial" w:cs="Arial"/>
          <w:color w:val="000000"/>
          <w:sz w:val="24"/>
          <w:szCs w:val="24"/>
        </w:rPr>
        <w:t xml:space="preserve"> </w:t>
      </w:r>
      <w:r w:rsidR="000D2054" w:rsidRPr="00DB7156">
        <w:rPr>
          <w:rFonts w:ascii="Arial" w:eastAsia="Calibri" w:hAnsi="Arial" w:cs="Arial"/>
          <w:color w:val="000000"/>
          <w:sz w:val="24"/>
          <w:szCs w:val="24"/>
        </w:rPr>
        <w:t xml:space="preserve">The </w:t>
      </w:r>
      <w:r w:rsidRPr="00DB7156">
        <w:rPr>
          <w:rFonts w:ascii="Arial" w:eastAsia="Calibri" w:hAnsi="Arial" w:cs="Arial"/>
          <w:color w:val="000000"/>
          <w:sz w:val="24"/>
          <w:szCs w:val="24"/>
        </w:rPr>
        <w:t>amendments incorporate EPA’s vacatur of inactive surface impoun</w:t>
      </w:r>
      <w:r w:rsidR="00161B21" w:rsidRPr="00DB7156">
        <w:rPr>
          <w:rFonts w:ascii="Arial" w:eastAsia="Calibri" w:hAnsi="Arial" w:cs="Arial"/>
          <w:color w:val="000000"/>
          <w:sz w:val="24"/>
          <w:szCs w:val="24"/>
        </w:rPr>
        <w:t>d</w:t>
      </w:r>
      <w:r w:rsidRPr="00DB7156">
        <w:rPr>
          <w:rFonts w:ascii="Arial" w:eastAsia="Calibri" w:hAnsi="Arial" w:cs="Arial"/>
          <w:color w:val="000000"/>
          <w:sz w:val="24"/>
          <w:szCs w:val="24"/>
        </w:rPr>
        <w:t>ments closing by April 17, 2018 (three-year closure exemption) and associated extension deadlines for these units</w:t>
      </w:r>
      <w:r w:rsidR="00161B21" w:rsidRPr="00DB7156">
        <w:rPr>
          <w:rFonts w:ascii="Arial" w:eastAsia="Calibri" w:hAnsi="Arial" w:cs="Arial"/>
          <w:color w:val="000000"/>
          <w:sz w:val="24"/>
          <w:szCs w:val="24"/>
        </w:rPr>
        <w:t xml:space="preserve">. The rule amendments also </w:t>
      </w:r>
      <w:r w:rsidRPr="00DB7156">
        <w:rPr>
          <w:rFonts w:ascii="Arial" w:eastAsia="Calibri" w:hAnsi="Arial" w:cs="Arial"/>
          <w:color w:val="000000"/>
          <w:sz w:val="24"/>
          <w:szCs w:val="24"/>
        </w:rPr>
        <w:t xml:space="preserve">add requirements </w:t>
      </w:r>
      <w:r w:rsidR="00097D6F" w:rsidRPr="00DB7156">
        <w:rPr>
          <w:rFonts w:ascii="Arial" w:eastAsia="Calibri" w:hAnsi="Arial" w:cs="Arial"/>
          <w:color w:val="000000"/>
          <w:sz w:val="24"/>
          <w:szCs w:val="24"/>
        </w:rPr>
        <w:t xml:space="preserve">for the review and </w:t>
      </w:r>
      <w:r w:rsidRPr="00DB7156">
        <w:rPr>
          <w:rFonts w:ascii="Arial" w:eastAsia="Calibri" w:hAnsi="Arial" w:cs="Arial"/>
          <w:color w:val="000000"/>
          <w:sz w:val="24"/>
          <w:szCs w:val="24"/>
        </w:rPr>
        <w:t>renew</w:t>
      </w:r>
      <w:r w:rsidR="00097D6F" w:rsidRPr="00DB7156">
        <w:rPr>
          <w:rFonts w:ascii="Arial" w:eastAsia="Calibri" w:hAnsi="Arial" w:cs="Arial"/>
          <w:color w:val="000000"/>
          <w:sz w:val="24"/>
          <w:szCs w:val="24"/>
        </w:rPr>
        <w:t>al of solid waste</w:t>
      </w:r>
      <w:r w:rsidRPr="00DB7156">
        <w:rPr>
          <w:rFonts w:ascii="Arial" w:eastAsia="Calibri" w:hAnsi="Arial" w:cs="Arial"/>
          <w:color w:val="000000"/>
          <w:sz w:val="24"/>
          <w:szCs w:val="24"/>
        </w:rPr>
        <w:t xml:space="preserve"> permits</w:t>
      </w:r>
      <w:r w:rsidR="001C1A48">
        <w:rPr>
          <w:rFonts w:ascii="Arial" w:eastAsia="Calibri" w:hAnsi="Arial" w:cs="Arial"/>
          <w:color w:val="000000"/>
          <w:sz w:val="24"/>
          <w:szCs w:val="24"/>
        </w:rPr>
        <w:t xml:space="preserve"> every 5 years</w:t>
      </w:r>
      <w:r w:rsidR="00075926" w:rsidRPr="00DB7156">
        <w:rPr>
          <w:rFonts w:ascii="Arial" w:eastAsia="Calibri" w:hAnsi="Arial" w:cs="Arial"/>
          <w:color w:val="000000"/>
          <w:sz w:val="24"/>
          <w:szCs w:val="24"/>
        </w:rPr>
        <w:t xml:space="preserve"> in Georgia</w:t>
      </w:r>
      <w:r w:rsidRPr="00DB7156">
        <w:rPr>
          <w:rFonts w:ascii="Arial" w:eastAsia="Calibri" w:hAnsi="Arial" w:cs="Arial"/>
          <w:color w:val="000000"/>
          <w:sz w:val="24"/>
          <w:szCs w:val="24"/>
        </w:rPr>
        <w:t xml:space="preserve">. </w:t>
      </w:r>
      <w:r w:rsidR="005E33DB" w:rsidRPr="00DB7156">
        <w:rPr>
          <w:rFonts w:ascii="Arial" w:eastAsia="Calibri" w:hAnsi="Arial" w:cs="Arial"/>
          <w:color w:val="000000"/>
          <w:sz w:val="24"/>
          <w:szCs w:val="24"/>
        </w:rPr>
        <w:t xml:space="preserve">Following adoption of the amended Georgia CCR Rule, </w:t>
      </w:r>
      <w:r w:rsidR="00834EFD">
        <w:rPr>
          <w:rFonts w:ascii="Arial" w:eastAsia="Calibri" w:hAnsi="Arial" w:cs="Arial"/>
          <w:color w:val="000000"/>
          <w:sz w:val="24"/>
          <w:szCs w:val="24"/>
        </w:rPr>
        <w:t xml:space="preserve">Georgia </w:t>
      </w:r>
      <w:r w:rsidR="005E33DB" w:rsidRPr="00DB7156">
        <w:rPr>
          <w:rFonts w:ascii="Arial" w:hAnsi="Arial" w:cs="Arial"/>
          <w:sz w:val="24"/>
          <w:szCs w:val="24"/>
        </w:rPr>
        <w:t>EPD resubmitted Georgia’s CCR Rule to EPA in April 2018 and is awaiting approval.</w:t>
      </w:r>
    </w:p>
    <w:p w14:paraId="480489FC" w14:textId="128B10CA" w:rsidR="00414258" w:rsidRPr="00DB7156" w:rsidRDefault="00414258" w:rsidP="00DB7156">
      <w:pPr>
        <w:spacing w:after="0" w:line="240" w:lineRule="auto"/>
        <w:jc w:val="both"/>
        <w:rPr>
          <w:rFonts w:ascii="Arial" w:eastAsia="Calibri" w:hAnsi="Arial" w:cs="Arial"/>
          <w:color w:val="000000"/>
          <w:sz w:val="24"/>
          <w:szCs w:val="24"/>
        </w:rPr>
      </w:pPr>
    </w:p>
    <w:p w14:paraId="346E68A2" w14:textId="5BD500EF" w:rsidR="00675FE3" w:rsidRPr="00DB7156" w:rsidRDefault="004A6F9C" w:rsidP="00DB7156">
      <w:pPr>
        <w:spacing w:after="0" w:line="240" w:lineRule="auto"/>
        <w:jc w:val="both"/>
        <w:rPr>
          <w:rFonts w:ascii="Arial" w:hAnsi="Arial" w:cs="Arial"/>
          <w:sz w:val="24"/>
          <w:szCs w:val="24"/>
        </w:rPr>
      </w:pPr>
      <w:r>
        <w:rPr>
          <w:rFonts w:ascii="Arial" w:eastAsia="Calibri" w:hAnsi="Arial" w:cs="Arial"/>
          <w:color w:val="000000"/>
          <w:sz w:val="24"/>
          <w:szCs w:val="24"/>
        </w:rPr>
        <w:t>I</w:t>
      </w:r>
      <w:r w:rsidR="001978E8" w:rsidRPr="00DB7156">
        <w:rPr>
          <w:rFonts w:ascii="Arial" w:eastAsia="Calibri" w:hAnsi="Arial" w:cs="Arial"/>
          <w:color w:val="000000"/>
          <w:sz w:val="24"/>
          <w:szCs w:val="24"/>
        </w:rPr>
        <w:t xml:space="preserve">n March 2018, </w:t>
      </w:r>
      <w:r w:rsidR="001978E8" w:rsidRPr="00DB7156">
        <w:rPr>
          <w:rFonts w:ascii="Arial" w:hAnsi="Arial" w:cs="Arial"/>
          <w:sz w:val="24"/>
          <w:szCs w:val="24"/>
        </w:rPr>
        <w:t xml:space="preserve">EPA </w:t>
      </w:r>
      <w:r w:rsidR="00F0735B">
        <w:rPr>
          <w:rFonts w:ascii="Arial" w:hAnsi="Arial" w:cs="Arial"/>
          <w:sz w:val="24"/>
          <w:szCs w:val="24"/>
        </w:rPr>
        <w:t>published</w:t>
      </w:r>
      <w:r w:rsidR="00F0735B" w:rsidRPr="00DB7156">
        <w:rPr>
          <w:rFonts w:ascii="Arial" w:hAnsi="Arial" w:cs="Arial"/>
          <w:sz w:val="24"/>
          <w:szCs w:val="24"/>
        </w:rPr>
        <w:t xml:space="preserve"> </w:t>
      </w:r>
      <w:r w:rsidR="001978E8" w:rsidRPr="00DB7156">
        <w:rPr>
          <w:rFonts w:ascii="Arial" w:hAnsi="Arial" w:cs="Arial"/>
          <w:sz w:val="24"/>
          <w:szCs w:val="24"/>
        </w:rPr>
        <w:t xml:space="preserve">the proposed Phase </w:t>
      </w:r>
      <w:r w:rsidR="006231A0" w:rsidRPr="00DB7156">
        <w:rPr>
          <w:rFonts w:ascii="Arial" w:hAnsi="Arial" w:cs="Arial"/>
          <w:sz w:val="24"/>
          <w:szCs w:val="24"/>
        </w:rPr>
        <w:t xml:space="preserve">One </w:t>
      </w:r>
      <w:r w:rsidR="001978E8" w:rsidRPr="00DB7156">
        <w:rPr>
          <w:rFonts w:ascii="Arial" w:hAnsi="Arial" w:cs="Arial"/>
          <w:sz w:val="24"/>
          <w:szCs w:val="24"/>
        </w:rPr>
        <w:t xml:space="preserve">Amendments to the </w:t>
      </w:r>
      <w:r w:rsidR="005E33DB" w:rsidRPr="00DB7156">
        <w:rPr>
          <w:rFonts w:ascii="Arial" w:hAnsi="Arial" w:cs="Arial"/>
          <w:sz w:val="24"/>
          <w:szCs w:val="24"/>
        </w:rPr>
        <w:t>F</w:t>
      </w:r>
      <w:r w:rsidR="00675FE3" w:rsidRPr="00DB7156">
        <w:rPr>
          <w:rFonts w:ascii="Arial" w:hAnsi="Arial" w:cs="Arial"/>
          <w:sz w:val="24"/>
          <w:szCs w:val="24"/>
        </w:rPr>
        <w:t xml:space="preserve">ederal </w:t>
      </w:r>
      <w:r w:rsidR="001978E8" w:rsidRPr="00DB7156">
        <w:rPr>
          <w:rFonts w:ascii="Arial" w:hAnsi="Arial" w:cs="Arial"/>
          <w:sz w:val="24"/>
          <w:szCs w:val="24"/>
        </w:rPr>
        <w:t xml:space="preserve">CCR Rule. The proposal </w:t>
      </w:r>
      <w:r w:rsidR="00675FE3" w:rsidRPr="00DB7156">
        <w:rPr>
          <w:rFonts w:ascii="Arial" w:hAnsi="Arial" w:cs="Arial"/>
          <w:sz w:val="24"/>
          <w:szCs w:val="24"/>
        </w:rPr>
        <w:t xml:space="preserve">addresses </w:t>
      </w:r>
      <w:r w:rsidR="001978E8" w:rsidRPr="00DB7156">
        <w:rPr>
          <w:rFonts w:ascii="Arial" w:hAnsi="Arial" w:cs="Arial"/>
          <w:sz w:val="24"/>
          <w:szCs w:val="24"/>
        </w:rPr>
        <w:t xml:space="preserve">four provisions of the </w:t>
      </w:r>
      <w:r w:rsidR="00F0735B">
        <w:rPr>
          <w:rFonts w:ascii="Arial" w:hAnsi="Arial" w:cs="Arial"/>
          <w:sz w:val="24"/>
          <w:szCs w:val="24"/>
        </w:rPr>
        <w:t xml:space="preserve">Federal </w:t>
      </w:r>
      <w:r w:rsidR="001978E8" w:rsidRPr="00DB7156">
        <w:rPr>
          <w:rFonts w:ascii="Arial" w:hAnsi="Arial" w:cs="Arial"/>
          <w:sz w:val="24"/>
          <w:szCs w:val="24"/>
        </w:rPr>
        <w:t xml:space="preserve">CCR </w:t>
      </w:r>
      <w:r w:rsidR="00834EFD">
        <w:rPr>
          <w:rFonts w:ascii="Arial" w:hAnsi="Arial" w:cs="Arial"/>
          <w:sz w:val="24"/>
          <w:szCs w:val="24"/>
        </w:rPr>
        <w:t>R</w:t>
      </w:r>
      <w:r w:rsidR="001978E8" w:rsidRPr="00DB7156">
        <w:rPr>
          <w:rFonts w:ascii="Arial" w:hAnsi="Arial" w:cs="Arial"/>
          <w:sz w:val="24"/>
          <w:szCs w:val="24"/>
        </w:rPr>
        <w:t xml:space="preserve">ule that the </w:t>
      </w:r>
      <w:r w:rsidR="00EF5F82" w:rsidRPr="00DB7156">
        <w:rPr>
          <w:rFonts w:ascii="Arial" w:hAnsi="Arial" w:cs="Arial"/>
          <w:sz w:val="24"/>
          <w:szCs w:val="24"/>
        </w:rPr>
        <w:t xml:space="preserve">Court </w:t>
      </w:r>
      <w:r w:rsidR="001978E8" w:rsidRPr="00DB7156">
        <w:rPr>
          <w:rFonts w:ascii="Arial" w:hAnsi="Arial" w:cs="Arial"/>
          <w:sz w:val="24"/>
          <w:szCs w:val="24"/>
        </w:rPr>
        <w:t>remanded to EPA in 2016 and allows</w:t>
      </w:r>
      <w:r w:rsidR="00675FE3" w:rsidRPr="00DB7156">
        <w:rPr>
          <w:rFonts w:ascii="Arial" w:hAnsi="Arial" w:cs="Arial"/>
          <w:sz w:val="24"/>
          <w:szCs w:val="24"/>
        </w:rPr>
        <w:t xml:space="preserve"> for</w:t>
      </w:r>
      <w:r w:rsidR="001978E8" w:rsidRPr="00DB7156">
        <w:rPr>
          <w:rFonts w:ascii="Arial" w:hAnsi="Arial" w:cs="Arial"/>
          <w:sz w:val="24"/>
          <w:szCs w:val="24"/>
        </w:rPr>
        <w:t xml:space="preserve"> </w:t>
      </w:r>
      <w:r w:rsidR="00EF5F82" w:rsidRPr="00DB7156">
        <w:rPr>
          <w:rFonts w:ascii="Arial" w:hAnsi="Arial" w:cs="Arial"/>
          <w:sz w:val="24"/>
          <w:szCs w:val="24"/>
        </w:rPr>
        <w:t>certain</w:t>
      </w:r>
      <w:r w:rsidR="00675FE3" w:rsidRPr="00DB7156">
        <w:rPr>
          <w:rFonts w:ascii="Arial" w:hAnsi="Arial" w:cs="Arial"/>
          <w:sz w:val="24"/>
          <w:szCs w:val="24"/>
        </w:rPr>
        <w:t xml:space="preserve"> risk-based,</w:t>
      </w:r>
      <w:r w:rsidR="00EF5F82" w:rsidRPr="00DB7156">
        <w:rPr>
          <w:rFonts w:ascii="Arial" w:hAnsi="Arial" w:cs="Arial"/>
          <w:sz w:val="24"/>
          <w:szCs w:val="24"/>
        </w:rPr>
        <w:t xml:space="preserve"> </w:t>
      </w:r>
      <w:r w:rsidR="001978E8" w:rsidRPr="00DB7156">
        <w:rPr>
          <w:rFonts w:ascii="Arial" w:hAnsi="Arial" w:cs="Arial"/>
          <w:sz w:val="24"/>
          <w:szCs w:val="24"/>
        </w:rPr>
        <w:t xml:space="preserve">alternative performance standards for coal ash disposal units </w:t>
      </w:r>
      <w:r w:rsidR="00675FE3" w:rsidRPr="00DB7156">
        <w:rPr>
          <w:rFonts w:ascii="Arial" w:hAnsi="Arial" w:cs="Arial"/>
          <w:sz w:val="24"/>
          <w:szCs w:val="24"/>
        </w:rPr>
        <w:t xml:space="preserve">that operate under </w:t>
      </w:r>
      <w:r w:rsidR="001978E8" w:rsidRPr="00DB7156">
        <w:rPr>
          <w:rFonts w:ascii="Arial" w:hAnsi="Arial" w:cs="Arial"/>
          <w:sz w:val="24"/>
          <w:szCs w:val="24"/>
        </w:rPr>
        <w:t xml:space="preserve">an approved state or federal permit program. </w:t>
      </w:r>
    </w:p>
    <w:p w14:paraId="17489B90" w14:textId="77777777" w:rsidR="00675FE3" w:rsidRPr="00DB7156" w:rsidRDefault="00675FE3" w:rsidP="00DB7156">
      <w:pPr>
        <w:spacing w:after="0" w:line="240" w:lineRule="auto"/>
        <w:jc w:val="both"/>
        <w:rPr>
          <w:rFonts w:ascii="Arial" w:hAnsi="Arial" w:cs="Arial"/>
          <w:sz w:val="24"/>
          <w:szCs w:val="24"/>
        </w:rPr>
      </w:pPr>
    </w:p>
    <w:p w14:paraId="52294459" w14:textId="38B1B7CF" w:rsidR="001978E8" w:rsidRDefault="001978E8" w:rsidP="00DB7156">
      <w:pPr>
        <w:spacing w:after="0" w:line="240" w:lineRule="auto"/>
        <w:jc w:val="both"/>
        <w:rPr>
          <w:rFonts w:ascii="Arial" w:hAnsi="Arial" w:cs="Arial"/>
          <w:bCs/>
          <w:sz w:val="24"/>
          <w:szCs w:val="24"/>
        </w:rPr>
      </w:pPr>
      <w:r w:rsidRPr="00DB7156">
        <w:rPr>
          <w:rFonts w:ascii="Arial" w:hAnsi="Arial" w:cs="Arial"/>
          <w:sz w:val="24"/>
          <w:szCs w:val="24"/>
        </w:rPr>
        <w:t xml:space="preserve">On July 30, 2018, EPA published the Phase </w:t>
      </w:r>
      <w:r w:rsidR="00675FE3" w:rsidRPr="00DB7156">
        <w:rPr>
          <w:rFonts w:ascii="Arial" w:hAnsi="Arial" w:cs="Arial"/>
          <w:sz w:val="24"/>
          <w:szCs w:val="24"/>
        </w:rPr>
        <w:t>One</w:t>
      </w:r>
      <w:r w:rsidRPr="00DB7156">
        <w:rPr>
          <w:rFonts w:ascii="Arial" w:hAnsi="Arial" w:cs="Arial"/>
          <w:sz w:val="24"/>
          <w:szCs w:val="24"/>
        </w:rPr>
        <w:t xml:space="preserve">, Part One Amendments to the </w:t>
      </w:r>
      <w:r w:rsidR="00675244">
        <w:rPr>
          <w:rFonts w:ascii="Arial" w:hAnsi="Arial" w:cs="Arial"/>
          <w:sz w:val="24"/>
          <w:szCs w:val="24"/>
        </w:rPr>
        <w:t xml:space="preserve">Federal </w:t>
      </w:r>
      <w:r w:rsidRPr="00DB7156">
        <w:rPr>
          <w:rFonts w:ascii="Arial" w:hAnsi="Arial" w:cs="Arial"/>
          <w:sz w:val="24"/>
          <w:szCs w:val="24"/>
        </w:rPr>
        <w:t xml:space="preserve">CCR Rule, entitled “Hazardous and Solid Waste Management System: Disposal of Coal Combustion </w:t>
      </w:r>
      <w:r w:rsidR="005A5258">
        <w:rPr>
          <w:rFonts w:ascii="Arial" w:hAnsi="Arial" w:cs="Arial"/>
          <w:sz w:val="24"/>
          <w:szCs w:val="24"/>
        </w:rPr>
        <w:t>Residuals</w:t>
      </w:r>
      <w:r w:rsidR="005A5258" w:rsidRPr="00DB7156">
        <w:rPr>
          <w:rFonts w:ascii="Arial" w:hAnsi="Arial" w:cs="Arial"/>
          <w:sz w:val="24"/>
          <w:szCs w:val="24"/>
        </w:rPr>
        <w:t xml:space="preserve"> </w:t>
      </w:r>
      <w:r w:rsidRPr="00DB7156">
        <w:rPr>
          <w:rFonts w:ascii="Arial" w:hAnsi="Arial" w:cs="Arial"/>
          <w:sz w:val="24"/>
          <w:szCs w:val="24"/>
        </w:rPr>
        <w:t xml:space="preserve">From Electric Utilities: Amendments to the National Minimum Criteria (Phase </w:t>
      </w:r>
      <w:r w:rsidR="00675FE3" w:rsidRPr="00DB7156">
        <w:rPr>
          <w:rFonts w:ascii="Arial" w:hAnsi="Arial" w:cs="Arial"/>
          <w:sz w:val="24"/>
          <w:szCs w:val="24"/>
        </w:rPr>
        <w:t>One, Part One</w:t>
      </w:r>
      <w:r w:rsidRPr="00DB7156">
        <w:rPr>
          <w:rFonts w:ascii="Arial" w:hAnsi="Arial" w:cs="Arial"/>
          <w:sz w:val="24"/>
          <w:szCs w:val="24"/>
        </w:rPr>
        <w:t>)</w:t>
      </w:r>
      <w:r w:rsidR="00675FE3" w:rsidRPr="00DB7156">
        <w:rPr>
          <w:rFonts w:ascii="Arial" w:hAnsi="Arial" w:cs="Arial"/>
          <w:sz w:val="24"/>
          <w:szCs w:val="24"/>
        </w:rPr>
        <w:t>.”</w:t>
      </w:r>
      <w:r w:rsidR="00A24B0C" w:rsidRPr="00DB7156">
        <w:rPr>
          <w:rFonts w:ascii="Arial" w:hAnsi="Arial" w:cs="Arial"/>
          <w:sz w:val="24"/>
          <w:szCs w:val="24"/>
        </w:rPr>
        <w:t xml:space="preserve"> In </w:t>
      </w:r>
      <w:r w:rsidR="00675FE3" w:rsidRPr="00DB7156">
        <w:rPr>
          <w:rFonts w:ascii="Arial" w:hAnsi="Arial" w:cs="Arial"/>
          <w:sz w:val="24"/>
          <w:szCs w:val="24"/>
        </w:rPr>
        <w:t>this rulemaking</w:t>
      </w:r>
      <w:r w:rsidR="00A24B0C" w:rsidRPr="00DB7156">
        <w:rPr>
          <w:rFonts w:ascii="Arial" w:hAnsi="Arial" w:cs="Arial"/>
          <w:sz w:val="24"/>
          <w:szCs w:val="24"/>
        </w:rPr>
        <w:t>, EPA</w:t>
      </w:r>
      <w:r w:rsidRPr="00DB7156">
        <w:rPr>
          <w:rFonts w:ascii="Arial" w:hAnsi="Arial" w:cs="Arial"/>
          <w:sz w:val="24"/>
          <w:szCs w:val="24"/>
        </w:rPr>
        <w:t xml:space="preserve"> finalize</w:t>
      </w:r>
      <w:r w:rsidR="00A24B0C" w:rsidRPr="00DB7156">
        <w:rPr>
          <w:rFonts w:ascii="Arial" w:hAnsi="Arial" w:cs="Arial"/>
          <w:sz w:val="24"/>
          <w:szCs w:val="24"/>
        </w:rPr>
        <w:t>d</w:t>
      </w:r>
      <w:r w:rsidRPr="00DB7156">
        <w:rPr>
          <w:rFonts w:ascii="Arial" w:hAnsi="Arial" w:cs="Arial"/>
          <w:sz w:val="24"/>
          <w:szCs w:val="24"/>
        </w:rPr>
        <w:t xml:space="preserve"> portions of the March 2018 proposed Phase </w:t>
      </w:r>
      <w:r w:rsidR="00CF176B">
        <w:rPr>
          <w:rFonts w:ascii="Arial" w:hAnsi="Arial" w:cs="Arial"/>
          <w:sz w:val="24"/>
          <w:szCs w:val="24"/>
        </w:rPr>
        <w:t>One</w:t>
      </w:r>
      <w:r w:rsidRPr="00DB7156">
        <w:rPr>
          <w:rFonts w:ascii="Arial" w:hAnsi="Arial" w:cs="Arial"/>
          <w:sz w:val="24"/>
          <w:szCs w:val="24"/>
        </w:rPr>
        <w:t xml:space="preserve"> Amendments</w:t>
      </w:r>
      <w:r w:rsidR="00535FCC" w:rsidRPr="00DB7156">
        <w:rPr>
          <w:rFonts w:ascii="Arial" w:hAnsi="Arial" w:cs="Arial"/>
          <w:sz w:val="24"/>
          <w:szCs w:val="24"/>
        </w:rPr>
        <w:t xml:space="preserve">, </w:t>
      </w:r>
      <w:r w:rsidR="00675FE3" w:rsidRPr="00DB7156">
        <w:rPr>
          <w:rFonts w:ascii="Arial" w:hAnsi="Arial" w:cs="Arial"/>
          <w:bCs/>
          <w:sz w:val="24"/>
          <w:szCs w:val="24"/>
        </w:rPr>
        <w:t xml:space="preserve">addressing </w:t>
      </w:r>
      <w:r w:rsidRPr="00DB7156">
        <w:rPr>
          <w:rFonts w:ascii="Arial" w:hAnsi="Arial" w:cs="Arial"/>
          <w:bCs/>
          <w:sz w:val="24"/>
          <w:szCs w:val="24"/>
        </w:rPr>
        <w:t>the following specific issues:</w:t>
      </w:r>
    </w:p>
    <w:p w14:paraId="14E548CF" w14:textId="77777777" w:rsidR="00A40796" w:rsidRPr="00DB7156" w:rsidRDefault="00A40796" w:rsidP="00DB7156">
      <w:pPr>
        <w:spacing w:after="0" w:line="240" w:lineRule="auto"/>
        <w:jc w:val="both"/>
        <w:rPr>
          <w:rFonts w:ascii="Arial" w:hAnsi="Arial" w:cs="Arial"/>
          <w:sz w:val="24"/>
          <w:szCs w:val="24"/>
        </w:rPr>
      </w:pPr>
    </w:p>
    <w:p w14:paraId="142FDE54" w14:textId="1598ED0C" w:rsidR="001978E8" w:rsidRPr="00DB7156" w:rsidRDefault="00535FCC" w:rsidP="00A40796">
      <w:pPr>
        <w:pStyle w:val="ListParagraph"/>
        <w:numPr>
          <w:ilvl w:val="0"/>
          <w:numId w:val="20"/>
        </w:numPr>
        <w:spacing w:after="160" w:line="259" w:lineRule="auto"/>
        <w:ind w:left="720"/>
        <w:contextualSpacing/>
        <w:jc w:val="both"/>
        <w:rPr>
          <w:rFonts w:ascii="Arial" w:hAnsi="Arial" w:cs="Arial"/>
        </w:rPr>
      </w:pPr>
      <w:r w:rsidRPr="00DB7156">
        <w:rPr>
          <w:rFonts w:ascii="Arial" w:hAnsi="Arial" w:cs="Arial"/>
          <w:bCs/>
        </w:rPr>
        <w:t xml:space="preserve">Allows </w:t>
      </w:r>
      <w:r w:rsidR="001978E8" w:rsidRPr="00DB7156">
        <w:rPr>
          <w:rFonts w:ascii="Arial" w:hAnsi="Arial" w:cs="Arial"/>
          <w:bCs/>
        </w:rPr>
        <w:t xml:space="preserve">additional time (until October 31, 2020) to cease receipt of CCR and non-CCR waste streams for CCR surface impoundments that </w:t>
      </w:r>
      <w:r w:rsidR="00B02FE5">
        <w:rPr>
          <w:rFonts w:ascii="Arial" w:hAnsi="Arial" w:cs="Arial"/>
          <w:bCs/>
        </w:rPr>
        <w:t>do not demonstrate compliance with the location restriction regarding placement above an uppermost aquifer and unlined units that have</w:t>
      </w:r>
      <w:r w:rsidR="00656476">
        <w:rPr>
          <w:rFonts w:ascii="Arial" w:hAnsi="Arial" w:cs="Arial"/>
          <w:bCs/>
        </w:rPr>
        <w:t xml:space="preserve"> </w:t>
      </w:r>
      <w:r w:rsidR="00B02FE5">
        <w:rPr>
          <w:rFonts w:ascii="Arial" w:hAnsi="Arial" w:cs="Arial"/>
          <w:bCs/>
        </w:rPr>
        <w:t>detected a statistically significant increase above a groundwater protection standard</w:t>
      </w:r>
      <w:r w:rsidR="00675FE3" w:rsidRPr="00DB7156">
        <w:rPr>
          <w:rFonts w:ascii="Arial" w:hAnsi="Arial" w:cs="Arial"/>
          <w:bCs/>
        </w:rPr>
        <w:t xml:space="preserve">. </w:t>
      </w:r>
      <w:r w:rsidR="00CF39C7">
        <w:rPr>
          <w:rFonts w:ascii="Arial" w:hAnsi="Arial" w:cs="Arial"/>
          <w:bCs/>
        </w:rPr>
        <w:t>U</w:t>
      </w:r>
      <w:r w:rsidR="00675FE3" w:rsidRPr="00DB7156">
        <w:rPr>
          <w:rFonts w:ascii="Arial" w:hAnsi="Arial" w:cs="Arial"/>
          <w:bCs/>
        </w:rPr>
        <w:t xml:space="preserve">nits failing to demonstrate compliance with </w:t>
      </w:r>
      <w:r w:rsidR="004F42FC">
        <w:rPr>
          <w:rFonts w:ascii="Arial" w:hAnsi="Arial" w:cs="Arial"/>
          <w:bCs/>
        </w:rPr>
        <w:t>the structural stability assessment, safety factor assessment, or</w:t>
      </w:r>
      <w:r w:rsidR="00656476">
        <w:rPr>
          <w:rFonts w:ascii="Arial" w:hAnsi="Arial" w:cs="Arial"/>
          <w:bCs/>
        </w:rPr>
        <w:t xml:space="preserve"> </w:t>
      </w:r>
      <w:r w:rsidR="00675FE3" w:rsidRPr="00DB7156">
        <w:rPr>
          <w:rFonts w:ascii="Arial" w:hAnsi="Arial" w:cs="Arial"/>
          <w:bCs/>
        </w:rPr>
        <w:t xml:space="preserve">four </w:t>
      </w:r>
      <w:r w:rsidR="004F42FC">
        <w:rPr>
          <w:rFonts w:ascii="Arial" w:hAnsi="Arial" w:cs="Arial"/>
          <w:bCs/>
        </w:rPr>
        <w:t xml:space="preserve">of the </w:t>
      </w:r>
      <w:r w:rsidR="00675FE3" w:rsidRPr="00DB7156">
        <w:rPr>
          <w:rFonts w:ascii="Arial" w:hAnsi="Arial" w:cs="Arial"/>
          <w:bCs/>
        </w:rPr>
        <w:t>location restrictions</w:t>
      </w:r>
      <w:r w:rsidRPr="00DB7156">
        <w:rPr>
          <w:rFonts w:ascii="Arial" w:hAnsi="Arial" w:cs="Arial"/>
          <w:bCs/>
        </w:rPr>
        <w:t xml:space="preserve"> </w:t>
      </w:r>
      <w:r w:rsidR="004F42FC" w:rsidRPr="00DB7156">
        <w:rPr>
          <w:rFonts w:ascii="Arial" w:hAnsi="Arial" w:cs="Arial"/>
          <w:bCs/>
        </w:rPr>
        <w:t>(wetlands, unstable areas, seismic impact zones and faults)</w:t>
      </w:r>
      <w:r w:rsidR="00CF176B">
        <w:rPr>
          <w:rFonts w:ascii="Arial" w:hAnsi="Arial" w:cs="Arial"/>
          <w:bCs/>
        </w:rPr>
        <w:t xml:space="preserve"> do not</w:t>
      </w:r>
      <w:r w:rsidR="00E5071B">
        <w:rPr>
          <w:rFonts w:ascii="Arial" w:hAnsi="Arial" w:cs="Arial"/>
          <w:bCs/>
        </w:rPr>
        <w:t xml:space="preserve"> </w:t>
      </w:r>
      <w:r w:rsidR="00F27A3A">
        <w:rPr>
          <w:rFonts w:ascii="Arial" w:hAnsi="Arial" w:cs="Arial"/>
          <w:bCs/>
        </w:rPr>
        <w:t>qualify</w:t>
      </w:r>
      <w:r w:rsidR="00E5071B">
        <w:rPr>
          <w:rFonts w:ascii="Arial" w:hAnsi="Arial" w:cs="Arial"/>
          <w:bCs/>
        </w:rPr>
        <w:t xml:space="preserve"> for</w:t>
      </w:r>
      <w:r w:rsidR="00CF176B">
        <w:rPr>
          <w:rFonts w:ascii="Arial" w:hAnsi="Arial" w:cs="Arial"/>
          <w:bCs/>
        </w:rPr>
        <w:t xml:space="preserve"> the</w:t>
      </w:r>
      <w:r w:rsidR="00E5071B">
        <w:rPr>
          <w:rFonts w:ascii="Arial" w:hAnsi="Arial" w:cs="Arial"/>
          <w:bCs/>
        </w:rPr>
        <w:t xml:space="preserve"> additional time</w:t>
      </w:r>
      <w:r w:rsidR="001978E8" w:rsidRPr="00DB7156">
        <w:rPr>
          <w:rFonts w:ascii="Arial" w:hAnsi="Arial" w:cs="Arial"/>
          <w:bCs/>
        </w:rPr>
        <w:t>.</w:t>
      </w:r>
    </w:p>
    <w:p w14:paraId="626CF26C" w14:textId="77777777" w:rsidR="00A40796" w:rsidRPr="00A40796" w:rsidRDefault="001978E8" w:rsidP="00A40796">
      <w:pPr>
        <w:pStyle w:val="ListParagraph"/>
        <w:numPr>
          <w:ilvl w:val="0"/>
          <w:numId w:val="20"/>
        </w:numPr>
        <w:spacing w:after="160" w:line="259" w:lineRule="auto"/>
        <w:ind w:left="720"/>
        <w:contextualSpacing/>
        <w:jc w:val="both"/>
        <w:rPr>
          <w:rFonts w:ascii="Arial" w:hAnsi="Arial" w:cs="Arial"/>
        </w:rPr>
      </w:pPr>
      <w:r w:rsidRPr="00DB7156">
        <w:rPr>
          <w:rFonts w:ascii="Arial" w:hAnsi="Arial" w:cs="Arial"/>
          <w:bCs/>
        </w:rPr>
        <w:t xml:space="preserve">Groundwater protection standards were established for four constituents that do not have EPA maximum contaminant levels. </w:t>
      </w:r>
    </w:p>
    <w:p w14:paraId="0B7107BF" w14:textId="20F14190" w:rsidR="001978E8" w:rsidRPr="00DB7156" w:rsidRDefault="001978E8" w:rsidP="00A40796">
      <w:pPr>
        <w:pStyle w:val="ListParagraph"/>
        <w:spacing w:after="160" w:line="259" w:lineRule="auto"/>
        <w:contextualSpacing/>
        <w:jc w:val="both"/>
        <w:rPr>
          <w:rFonts w:ascii="Arial" w:hAnsi="Arial" w:cs="Arial"/>
        </w:rPr>
      </w:pPr>
      <w:r w:rsidRPr="00DB7156">
        <w:rPr>
          <w:rFonts w:ascii="Arial" w:hAnsi="Arial" w:cs="Arial"/>
          <w:bCs/>
        </w:rPr>
        <w:t xml:space="preserve"> </w:t>
      </w:r>
    </w:p>
    <w:p w14:paraId="0A42EBF4" w14:textId="0B607C94" w:rsidR="001978E8" w:rsidRPr="00DB7156" w:rsidRDefault="00A24B0C" w:rsidP="00A40796">
      <w:pPr>
        <w:pStyle w:val="ListParagraph"/>
        <w:numPr>
          <w:ilvl w:val="0"/>
          <w:numId w:val="20"/>
        </w:numPr>
        <w:autoSpaceDE w:val="0"/>
        <w:autoSpaceDN w:val="0"/>
        <w:adjustRightInd w:val="0"/>
        <w:ind w:left="720"/>
        <w:contextualSpacing/>
        <w:jc w:val="both"/>
        <w:rPr>
          <w:rFonts w:ascii="Arial" w:hAnsi="Arial" w:cs="Arial"/>
        </w:rPr>
      </w:pPr>
      <w:r w:rsidRPr="00DB7156">
        <w:rPr>
          <w:rFonts w:ascii="Arial" w:hAnsi="Arial" w:cs="Arial"/>
        </w:rPr>
        <w:t>A</w:t>
      </w:r>
      <w:r w:rsidR="001978E8" w:rsidRPr="00DB7156">
        <w:rPr>
          <w:rFonts w:ascii="Arial" w:hAnsi="Arial" w:cs="Arial"/>
        </w:rPr>
        <w:t>llow</w:t>
      </w:r>
      <w:r w:rsidRPr="00DB7156">
        <w:rPr>
          <w:rFonts w:ascii="Arial" w:hAnsi="Arial" w:cs="Arial"/>
        </w:rPr>
        <w:t>s</w:t>
      </w:r>
      <w:r w:rsidR="001978E8" w:rsidRPr="00DB7156">
        <w:rPr>
          <w:rFonts w:ascii="Arial" w:hAnsi="Arial" w:cs="Arial"/>
        </w:rPr>
        <w:t xml:space="preserve"> a participating State Director or EPA where EPA is the permitting authority to:</w:t>
      </w:r>
    </w:p>
    <w:p w14:paraId="4462A0A5" w14:textId="77777777" w:rsidR="001978E8" w:rsidRPr="00DB7156" w:rsidRDefault="001978E8" w:rsidP="00700202">
      <w:pPr>
        <w:pStyle w:val="ListParagraph"/>
        <w:numPr>
          <w:ilvl w:val="1"/>
          <w:numId w:val="20"/>
        </w:numPr>
        <w:autoSpaceDE w:val="0"/>
        <w:autoSpaceDN w:val="0"/>
        <w:adjustRightInd w:val="0"/>
        <w:ind w:left="1440"/>
        <w:contextualSpacing/>
        <w:jc w:val="both"/>
        <w:rPr>
          <w:rFonts w:ascii="Arial" w:hAnsi="Arial" w:cs="Arial"/>
        </w:rPr>
      </w:pPr>
      <w:r w:rsidRPr="00DB7156">
        <w:rPr>
          <w:rFonts w:ascii="Arial" w:hAnsi="Arial" w:cs="Arial"/>
        </w:rPr>
        <w:t>Issue technical certifications in lieu of the current requirement to have professional engineers issue certifications</w:t>
      </w:r>
      <w:r w:rsidRPr="00DB7156">
        <w:rPr>
          <w:rFonts w:ascii="Arial" w:hAnsi="Arial" w:cs="Arial"/>
          <w:bCs/>
        </w:rPr>
        <w:t>.</w:t>
      </w:r>
    </w:p>
    <w:p w14:paraId="16B9ABD7" w14:textId="0C1C61D2" w:rsidR="001978E8" w:rsidRPr="00F0735B" w:rsidRDefault="001978E8" w:rsidP="00700202">
      <w:pPr>
        <w:pStyle w:val="ListParagraph"/>
        <w:numPr>
          <w:ilvl w:val="1"/>
          <w:numId w:val="20"/>
        </w:numPr>
        <w:autoSpaceDE w:val="0"/>
        <w:autoSpaceDN w:val="0"/>
        <w:adjustRightInd w:val="0"/>
        <w:ind w:left="1440"/>
        <w:contextualSpacing/>
        <w:jc w:val="both"/>
        <w:rPr>
          <w:rFonts w:ascii="Arial" w:hAnsi="Arial" w:cs="Arial"/>
        </w:rPr>
      </w:pPr>
      <w:r w:rsidRPr="00DB7156">
        <w:rPr>
          <w:rFonts w:ascii="Arial" w:hAnsi="Arial" w:cs="Arial"/>
        </w:rPr>
        <w:t>Suspend groundwater monitoring requirements if there is evidence that there is no potential for migration of hazardous constituents to the uppermost aquifer during the active life of the unit and the post-closure care period</w:t>
      </w:r>
      <w:r w:rsidRPr="00DB7156">
        <w:rPr>
          <w:rFonts w:ascii="Arial" w:hAnsi="Arial" w:cs="Arial"/>
          <w:bCs/>
        </w:rPr>
        <w:t>.</w:t>
      </w:r>
    </w:p>
    <w:p w14:paraId="169FFB2F" w14:textId="77777777" w:rsidR="00700202" w:rsidRDefault="00700202" w:rsidP="00DF3ED0">
      <w:pPr>
        <w:autoSpaceDE w:val="0"/>
        <w:autoSpaceDN w:val="0"/>
        <w:adjustRightInd w:val="0"/>
        <w:contextualSpacing/>
        <w:jc w:val="both"/>
        <w:rPr>
          <w:rFonts w:ascii="Arial" w:hAnsi="Arial" w:cs="Arial"/>
          <w:sz w:val="24"/>
          <w:szCs w:val="24"/>
        </w:rPr>
      </w:pPr>
    </w:p>
    <w:p w14:paraId="37E1604C" w14:textId="27F905B3" w:rsidR="00F0735B" w:rsidRPr="00D61F48" w:rsidRDefault="00DF3ED0" w:rsidP="00DF3ED0">
      <w:pPr>
        <w:autoSpaceDE w:val="0"/>
        <w:autoSpaceDN w:val="0"/>
        <w:adjustRightInd w:val="0"/>
        <w:contextualSpacing/>
        <w:jc w:val="both"/>
        <w:rPr>
          <w:rFonts w:ascii="Arial" w:hAnsi="Arial" w:cs="Arial"/>
          <w:sz w:val="24"/>
          <w:szCs w:val="24"/>
        </w:rPr>
      </w:pPr>
      <w:r w:rsidRPr="00D61F48">
        <w:rPr>
          <w:rFonts w:ascii="Arial" w:hAnsi="Arial" w:cs="Arial"/>
          <w:sz w:val="24"/>
          <w:szCs w:val="24"/>
        </w:rPr>
        <w:t xml:space="preserve">Georgia </w:t>
      </w:r>
      <w:r w:rsidR="00F0735B" w:rsidRPr="00D61F48">
        <w:rPr>
          <w:rFonts w:ascii="Arial" w:hAnsi="Arial" w:cs="Arial"/>
          <w:sz w:val="24"/>
          <w:szCs w:val="24"/>
        </w:rPr>
        <w:t xml:space="preserve">EPD has not </w:t>
      </w:r>
      <w:r w:rsidRPr="00D61F48">
        <w:rPr>
          <w:rFonts w:ascii="Arial" w:hAnsi="Arial" w:cs="Arial"/>
          <w:sz w:val="24"/>
          <w:szCs w:val="24"/>
        </w:rPr>
        <w:t xml:space="preserve">yet </w:t>
      </w:r>
      <w:r w:rsidR="00F0735B" w:rsidRPr="00D61F48">
        <w:rPr>
          <w:rFonts w:ascii="Arial" w:hAnsi="Arial" w:cs="Arial"/>
          <w:sz w:val="24"/>
          <w:szCs w:val="24"/>
        </w:rPr>
        <w:t xml:space="preserve">amended </w:t>
      </w:r>
      <w:r w:rsidRPr="00D61F48">
        <w:rPr>
          <w:rFonts w:ascii="Arial" w:hAnsi="Arial" w:cs="Arial"/>
          <w:sz w:val="24"/>
          <w:szCs w:val="24"/>
        </w:rPr>
        <w:t xml:space="preserve">the Georgia </w:t>
      </w:r>
      <w:r w:rsidR="00F0735B" w:rsidRPr="00D61F48">
        <w:rPr>
          <w:rFonts w:ascii="Arial" w:hAnsi="Arial" w:cs="Arial"/>
          <w:sz w:val="24"/>
          <w:szCs w:val="24"/>
        </w:rPr>
        <w:t xml:space="preserve">CCR Rule to adopt </w:t>
      </w:r>
      <w:r w:rsidR="005A5258">
        <w:rPr>
          <w:rFonts w:ascii="Arial" w:hAnsi="Arial" w:cs="Arial"/>
          <w:sz w:val="24"/>
          <w:szCs w:val="24"/>
        </w:rPr>
        <w:t xml:space="preserve">EPA’s final </w:t>
      </w:r>
      <w:r w:rsidR="00F0735B" w:rsidRPr="00D61F48">
        <w:rPr>
          <w:rFonts w:ascii="Arial" w:hAnsi="Arial" w:cs="Arial"/>
          <w:sz w:val="24"/>
          <w:szCs w:val="24"/>
        </w:rPr>
        <w:t>Phase One, Part One</w:t>
      </w:r>
      <w:r w:rsidR="005A5258">
        <w:rPr>
          <w:rFonts w:ascii="Arial" w:hAnsi="Arial" w:cs="Arial"/>
          <w:sz w:val="24"/>
          <w:szCs w:val="24"/>
        </w:rPr>
        <w:t xml:space="preserve"> rule</w:t>
      </w:r>
      <w:r w:rsidRPr="00D61F48">
        <w:rPr>
          <w:rFonts w:ascii="Arial" w:hAnsi="Arial" w:cs="Arial"/>
          <w:sz w:val="24"/>
          <w:szCs w:val="24"/>
        </w:rPr>
        <w:t>.</w:t>
      </w:r>
    </w:p>
    <w:p w14:paraId="7C0FD7B1" w14:textId="63C9E255" w:rsidR="00414258" w:rsidRPr="00DB7156" w:rsidRDefault="00414258" w:rsidP="00DB7156">
      <w:pPr>
        <w:spacing w:after="0" w:line="240" w:lineRule="auto"/>
        <w:jc w:val="both"/>
        <w:rPr>
          <w:rFonts w:ascii="Arial" w:eastAsia="Calibri" w:hAnsi="Arial" w:cs="Arial"/>
          <w:color w:val="000000"/>
          <w:sz w:val="24"/>
          <w:szCs w:val="24"/>
        </w:rPr>
      </w:pPr>
    </w:p>
    <w:p w14:paraId="268A5CCE" w14:textId="089D1385" w:rsidR="001978E8" w:rsidRDefault="001978E8" w:rsidP="004A6F9C">
      <w:pPr>
        <w:autoSpaceDE w:val="0"/>
        <w:autoSpaceDN w:val="0"/>
        <w:spacing w:after="0" w:line="240" w:lineRule="auto"/>
        <w:jc w:val="both"/>
        <w:rPr>
          <w:rFonts w:ascii="Arial" w:hAnsi="Arial" w:cs="Arial"/>
          <w:color w:val="000000"/>
          <w:sz w:val="24"/>
          <w:szCs w:val="24"/>
        </w:rPr>
      </w:pPr>
      <w:bookmarkStart w:id="136" w:name="_Hlk535229356"/>
      <w:r w:rsidRPr="00DB7156">
        <w:rPr>
          <w:rFonts w:ascii="Arial" w:hAnsi="Arial" w:cs="Arial"/>
          <w:color w:val="000000"/>
          <w:sz w:val="24"/>
          <w:szCs w:val="24"/>
        </w:rPr>
        <w:t xml:space="preserve">On August 21, </w:t>
      </w:r>
      <w:r w:rsidR="00D11985" w:rsidRPr="00DB7156">
        <w:rPr>
          <w:rFonts w:ascii="Arial" w:hAnsi="Arial" w:cs="Arial"/>
          <w:color w:val="000000"/>
          <w:sz w:val="24"/>
          <w:szCs w:val="24"/>
        </w:rPr>
        <w:t xml:space="preserve">2018, </w:t>
      </w:r>
      <w:r w:rsidRPr="00DB7156">
        <w:rPr>
          <w:rFonts w:ascii="Arial" w:hAnsi="Arial" w:cs="Arial"/>
          <w:color w:val="000000"/>
          <w:sz w:val="24"/>
          <w:szCs w:val="24"/>
        </w:rPr>
        <w:t>the D</w:t>
      </w:r>
      <w:r w:rsidR="00D11985" w:rsidRPr="00DB7156">
        <w:rPr>
          <w:rFonts w:ascii="Arial" w:hAnsi="Arial" w:cs="Arial"/>
          <w:color w:val="000000"/>
          <w:sz w:val="24"/>
          <w:szCs w:val="24"/>
        </w:rPr>
        <w:t>.</w:t>
      </w:r>
      <w:r w:rsidRPr="00DB7156">
        <w:rPr>
          <w:rFonts w:ascii="Arial" w:hAnsi="Arial" w:cs="Arial"/>
          <w:color w:val="000000"/>
          <w:sz w:val="24"/>
          <w:szCs w:val="24"/>
        </w:rPr>
        <w:t>C</w:t>
      </w:r>
      <w:r w:rsidR="00D11985" w:rsidRPr="00DB7156">
        <w:rPr>
          <w:rFonts w:ascii="Arial" w:hAnsi="Arial" w:cs="Arial"/>
          <w:color w:val="000000"/>
          <w:sz w:val="24"/>
          <w:szCs w:val="24"/>
        </w:rPr>
        <w:t>.</w:t>
      </w:r>
      <w:r w:rsidRPr="00DB7156">
        <w:rPr>
          <w:rFonts w:ascii="Arial" w:hAnsi="Arial" w:cs="Arial"/>
          <w:color w:val="000000"/>
          <w:sz w:val="24"/>
          <w:szCs w:val="24"/>
        </w:rPr>
        <w:t xml:space="preserve"> Circuit Court of Appeals issued its decision in the CCR litigation. The decision addresses all remaining issues raised </w:t>
      </w:r>
      <w:r w:rsidR="00AB5B3A" w:rsidRPr="00DB7156">
        <w:rPr>
          <w:rFonts w:ascii="Arial" w:hAnsi="Arial" w:cs="Arial"/>
          <w:color w:val="000000"/>
          <w:sz w:val="24"/>
          <w:szCs w:val="24"/>
        </w:rPr>
        <w:t xml:space="preserve">in the </w:t>
      </w:r>
      <w:r w:rsidR="00834EFD" w:rsidRPr="00DB7156">
        <w:rPr>
          <w:rFonts w:ascii="Arial" w:hAnsi="Arial" w:cs="Arial"/>
          <w:color w:val="000000"/>
          <w:sz w:val="24"/>
          <w:szCs w:val="24"/>
        </w:rPr>
        <w:t>litigation</w:t>
      </w:r>
      <w:r w:rsidRPr="00DB7156">
        <w:rPr>
          <w:rFonts w:ascii="Arial" w:hAnsi="Arial" w:cs="Arial"/>
          <w:color w:val="000000"/>
          <w:sz w:val="24"/>
          <w:szCs w:val="24"/>
        </w:rPr>
        <w:t xml:space="preserve">. </w:t>
      </w:r>
      <w:r w:rsidR="005A5258">
        <w:rPr>
          <w:rFonts w:ascii="Arial" w:hAnsi="Arial" w:cs="Arial"/>
          <w:color w:val="000000"/>
          <w:sz w:val="24"/>
          <w:szCs w:val="24"/>
        </w:rPr>
        <w:t>T</w:t>
      </w:r>
      <w:r w:rsidRPr="00DB7156">
        <w:rPr>
          <w:rFonts w:ascii="Arial" w:hAnsi="Arial" w:cs="Arial"/>
          <w:color w:val="000000"/>
          <w:sz w:val="24"/>
          <w:szCs w:val="24"/>
        </w:rPr>
        <w:t>he Court:</w:t>
      </w:r>
    </w:p>
    <w:p w14:paraId="0D029994" w14:textId="77777777" w:rsidR="00A40796" w:rsidRPr="00DB7156" w:rsidRDefault="00A40796" w:rsidP="004A6F9C">
      <w:pPr>
        <w:autoSpaceDE w:val="0"/>
        <w:autoSpaceDN w:val="0"/>
        <w:spacing w:after="0" w:line="240" w:lineRule="auto"/>
        <w:jc w:val="both"/>
        <w:rPr>
          <w:rFonts w:ascii="Arial" w:hAnsi="Arial" w:cs="Arial"/>
          <w:color w:val="000000"/>
          <w:sz w:val="24"/>
          <w:szCs w:val="24"/>
        </w:rPr>
      </w:pPr>
    </w:p>
    <w:p w14:paraId="667F002E" w14:textId="0E2EC90F" w:rsidR="001978E8" w:rsidRPr="00DB7156" w:rsidRDefault="001978E8" w:rsidP="00700202">
      <w:pPr>
        <w:pStyle w:val="ListParagraph"/>
        <w:numPr>
          <w:ilvl w:val="0"/>
          <w:numId w:val="23"/>
        </w:numPr>
        <w:autoSpaceDE w:val="0"/>
        <w:autoSpaceDN w:val="0"/>
        <w:ind w:left="1080"/>
        <w:jc w:val="both"/>
        <w:rPr>
          <w:rFonts w:ascii="Arial" w:hAnsi="Arial" w:cs="Arial"/>
          <w:color w:val="000000"/>
        </w:rPr>
      </w:pPr>
      <w:r w:rsidRPr="00DB7156">
        <w:rPr>
          <w:rFonts w:ascii="Arial" w:hAnsi="Arial" w:cs="Arial"/>
          <w:color w:val="000000"/>
        </w:rPr>
        <w:t>Denied EPA’s request to hold the case in abeyance</w:t>
      </w:r>
      <w:r w:rsidR="00B60007" w:rsidRPr="00DB7156">
        <w:rPr>
          <w:rFonts w:ascii="Arial" w:hAnsi="Arial" w:cs="Arial"/>
          <w:color w:val="000000"/>
        </w:rPr>
        <w:t xml:space="preserve"> pending reconsideration of the </w:t>
      </w:r>
      <w:r w:rsidR="00675244">
        <w:rPr>
          <w:rFonts w:ascii="Arial" w:hAnsi="Arial" w:cs="Arial"/>
          <w:color w:val="000000"/>
        </w:rPr>
        <w:t xml:space="preserve">Federal </w:t>
      </w:r>
      <w:r w:rsidR="00B60007" w:rsidRPr="00DB7156">
        <w:rPr>
          <w:rFonts w:ascii="Arial" w:hAnsi="Arial" w:cs="Arial"/>
          <w:color w:val="000000"/>
        </w:rPr>
        <w:t>CCR Rule</w:t>
      </w:r>
    </w:p>
    <w:p w14:paraId="721E6DA0" w14:textId="16712327" w:rsidR="001978E8" w:rsidRPr="00DB7156" w:rsidRDefault="001978E8" w:rsidP="00700202">
      <w:pPr>
        <w:pStyle w:val="ListParagraph"/>
        <w:numPr>
          <w:ilvl w:val="0"/>
          <w:numId w:val="23"/>
        </w:numPr>
        <w:autoSpaceDE w:val="0"/>
        <w:autoSpaceDN w:val="0"/>
        <w:ind w:left="1080"/>
        <w:jc w:val="both"/>
        <w:rPr>
          <w:rFonts w:ascii="Arial" w:hAnsi="Arial" w:cs="Arial"/>
          <w:color w:val="000000"/>
        </w:rPr>
      </w:pPr>
      <w:r w:rsidRPr="00DB7156">
        <w:rPr>
          <w:rFonts w:ascii="Arial" w:hAnsi="Arial" w:cs="Arial"/>
          <w:color w:val="000000"/>
        </w:rPr>
        <w:t xml:space="preserve">Remanded </w:t>
      </w:r>
      <w:r w:rsidR="005A5258">
        <w:rPr>
          <w:rFonts w:ascii="Arial" w:hAnsi="Arial" w:cs="Arial"/>
          <w:color w:val="000000"/>
        </w:rPr>
        <w:t xml:space="preserve">the rule </w:t>
      </w:r>
      <w:r w:rsidR="00B60007" w:rsidRPr="00DB7156">
        <w:rPr>
          <w:rFonts w:ascii="Arial" w:hAnsi="Arial" w:cs="Arial"/>
          <w:color w:val="000000"/>
        </w:rPr>
        <w:t>to EPA to reconsider</w:t>
      </w:r>
      <w:r w:rsidR="001B6167" w:rsidRPr="00DB7156">
        <w:rPr>
          <w:rFonts w:ascii="Arial" w:hAnsi="Arial" w:cs="Arial"/>
          <w:color w:val="000000"/>
        </w:rPr>
        <w:t xml:space="preserve"> (1) beneficial use c</w:t>
      </w:r>
      <w:r w:rsidR="00B60007" w:rsidRPr="00DB7156">
        <w:rPr>
          <w:rFonts w:ascii="Arial" w:hAnsi="Arial" w:cs="Arial"/>
          <w:color w:val="000000"/>
        </w:rPr>
        <w:t>onsiderations; (2) operation of unlined impoun</w:t>
      </w:r>
      <w:r w:rsidR="00EE4F9E">
        <w:rPr>
          <w:rFonts w:ascii="Arial" w:hAnsi="Arial" w:cs="Arial"/>
          <w:color w:val="000000"/>
        </w:rPr>
        <w:t>d</w:t>
      </w:r>
      <w:r w:rsidR="00B60007" w:rsidRPr="00DB7156">
        <w:rPr>
          <w:rFonts w:ascii="Arial" w:hAnsi="Arial" w:cs="Arial"/>
          <w:color w:val="000000"/>
        </w:rPr>
        <w:t>ments</w:t>
      </w:r>
      <w:r w:rsidR="001B6167" w:rsidRPr="00DB7156">
        <w:rPr>
          <w:rFonts w:ascii="Arial" w:hAnsi="Arial" w:cs="Arial"/>
          <w:color w:val="000000"/>
        </w:rPr>
        <w:t xml:space="preserve"> and classification of clay-lined impoundments; </w:t>
      </w:r>
      <w:r w:rsidR="005A5258">
        <w:rPr>
          <w:rFonts w:ascii="Arial" w:hAnsi="Arial" w:cs="Arial"/>
          <w:color w:val="000000"/>
        </w:rPr>
        <w:t xml:space="preserve">and </w:t>
      </w:r>
      <w:r w:rsidR="001B6167" w:rsidRPr="00DB7156">
        <w:rPr>
          <w:rFonts w:ascii="Arial" w:hAnsi="Arial" w:cs="Arial"/>
          <w:color w:val="000000"/>
        </w:rPr>
        <w:t>(3) regulation of legacy ponds</w:t>
      </w:r>
      <w:r w:rsidR="007B559C">
        <w:rPr>
          <w:rFonts w:ascii="Arial" w:hAnsi="Arial" w:cs="Arial"/>
          <w:color w:val="000000"/>
        </w:rPr>
        <w:t xml:space="preserve"> (inactive surface impoundments located at non-generating facilities)</w:t>
      </w:r>
    </w:p>
    <w:p w14:paraId="57C751D9" w14:textId="788513B1" w:rsidR="001978E8" w:rsidRPr="00DB7156" w:rsidRDefault="001978E8" w:rsidP="00700202">
      <w:pPr>
        <w:pStyle w:val="ListParagraph"/>
        <w:numPr>
          <w:ilvl w:val="0"/>
          <w:numId w:val="23"/>
        </w:numPr>
        <w:autoSpaceDE w:val="0"/>
        <w:autoSpaceDN w:val="0"/>
        <w:ind w:left="1080"/>
        <w:jc w:val="both"/>
        <w:rPr>
          <w:rFonts w:ascii="Arial" w:hAnsi="Arial" w:cs="Arial"/>
          <w:color w:val="000000"/>
        </w:rPr>
      </w:pPr>
      <w:r w:rsidRPr="00DB7156">
        <w:rPr>
          <w:rFonts w:ascii="Arial" w:hAnsi="Arial" w:cs="Arial"/>
          <w:color w:val="000000"/>
        </w:rPr>
        <w:t xml:space="preserve">Denied </w:t>
      </w:r>
      <w:r w:rsidR="00D31D2A">
        <w:rPr>
          <w:rFonts w:ascii="Arial" w:hAnsi="Arial" w:cs="Arial"/>
          <w:color w:val="000000"/>
        </w:rPr>
        <w:t>Inudustry</w:t>
      </w:r>
      <w:r w:rsidRPr="00DB7156">
        <w:rPr>
          <w:rFonts w:ascii="Arial" w:hAnsi="Arial" w:cs="Arial"/>
          <w:color w:val="000000"/>
        </w:rPr>
        <w:t xml:space="preserve"> </w:t>
      </w:r>
      <w:r w:rsidR="00D31D2A">
        <w:rPr>
          <w:rFonts w:ascii="Arial" w:hAnsi="Arial" w:cs="Arial"/>
          <w:color w:val="000000"/>
        </w:rPr>
        <w:t>Petitioner’s</w:t>
      </w:r>
      <w:r w:rsidRPr="00DB7156">
        <w:rPr>
          <w:rFonts w:ascii="Arial" w:hAnsi="Arial" w:cs="Arial"/>
          <w:color w:val="000000"/>
        </w:rPr>
        <w:t xml:space="preserve"> challenge to EPA’s authority to regulate inactive surface impoundment</w:t>
      </w:r>
      <w:r w:rsidR="00D31D2A">
        <w:rPr>
          <w:rFonts w:ascii="Arial" w:hAnsi="Arial" w:cs="Arial"/>
          <w:color w:val="000000"/>
        </w:rPr>
        <w:t>s</w:t>
      </w:r>
    </w:p>
    <w:bookmarkEnd w:id="135"/>
    <w:p w14:paraId="64F9427A" w14:textId="64F9427A" w:rsidR="000D2054" w:rsidRPr="00DB7156" w:rsidRDefault="000D2054" w:rsidP="00DB7156">
      <w:pPr>
        <w:pStyle w:val="ListParagraph"/>
        <w:ind w:left="0"/>
        <w:jc w:val="both"/>
        <w:rPr>
          <w:rFonts w:ascii="Arial" w:hAnsi="Arial" w:cs="Arial"/>
        </w:rPr>
      </w:pPr>
    </w:p>
    <w:p w14:paraId="2F0B67E1" w14:textId="77777777" w:rsidR="00A21C17" w:rsidRDefault="64F9427A" w:rsidP="00DB7156">
      <w:pPr>
        <w:pStyle w:val="ListParagraph"/>
        <w:ind w:left="0"/>
        <w:jc w:val="both"/>
        <w:rPr>
          <w:rFonts w:ascii="Arial" w:hAnsi="Arial" w:cs="Arial"/>
          <w:color w:val="000000" w:themeColor="text1"/>
        </w:rPr>
      </w:pPr>
      <w:r w:rsidRPr="00DB7156">
        <w:rPr>
          <w:rFonts w:ascii="Arial" w:hAnsi="Arial" w:cs="Arial"/>
          <w:color w:val="000000" w:themeColor="text1"/>
        </w:rPr>
        <w:t xml:space="preserve">The Department of Justice chose not to seek rehearing on the Court's decision </w:t>
      </w:r>
      <w:r w:rsidR="007E22C9" w:rsidRPr="00DB7156">
        <w:rPr>
          <w:rFonts w:ascii="Arial" w:hAnsi="Arial" w:cs="Arial"/>
          <w:color w:val="000000" w:themeColor="text1"/>
        </w:rPr>
        <w:t>and</w:t>
      </w:r>
      <w:r w:rsidRPr="00DB7156">
        <w:rPr>
          <w:rFonts w:ascii="Arial" w:hAnsi="Arial" w:cs="Arial"/>
          <w:color w:val="000000" w:themeColor="text1"/>
        </w:rPr>
        <w:t xml:space="preserve"> the Court issu</w:t>
      </w:r>
      <w:r w:rsidR="007E22C9" w:rsidRPr="00DB7156">
        <w:rPr>
          <w:rFonts w:ascii="Arial" w:hAnsi="Arial" w:cs="Arial"/>
          <w:color w:val="000000" w:themeColor="text1"/>
        </w:rPr>
        <w:t>ed</w:t>
      </w:r>
      <w:r w:rsidRPr="00DB7156">
        <w:rPr>
          <w:rFonts w:ascii="Arial" w:hAnsi="Arial" w:cs="Arial"/>
          <w:color w:val="000000" w:themeColor="text1"/>
        </w:rPr>
        <w:t xml:space="preserve"> a mandate implementing the judgment on October 1</w:t>
      </w:r>
      <w:r w:rsidR="00894D8A" w:rsidRPr="00DB7156">
        <w:rPr>
          <w:rFonts w:ascii="Arial" w:hAnsi="Arial" w:cs="Arial"/>
          <w:color w:val="000000" w:themeColor="text1"/>
        </w:rPr>
        <w:t>5</w:t>
      </w:r>
      <w:r w:rsidRPr="00DB7156">
        <w:rPr>
          <w:rFonts w:ascii="Arial" w:hAnsi="Arial" w:cs="Arial"/>
          <w:color w:val="000000" w:themeColor="text1"/>
        </w:rPr>
        <w:t>, 2018.</w:t>
      </w:r>
      <w:r w:rsidR="006E45FB" w:rsidRPr="00DB7156">
        <w:rPr>
          <w:rFonts w:ascii="Arial" w:hAnsi="Arial" w:cs="Arial"/>
          <w:color w:val="000000" w:themeColor="text1"/>
        </w:rPr>
        <w:t xml:space="preserve"> Issuance of the mandate </w:t>
      </w:r>
      <w:r w:rsidR="007E22C9" w:rsidRPr="00DB7156">
        <w:rPr>
          <w:rFonts w:ascii="Arial" w:hAnsi="Arial" w:cs="Arial"/>
          <w:color w:val="000000" w:themeColor="text1"/>
        </w:rPr>
        <w:t xml:space="preserve">did </w:t>
      </w:r>
      <w:r w:rsidR="006E45FB" w:rsidRPr="00DB7156">
        <w:rPr>
          <w:rFonts w:ascii="Arial" w:hAnsi="Arial" w:cs="Arial"/>
          <w:color w:val="000000" w:themeColor="text1"/>
        </w:rPr>
        <w:t xml:space="preserve">not </w:t>
      </w:r>
      <w:r w:rsidR="00AB5B3A" w:rsidRPr="00DB7156">
        <w:rPr>
          <w:rFonts w:ascii="Arial" w:hAnsi="Arial" w:cs="Arial"/>
          <w:color w:val="000000" w:themeColor="text1"/>
        </w:rPr>
        <w:t>immediately</w:t>
      </w:r>
      <w:r w:rsidR="006E45FB" w:rsidRPr="00DB7156">
        <w:rPr>
          <w:rFonts w:ascii="Arial" w:hAnsi="Arial" w:cs="Arial"/>
          <w:color w:val="000000" w:themeColor="text1"/>
        </w:rPr>
        <w:t xml:space="preserve"> change the substance of the </w:t>
      </w:r>
      <w:r w:rsidR="00F0735B">
        <w:rPr>
          <w:rFonts w:ascii="Arial" w:hAnsi="Arial" w:cs="Arial"/>
          <w:color w:val="000000" w:themeColor="text1"/>
        </w:rPr>
        <w:t xml:space="preserve">Federal </w:t>
      </w:r>
      <w:r w:rsidR="006E45FB" w:rsidRPr="00DB7156">
        <w:rPr>
          <w:rFonts w:ascii="Arial" w:hAnsi="Arial" w:cs="Arial"/>
          <w:color w:val="000000" w:themeColor="text1"/>
        </w:rPr>
        <w:t xml:space="preserve">CCR </w:t>
      </w:r>
      <w:r w:rsidR="00834EFD">
        <w:rPr>
          <w:rFonts w:ascii="Arial" w:hAnsi="Arial" w:cs="Arial"/>
          <w:color w:val="000000" w:themeColor="text1"/>
        </w:rPr>
        <w:t>R</w:t>
      </w:r>
      <w:r w:rsidR="006E45FB" w:rsidRPr="00DB7156">
        <w:rPr>
          <w:rFonts w:ascii="Arial" w:hAnsi="Arial" w:cs="Arial"/>
          <w:color w:val="000000" w:themeColor="text1"/>
        </w:rPr>
        <w:t>ule</w:t>
      </w:r>
      <w:r w:rsidR="00894D8A" w:rsidRPr="00DB7156">
        <w:rPr>
          <w:rFonts w:ascii="Arial" w:hAnsi="Arial" w:cs="Arial"/>
          <w:color w:val="000000" w:themeColor="text1"/>
        </w:rPr>
        <w:t>.</w:t>
      </w:r>
      <w:r w:rsidR="006E45FB" w:rsidRPr="00DB7156">
        <w:rPr>
          <w:rFonts w:ascii="Arial" w:hAnsi="Arial" w:cs="Arial"/>
          <w:color w:val="000000" w:themeColor="text1"/>
        </w:rPr>
        <w:t xml:space="preserve"> </w:t>
      </w:r>
      <w:r w:rsidR="00535FCC" w:rsidRPr="00DB7156">
        <w:rPr>
          <w:rFonts w:ascii="Arial" w:hAnsi="Arial" w:cs="Arial"/>
          <w:color w:val="000000" w:themeColor="text1"/>
        </w:rPr>
        <w:t>Instead</w:t>
      </w:r>
      <w:r w:rsidR="007F2FDA" w:rsidRPr="00DB7156">
        <w:rPr>
          <w:rFonts w:ascii="Arial" w:hAnsi="Arial" w:cs="Arial"/>
          <w:color w:val="000000" w:themeColor="text1"/>
        </w:rPr>
        <w:t xml:space="preserve">, EPA will have </w:t>
      </w:r>
      <w:r w:rsidR="00535FCC" w:rsidRPr="00DB7156">
        <w:rPr>
          <w:rFonts w:ascii="Arial" w:hAnsi="Arial" w:cs="Arial"/>
          <w:color w:val="000000" w:themeColor="text1"/>
        </w:rPr>
        <w:t>to issue new rulemakings to address elements of the Court’s decision</w:t>
      </w:r>
      <w:r w:rsidR="007F2FDA" w:rsidRPr="00DB7156">
        <w:rPr>
          <w:rFonts w:ascii="Arial" w:hAnsi="Arial" w:cs="Arial"/>
          <w:color w:val="000000" w:themeColor="text1"/>
        </w:rPr>
        <w:t>.</w:t>
      </w:r>
      <w:r w:rsidR="00535FCC" w:rsidRPr="00DB7156">
        <w:rPr>
          <w:rFonts w:ascii="Arial" w:hAnsi="Arial" w:cs="Arial"/>
          <w:color w:val="000000" w:themeColor="text1"/>
        </w:rPr>
        <w:t xml:space="preserve">  </w:t>
      </w:r>
    </w:p>
    <w:p w14:paraId="0684F1D7" w14:textId="77777777" w:rsidR="00A21C17" w:rsidRPr="009347AF" w:rsidRDefault="00A21C17" w:rsidP="00A21C17">
      <w:pPr>
        <w:pStyle w:val="ListParagraph"/>
        <w:ind w:left="0"/>
        <w:jc w:val="both"/>
        <w:rPr>
          <w:rFonts w:ascii="Arial" w:hAnsi="Arial" w:cs="Arial"/>
          <w:color w:val="000000" w:themeColor="text1"/>
          <w:highlight w:val="green"/>
        </w:rPr>
      </w:pPr>
    </w:p>
    <w:p w14:paraId="7C66A149" w14:textId="25142B70" w:rsidR="00B83599" w:rsidRDefault="00B83599" w:rsidP="00F22D53">
      <w:pPr>
        <w:pStyle w:val="ListParagraph"/>
        <w:ind w:left="0"/>
        <w:jc w:val="both"/>
        <w:rPr>
          <w:rFonts w:ascii="Arial" w:hAnsi="Arial" w:cs="Arial"/>
          <w:color w:val="000000" w:themeColor="text1"/>
        </w:rPr>
      </w:pPr>
      <w:bookmarkStart w:id="137" w:name="_Hlk535227957"/>
      <w:r w:rsidRPr="00F22D53">
        <w:rPr>
          <w:rFonts w:ascii="Arial" w:hAnsi="Arial" w:cs="Arial"/>
          <w:color w:val="000000" w:themeColor="text1"/>
        </w:rPr>
        <w:t xml:space="preserve">On October 22, 2018, Environmental Petitioners in the CCR litigation filed a petition for review of the Phase One, Part One rule amendments in the U.S. Court of Appeals for the District of Columbia Circuit.  Environmental Petitioners challenged several aspects of the rule, one of which is the extension of deadlines to October 31, 2020 to cease sending CCR and other waste streams to impoundments that demonstrate compliance with all except two of the specified performance criteria.  </w:t>
      </w:r>
    </w:p>
    <w:p w14:paraId="11D32F79" w14:textId="77777777" w:rsidR="00F22D53" w:rsidRPr="00F22D53" w:rsidRDefault="00F22D53" w:rsidP="00F22D53">
      <w:pPr>
        <w:pStyle w:val="ListParagraph"/>
        <w:ind w:left="0"/>
        <w:jc w:val="both"/>
        <w:rPr>
          <w:rFonts w:ascii="Arial" w:hAnsi="Arial" w:cs="Arial"/>
          <w:color w:val="000000" w:themeColor="text1"/>
        </w:rPr>
      </w:pPr>
    </w:p>
    <w:p w14:paraId="10BB463B" w14:textId="0DD21AAD" w:rsidR="00B83599" w:rsidRDefault="00B83599" w:rsidP="00F22D53">
      <w:pPr>
        <w:spacing w:after="0" w:line="240" w:lineRule="auto"/>
        <w:jc w:val="both"/>
        <w:rPr>
          <w:rFonts w:ascii="Arial" w:eastAsia="Calibri" w:hAnsi="Arial" w:cs="Arial"/>
          <w:color w:val="000000" w:themeColor="text1"/>
          <w:sz w:val="24"/>
          <w:szCs w:val="24"/>
        </w:rPr>
      </w:pPr>
      <w:r w:rsidRPr="00F22D53">
        <w:rPr>
          <w:rFonts w:ascii="Arial" w:eastAsia="Calibri" w:hAnsi="Arial" w:cs="Arial"/>
          <w:color w:val="000000" w:themeColor="text1"/>
          <w:sz w:val="24"/>
          <w:szCs w:val="24"/>
        </w:rPr>
        <w:t xml:space="preserve">On December 17, 2018 EPA filed a motion to voluntarily remand the Phase One, Part One rule without vacating the rule. This would allow them to revise the deadline extensions through a new notice-and-comment rulemaking without disrupting the extensions that are currently in place. Environmental Petitioners, on the other hand, filed a motion to stay </w:t>
      </w:r>
      <w:r w:rsidR="00485DCE" w:rsidRPr="00F22D53">
        <w:rPr>
          <w:rFonts w:ascii="Arial" w:eastAsia="Calibri" w:hAnsi="Arial" w:cs="Arial"/>
          <w:color w:val="000000" w:themeColor="text1"/>
          <w:sz w:val="24"/>
          <w:szCs w:val="24"/>
        </w:rPr>
        <w:t xml:space="preserve">the portion of </w:t>
      </w:r>
      <w:r w:rsidRPr="00F22D53">
        <w:rPr>
          <w:rFonts w:ascii="Arial" w:eastAsia="Calibri" w:hAnsi="Arial" w:cs="Arial"/>
          <w:color w:val="000000" w:themeColor="text1"/>
          <w:sz w:val="24"/>
          <w:szCs w:val="24"/>
        </w:rPr>
        <w:t xml:space="preserve">the Phase One, Part One rule </w:t>
      </w:r>
      <w:r w:rsidR="00485DCE" w:rsidRPr="00F22D53">
        <w:rPr>
          <w:rFonts w:ascii="Arial" w:eastAsia="Calibri" w:hAnsi="Arial" w:cs="Arial"/>
          <w:color w:val="000000" w:themeColor="text1"/>
          <w:sz w:val="24"/>
          <w:szCs w:val="24"/>
        </w:rPr>
        <w:t xml:space="preserve">that extended the cease receipt deadlines to October 31, 2020, while the challenge to the rule is litigated, or alternatively, for the court to vacate those extensions. </w:t>
      </w:r>
      <w:r w:rsidR="005705E3" w:rsidRPr="00F22D53">
        <w:rPr>
          <w:rFonts w:ascii="Arial" w:eastAsia="Calibri" w:hAnsi="Arial" w:cs="Arial"/>
          <w:color w:val="000000" w:themeColor="text1"/>
          <w:sz w:val="24"/>
          <w:szCs w:val="24"/>
        </w:rPr>
        <w:t>Briefing is currently scheduled to conclude on or around February 8, 2019.</w:t>
      </w:r>
    </w:p>
    <w:p w14:paraId="505604E9" w14:textId="77777777" w:rsidR="00F22D53" w:rsidRPr="00F22D53" w:rsidRDefault="00F22D53" w:rsidP="00F22D53">
      <w:pPr>
        <w:spacing w:after="0" w:line="240" w:lineRule="auto"/>
        <w:jc w:val="both"/>
        <w:rPr>
          <w:rFonts w:ascii="Arial" w:eastAsia="Calibri" w:hAnsi="Arial" w:cs="Arial"/>
          <w:color w:val="000000" w:themeColor="text1"/>
          <w:sz w:val="24"/>
          <w:szCs w:val="24"/>
        </w:rPr>
      </w:pPr>
    </w:p>
    <w:p w14:paraId="7B81FFB9" w14:textId="5A691797" w:rsidR="00B83599" w:rsidRDefault="00B83599" w:rsidP="00F22D53">
      <w:pPr>
        <w:spacing w:after="0" w:line="240" w:lineRule="auto"/>
        <w:jc w:val="both"/>
        <w:rPr>
          <w:rFonts w:ascii="Arial" w:hAnsi="Arial" w:cs="Arial"/>
          <w:sz w:val="24"/>
          <w:szCs w:val="24"/>
        </w:rPr>
      </w:pPr>
      <w:r w:rsidRPr="009347AF">
        <w:rPr>
          <w:rFonts w:ascii="Arial" w:hAnsi="Arial" w:cs="Arial"/>
          <w:sz w:val="24"/>
          <w:szCs w:val="24"/>
        </w:rPr>
        <w:t>The extent of any impact will not be known until the U.S. Court of Appeals for the District of Columbia Circuit responds to the motions and/or the merits of the case, and EPA undertakes additional rulemaking action to establish further guidance.</w:t>
      </w:r>
    </w:p>
    <w:p w14:paraId="0CBAE6C8" w14:textId="77777777" w:rsidR="00F22D53" w:rsidRPr="009347AF" w:rsidRDefault="00F22D53" w:rsidP="00F22D53">
      <w:pPr>
        <w:spacing w:after="0" w:line="240" w:lineRule="auto"/>
        <w:jc w:val="both"/>
        <w:rPr>
          <w:rFonts w:ascii="Arial" w:hAnsi="Arial" w:cs="Arial"/>
          <w:sz w:val="28"/>
          <w:szCs w:val="28"/>
        </w:rPr>
      </w:pPr>
    </w:p>
    <w:p w14:paraId="689DA483" w14:textId="725FA414" w:rsidR="00B81948" w:rsidRDefault="00B81948" w:rsidP="00DB7156">
      <w:pPr>
        <w:spacing w:after="0" w:line="240" w:lineRule="auto"/>
        <w:jc w:val="both"/>
        <w:rPr>
          <w:rFonts w:ascii="Arial" w:eastAsia="Calibri" w:hAnsi="Arial" w:cs="Arial"/>
          <w:color w:val="000000" w:themeColor="text1"/>
          <w:sz w:val="24"/>
          <w:szCs w:val="24"/>
        </w:rPr>
      </w:pPr>
      <w:r w:rsidRPr="00B81948">
        <w:rPr>
          <w:rFonts w:ascii="Arial" w:eastAsia="Calibri" w:hAnsi="Arial" w:cs="Arial"/>
          <w:color w:val="000000" w:themeColor="text1"/>
          <w:sz w:val="24"/>
          <w:szCs w:val="24"/>
        </w:rPr>
        <w:t>Regarding Phase One, Part Two and Phase Two rulemaking</w:t>
      </w:r>
      <w:r>
        <w:rPr>
          <w:rFonts w:ascii="Arial" w:eastAsia="Calibri" w:hAnsi="Arial" w:cs="Arial"/>
          <w:color w:val="000000" w:themeColor="text1"/>
          <w:sz w:val="24"/>
          <w:szCs w:val="24"/>
        </w:rPr>
        <w:t>s</w:t>
      </w:r>
      <w:r w:rsidRPr="00B81948">
        <w:rPr>
          <w:rFonts w:ascii="Arial" w:eastAsia="Calibri" w:hAnsi="Arial" w:cs="Arial"/>
          <w:color w:val="000000" w:themeColor="text1"/>
          <w:sz w:val="24"/>
          <w:szCs w:val="24"/>
        </w:rPr>
        <w:t xml:space="preserve">, EPA is expected </w:t>
      </w:r>
      <w:r>
        <w:rPr>
          <w:rFonts w:ascii="Arial" w:eastAsia="Calibri" w:hAnsi="Arial" w:cs="Arial"/>
          <w:color w:val="000000" w:themeColor="text1"/>
          <w:sz w:val="24"/>
          <w:szCs w:val="24"/>
        </w:rPr>
        <w:t>to take action in 2019 on these rulemakings.</w:t>
      </w:r>
    </w:p>
    <w:bookmarkEnd w:id="132"/>
    <w:bookmarkEnd w:id="136"/>
    <w:bookmarkEnd w:id="137"/>
    <w:p w14:paraId="514585DD" w14:textId="52A54B82" w:rsidR="0079669E" w:rsidRPr="00DB7156" w:rsidRDefault="0079669E" w:rsidP="00DB7156">
      <w:pPr>
        <w:spacing w:after="0" w:line="240" w:lineRule="auto"/>
        <w:jc w:val="both"/>
        <w:rPr>
          <w:rFonts w:ascii="Arial" w:eastAsia="Calibri" w:hAnsi="Arial" w:cs="Arial"/>
          <w:color w:val="000000"/>
          <w:sz w:val="24"/>
          <w:szCs w:val="24"/>
        </w:rPr>
      </w:pPr>
    </w:p>
    <w:p w14:paraId="70381192" w14:textId="37CA8873" w:rsidR="00D84B67" w:rsidRDefault="00D84B67" w:rsidP="00DB7156">
      <w:pPr>
        <w:autoSpaceDE w:val="0"/>
        <w:autoSpaceDN w:val="0"/>
        <w:adjustRightInd w:val="0"/>
        <w:spacing w:after="0" w:line="240" w:lineRule="auto"/>
        <w:jc w:val="both"/>
        <w:outlineLvl w:val="1"/>
        <w:rPr>
          <w:rFonts w:ascii="Arial" w:hAnsi="Arial" w:cs="Arial"/>
          <w:b/>
          <w:bCs/>
          <w:color w:val="000080"/>
          <w:sz w:val="24"/>
          <w:szCs w:val="24"/>
        </w:rPr>
      </w:pPr>
      <w:bookmarkStart w:id="138" w:name="_Toc527987345"/>
      <w:bookmarkStart w:id="139" w:name="_Toc527983892"/>
      <w:bookmarkStart w:id="140" w:name="_Toc530487276"/>
      <w:bookmarkStart w:id="141" w:name="_Toc535908144"/>
      <w:bookmarkEnd w:id="134"/>
      <w:r w:rsidRPr="00DB7156">
        <w:rPr>
          <w:rFonts w:ascii="Arial" w:hAnsi="Arial" w:cs="Arial"/>
          <w:b/>
          <w:bCs/>
          <w:color w:val="000080"/>
          <w:sz w:val="24"/>
          <w:szCs w:val="24"/>
        </w:rPr>
        <w:t>2.1</w:t>
      </w:r>
      <w:r w:rsidR="007376BD" w:rsidRPr="00DB7156">
        <w:rPr>
          <w:rFonts w:ascii="Arial" w:hAnsi="Arial" w:cs="Arial"/>
          <w:b/>
          <w:bCs/>
          <w:color w:val="000080"/>
          <w:sz w:val="24"/>
          <w:szCs w:val="24"/>
        </w:rPr>
        <w:t>9</w:t>
      </w:r>
      <w:r w:rsidRPr="00DB7156">
        <w:rPr>
          <w:rFonts w:ascii="Arial" w:hAnsi="Arial" w:cs="Arial"/>
          <w:b/>
          <w:bCs/>
          <w:color w:val="000080"/>
          <w:sz w:val="24"/>
          <w:szCs w:val="24"/>
        </w:rPr>
        <w:tab/>
        <w:t>Other Considerations</w:t>
      </w:r>
      <w:bookmarkEnd w:id="138"/>
      <w:bookmarkEnd w:id="139"/>
      <w:bookmarkEnd w:id="140"/>
      <w:bookmarkEnd w:id="141"/>
      <w:r w:rsidRPr="00DB7156">
        <w:rPr>
          <w:rFonts w:ascii="Arial" w:hAnsi="Arial" w:cs="Arial"/>
          <w:b/>
          <w:bCs/>
          <w:color w:val="000080"/>
          <w:sz w:val="24"/>
          <w:szCs w:val="24"/>
        </w:rPr>
        <w:t xml:space="preserve"> </w:t>
      </w:r>
    </w:p>
    <w:p w14:paraId="6FE17AC4" w14:textId="77777777" w:rsidR="00A40796" w:rsidRPr="00DB7156" w:rsidRDefault="00A40796" w:rsidP="00DB7156">
      <w:pPr>
        <w:autoSpaceDE w:val="0"/>
        <w:autoSpaceDN w:val="0"/>
        <w:adjustRightInd w:val="0"/>
        <w:spacing w:after="0" w:line="240" w:lineRule="auto"/>
        <w:jc w:val="both"/>
        <w:outlineLvl w:val="1"/>
        <w:rPr>
          <w:rFonts w:ascii="Arial" w:hAnsi="Arial" w:cs="Arial"/>
          <w:b/>
          <w:bCs/>
          <w:color w:val="000080"/>
          <w:sz w:val="24"/>
          <w:szCs w:val="24"/>
        </w:rPr>
      </w:pPr>
    </w:p>
    <w:p w14:paraId="22BA5061" w14:textId="62FB9ECB" w:rsidR="00FC67F9" w:rsidRPr="00DB7156" w:rsidRDefault="00FC67F9" w:rsidP="00DB7156">
      <w:pPr>
        <w:jc w:val="both"/>
        <w:rPr>
          <w:rFonts w:ascii="Arial" w:hAnsi="Arial" w:cs="Arial"/>
          <w:sz w:val="24"/>
          <w:szCs w:val="24"/>
        </w:rPr>
      </w:pPr>
      <w:r w:rsidRPr="00DB7156">
        <w:rPr>
          <w:rFonts w:ascii="Arial" w:hAnsi="Arial" w:cs="Arial"/>
          <w:sz w:val="24"/>
          <w:szCs w:val="24"/>
        </w:rPr>
        <w:t>Currently, there are no proposed regulations relating to lead that may have an effect on the insta</w:t>
      </w:r>
      <w:r w:rsidR="005A38F4">
        <w:rPr>
          <w:rFonts w:ascii="Arial" w:hAnsi="Arial" w:cs="Arial"/>
          <w:sz w:val="24"/>
          <w:szCs w:val="24"/>
        </w:rPr>
        <w:t>l</w:t>
      </w:r>
      <w:r w:rsidRPr="00DB7156">
        <w:rPr>
          <w:rFonts w:ascii="Arial" w:hAnsi="Arial" w:cs="Arial"/>
          <w:sz w:val="24"/>
          <w:szCs w:val="24"/>
        </w:rPr>
        <w:t xml:space="preserve">lation of equipment or changes in the operation of electric generating plants.  In addition, </w:t>
      </w:r>
      <w:r w:rsidR="00B67C6E" w:rsidRPr="00DB7156">
        <w:rPr>
          <w:rFonts w:ascii="Arial" w:hAnsi="Arial" w:cs="Arial"/>
          <w:sz w:val="24"/>
          <w:szCs w:val="24"/>
        </w:rPr>
        <w:t>ECS-</w:t>
      </w:r>
      <w:r w:rsidRPr="00DB7156">
        <w:rPr>
          <w:rFonts w:ascii="Arial" w:hAnsi="Arial" w:cs="Arial"/>
          <w:sz w:val="24"/>
          <w:szCs w:val="24"/>
        </w:rPr>
        <w:t xml:space="preserve">Appendix C provides an overview of existing and proposed regulations in regards to low-level and high-level nuclear waste. Southern Company </w:t>
      </w:r>
      <w:r w:rsidR="007F2FDA" w:rsidRPr="00DB7156">
        <w:rPr>
          <w:rFonts w:ascii="Arial" w:hAnsi="Arial" w:cs="Arial"/>
          <w:sz w:val="24"/>
          <w:szCs w:val="24"/>
        </w:rPr>
        <w:t xml:space="preserve">and Georgia Power </w:t>
      </w:r>
      <w:r w:rsidRPr="00DB7156">
        <w:rPr>
          <w:rFonts w:ascii="Arial" w:hAnsi="Arial" w:cs="Arial"/>
          <w:sz w:val="24"/>
          <w:szCs w:val="24"/>
        </w:rPr>
        <w:t xml:space="preserve">will continue to monitor these issues and evaluate </w:t>
      </w:r>
      <w:r w:rsidR="008F7690">
        <w:rPr>
          <w:rFonts w:ascii="Arial" w:hAnsi="Arial" w:cs="Arial"/>
          <w:sz w:val="24"/>
          <w:szCs w:val="24"/>
        </w:rPr>
        <w:t xml:space="preserve">the Company’s </w:t>
      </w:r>
      <w:r w:rsidRPr="00DB7156">
        <w:rPr>
          <w:rFonts w:ascii="Arial" w:hAnsi="Arial" w:cs="Arial"/>
          <w:sz w:val="24"/>
          <w:szCs w:val="24"/>
        </w:rPr>
        <w:t xml:space="preserve">strategy as changes occur.  </w:t>
      </w:r>
    </w:p>
    <w:p w14:paraId="22BA5062" w14:textId="77777777" w:rsidR="00FC67F9" w:rsidRPr="00DB7156" w:rsidRDefault="00FC67F9" w:rsidP="00DB7156">
      <w:pPr>
        <w:keepNext/>
        <w:widowControl w:val="0"/>
        <w:spacing w:after="0" w:line="240" w:lineRule="auto"/>
        <w:ind w:left="90"/>
        <w:jc w:val="both"/>
        <w:outlineLvl w:val="0"/>
        <w:rPr>
          <w:rFonts w:ascii="Arial" w:hAnsi="Arial" w:cs="Arial"/>
          <w:b/>
          <w:bCs/>
          <w:color w:val="000080"/>
          <w:kern w:val="28"/>
          <w:sz w:val="28"/>
          <w:szCs w:val="28"/>
        </w:rPr>
      </w:pPr>
      <w:r w:rsidRPr="00DB7156">
        <w:rPr>
          <w:rFonts w:ascii="Arial" w:hAnsi="Arial" w:cs="Arial"/>
          <w:b/>
          <w:bCs/>
          <w:color w:val="000080"/>
          <w:kern w:val="28"/>
          <w:sz w:val="28"/>
          <w:szCs w:val="28"/>
        </w:rPr>
        <w:br w:type="page"/>
      </w:r>
      <w:bookmarkStart w:id="142" w:name="_Toc496107754"/>
      <w:bookmarkStart w:id="143" w:name="_Toc527987346"/>
      <w:bookmarkStart w:id="144" w:name="_Toc527983893"/>
      <w:bookmarkStart w:id="145" w:name="_Toc530487277"/>
      <w:bookmarkStart w:id="146" w:name="_Toc535908145"/>
      <w:r w:rsidRPr="00DB7156">
        <w:rPr>
          <w:rFonts w:ascii="Arial" w:hAnsi="Arial" w:cs="Arial"/>
          <w:b/>
          <w:bCs/>
          <w:color w:val="000080"/>
          <w:kern w:val="28"/>
          <w:sz w:val="28"/>
          <w:szCs w:val="28"/>
        </w:rPr>
        <w:t>3.0 Environmental Strategy</w:t>
      </w:r>
      <w:bookmarkEnd w:id="142"/>
      <w:bookmarkEnd w:id="143"/>
      <w:bookmarkEnd w:id="144"/>
      <w:bookmarkEnd w:id="145"/>
      <w:bookmarkEnd w:id="146"/>
    </w:p>
    <w:p w14:paraId="22BA5063" w14:textId="77777777" w:rsidR="00FC67F9" w:rsidRPr="00DB7156" w:rsidRDefault="00FC67F9" w:rsidP="00DB7156">
      <w:pPr>
        <w:spacing w:after="0" w:line="240" w:lineRule="auto"/>
        <w:jc w:val="both"/>
        <w:rPr>
          <w:rFonts w:ascii="Arial" w:hAnsi="Arial" w:cs="Arial"/>
          <w:b/>
          <w:color w:val="FF0000"/>
          <w:sz w:val="28"/>
          <w:szCs w:val="24"/>
        </w:rPr>
      </w:pPr>
    </w:p>
    <w:p w14:paraId="22BA5064" w14:textId="30E64A29" w:rsidR="00FC67F9" w:rsidRPr="00DB7156" w:rsidRDefault="00FC67F9" w:rsidP="00DB7156">
      <w:pPr>
        <w:spacing w:after="0" w:line="240" w:lineRule="auto"/>
        <w:jc w:val="both"/>
        <w:rPr>
          <w:rFonts w:ascii="Arial" w:hAnsi="Arial" w:cs="Arial"/>
          <w:sz w:val="24"/>
          <w:szCs w:val="24"/>
        </w:rPr>
      </w:pPr>
      <w:bookmarkStart w:id="147" w:name="_Hlk531356720"/>
      <w:r w:rsidRPr="00DB7156">
        <w:rPr>
          <w:rFonts w:ascii="Arial" w:hAnsi="Arial" w:cs="Arial"/>
          <w:sz w:val="24"/>
          <w:szCs w:val="24"/>
        </w:rPr>
        <w:t xml:space="preserve">Based on the extensive regulatory and legislative issues </w:t>
      </w:r>
      <w:r w:rsidR="00E5385D">
        <w:rPr>
          <w:rFonts w:ascii="Arial" w:hAnsi="Arial" w:cs="Arial"/>
          <w:sz w:val="24"/>
          <w:szCs w:val="24"/>
        </w:rPr>
        <w:t xml:space="preserve">previously </w:t>
      </w:r>
      <w:r w:rsidRPr="00DB7156">
        <w:rPr>
          <w:rFonts w:ascii="Arial" w:hAnsi="Arial" w:cs="Arial"/>
          <w:sz w:val="24"/>
          <w:szCs w:val="24"/>
        </w:rPr>
        <w:t xml:space="preserve">described, </w:t>
      </w:r>
      <w:r w:rsidR="00B56F68" w:rsidRPr="00DB7156">
        <w:rPr>
          <w:rFonts w:ascii="Arial" w:hAnsi="Arial" w:cs="Arial"/>
          <w:sz w:val="24"/>
          <w:szCs w:val="24"/>
        </w:rPr>
        <w:t xml:space="preserve">Georgia Power </w:t>
      </w:r>
      <w:r w:rsidRPr="00DB7156">
        <w:rPr>
          <w:rFonts w:ascii="Arial" w:hAnsi="Arial" w:cs="Arial"/>
          <w:sz w:val="24"/>
          <w:szCs w:val="24"/>
        </w:rPr>
        <w:t>has developed a comprehensive compliance strategy</w:t>
      </w:r>
      <w:r w:rsidR="00B56F68" w:rsidRPr="00DB7156">
        <w:rPr>
          <w:rFonts w:ascii="Arial" w:hAnsi="Arial" w:cs="Arial"/>
          <w:sz w:val="24"/>
          <w:szCs w:val="24"/>
        </w:rPr>
        <w:t xml:space="preserve"> designed to provide reasonable, cost-effective plans to comply with </w:t>
      </w:r>
      <w:r w:rsidR="00E5385D">
        <w:rPr>
          <w:rFonts w:ascii="Arial" w:hAnsi="Arial" w:cs="Arial"/>
          <w:sz w:val="24"/>
          <w:szCs w:val="24"/>
        </w:rPr>
        <w:t xml:space="preserve">applicable </w:t>
      </w:r>
      <w:r w:rsidR="00B56F68" w:rsidRPr="00DB7156">
        <w:rPr>
          <w:rFonts w:ascii="Arial" w:hAnsi="Arial" w:cs="Arial"/>
          <w:sz w:val="24"/>
          <w:szCs w:val="24"/>
        </w:rPr>
        <w:t>environmental requirements</w:t>
      </w:r>
      <w:r w:rsidRPr="00DB7156">
        <w:rPr>
          <w:rFonts w:ascii="Arial" w:hAnsi="Arial" w:cs="Arial"/>
          <w:sz w:val="24"/>
          <w:szCs w:val="24"/>
        </w:rPr>
        <w:t xml:space="preserve">. </w:t>
      </w:r>
      <w:r w:rsidR="00B56F68" w:rsidRPr="00DB7156">
        <w:rPr>
          <w:rFonts w:ascii="Arial" w:hAnsi="Arial" w:cs="Arial"/>
          <w:sz w:val="24"/>
          <w:szCs w:val="24"/>
        </w:rPr>
        <w:t xml:space="preserve">Where appropriate, Georgia Power’s strategy considers efficiencies that may be gained through </w:t>
      </w:r>
      <w:r w:rsidR="00F0735B">
        <w:rPr>
          <w:rFonts w:ascii="Arial" w:hAnsi="Arial" w:cs="Arial"/>
          <w:sz w:val="24"/>
          <w:szCs w:val="24"/>
        </w:rPr>
        <w:t>strategic</w:t>
      </w:r>
      <w:r w:rsidR="00F0735B" w:rsidRPr="00DB7156">
        <w:rPr>
          <w:rFonts w:ascii="Arial" w:hAnsi="Arial" w:cs="Arial"/>
          <w:sz w:val="24"/>
          <w:szCs w:val="24"/>
        </w:rPr>
        <w:t xml:space="preserve"> </w:t>
      </w:r>
      <w:r w:rsidR="00B56F68" w:rsidRPr="00DB7156">
        <w:rPr>
          <w:rFonts w:ascii="Arial" w:hAnsi="Arial" w:cs="Arial"/>
          <w:sz w:val="24"/>
          <w:szCs w:val="24"/>
        </w:rPr>
        <w:t xml:space="preserve">planning with other </w:t>
      </w:r>
      <w:r w:rsidRPr="00DB7156">
        <w:rPr>
          <w:rFonts w:ascii="Arial" w:hAnsi="Arial" w:cs="Arial"/>
          <w:sz w:val="24"/>
          <w:szCs w:val="24"/>
        </w:rPr>
        <w:t xml:space="preserve">Southern Company </w:t>
      </w:r>
      <w:r w:rsidR="00B56F68" w:rsidRPr="00DB7156">
        <w:rPr>
          <w:rFonts w:ascii="Arial" w:hAnsi="Arial" w:cs="Arial"/>
          <w:sz w:val="24"/>
          <w:szCs w:val="24"/>
        </w:rPr>
        <w:t xml:space="preserve">affiliates. </w:t>
      </w:r>
      <w:r w:rsidR="00E5385D">
        <w:rPr>
          <w:rFonts w:ascii="Arial" w:hAnsi="Arial" w:cs="Arial"/>
          <w:sz w:val="24"/>
          <w:szCs w:val="24"/>
        </w:rPr>
        <w:t>Georgia Power’s environmental strategy</w:t>
      </w:r>
      <w:r w:rsidR="00E5385D" w:rsidRPr="00DB7156">
        <w:rPr>
          <w:rFonts w:ascii="Arial" w:hAnsi="Arial" w:cs="Arial"/>
          <w:sz w:val="24"/>
          <w:szCs w:val="24"/>
        </w:rPr>
        <w:t xml:space="preserve"> </w:t>
      </w:r>
      <w:r w:rsidRPr="00DB7156">
        <w:rPr>
          <w:rFonts w:ascii="Arial" w:hAnsi="Arial" w:cs="Arial"/>
          <w:sz w:val="24"/>
          <w:szCs w:val="24"/>
        </w:rPr>
        <w:t>process has evolved and been refined over the years</w:t>
      </w:r>
      <w:r w:rsidR="00B56F68" w:rsidRPr="00DB7156">
        <w:rPr>
          <w:rFonts w:ascii="Arial" w:hAnsi="Arial" w:cs="Arial"/>
          <w:sz w:val="24"/>
          <w:szCs w:val="24"/>
        </w:rPr>
        <w:t xml:space="preserve"> and has adapted to the changing regulations</w:t>
      </w:r>
      <w:r w:rsidRPr="00DB7156">
        <w:rPr>
          <w:rFonts w:ascii="Arial" w:hAnsi="Arial" w:cs="Arial"/>
          <w:sz w:val="24"/>
          <w:szCs w:val="24"/>
        </w:rPr>
        <w:t xml:space="preserve">, but the </w:t>
      </w:r>
      <w:r w:rsidR="00250FAA" w:rsidRPr="00DB7156">
        <w:rPr>
          <w:rFonts w:ascii="Arial" w:hAnsi="Arial" w:cs="Arial"/>
          <w:sz w:val="24"/>
          <w:szCs w:val="24"/>
        </w:rPr>
        <w:t>purpose</w:t>
      </w:r>
      <w:r w:rsidR="00250FAA" w:rsidRPr="00DB7156" w:rsidDel="00250FAA">
        <w:rPr>
          <w:rFonts w:ascii="Arial" w:hAnsi="Arial" w:cs="Arial"/>
          <w:sz w:val="24"/>
          <w:szCs w:val="24"/>
        </w:rPr>
        <w:t xml:space="preserve"> </w:t>
      </w:r>
      <w:r w:rsidR="00250FAA" w:rsidRPr="00DB7156">
        <w:rPr>
          <w:rFonts w:ascii="Arial" w:hAnsi="Arial" w:cs="Arial"/>
          <w:sz w:val="24"/>
          <w:szCs w:val="24"/>
        </w:rPr>
        <w:t xml:space="preserve">of the </w:t>
      </w:r>
      <w:r w:rsidR="0067730E" w:rsidRPr="00DB7156">
        <w:rPr>
          <w:rFonts w:ascii="Arial" w:hAnsi="Arial" w:cs="Arial"/>
          <w:sz w:val="24"/>
          <w:szCs w:val="24"/>
        </w:rPr>
        <w:t xml:space="preserve">process </w:t>
      </w:r>
      <w:r w:rsidR="00E5385D">
        <w:rPr>
          <w:rFonts w:ascii="Arial" w:hAnsi="Arial" w:cs="Arial"/>
          <w:sz w:val="24"/>
          <w:szCs w:val="24"/>
        </w:rPr>
        <w:t>has always been</w:t>
      </w:r>
      <w:r w:rsidR="00E5385D" w:rsidRPr="00DB7156">
        <w:rPr>
          <w:rFonts w:ascii="Arial" w:hAnsi="Arial" w:cs="Arial"/>
          <w:sz w:val="24"/>
          <w:szCs w:val="24"/>
        </w:rPr>
        <w:t xml:space="preserve"> </w:t>
      </w:r>
      <w:r w:rsidR="00B06B74" w:rsidRPr="00DB7156">
        <w:rPr>
          <w:rFonts w:ascii="Arial" w:hAnsi="Arial" w:cs="Arial"/>
          <w:sz w:val="24"/>
          <w:szCs w:val="24"/>
        </w:rPr>
        <w:t xml:space="preserve">to produce </w:t>
      </w:r>
      <w:r w:rsidR="006C4C1C" w:rsidRPr="00DB7156">
        <w:rPr>
          <w:rFonts w:ascii="Arial" w:hAnsi="Arial" w:cs="Arial"/>
          <w:sz w:val="24"/>
          <w:szCs w:val="24"/>
        </w:rPr>
        <w:t>cost-effective</w:t>
      </w:r>
      <w:r w:rsidR="00B06B74" w:rsidRPr="00DB7156">
        <w:rPr>
          <w:rFonts w:ascii="Arial" w:hAnsi="Arial" w:cs="Arial"/>
          <w:sz w:val="24"/>
          <w:szCs w:val="24"/>
        </w:rPr>
        <w:t xml:space="preserve"> compliance strategies that will </w:t>
      </w:r>
      <w:r w:rsidR="00E07B03" w:rsidRPr="00DB7156">
        <w:rPr>
          <w:rFonts w:ascii="Arial" w:hAnsi="Arial" w:cs="Arial"/>
          <w:sz w:val="24"/>
          <w:szCs w:val="24"/>
        </w:rPr>
        <w:t>maximize the benefit to</w:t>
      </w:r>
      <w:r w:rsidR="00B06B74" w:rsidRPr="00DB7156">
        <w:rPr>
          <w:rFonts w:ascii="Arial" w:hAnsi="Arial" w:cs="Arial"/>
          <w:sz w:val="24"/>
          <w:szCs w:val="24"/>
        </w:rPr>
        <w:t xml:space="preserve"> customers while achieving environmental objectives and assuring compliance with all requirements. </w:t>
      </w:r>
      <w:bookmarkEnd w:id="147"/>
      <w:r w:rsidR="00B06B74" w:rsidRPr="00DB7156">
        <w:rPr>
          <w:rFonts w:ascii="Arial" w:hAnsi="Arial" w:cs="Arial"/>
          <w:sz w:val="24"/>
          <w:szCs w:val="24"/>
        </w:rPr>
        <w:t xml:space="preserve">This environmental planning or strategy process is illustrated in the figure below (Fig. 3-1). The </w:t>
      </w:r>
      <w:r w:rsidR="00E5385D">
        <w:rPr>
          <w:rFonts w:ascii="Arial" w:hAnsi="Arial" w:cs="Arial"/>
          <w:sz w:val="24"/>
          <w:szCs w:val="24"/>
        </w:rPr>
        <w:t>process</w:t>
      </w:r>
      <w:r w:rsidR="00E5385D" w:rsidRPr="00DB7156">
        <w:rPr>
          <w:rFonts w:ascii="Arial" w:hAnsi="Arial" w:cs="Arial"/>
          <w:sz w:val="24"/>
          <w:szCs w:val="24"/>
        </w:rPr>
        <w:t xml:space="preserve"> </w:t>
      </w:r>
      <w:r w:rsidR="00B06B74" w:rsidRPr="00DB7156">
        <w:rPr>
          <w:rFonts w:ascii="Arial" w:hAnsi="Arial" w:cs="Arial"/>
          <w:sz w:val="24"/>
          <w:szCs w:val="24"/>
        </w:rPr>
        <w:t>is essential for internal decision making and communication.</w:t>
      </w:r>
    </w:p>
    <w:p w14:paraId="22BA5065" w14:textId="77777777" w:rsidR="00FC67F9" w:rsidRPr="00DB7156" w:rsidRDefault="00FC67F9" w:rsidP="00DB7156">
      <w:pPr>
        <w:spacing w:after="0" w:line="240" w:lineRule="auto"/>
        <w:jc w:val="both"/>
        <w:rPr>
          <w:rFonts w:ascii="Arial" w:hAnsi="Arial" w:cs="Arial"/>
          <w:sz w:val="24"/>
          <w:szCs w:val="24"/>
        </w:rPr>
      </w:pPr>
    </w:p>
    <w:p w14:paraId="22BA5066" w14:textId="77777777" w:rsidR="00FC67F9" w:rsidRPr="00DB7156" w:rsidRDefault="001D1F0E" w:rsidP="004205D3">
      <w:pPr>
        <w:spacing w:after="0" w:line="240" w:lineRule="auto"/>
        <w:jc w:val="center"/>
        <w:rPr>
          <w:rFonts w:ascii="Arial" w:hAnsi="Arial" w:cs="Arial"/>
          <w:sz w:val="24"/>
          <w:szCs w:val="24"/>
        </w:rPr>
      </w:pPr>
      <w:r w:rsidRPr="00DB7156">
        <w:rPr>
          <w:rFonts w:ascii="Arial" w:hAnsi="Arial" w:cs="Arial"/>
          <w:noProof/>
        </w:rPr>
        <w:drawing>
          <wp:inline distT="0" distB="0" distL="0" distR="0" wp14:anchorId="22BA5555" wp14:editId="22BA5556">
            <wp:extent cx="4886325" cy="3562350"/>
            <wp:effectExtent l="19050" t="0" r="9525"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t="9492"/>
                    <a:stretch>
                      <a:fillRect/>
                    </a:stretch>
                  </pic:blipFill>
                  <pic:spPr bwMode="auto">
                    <a:xfrm>
                      <a:off x="0" y="0"/>
                      <a:ext cx="4886325" cy="3562350"/>
                    </a:xfrm>
                    <a:prstGeom prst="rect">
                      <a:avLst/>
                    </a:prstGeom>
                    <a:noFill/>
                    <a:ln w="9525">
                      <a:noFill/>
                      <a:miter lim="800000"/>
                      <a:headEnd/>
                      <a:tailEnd/>
                    </a:ln>
                  </pic:spPr>
                </pic:pic>
              </a:graphicData>
            </a:graphic>
          </wp:inline>
        </w:drawing>
      </w:r>
    </w:p>
    <w:p w14:paraId="22BA5067" w14:textId="77777777" w:rsidR="001832A5" w:rsidRPr="00DB7156" w:rsidRDefault="001832A5" w:rsidP="00DB7156">
      <w:pPr>
        <w:pStyle w:val="Caption"/>
        <w:jc w:val="both"/>
        <w:rPr>
          <w:rFonts w:ascii="Arial" w:hAnsi="Arial" w:cs="Arial"/>
        </w:rPr>
      </w:pPr>
    </w:p>
    <w:p w14:paraId="22BA5068" w14:textId="77777777" w:rsidR="00432235" w:rsidRPr="00A40796" w:rsidRDefault="00432235" w:rsidP="00DB7156">
      <w:pPr>
        <w:pStyle w:val="Caption"/>
        <w:jc w:val="both"/>
        <w:rPr>
          <w:rFonts w:ascii="Arial" w:hAnsi="Arial" w:cs="Arial"/>
          <w:noProof/>
          <w:sz w:val="32"/>
          <w:szCs w:val="24"/>
        </w:rPr>
      </w:pPr>
      <w:r w:rsidRPr="00A40796">
        <w:rPr>
          <w:rFonts w:ascii="Arial" w:hAnsi="Arial" w:cs="Arial"/>
          <w:sz w:val="24"/>
        </w:rPr>
        <w:t>Figure 3-1 Annual Environmental Strategy Development Process for Existing Generation Retrofits</w:t>
      </w:r>
    </w:p>
    <w:p w14:paraId="22BA5069" w14:textId="77777777" w:rsidR="00FC67F9" w:rsidRPr="00DB7156" w:rsidRDefault="00FC67F9" w:rsidP="00DB7156">
      <w:pPr>
        <w:spacing w:after="0" w:line="240" w:lineRule="auto"/>
        <w:jc w:val="both"/>
        <w:rPr>
          <w:rFonts w:ascii="Arial" w:hAnsi="Arial" w:cs="Arial"/>
          <w:sz w:val="24"/>
          <w:szCs w:val="24"/>
        </w:rPr>
      </w:pPr>
    </w:p>
    <w:p w14:paraId="22BA506A" w14:textId="77777777" w:rsidR="00FC67F9" w:rsidRPr="00DB7156" w:rsidRDefault="00FC67F9" w:rsidP="00DB7156">
      <w:pPr>
        <w:spacing w:after="0" w:line="240" w:lineRule="auto"/>
        <w:jc w:val="both"/>
        <w:rPr>
          <w:rFonts w:ascii="Arial" w:hAnsi="Arial" w:cs="Arial"/>
          <w:sz w:val="24"/>
          <w:szCs w:val="24"/>
        </w:rPr>
      </w:pPr>
    </w:p>
    <w:p w14:paraId="22BA506B" w14:textId="77777777" w:rsidR="00FC67F9" w:rsidRPr="00DB7156" w:rsidRDefault="00FC67F9" w:rsidP="00DB7156">
      <w:pPr>
        <w:spacing w:after="0" w:line="240" w:lineRule="auto"/>
        <w:jc w:val="both"/>
        <w:rPr>
          <w:rFonts w:ascii="Arial" w:hAnsi="Arial" w:cs="Arial"/>
          <w:sz w:val="24"/>
          <w:szCs w:val="24"/>
        </w:rPr>
      </w:pPr>
    </w:p>
    <w:p w14:paraId="22BA506C" w14:textId="77777777" w:rsidR="00FC67F9" w:rsidRPr="00DB7156" w:rsidRDefault="00FC67F9" w:rsidP="00DB7156">
      <w:pPr>
        <w:spacing w:after="0" w:line="240" w:lineRule="auto"/>
        <w:jc w:val="both"/>
        <w:rPr>
          <w:rFonts w:ascii="Arial" w:hAnsi="Arial" w:cs="Arial"/>
          <w:sz w:val="24"/>
          <w:szCs w:val="24"/>
        </w:rPr>
      </w:pPr>
    </w:p>
    <w:p w14:paraId="22BA506D" w14:textId="77777777" w:rsidR="00FC67F9" w:rsidRPr="00DB7156" w:rsidRDefault="00FC67F9" w:rsidP="00DB7156">
      <w:pPr>
        <w:spacing w:after="0" w:line="240" w:lineRule="auto"/>
        <w:jc w:val="both"/>
        <w:rPr>
          <w:rFonts w:ascii="Arial" w:hAnsi="Arial" w:cs="Arial"/>
          <w:sz w:val="24"/>
          <w:szCs w:val="24"/>
        </w:rPr>
      </w:pPr>
    </w:p>
    <w:p w14:paraId="4FC1A853" w14:textId="77777777" w:rsidR="00FC05A9" w:rsidRDefault="00FC05A9">
      <w:pPr>
        <w:spacing w:after="0" w:line="240" w:lineRule="auto"/>
        <w:rPr>
          <w:rFonts w:ascii="Arial" w:hAnsi="Arial" w:cs="Arial"/>
          <w:b/>
          <w:bCs/>
          <w:color w:val="000080"/>
          <w:sz w:val="24"/>
          <w:szCs w:val="24"/>
        </w:rPr>
      </w:pPr>
      <w:bookmarkStart w:id="148" w:name="_Toc496107755"/>
      <w:bookmarkStart w:id="149" w:name="_Toc527987347"/>
      <w:bookmarkStart w:id="150" w:name="_Toc527983894"/>
      <w:bookmarkStart w:id="151" w:name="_Toc530487278"/>
      <w:r>
        <w:rPr>
          <w:rFonts w:ascii="Arial" w:hAnsi="Arial" w:cs="Arial"/>
          <w:b/>
          <w:bCs/>
          <w:color w:val="000080"/>
          <w:sz w:val="24"/>
          <w:szCs w:val="24"/>
        </w:rPr>
        <w:br w:type="page"/>
      </w:r>
    </w:p>
    <w:p w14:paraId="22BA506E" w14:textId="57CF88D8" w:rsidR="00FC67F9" w:rsidRPr="00DB7156" w:rsidRDefault="00FC67F9" w:rsidP="00DB7156">
      <w:pPr>
        <w:autoSpaceDE w:val="0"/>
        <w:autoSpaceDN w:val="0"/>
        <w:adjustRightInd w:val="0"/>
        <w:spacing w:after="0" w:line="240" w:lineRule="auto"/>
        <w:jc w:val="both"/>
        <w:outlineLvl w:val="1"/>
        <w:rPr>
          <w:rFonts w:ascii="Arial" w:hAnsi="Arial" w:cs="Arial"/>
          <w:b/>
          <w:bCs/>
          <w:color w:val="000080"/>
          <w:sz w:val="24"/>
          <w:szCs w:val="24"/>
        </w:rPr>
      </w:pPr>
      <w:bookmarkStart w:id="152" w:name="_Toc535908146"/>
      <w:r w:rsidRPr="00DB7156">
        <w:rPr>
          <w:rFonts w:ascii="Arial" w:hAnsi="Arial" w:cs="Arial"/>
          <w:b/>
          <w:bCs/>
          <w:color w:val="000080"/>
          <w:sz w:val="24"/>
          <w:szCs w:val="24"/>
        </w:rPr>
        <w:t>3.1</w:t>
      </w:r>
      <w:r w:rsidRPr="00DB7156">
        <w:rPr>
          <w:rFonts w:ascii="Arial" w:hAnsi="Arial" w:cs="Arial"/>
          <w:b/>
          <w:bCs/>
          <w:color w:val="000080"/>
          <w:sz w:val="24"/>
          <w:szCs w:val="24"/>
        </w:rPr>
        <w:tab/>
        <w:t>Strategy Process</w:t>
      </w:r>
      <w:bookmarkEnd w:id="148"/>
      <w:bookmarkEnd w:id="149"/>
      <w:bookmarkEnd w:id="150"/>
      <w:bookmarkEnd w:id="151"/>
      <w:bookmarkEnd w:id="152"/>
      <w:r w:rsidRPr="00DB7156">
        <w:rPr>
          <w:rFonts w:ascii="Arial" w:hAnsi="Arial" w:cs="Arial"/>
          <w:b/>
          <w:bCs/>
          <w:color w:val="000080"/>
          <w:sz w:val="24"/>
          <w:szCs w:val="24"/>
        </w:rPr>
        <w:t xml:space="preserve"> </w:t>
      </w:r>
    </w:p>
    <w:p w14:paraId="22BA506F" w14:textId="77777777" w:rsidR="00FC67F9" w:rsidRPr="00DB7156" w:rsidRDefault="00FC67F9" w:rsidP="00DB7156">
      <w:pPr>
        <w:spacing w:after="0" w:line="240" w:lineRule="auto"/>
        <w:jc w:val="both"/>
        <w:rPr>
          <w:rFonts w:ascii="Arial" w:hAnsi="Arial" w:cs="Arial"/>
          <w:sz w:val="24"/>
          <w:szCs w:val="24"/>
        </w:rPr>
      </w:pPr>
    </w:p>
    <w:p w14:paraId="22BA5070" w14:textId="3CFE4E68" w:rsidR="00FC67F9" w:rsidRPr="00DB7156" w:rsidRDefault="00FC67F9" w:rsidP="00DB7156">
      <w:pPr>
        <w:spacing w:after="0" w:line="240" w:lineRule="auto"/>
        <w:jc w:val="both"/>
        <w:rPr>
          <w:rFonts w:ascii="Arial" w:hAnsi="Arial" w:cs="Arial"/>
          <w:sz w:val="24"/>
          <w:szCs w:val="24"/>
        </w:rPr>
      </w:pPr>
      <w:r w:rsidRPr="00DB7156">
        <w:rPr>
          <w:rFonts w:ascii="Arial" w:hAnsi="Arial" w:cs="Arial"/>
          <w:sz w:val="24"/>
          <w:szCs w:val="24"/>
        </w:rPr>
        <w:t xml:space="preserve">The process for developing the environmental compliance </w:t>
      </w:r>
      <w:r w:rsidR="00120B89">
        <w:rPr>
          <w:rFonts w:ascii="Arial" w:hAnsi="Arial" w:cs="Arial"/>
          <w:sz w:val="24"/>
          <w:szCs w:val="24"/>
        </w:rPr>
        <w:t>strategy</w:t>
      </w:r>
      <w:r w:rsidR="00120B89" w:rsidRPr="00DB7156">
        <w:rPr>
          <w:rFonts w:ascii="Arial" w:hAnsi="Arial" w:cs="Arial"/>
          <w:sz w:val="24"/>
          <w:szCs w:val="24"/>
        </w:rPr>
        <w:t xml:space="preserve"> </w:t>
      </w:r>
      <w:r w:rsidRPr="00DB7156">
        <w:rPr>
          <w:rFonts w:ascii="Arial" w:hAnsi="Arial" w:cs="Arial"/>
          <w:sz w:val="24"/>
          <w:szCs w:val="24"/>
        </w:rPr>
        <w:t xml:space="preserve">includes the comprehensive involvement of a number of organizations within the </w:t>
      </w:r>
      <w:r w:rsidR="00675244">
        <w:rPr>
          <w:rFonts w:ascii="Arial" w:hAnsi="Arial" w:cs="Arial"/>
          <w:sz w:val="24"/>
          <w:szCs w:val="24"/>
        </w:rPr>
        <w:t>C</w:t>
      </w:r>
      <w:r w:rsidRPr="00DB7156">
        <w:rPr>
          <w:rFonts w:ascii="Arial" w:hAnsi="Arial" w:cs="Arial"/>
          <w:sz w:val="24"/>
          <w:szCs w:val="24"/>
        </w:rPr>
        <w:t>ompany, including environmental, governmental affairs, planning, fuels, engineering, finance, operations, communications, generating plants, and research groups.  This integrated process includes four steps as discussed below.</w:t>
      </w:r>
    </w:p>
    <w:p w14:paraId="22BA5071" w14:textId="77777777" w:rsidR="00FC67F9" w:rsidRPr="00DB7156" w:rsidRDefault="00FC67F9" w:rsidP="00DB7156">
      <w:pPr>
        <w:spacing w:after="0" w:line="240" w:lineRule="auto"/>
        <w:jc w:val="both"/>
        <w:rPr>
          <w:rFonts w:ascii="Arial" w:hAnsi="Arial" w:cs="Arial"/>
          <w:sz w:val="24"/>
          <w:szCs w:val="24"/>
        </w:rPr>
      </w:pPr>
    </w:p>
    <w:p w14:paraId="22BA5072" w14:textId="0B7686F6" w:rsidR="00FC67F9" w:rsidRPr="00DB7156" w:rsidRDefault="00FC67F9" w:rsidP="00DB7156">
      <w:pPr>
        <w:numPr>
          <w:ilvl w:val="0"/>
          <w:numId w:val="5"/>
        </w:numPr>
        <w:tabs>
          <w:tab w:val="num" w:pos="540"/>
        </w:tabs>
        <w:spacing w:after="0" w:line="240" w:lineRule="auto"/>
        <w:ind w:left="540" w:hanging="540"/>
        <w:jc w:val="both"/>
        <w:rPr>
          <w:rFonts w:ascii="Arial" w:hAnsi="Arial" w:cs="Arial"/>
          <w:sz w:val="24"/>
          <w:szCs w:val="24"/>
        </w:rPr>
      </w:pPr>
      <w:r w:rsidRPr="00DB7156">
        <w:rPr>
          <w:rFonts w:ascii="Arial" w:hAnsi="Arial" w:cs="Arial"/>
          <w:b/>
          <w:bCs/>
          <w:sz w:val="24"/>
          <w:szCs w:val="24"/>
        </w:rPr>
        <w:t>Predicting and integrating the outcome of new environmental requirements</w:t>
      </w:r>
      <w:r w:rsidRPr="00DB7156">
        <w:rPr>
          <w:rFonts w:ascii="Arial" w:hAnsi="Arial" w:cs="Arial"/>
          <w:sz w:val="24"/>
          <w:szCs w:val="24"/>
        </w:rPr>
        <w:t xml:space="preserve">.  The first step involves gathering all available knowledge about current and possible future local, state, regional, and </w:t>
      </w:r>
      <w:r w:rsidR="00EF6864" w:rsidRPr="00DB7156">
        <w:rPr>
          <w:rFonts w:ascii="Arial" w:hAnsi="Arial" w:cs="Arial"/>
          <w:sz w:val="24"/>
          <w:szCs w:val="24"/>
        </w:rPr>
        <w:t xml:space="preserve">federal </w:t>
      </w:r>
      <w:r w:rsidRPr="00DB7156">
        <w:rPr>
          <w:rFonts w:ascii="Arial" w:hAnsi="Arial" w:cs="Arial"/>
          <w:sz w:val="24"/>
          <w:szCs w:val="24"/>
        </w:rPr>
        <w:t>environmental requirements. The future requirements may be in the form of legislation that will need future rulemakings or in the form of draft or proposed new rules that must go through the rulemaking process to become final. Some rules may be part of an allowance-based cap</w:t>
      </w:r>
      <w:r w:rsidR="008664DD" w:rsidRPr="00DB7156">
        <w:rPr>
          <w:rFonts w:ascii="Arial" w:hAnsi="Arial" w:cs="Arial"/>
          <w:sz w:val="24"/>
          <w:szCs w:val="24"/>
        </w:rPr>
        <w:t xml:space="preserve"> </w:t>
      </w:r>
      <w:r w:rsidRPr="00DB7156">
        <w:rPr>
          <w:rFonts w:ascii="Arial" w:hAnsi="Arial" w:cs="Arial"/>
          <w:sz w:val="24"/>
          <w:szCs w:val="24"/>
        </w:rPr>
        <w:t>and</w:t>
      </w:r>
      <w:r w:rsidR="008664DD" w:rsidRPr="00DB7156">
        <w:rPr>
          <w:rFonts w:ascii="Arial" w:hAnsi="Arial" w:cs="Arial"/>
          <w:sz w:val="24"/>
          <w:szCs w:val="24"/>
        </w:rPr>
        <w:t xml:space="preserve"> </w:t>
      </w:r>
      <w:r w:rsidRPr="00DB7156">
        <w:rPr>
          <w:rFonts w:ascii="Arial" w:hAnsi="Arial" w:cs="Arial"/>
          <w:sz w:val="24"/>
          <w:szCs w:val="24"/>
        </w:rPr>
        <w:t>trade program over a regional or national scale and others may be local or state requirements that mandate specific requirements on specific plants. For many rules, the possibility that litigation will result in changes to the rule creates additional uncertainty.</w:t>
      </w:r>
    </w:p>
    <w:p w14:paraId="22BA5073" w14:textId="77777777" w:rsidR="00FC67F9" w:rsidRPr="00DB7156" w:rsidRDefault="00FC67F9" w:rsidP="00DB7156">
      <w:pPr>
        <w:spacing w:after="0" w:line="240" w:lineRule="auto"/>
        <w:jc w:val="both"/>
        <w:rPr>
          <w:rFonts w:ascii="Arial" w:hAnsi="Arial" w:cs="Arial"/>
          <w:sz w:val="24"/>
          <w:szCs w:val="24"/>
        </w:rPr>
      </w:pPr>
    </w:p>
    <w:p w14:paraId="22BA5074" w14:textId="0B038174" w:rsidR="00FC67F9" w:rsidRPr="00DB7156" w:rsidRDefault="00FC67F9" w:rsidP="00DB7156">
      <w:pPr>
        <w:spacing w:after="0" w:line="240" w:lineRule="auto"/>
        <w:ind w:left="540" w:hanging="540"/>
        <w:jc w:val="both"/>
        <w:rPr>
          <w:rFonts w:ascii="Arial" w:hAnsi="Arial" w:cs="Arial"/>
          <w:sz w:val="24"/>
          <w:szCs w:val="24"/>
        </w:rPr>
      </w:pPr>
      <w:r w:rsidRPr="00DB7156">
        <w:rPr>
          <w:rFonts w:ascii="Arial" w:hAnsi="Arial" w:cs="Arial"/>
          <w:sz w:val="24"/>
          <w:szCs w:val="24"/>
        </w:rPr>
        <w:t>2.</w:t>
      </w:r>
      <w:r w:rsidRPr="00DB7156">
        <w:rPr>
          <w:rFonts w:ascii="Arial" w:hAnsi="Arial" w:cs="Arial"/>
          <w:sz w:val="24"/>
          <w:szCs w:val="24"/>
        </w:rPr>
        <w:tab/>
      </w:r>
      <w:r w:rsidRPr="00DB7156">
        <w:rPr>
          <w:rFonts w:ascii="Arial" w:hAnsi="Arial" w:cs="Arial"/>
          <w:b/>
          <w:bCs/>
          <w:sz w:val="24"/>
          <w:szCs w:val="24"/>
        </w:rPr>
        <w:t xml:space="preserve">Developing assumptions on national, Southern Company, and </w:t>
      </w:r>
      <w:r w:rsidR="00B56F68" w:rsidRPr="00DB7156">
        <w:rPr>
          <w:rFonts w:ascii="Arial" w:hAnsi="Arial" w:cs="Arial"/>
          <w:b/>
          <w:bCs/>
          <w:sz w:val="24"/>
          <w:szCs w:val="24"/>
        </w:rPr>
        <w:t xml:space="preserve">Georgia Power </w:t>
      </w:r>
      <w:r w:rsidRPr="00DB7156">
        <w:rPr>
          <w:rFonts w:ascii="Arial" w:hAnsi="Arial" w:cs="Arial"/>
          <w:b/>
          <w:bCs/>
          <w:sz w:val="24"/>
          <w:szCs w:val="24"/>
        </w:rPr>
        <w:t>Company levels.</w:t>
      </w:r>
      <w:r w:rsidRPr="00DB7156">
        <w:rPr>
          <w:rFonts w:ascii="Arial" w:hAnsi="Arial" w:cs="Arial"/>
          <w:sz w:val="24"/>
          <w:szCs w:val="24"/>
        </w:rPr>
        <w:t xml:space="preserve"> In order to predict the impacts of the requirements</w:t>
      </w:r>
      <w:r w:rsidR="00675244">
        <w:rPr>
          <w:rFonts w:ascii="Arial" w:hAnsi="Arial" w:cs="Arial"/>
          <w:sz w:val="24"/>
          <w:szCs w:val="24"/>
        </w:rPr>
        <w:t xml:space="preserve"> on the generating plants, the C</w:t>
      </w:r>
      <w:r w:rsidRPr="00DB7156">
        <w:rPr>
          <w:rFonts w:ascii="Arial" w:hAnsi="Arial" w:cs="Arial"/>
          <w:sz w:val="24"/>
          <w:szCs w:val="24"/>
        </w:rPr>
        <w:t xml:space="preserve">ompany must make assumptions to predict generating unit, </w:t>
      </w:r>
      <w:r w:rsidR="00B56F68" w:rsidRPr="00DB7156">
        <w:rPr>
          <w:rFonts w:ascii="Arial" w:hAnsi="Arial" w:cs="Arial"/>
          <w:sz w:val="24"/>
          <w:szCs w:val="24"/>
        </w:rPr>
        <w:t xml:space="preserve">Georgia Power, </w:t>
      </w:r>
      <w:r w:rsidRPr="00DB7156">
        <w:rPr>
          <w:rFonts w:ascii="Arial" w:hAnsi="Arial" w:cs="Arial"/>
          <w:sz w:val="24"/>
          <w:szCs w:val="24"/>
        </w:rPr>
        <w:t>Southern Company, and national electric system responses to existing and future environmental requirements (in addition to demands for electricity). These assumptions include:</w:t>
      </w:r>
    </w:p>
    <w:p w14:paraId="22BA5075" w14:textId="77777777" w:rsidR="00FC67F9" w:rsidRPr="00DB7156" w:rsidRDefault="00FC67F9" w:rsidP="00DB7156">
      <w:pPr>
        <w:spacing w:after="0" w:line="240" w:lineRule="auto"/>
        <w:jc w:val="both"/>
        <w:rPr>
          <w:rFonts w:ascii="Arial" w:hAnsi="Arial" w:cs="Arial"/>
          <w:sz w:val="24"/>
          <w:szCs w:val="24"/>
        </w:rPr>
      </w:pPr>
    </w:p>
    <w:p w14:paraId="22BA5076" w14:textId="13B3D03C" w:rsidR="00FC67F9" w:rsidRPr="00DB7156" w:rsidRDefault="00FC67F9" w:rsidP="00DB7156">
      <w:pPr>
        <w:numPr>
          <w:ilvl w:val="0"/>
          <w:numId w:val="4"/>
        </w:numPr>
        <w:spacing w:after="0" w:line="240" w:lineRule="auto"/>
        <w:jc w:val="both"/>
        <w:rPr>
          <w:rFonts w:ascii="Arial" w:hAnsi="Arial" w:cs="Arial"/>
          <w:sz w:val="24"/>
          <w:szCs w:val="24"/>
        </w:rPr>
      </w:pPr>
      <w:r w:rsidRPr="00DB7156">
        <w:rPr>
          <w:rFonts w:ascii="Arial" w:hAnsi="Arial" w:cs="Arial"/>
          <w:sz w:val="24"/>
          <w:szCs w:val="24"/>
        </w:rPr>
        <w:t>Unit operating characteristics such as heat rates, capacity, and emission rates</w:t>
      </w:r>
    </w:p>
    <w:p w14:paraId="22BA5077" w14:textId="74483C2D" w:rsidR="00FC67F9" w:rsidRPr="00DB7156" w:rsidRDefault="00FC67F9" w:rsidP="00DB7156">
      <w:pPr>
        <w:numPr>
          <w:ilvl w:val="0"/>
          <w:numId w:val="4"/>
        </w:numPr>
        <w:spacing w:after="0" w:line="240" w:lineRule="auto"/>
        <w:jc w:val="both"/>
        <w:rPr>
          <w:rFonts w:ascii="Arial" w:hAnsi="Arial" w:cs="Arial"/>
          <w:sz w:val="24"/>
          <w:szCs w:val="24"/>
        </w:rPr>
      </w:pPr>
      <w:r w:rsidRPr="00DB7156">
        <w:rPr>
          <w:rFonts w:ascii="Arial" w:hAnsi="Arial" w:cs="Arial"/>
          <w:sz w:val="24"/>
          <w:szCs w:val="24"/>
        </w:rPr>
        <w:t>Fuel characteristics and costs, including natural gas, coal, and oil</w:t>
      </w:r>
    </w:p>
    <w:p w14:paraId="22BA5078" w14:textId="123974E6" w:rsidR="00FC67F9" w:rsidRPr="00DB7156" w:rsidRDefault="00FC67F9" w:rsidP="00DB7156">
      <w:pPr>
        <w:numPr>
          <w:ilvl w:val="0"/>
          <w:numId w:val="4"/>
        </w:numPr>
        <w:spacing w:after="0" w:line="240" w:lineRule="auto"/>
        <w:jc w:val="both"/>
        <w:rPr>
          <w:rFonts w:ascii="Arial" w:hAnsi="Arial" w:cs="Arial"/>
          <w:sz w:val="24"/>
          <w:szCs w:val="24"/>
        </w:rPr>
      </w:pPr>
      <w:r w:rsidRPr="00DB7156">
        <w:rPr>
          <w:rFonts w:ascii="Arial" w:hAnsi="Arial" w:cs="Arial"/>
          <w:sz w:val="24"/>
          <w:szCs w:val="24"/>
        </w:rPr>
        <w:t>Allowance prices for cap</w:t>
      </w:r>
      <w:r w:rsidR="002E12F4" w:rsidRPr="00DB7156">
        <w:rPr>
          <w:rFonts w:ascii="Arial" w:hAnsi="Arial" w:cs="Arial"/>
          <w:sz w:val="24"/>
          <w:szCs w:val="24"/>
        </w:rPr>
        <w:t xml:space="preserve"> </w:t>
      </w:r>
      <w:r w:rsidRPr="00DB7156">
        <w:rPr>
          <w:rFonts w:ascii="Arial" w:hAnsi="Arial" w:cs="Arial"/>
          <w:sz w:val="24"/>
          <w:szCs w:val="24"/>
        </w:rPr>
        <w:t>and</w:t>
      </w:r>
      <w:r w:rsidR="002E12F4" w:rsidRPr="00DB7156">
        <w:rPr>
          <w:rFonts w:ascii="Arial" w:hAnsi="Arial" w:cs="Arial"/>
          <w:sz w:val="24"/>
          <w:szCs w:val="24"/>
        </w:rPr>
        <w:t xml:space="preserve"> </w:t>
      </w:r>
      <w:r w:rsidRPr="00DB7156">
        <w:rPr>
          <w:rFonts w:ascii="Arial" w:hAnsi="Arial" w:cs="Arial"/>
          <w:sz w:val="24"/>
          <w:szCs w:val="24"/>
        </w:rPr>
        <w:t>trade programs</w:t>
      </w:r>
    </w:p>
    <w:p w14:paraId="22BA5079" w14:textId="41465A6B" w:rsidR="00FC67F9" w:rsidRPr="00DB7156" w:rsidRDefault="00FC67F9" w:rsidP="00DB7156">
      <w:pPr>
        <w:numPr>
          <w:ilvl w:val="0"/>
          <w:numId w:val="4"/>
        </w:numPr>
        <w:spacing w:after="0" w:line="240" w:lineRule="auto"/>
        <w:jc w:val="both"/>
        <w:rPr>
          <w:rFonts w:ascii="Arial" w:hAnsi="Arial" w:cs="Arial"/>
          <w:sz w:val="24"/>
          <w:szCs w:val="24"/>
        </w:rPr>
      </w:pPr>
      <w:r w:rsidRPr="00DB7156">
        <w:rPr>
          <w:rFonts w:ascii="Arial" w:hAnsi="Arial" w:cs="Arial"/>
          <w:sz w:val="24"/>
          <w:szCs w:val="24"/>
        </w:rPr>
        <w:t>Control technology options and costs</w:t>
      </w:r>
    </w:p>
    <w:p w14:paraId="22BA507A" w14:textId="51BCA890" w:rsidR="00FC67F9" w:rsidRPr="00DB7156" w:rsidRDefault="0010058E" w:rsidP="00DB7156">
      <w:pPr>
        <w:numPr>
          <w:ilvl w:val="0"/>
          <w:numId w:val="4"/>
        </w:numPr>
        <w:spacing w:after="0" w:line="240" w:lineRule="auto"/>
        <w:jc w:val="both"/>
        <w:rPr>
          <w:rFonts w:ascii="Arial" w:hAnsi="Arial" w:cs="Arial"/>
          <w:sz w:val="24"/>
          <w:szCs w:val="24"/>
        </w:rPr>
      </w:pPr>
      <w:r w:rsidRPr="00DB7156">
        <w:rPr>
          <w:rFonts w:ascii="Arial" w:hAnsi="Arial" w:cs="Arial"/>
          <w:sz w:val="24"/>
          <w:szCs w:val="24"/>
        </w:rPr>
        <w:t xml:space="preserve">Existing and </w:t>
      </w:r>
      <w:r w:rsidR="00713E06">
        <w:rPr>
          <w:rFonts w:ascii="Arial" w:hAnsi="Arial" w:cs="Arial"/>
          <w:sz w:val="24"/>
          <w:szCs w:val="24"/>
        </w:rPr>
        <w:t>f</w:t>
      </w:r>
      <w:r w:rsidR="00FC67F9" w:rsidRPr="00DB7156">
        <w:rPr>
          <w:rFonts w:ascii="Arial" w:hAnsi="Arial" w:cs="Arial"/>
          <w:sz w:val="24"/>
          <w:szCs w:val="24"/>
        </w:rPr>
        <w:t>uture generation demand</w:t>
      </w:r>
    </w:p>
    <w:p w14:paraId="22BA507B" w14:textId="77777777" w:rsidR="00B56F68" w:rsidRPr="00DB7156" w:rsidRDefault="00B56F68" w:rsidP="00DB7156">
      <w:pPr>
        <w:spacing w:after="0" w:line="240" w:lineRule="auto"/>
        <w:ind w:left="1440"/>
        <w:jc w:val="both"/>
        <w:rPr>
          <w:rFonts w:ascii="Arial" w:hAnsi="Arial" w:cs="Arial"/>
          <w:sz w:val="24"/>
          <w:szCs w:val="24"/>
        </w:rPr>
      </w:pPr>
    </w:p>
    <w:p w14:paraId="22BA507C" w14:textId="4FE5B6B1" w:rsidR="00FC67F9" w:rsidRPr="00DB7156" w:rsidRDefault="00FC67F9" w:rsidP="00DB7156">
      <w:pPr>
        <w:spacing w:after="0" w:line="240" w:lineRule="auto"/>
        <w:ind w:left="540"/>
        <w:jc w:val="both"/>
        <w:rPr>
          <w:rFonts w:ascii="Arial" w:hAnsi="Arial" w:cs="Arial"/>
          <w:sz w:val="24"/>
          <w:szCs w:val="24"/>
        </w:rPr>
      </w:pPr>
      <w:r w:rsidRPr="00DB7156">
        <w:rPr>
          <w:rFonts w:ascii="Arial" w:hAnsi="Arial" w:cs="Arial"/>
          <w:sz w:val="24"/>
          <w:szCs w:val="24"/>
        </w:rPr>
        <w:t xml:space="preserve">To appropriately consider future </w:t>
      </w:r>
      <w:r w:rsidR="00751C8D" w:rsidRPr="00DB7156">
        <w:rPr>
          <w:rFonts w:ascii="Arial" w:hAnsi="Arial" w:cs="Arial"/>
          <w:sz w:val="24"/>
          <w:szCs w:val="24"/>
        </w:rPr>
        <w:t xml:space="preserve">regulatory </w:t>
      </w:r>
      <w:r w:rsidRPr="00DB7156">
        <w:rPr>
          <w:rFonts w:ascii="Arial" w:hAnsi="Arial" w:cs="Arial"/>
          <w:sz w:val="24"/>
          <w:szCs w:val="24"/>
        </w:rPr>
        <w:t xml:space="preserve">and market uncertainty, a scenario planning process </w:t>
      </w:r>
      <w:r w:rsidR="00967D81" w:rsidRPr="00DB7156">
        <w:rPr>
          <w:rFonts w:ascii="Arial" w:hAnsi="Arial" w:cs="Arial"/>
          <w:sz w:val="24"/>
          <w:szCs w:val="24"/>
        </w:rPr>
        <w:t xml:space="preserve">is </w:t>
      </w:r>
      <w:r w:rsidRPr="00DB7156">
        <w:rPr>
          <w:rFonts w:ascii="Arial" w:hAnsi="Arial" w:cs="Arial"/>
          <w:sz w:val="24"/>
          <w:szCs w:val="24"/>
        </w:rPr>
        <w:t xml:space="preserve">employed for long-term resource planning.  A range of planning scenarios </w:t>
      </w:r>
      <w:r w:rsidR="00967D81" w:rsidRPr="00DB7156">
        <w:rPr>
          <w:rFonts w:ascii="Arial" w:hAnsi="Arial" w:cs="Arial"/>
          <w:sz w:val="24"/>
          <w:szCs w:val="24"/>
        </w:rPr>
        <w:t xml:space="preserve">are </w:t>
      </w:r>
      <w:r w:rsidRPr="00DB7156">
        <w:rPr>
          <w:rFonts w:ascii="Arial" w:hAnsi="Arial" w:cs="Arial"/>
          <w:sz w:val="24"/>
          <w:szCs w:val="24"/>
        </w:rPr>
        <w:t>develope</w:t>
      </w:r>
      <w:r w:rsidR="00675244">
        <w:rPr>
          <w:rFonts w:ascii="Arial" w:hAnsi="Arial" w:cs="Arial"/>
          <w:sz w:val="24"/>
          <w:szCs w:val="24"/>
        </w:rPr>
        <w:t>d and modeled as a part of the C</w:t>
      </w:r>
      <w:r w:rsidRPr="00DB7156">
        <w:rPr>
          <w:rFonts w:ascii="Arial" w:hAnsi="Arial" w:cs="Arial"/>
          <w:sz w:val="24"/>
          <w:szCs w:val="24"/>
        </w:rPr>
        <w:t xml:space="preserve">ompany’s </w:t>
      </w:r>
      <w:r w:rsidR="00E6528F" w:rsidRPr="00DB7156">
        <w:rPr>
          <w:rFonts w:ascii="Arial" w:hAnsi="Arial" w:cs="Arial"/>
          <w:sz w:val="24"/>
          <w:szCs w:val="24"/>
        </w:rPr>
        <w:t>Integrated Resource Plan</w:t>
      </w:r>
      <w:r w:rsidRPr="00DB7156">
        <w:rPr>
          <w:rFonts w:ascii="Arial" w:hAnsi="Arial" w:cs="Arial"/>
          <w:sz w:val="24"/>
          <w:szCs w:val="24"/>
        </w:rPr>
        <w:t xml:space="preserve">. This range </w:t>
      </w:r>
      <w:r w:rsidR="00967D81" w:rsidRPr="00DB7156">
        <w:rPr>
          <w:rFonts w:ascii="Arial" w:hAnsi="Arial" w:cs="Arial"/>
          <w:sz w:val="24"/>
          <w:szCs w:val="24"/>
        </w:rPr>
        <w:t xml:space="preserve">is </w:t>
      </w:r>
      <w:r w:rsidRPr="00DB7156">
        <w:rPr>
          <w:rFonts w:ascii="Arial" w:hAnsi="Arial" w:cs="Arial"/>
          <w:sz w:val="24"/>
          <w:szCs w:val="24"/>
        </w:rPr>
        <w:t>established through the work of a coordinated planning team consisting of internal and exter</w:t>
      </w:r>
      <w:r w:rsidR="00675244">
        <w:rPr>
          <w:rFonts w:ascii="Arial" w:hAnsi="Arial" w:cs="Arial"/>
          <w:sz w:val="24"/>
          <w:szCs w:val="24"/>
        </w:rPr>
        <w:t>nal subject matter experts and C</w:t>
      </w:r>
      <w:r w:rsidRPr="00DB7156">
        <w:rPr>
          <w:rFonts w:ascii="Arial" w:hAnsi="Arial" w:cs="Arial"/>
          <w:sz w:val="24"/>
          <w:szCs w:val="24"/>
        </w:rPr>
        <w:t xml:space="preserve">ompany planning managers. The planning scenarios identify two fundamental dimensions that affect the range of potential futures for the electric utility industry – </w:t>
      </w:r>
      <w:r w:rsidR="00F0735B">
        <w:rPr>
          <w:rFonts w:ascii="Arial" w:hAnsi="Arial" w:cs="Arial"/>
          <w:sz w:val="24"/>
          <w:szCs w:val="24"/>
        </w:rPr>
        <w:t>(</w:t>
      </w:r>
      <w:r w:rsidR="00E6528F" w:rsidRPr="00DB7156">
        <w:rPr>
          <w:rFonts w:ascii="Arial" w:hAnsi="Arial" w:cs="Arial"/>
          <w:sz w:val="24"/>
          <w:szCs w:val="24"/>
        </w:rPr>
        <w:t xml:space="preserve">1) </w:t>
      </w:r>
      <w:r w:rsidRPr="00DB7156">
        <w:rPr>
          <w:rFonts w:ascii="Arial" w:hAnsi="Arial" w:cs="Arial"/>
          <w:sz w:val="24"/>
          <w:szCs w:val="24"/>
        </w:rPr>
        <w:t xml:space="preserve">fuel market </w:t>
      </w:r>
      <w:r w:rsidR="00E6528F" w:rsidRPr="00DB7156">
        <w:rPr>
          <w:rFonts w:ascii="Arial" w:hAnsi="Arial" w:cs="Arial"/>
          <w:sz w:val="24"/>
          <w:szCs w:val="24"/>
        </w:rPr>
        <w:t xml:space="preserve">demand and </w:t>
      </w:r>
      <w:r w:rsidRPr="00DB7156">
        <w:rPr>
          <w:rFonts w:ascii="Arial" w:hAnsi="Arial" w:cs="Arial"/>
          <w:sz w:val="24"/>
          <w:szCs w:val="24"/>
        </w:rPr>
        <w:t>supply fundamentals</w:t>
      </w:r>
      <w:r w:rsidR="00F0735B">
        <w:rPr>
          <w:rFonts w:ascii="Arial" w:hAnsi="Arial" w:cs="Arial"/>
          <w:sz w:val="24"/>
          <w:szCs w:val="24"/>
        </w:rPr>
        <w:t>,</w:t>
      </w:r>
      <w:r w:rsidRPr="00DB7156">
        <w:rPr>
          <w:rFonts w:ascii="Arial" w:hAnsi="Arial" w:cs="Arial"/>
          <w:sz w:val="24"/>
          <w:szCs w:val="24"/>
        </w:rPr>
        <w:t xml:space="preserve"> and </w:t>
      </w:r>
      <w:r w:rsidR="00F0735B">
        <w:rPr>
          <w:rFonts w:ascii="Arial" w:hAnsi="Arial" w:cs="Arial"/>
          <w:sz w:val="24"/>
          <w:szCs w:val="24"/>
        </w:rPr>
        <w:t>(</w:t>
      </w:r>
      <w:r w:rsidR="00E6528F" w:rsidRPr="00DB7156">
        <w:rPr>
          <w:rFonts w:ascii="Arial" w:hAnsi="Arial" w:cs="Arial"/>
          <w:sz w:val="24"/>
          <w:szCs w:val="24"/>
        </w:rPr>
        <w:t xml:space="preserve">2) </w:t>
      </w:r>
      <w:r w:rsidR="00343745" w:rsidRPr="00DB7156">
        <w:rPr>
          <w:rFonts w:ascii="Arial" w:hAnsi="Arial" w:cs="Arial"/>
          <w:sz w:val="24"/>
          <w:szCs w:val="24"/>
        </w:rPr>
        <w:t>GHG</w:t>
      </w:r>
      <w:r w:rsidR="00432235" w:rsidRPr="00DB7156">
        <w:rPr>
          <w:rFonts w:ascii="Arial" w:hAnsi="Arial" w:cs="Arial"/>
          <w:sz w:val="24"/>
          <w:szCs w:val="24"/>
        </w:rPr>
        <w:t xml:space="preserve"> </w:t>
      </w:r>
      <w:r w:rsidR="00483A06" w:rsidRPr="00DB7156">
        <w:rPr>
          <w:rFonts w:ascii="Arial" w:hAnsi="Arial" w:cs="Arial"/>
          <w:sz w:val="24"/>
          <w:szCs w:val="24"/>
        </w:rPr>
        <w:t>policy</w:t>
      </w:r>
      <w:r w:rsidRPr="00DB7156">
        <w:rPr>
          <w:rFonts w:ascii="Arial" w:hAnsi="Arial" w:cs="Arial"/>
          <w:sz w:val="24"/>
          <w:szCs w:val="24"/>
        </w:rPr>
        <w:t xml:space="preserve">.  </w:t>
      </w:r>
    </w:p>
    <w:p w14:paraId="22BA507D" w14:textId="77777777" w:rsidR="00FC67F9" w:rsidRPr="00DB7156" w:rsidRDefault="00FC67F9" w:rsidP="00DB7156">
      <w:pPr>
        <w:spacing w:after="0" w:line="240" w:lineRule="auto"/>
        <w:ind w:left="540" w:hanging="540"/>
        <w:jc w:val="both"/>
        <w:rPr>
          <w:rFonts w:ascii="Arial" w:hAnsi="Arial" w:cs="Arial"/>
          <w:sz w:val="24"/>
          <w:szCs w:val="24"/>
        </w:rPr>
      </w:pPr>
    </w:p>
    <w:p w14:paraId="22BA507E" w14:textId="50114EEF" w:rsidR="00FC67F9" w:rsidRPr="00DB7156" w:rsidRDefault="00FC67F9" w:rsidP="00DB7156">
      <w:pPr>
        <w:spacing w:after="0" w:line="240" w:lineRule="auto"/>
        <w:ind w:left="540" w:hanging="540"/>
        <w:jc w:val="both"/>
        <w:rPr>
          <w:rFonts w:ascii="Arial" w:hAnsi="Arial" w:cs="Arial"/>
          <w:sz w:val="24"/>
          <w:szCs w:val="24"/>
        </w:rPr>
      </w:pPr>
      <w:r w:rsidRPr="00DB7156">
        <w:rPr>
          <w:rFonts w:ascii="Arial" w:hAnsi="Arial" w:cs="Arial"/>
          <w:sz w:val="24"/>
          <w:szCs w:val="24"/>
        </w:rPr>
        <w:t>3.</w:t>
      </w:r>
      <w:r w:rsidRPr="00DB7156">
        <w:rPr>
          <w:rFonts w:ascii="Arial" w:hAnsi="Arial" w:cs="Arial"/>
          <w:sz w:val="24"/>
          <w:szCs w:val="24"/>
        </w:rPr>
        <w:tab/>
      </w:r>
      <w:r w:rsidRPr="00DB7156">
        <w:rPr>
          <w:rFonts w:ascii="Arial" w:hAnsi="Arial" w:cs="Arial"/>
          <w:b/>
          <w:bCs/>
          <w:sz w:val="24"/>
          <w:szCs w:val="24"/>
        </w:rPr>
        <w:t>Application of generating unit-specific cost-effective control technology options.</w:t>
      </w:r>
      <w:r w:rsidRPr="00DB7156">
        <w:rPr>
          <w:rFonts w:ascii="Arial" w:hAnsi="Arial" w:cs="Arial"/>
          <w:sz w:val="24"/>
          <w:szCs w:val="24"/>
        </w:rPr>
        <w:t xml:space="preserve"> The application of control technology is dictated initially by the anticipated environmental requirements for each specific generating plant and/or unit.  In some cases, the plant or unit’s </w:t>
      </w:r>
      <w:r w:rsidR="00630362" w:rsidRPr="00DB7156">
        <w:rPr>
          <w:rFonts w:ascii="Arial" w:hAnsi="Arial" w:cs="Arial"/>
          <w:sz w:val="24"/>
          <w:szCs w:val="24"/>
        </w:rPr>
        <w:t xml:space="preserve">environmental </w:t>
      </w:r>
      <w:r w:rsidRPr="00DB7156">
        <w:rPr>
          <w:rFonts w:ascii="Arial" w:hAnsi="Arial" w:cs="Arial"/>
          <w:sz w:val="24"/>
          <w:szCs w:val="24"/>
        </w:rPr>
        <w:t>control requirements are mandated, such as a plant-specific limit to meet</w:t>
      </w:r>
      <w:r w:rsidR="000F2269">
        <w:rPr>
          <w:rFonts w:ascii="Arial" w:hAnsi="Arial" w:cs="Arial"/>
          <w:sz w:val="24"/>
          <w:szCs w:val="24"/>
        </w:rPr>
        <w:t xml:space="preserve"> ELG</w:t>
      </w:r>
      <w:r w:rsidRPr="00DB7156">
        <w:rPr>
          <w:rFonts w:ascii="Arial" w:hAnsi="Arial" w:cs="Arial"/>
          <w:sz w:val="24"/>
          <w:szCs w:val="24"/>
        </w:rPr>
        <w:t xml:space="preserve"> requirements. In </w:t>
      </w:r>
      <w:r w:rsidR="00734060">
        <w:rPr>
          <w:rFonts w:ascii="Arial" w:hAnsi="Arial" w:cs="Arial"/>
          <w:sz w:val="24"/>
          <w:szCs w:val="24"/>
        </w:rPr>
        <w:t>other</w:t>
      </w:r>
      <w:r w:rsidR="00734060" w:rsidRPr="00DB7156">
        <w:rPr>
          <w:rFonts w:ascii="Arial" w:hAnsi="Arial" w:cs="Arial"/>
          <w:sz w:val="24"/>
          <w:szCs w:val="24"/>
        </w:rPr>
        <w:t xml:space="preserve"> </w:t>
      </w:r>
      <w:r w:rsidRPr="00DB7156">
        <w:rPr>
          <w:rFonts w:ascii="Arial" w:hAnsi="Arial" w:cs="Arial"/>
          <w:sz w:val="24"/>
          <w:szCs w:val="24"/>
        </w:rPr>
        <w:t>cases, such as the cap</w:t>
      </w:r>
      <w:r w:rsidR="008664DD" w:rsidRPr="00DB7156">
        <w:rPr>
          <w:rFonts w:ascii="Arial" w:hAnsi="Arial" w:cs="Arial"/>
          <w:sz w:val="24"/>
          <w:szCs w:val="24"/>
        </w:rPr>
        <w:t xml:space="preserve"> </w:t>
      </w:r>
      <w:r w:rsidRPr="00DB7156">
        <w:rPr>
          <w:rFonts w:ascii="Arial" w:hAnsi="Arial" w:cs="Arial"/>
          <w:sz w:val="24"/>
          <w:szCs w:val="24"/>
        </w:rPr>
        <w:t>and</w:t>
      </w:r>
      <w:r w:rsidR="008664DD" w:rsidRPr="00DB7156">
        <w:rPr>
          <w:rFonts w:ascii="Arial" w:hAnsi="Arial" w:cs="Arial"/>
          <w:sz w:val="24"/>
          <w:szCs w:val="24"/>
        </w:rPr>
        <w:t xml:space="preserve"> </w:t>
      </w:r>
      <w:r w:rsidRPr="00DB7156">
        <w:rPr>
          <w:rFonts w:ascii="Arial" w:hAnsi="Arial" w:cs="Arial"/>
          <w:sz w:val="24"/>
          <w:szCs w:val="24"/>
        </w:rPr>
        <w:t>trade program for SO</w:t>
      </w:r>
      <w:r w:rsidRPr="00DB7156">
        <w:rPr>
          <w:rFonts w:ascii="Arial" w:hAnsi="Arial" w:cs="Arial"/>
          <w:sz w:val="24"/>
          <w:szCs w:val="24"/>
          <w:vertAlign w:val="subscript"/>
        </w:rPr>
        <w:t>2</w:t>
      </w:r>
      <w:r w:rsidRPr="00DB7156">
        <w:rPr>
          <w:rFonts w:ascii="Arial" w:hAnsi="Arial" w:cs="Arial"/>
          <w:sz w:val="24"/>
          <w:szCs w:val="24"/>
        </w:rPr>
        <w:t xml:space="preserve"> established to address acid rain, utilities can choose the most cost-effective option</w:t>
      </w:r>
      <w:r w:rsidR="00967D81" w:rsidRPr="00DB7156">
        <w:rPr>
          <w:rFonts w:ascii="Arial" w:hAnsi="Arial" w:cs="Arial"/>
          <w:sz w:val="24"/>
          <w:szCs w:val="24"/>
        </w:rPr>
        <w:t xml:space="preserve">, </w:t>
      </w:r>
      <w:r w:rsidR="0067730E" w:rsidRPr="00DB7156">
        <w:rPr>
          <w:rFonts w:ascii="Arial" w:hAnsi="Arial" w:cs="Arial"/>
          <w:sz w:val="24"/>
          <w:szCs w:val="24"/>
        </w:rPr>
        <w:t>including fuel</w:t>
      </w:r>
      <w:r w:rsidRPr="00DB7156">
        <w:rPr>
          <w:rFonts w:ascii="Arial" w:hAnsi="Arial" w:cs="Arial"/>
          <w:sz w:val="24"/>
          <w:szCs w:val="24"/>
        </w:rPr>
        <w:t xml:space="preserve"> switching, applying </w:t>
      </w:r>
      <w:r w:rsidR="00967D81" w:rsidRPr="00DB7156">
        <w:rPr>
          <w:rFonts w:ascii="Arial" w:hAnsi="Arial" w:cs="Arial"/>
          <w:sz w:val="24"/>
          <w:szCs w:val="24"/>
        </w:rPr>
        <w:t xml:space="preserve">a </w:t>
      </w:r>
      <w:r w:rsidRPr="00DB7156">
        <w:rPr>
          <w:rFonts w:ascii="Arial" w:hAnsi="Arial" w:cs="Arial"/>
          <w:sz w:val="24"/>
          <w:szCs w:val="24"/>
        </w:rPr>
        <w:t xml:space="preserve">control technology, or purchasing emission allowances. The decision process reviews the </w:t>
      </w:r>
      <w:r w:rsidR="00501934">
        <w:rPr>
          <w:rFonts w:ascii="Arial" w:hAnsi="Arial" w:cs="Arial"/>
          <w:sz w:val="24"/>
          <w:szCs w:val="24"/>
        </w:rPr>
        <w:t xml:space="preserve">cost, control effectiveness, regulatory timing requirements and operational </w:t>
      </w:r>
      <w:r w:rsidR="00EC2E02">
        <w:rPr>
          <w:rFonts w:ascii="Arial" w:hAnsi="Arial" w:cs="Arial"/>
          <w:sz w:val="24"/>
          <w:szCs w:val="24"/>
        </w:rPr>
        <w:t xml:space="preserve">considerations </w:t>
      </w:r>
      <w:r w:rsidR="00501934">
        <w:rPr>
          <w:rFonts w:ascii="Arial" w:hAnsi="Arial" w:cs="Arial"/>
          <w:sz w:val="24"/>
          <w:szCs w:val="24"/>
        </w:rPr>
        <w:t xml:space="preserve">of each </w:t>
      </w:r>
      <w:r w:rsidRPr="00DB7156">
        <w:rPr>
          <w:rFonts w:ascii="Arial" w:hAnsi="Arial" w:cs="Arial"/>
          <w:sz w:val="24"/>
          <w:szCs w:val="24"/>
        </w:rPr>
        <w:t xml:space="preserve">of these options for each unit. </w:t>
      </w:r>
      <w:r w:rsidR="00501934">
        <w:rPr>
          <w:rFonts w:ascii="Arial" w:hAnsi="Arial" w:cs="Arial"/>
          <w:sz w:val="24"/>
          <w:szCs w:val="24"/>
        </w:rPr>
        <w:t xml:space="preserve">All of these considerations are taken into account in developing a unit-specific decision on the application of environmental control technologies. </w:t>
      </w:r>
      <w:r w:rsidRPr="00DB7156">
        <w:rPr>
          <w:rFonts w:ascii="Arial" w:hAnsi="Arial" w:cs="Arial"/>
          <w:sz w:val="24"/>
          <w:szCs w:val="24"/>
        </w:rPr>
        <w:t xml:space="preserve">Several of the most important </w:t>
      </w:r>
      <w:r w:rsidR="0020497F" w:rsidRPr="00DB7156">
        <w:rPr>
          <w:rFonts w:ascii="Arial" w:hAnsi="Arial" w:cs="Arial"/>
          <w:sz w:val="24"/>
          <w:szCs w:val="24"/>
        </w:rPr>
        <w:t xml:space="preserve">environmental </w:t>
      </w:r>
      <w:r w:rsidRPr="00DB7156">
        <w:rPr>
          <w:rFonts w:ascii="Arial" w:hAnsi="Arial" w:cs="Arial"/>
          <w:sz w:val="24"/>
          <w:szCs w:val="24"/>
        </w:rPr>
        <w:t xml:space="preserve">control technologies for </w:t>
      </w:r>
      <w:r w:rsidR="00E81427" w:rsidRPr="00DB7156">
        <w:rPr>
          <w:rFonts w:ascii="Arial" w:hAnsi="Arial" w:cs="Arial"/>
          <w:sz w:val="24"/>
          <w:szCs w:val="24"/>
        </w:rPr>
        <w:t>Georgia Power</w:t>
      </w:r>
      <w:r w:rsidRPr="00DB7156">
        <w:rPr>
          <w:rFonts w:ascii="Arial" w:hAnsi="Arial" w:cs="Arial"/>
          <w:sz w:val="24"/>
          <w:szCs w:val="24"/>
        </w:rPr>
        <w:t xml:space="preserve"> compliance are described in the technology review discussion </w:t>
      </w:r>
      <w:r w:rsidR="00D70DA0" w:rsidRPr="00DB7156">
        <w:rPr>
          <w:rFonts w:ascii="Arial" w:hAnsi="Arial" w:cs="Arial"/>
          <w:sz w:val="24"/>
          <w:szCs w:val="24"/>
        </w:rPr>
        <w:t>that follows</w:t>
      </w:r>
      <w:r w:rsidRPr="00DB7156">
        <w:rPr>
          <w:rFonts w:ascii="Arial" w:hAnsi="Arial" w:cs="Arial"/>
          <w:sz w:val="24"/>
          <w:szCs w:val="24"/>
        </w:rPr>
        <w:t>.</w:t>
      </w:r>
    </w:p>
    <w:p w14:paraId="22BA507F" w14:textId="77777777" w:rsidR="00FC67F9" w:rsidRPr="00DB7156" w:rsidRDefault="00FC67F9" w:rsidP="00DB7156">
      <w:pPr>
        <w:spacing w:after="0" w:line="240" w:lineRule="auto"/>
        <w:jc w:val="both"/>
        <w:rPr>
          <w:rFonts w:ascii="Arial" w:hAnsi="Arial" w:cs="Arial"/>
          <w:sz w:val="24"/>
          <w:szCs w:val="24"/>
        </w:rPr>
      </w:pPr>
    </w:p>
    <w:p w14:paraId="5A6EF8E5" w14:textId="7C47738A" w:rsidR="005F1427" w:rsidRPr="00DB7156" w:rsidRDefault="00FC67F9" w:rsidP="00DB7156">
      <w:pPr>
        <w:spacing w:after="0" w:line="240" w:lineRule="auto"/>
        <w:ind w:left="540"/>
        <w:jc w:val="both"/>
        <w:rPr>
          <w:rFonts w:ascii="Arial" w:hAnsi="Arial" w:cs="Arial"/>
          <w:sz w:val="24"/>
          <w:szCs w:val="24"/>
        </w:rPr>
      </w:pPr>
      <w:r w:rsidRPr="00DB7156">
        <w:rPr>
          <w:rFonts w:ascii="Arial" w:hAnsi="Arial" w:cs="Arial"/>
          <w:sz w:val="24"/>
          <w:szCs w:val="24"/>
        </w:rPr>
        <w:t xml:space="preserve">The availability </w:t>
      </w:r>
      <w:r w:rsidR="00373822" w:rsidRPr="00DB7156">
        <w:rPr>
          <w:rFonts w:ascii="Arial" w:hAnsi="Arial" w:cs="Arial"/>
          <w:sz w:val="24"/>
          <w:szCs w:val="24"/>
        </w:rPr>
        <w:t xml:space="preserve">or options for </w:t>
      </w:r>
      <w:r w:rsidRPr="00DB7156">
        <w:rPr>
          <w:rFonts w:ascii="Arial" w:hAnsi="Arial" w:cs="Arial"/>
          <w:sz w:val="24"/>
          <w:szCs w:val="24"/>
        </w:rPr>
        <w:t xml:space="preserve">control technology </w:t>
      </w:r>
      <w:r w:rsidR="0020497F" w:rsidRPr="00DB7156">
        <w:rPr>
          <w:rFonts w:ascii="Arial" w:hAnsi="Arial" w:cs="Arial"/>
          <w:sz w:val="24"/>
          <w:szCs w:val="24"/>
        </w:rPr>
        <w:t xml:space="preserve">can </w:t>
      </w:r>
      <w:r w:rsidRPr="00DB7156">
        <w:rPr>
          <w:rFonts w:ascii="Arial" w:hAnsi="Arial" w:cs="Arial"/>
          <w:sz w:val="24"/>
          <w:szCs w:val="24"/>
        </w:rPr>
        <w:t>var</w:t>
      </w:r>
      <w:r w:rsidR="0020497F" w:rsidRPr="00DB7156">
        <w:rPr>
          <w:rFonts w:ascii="Arial" w:hAnsi="Arial" w:cs="Arial"/>
          <w:sz w:val="24"/>
          <w:szCs w:val="24"/>
        </w:rPr>
        <w:t>y</w:t>
      </w:r>
      <w:r w:rsidRPr="00DB7156">
        <w:rPr>
          <w:rFonts w:ascii="Arial" w:hAnsi="Arial" w:cs="Arial"/>
          <w:sz w:val="24"/>
          <w:szCs w:val="24"/>
        </w:rPr>
        <w:t xml:space="preserve"> by pollutant, </w:t>
      </w:r>
      <w:r w:rsidR="0020497F" w:rsidRPr="00DB7156">
        <w:rPr>
          <w:rFonts w:ascii="Arial" w:hAnsi="Arial" w:cs="Arial"/>
          <w:sz w:val="24"/>
          <w:szCs w:val="24"/>
        </w:rPr>
        <w:t xml:space="preserve">by process </w:t>
      </w:r>
      <w:r w:rsidR="00C721D8" w:rsidRPr="00DB7156">
        <w:rPr>
          <w:rFonts w:ascii="Arial" w:hAnsi="Arial" w:cs="Arial"/>
          <w:sz w:val="24"/>
          <w:szCs w:val="24"/>
        </w:rPr>
        <w:t>and</w:t>
      </w:r>
      <w:r w:rsidR="0020497F" w:rsidRPr="00DB7156">
        <w:rPr>
          <w:rFonts w:ascii="Arial" w:hAnsi="Arial" w:cs="Arial"/>
          <w:sz w:val="24"/>
          <w:szCs w:val="24"/>
        </w:rPr>
        <w:t xml:space="preserve"> by plant specifics</w:t>
      </w:r>
      <w:r w:rsidRPr="00DB7156">
        <w:rPr>
          <w:rFonts w:ascii="Arial" w:hAnsi="Arial" w:cs="Arial"/>
          <w:sz w:val="24"/>
          <w:szCs w:val="24"/>
        </w:rPr>
        <w:t xml:space="preserve">. </w:t>
      </w:r>
      <w:r w:rsidR="005F1427" w:rsidRPr="00DB7156">
        <w:rPr>
          <w:rFonts w:ascii="Arial" w:hAnsi="Arial" w:cs="Arial"/>
          <w:sz w:val="24"/>
          <w:szCs w:val="24"/>
        </w:rPr>
        <w:t>For example, w</w:t>
      </w:r>
      <w:r w:rsidRPr="00DB7156">
        <w:rPr>
          <w:rFonts w:ascii="Arial" w:hAnsi="Arial" w:cs="Arial"/>
          <w:sz w:val="24"/>
          <w:szCs w:val="24"/>
        </w:rPr>
        <w:t>hen complying with SO</w:t>
      </w:r>
      <w:r w:rsidRPr="00DB7156">
        <w:rPr>
          <w:rFonts w:ascii="Arial" w:hAnsi="Arial" w:cs="Arial"/>
          <w:sz w:val="24"/>
          <w:szCs w:val="24"/>
          <w:vertAlign w:val="subscript"/>
        </w:rPr>
        <w:t>2</w:t>
      </w:r>
      <w:r w:rsidRPr="00DB7156">
        <w:rPr>
          <w:rFonts w:ascii="Arial" w:hAnsi="Arial" w:cs="Arial"/>
          <w:sz w:val="24"/>
          <w:szCs w:val="24"/>
        </w:rPr>
        <w:t xml:space="preserve"> reduction requirements, the choices </w:t>
      </w:r>
      <w:r w:rsidR="00974C3A" w:rsidRPr="00DB7156">
        <w:rPr>
          <w:rFonts w:ascii="Arial" w:hAnsi="Arial" w:cs="Arial"/>
          <w:sz w:val="24"/>
          <w:szCs w:val="24"/>
        </w:rPr>
        <w:t>may include</w:t>
      </w:r>
      <w:r w:rsidRPr="00DB7156">
        <w:rPr>
          <w:rFonts w:ascii="Arial" w:hAnsi="Arial" w:cs="Arial"/>
          <w:sz w:val="24"/>
          <w:szCs w:val="24"/>
        </w:rPr>
        <w:t xml:space="preserve"> fuel switching to lower sulfur coal, installing </w:t>
      </w:r>
      <w:r w:rsidR="0044567E">
        <w:rPr>
          <w:rFonts w:ascii="Arial" w:hAnsi="Arial" w:cs="Arial"/>
          <w:sz w:val="24"/>
          <w:szCs w:val="24"/>
        </w:rPr>
        <w:t>FGD</w:t>
      </w:r>
      <w:r w:rsidRPr="00DB7156">
        <w:rPr>
          <w:rFonts w:ascii="Arial" w:hAnsi="Arial" w:cs="Arial"/>
          <w:sz w:val="24"/>
          <w:szCs w:val="24"/>
        </w:rPr>
        <w:t xml:space="preserve">s, or buying allowances. </w:t>
      </w:r>
      <w:r w:rsidR="0044567E">
        <w:rPr>
          <w:rFonts w:ascii="Arial" w:hAnsi="Arial" w:cs="Arial"/>
          <w:sz w:val="24"/>
          <w:szCs w:val="24"/>
        </w:rPr>
        <w:t>FGD</w:t>
      </w:r>
      <w:r w:rsidRPr="00DB7156">
        <w:rPr>
          <w:rFonts w:ascii="Arial" w:hAnsi="Arial" w:cs="Arial"/>
          <w:sz w:val="24"/>
          <w:szCs w:val="24"/>
        </w:rPr>
        <w:t>s are also effective for the reduction of fine particulate</w:t>
      </w:r>
      <w:r w:rsidR="00974C3A" w:rsidRPr="00DB7156">
        <w:rPr>
          <w:rFonts w:ascii="Arial" w:hAnsi="Arial" w:cs="Arial"/>
          <w:sz w:val="24"/>
          <w:szCs w:val="24"/>
        </w:rPr>
        <w:t xml:space="preserve"> matter</w:t>
      </w:r>
      <w:r w:rsidR="00532D16" w:rsidRPr="00DB7156">
        <w:rPr>
          <w:rFonts w:ascii="Arial" w:hAnsi="Arial" w:cs="Arial"/>
          <w:sz w:val="24"/>
          <w:szCs w:val="24"/>
        </w:rPr>
        <w:t xml:space="preserve"> and mercury</w:t>
      </w:r>
      <w:r w:rsidRPr="00DB7156">
        <w:rPr>
          <w:rFonts w:ascii="Arial" w:hAnsi="Arial" w:cs="Arial"/>
          <w:sz w:val="24"/>
          <w:szCs w:val="24"/>
        </w:rPr>
        <w:t>. For NO</w:t>
      </w:r>
      <w:r w:rsidRPr="00DB7156">
        <w:rPr>
          <w:rFonts w:ascii="Arial" w:hAnsi="Arial" w:cs="Arial"/>
          <w:sz w:val="24"/>
          <w:szCs w:val="24"/>
          <w:vertAlign w:val="subscript"/>
        </w:rPr>
        <w:t>X</w:t>
      </w:r>
      <w:r w:rsidR="00E645D7" w:rsidRPr="00DB7156">
        <w:rPr>
          <w:rFonts w:ascii="Arial" w:hAnsi="Arial" w:cs="Arial"/>
          <w:sz w:val="24"/>
          <w:szCs w:val="24"/>
        </w:rPr>
        <w:t xml:space="preserve"> control, there are several</w:t>
      </w:r>
      <w:r w:rsidRPr="00DB7156">
        <w:rPr>
          <w:rFonts w:ascii="Arial" w:hAnsi="Arial" w:cs="Arial"/>
          <w:sz w:val="24"/>
          <w:szCs w:val="24"/>
        </w:rPr>
        <w:t xml:space="preserve"> control technology options available, such as low-NO</w:t>
      </w:r>
      <w:r w:rsidRPr="00DB7156">
        <w:rPr>
          <w:rFonts w:ascii="Arial" w:hAnsi="Arial" w:cs="Arial"/>
          <w:sz w:val="24"/>
          <w:szCs w:val="24"/>
          <w:vertAlign w:val="subscript"/>
        </w:rPr>
        <w:t>X</w:t>
      </w:r>
      <w:r w:rsidRPr="00DB7156">
        <w:rPr>
          <w:rFonts w:ascii="Arial" w:hAnsi="Arial" w:cs="Arial"/>
          <w:sz w:val="24"/>
          <w:szCs w:val="24"/>
        </w:rPr>
        <w:t xml:space="preserve"> burners, </w:t>
      </w:r>
      <w:r w:rsidR="00974C3A" w:rsidRPr="00DB7156">
        <w:rPr>
          <w:rFonts w:ascii="Arial" w:hAnsi="Arial" w:cs="Arial"/>
          <w:sz w:val="24"/>
          <w:szCs w:val="24"/>
        </w:rPr>
        <w:t>SCR</w:t>
      </w:r>
      <w:r w:rsidRPr="00DB7156">
        <w:rPr>
          <w:rFonts w:ascii="Arial" w:hAnsi="Arial" w:cs="Arial"/>
          <w:sz w:val="24"/>
          <w:szCs w:val="24"/>
        </w:rPr>
        <w:t>, and selective non</w:t>
      </w:r>
      <w:r w:rsidR="00974C3A" w:rsidRPr="00DB7156">
        <w:rPr>
          <w:rFonts w:ascii="Arial" w:hAnsi="Arial" w:cs="Arial"/>
          <w:sz w:val="24"/>
          <w:szCs w:val="24"/>
        </w:rPr>
        <w:t>-</w:t>
      </w:r>
      <w:r w:rsidRPr="00DB7156">
        <w:rPr>
          <w:rFonts w:ascii="Arial" w:hAnsi="Arial" w:cs="Arial"/>
          <w:sz w:val="24"/>
          <w:szCs w:val="24"/>
        </w:rPr>
        <w:t>catalytic reduction</w:t>
      </w:r>
      <w:r w:rsidR="00974C3A" w:rsidRPr="00DB7156">
        <w:rPr>
          <w:rFonts w:ascii="Arial" w:hAnsi="Arial" w:cs="Arial"/>
          <w:sz w:val="24"/>
          <w:szCs w:val="24"/>
        </w:rPr>
        <w:t xml:space="preserve"> (</w:t>
      </w:r>
      <w:r w:rsidR="00F0735B">
        <w:rPr>
          <w:rFonts w:ascii="Arial" w:hAnsi="Arial" w:cs="Arial"/>
          <w:sz w:val="24"/>
          <w:szCs w:val="24"/>
        </w:rPr>
        <w:t>“</w:t>
      </w:r>
      <w:r w:rsidR="00974C3A" w:rsidRPr="00DB7156">
        <w:rPr>
          <w:rFonts w:ascii="Arial" w:hAnsi="Arial" w:cs="Arial"/>
          <w:sz w:val="24"/>
          <w:szCs w:val="24"/>
        </w:rPr>
        <w:t>SNCR</w:t>
      </w:r>
      <w:r w:rsidR="00F0735B">
        <w:rPr>
          <w:rFonts w:ascii="Arial" w:hAnsi="Arial" w:cs="Arial"/>
          <w:sz w:val="24"/>
          <w:szCs w:val="24"/>
        </w:rPr>
        <w:t>”</w:t>
      </w:r>
      <w:r w:rsidR="00974C3A" w:rsidRPr="00DB7156">
        <w:rPr>
          <w:rFonts w:ascii="Arial" w:hAnsi="Arial" w:cs="Arial"/>
          <w:sz w:val="24"/>
          <w:szCs w:val="24"/>
        </w:rPr>
        <w:t>)</w:t>
      </w:r>
      <w:r w:rsidRPr="00DB7156">
        <w:rPr>
          <w:rFonts w:ascii="Arial" w:hAnsi="Arial" w:cs="Arial"/>
          <w:sz w:val="24"/>
          <w:szCs w:val="24"/>
        </w:rPr>
        <w:t xml:space="preserve">. Mercury emissions can be reduced through co-benefits from the combined operation of an SCR and a </w:t>
      </w:r>
      <w:r w:rsidR="0044567E">
        <w:rPr>
          <w:rFonts w:ascii="Arial" w:hAnsi="Arial" w:cs="Arial"/>
          <w:sz w:val="24"/>
          <w:szCs w:val="24"/>
        </w:rPr>
        <w:t>FGD</w:t>
      </w:r>
      <w:r w:rsidR="00483A06" w:rsidRPr="00DB7156">
        <w:rPr>
          <w:rFonts w:ascii="Arial" w:hAnsi="Arial" w:cs="Arial"/>
          <w:sz w:val="24"/>
          <w:szCs w:val="24"/>
        </w:rPr>
        <w:t>,</w:t>
      </w:r>
      <w:r w:rsidRPr="00DB7156">
        <w:rPr>
          <w:rFonts w:ascii="Arial" w:hAnsi="Arial" w:cs="Arial"/>
          <w:sz w:val="24"/>
          <w:szCs w:val="24"/>
        </w:rPr>
        <w:t xml:space="preserve"> injection of activated carbon </w:t>
      </w:r>
      <w:r w:rsidR="00483A06" w:rsidRPr="00DB7156">
        <w:rPr>
          <w:rFonts w:ascii="Arial" w:hAnsi="Arial" w:cs="Arial"/>
          <w:sz w:val="24"/>
          <w:szCs w:val="24"/>
        </w:rPr>
        <w:t>with or without</w:t>
      </w:r>
      <w:r w:rsidRPr="00DB7156">
        <w:rPr>
          <w:rFonts w:ascii="Arial" w:hAnsi="Arial" w:cs="Arial"/>
          <w:sz w:val="24"/>
          <w:szCs w:val="24"/>
        </w:rPr>
        <w:t xml:space="preserve"> </w:t>
      </w:r>
      <w:r w:rsidR="00483A06" w:rsidRPr="00DB7156">
        <w:rPr>
          <w:rFonts w:ascii="Arial" w:hAnsi="Arial" w:cs="Arial"/>
          <w:sz w:val="24"/>
          <w:szCs w:val="24"/>
        </w:rPr>
        <w:t>alkali sorbents, and injection of chemical additives to the coal upstream of the boiler</w:t>
      </w:r>
      <w:r w:rsidRPr="00DB7156">
        <w:rPr>
          <w:rFonts w:ascii="Arial" w:hAnsi="Arial" w:cs="Arial"/>
          <w:sz w:val="24"/>
          <w:szCs w:val="24"/>
        </w:rPr>
        <w:t xml:space="preserve">. A fabric filter technology such as a baghouse may be </w:t>
      </w:r>
      <w:r w:rsidR="00974C3A" w:rsidRPr="00DB7156">
        <w:rPr>
          <w:rFonts w:ascii="Arial" w:hAnsi="Arial" w:cs="Arial"/>
          <w:sz w:val="24"/>
          <w:szCs w:val="24"/>
        </w:rPr>
        <w:t xml:space="preserve">used </w:t>
      </w:r>
      <w:r w:rsidRPr="00DB7156">
        <w:rPr>
          <w:rFonts w:ascii="Arial" w:hAnsi="Arial" w:cs="Arial"/>
          <w:sz w:val="24"/>
          <w:szCs w:val="24"/>
        </w:rPr>
        <w:t>for fine particulate</w:t>
      </w:r>
      <w:r w:rsidR="00974C3A" w:rsidRPr="00DB7156">
        <w:rPr>
          <w:rFonts w:ascii="Arial" w:hAnsi="Arial" w:cs="Arial"/>
          <w:sz w:val="24"/>
          <w:szCs w:val="24"/>
        </w:rPr>
        <w:t xml:space="preserve"> matter</w:t>
      </w:r>
      <w:r w:rsidRPr="00DB7156">
        <w:rPr>
          <w:rFonts w:ascii="Arial" w:hAnsi="Arial" w:cs="Arial"/>
          <w:sz w:val="24"/>
          <w:szCs w:val="24"/>
        </w:rPr>
        <w:t xml:space="preserve"> and/or mercury reduction at </w:t>
      </w:r>
      <w:r w:rsidR="00483A06" w:rsidRPr="00DB7156">
        <w:rPr>
          <w:rFonts w:ascii="Arial" w:hAnsi="Arial" w:cs="Arial"/>
          <w:sz w:val="24"/>
          <w:szCs w:val="24"/>
        </w:rPr>
        <w:t xml:space="preserve">some </w:t>
      </w:r>
      <w:r w:rsidRPr="00DB7156">
        <w:rPr>
          <w:rFonts w:ascii="Arial" w:hAnsi="Arial" w:cs="Arial"/>
          <w:sz w:val="24"/>
          <w:szCs w:val="24"/>
        </w:rPr>
        <w:t>units.</w:t>
      </w:r>
    </w:p>
    <w:p w14:paraId="7585B0A4" w14:textId="50AD8DE4" w:rsidR="005F1427" w:rsidRPr="00DB7156" w:rsidRDefault="005F1427" w:rsidP="00DB7156">
      <w:pPr>
        <w:spacing w:after="0" w:line="240" w:lineRule="auto"/>
        <w:ind w:left="540"/>
        <w:jc w:val="both"/>
        <w:rPr>
          <w:rFonts w:ascii="Arial" w:hAnsi="Arial" w:cs="Arial"/>
          <w:sz w:val="24"/>
          <w:szCs w:val="24"/>
        </w:rPr>
      </w:pPr>
    </w:p>
    <w:p w14:paraId="3677BACA" w14:textId="5D9574A3" w:rsidR="002648ED" w:rsidRPr="00DB7156" w:rsidRDefault="008F507F" w:rsidP="00DB7156">
      <w:pPr>
        <w:spacing w:after="0" w:line="240" w:lineRule="auto"/>
        <w:ind w:left="540"/>
        <w:jc w:val="both"/>
        <w:rPr>
          <w:rFonts w:ascii="Arial" w:hAnsi="Arial" w:cs="Arial"/>
          <w:sz w:val="24"/>
          <w:szCs w:val="24"/>
        </w:rPr>
      </w:pPr>
      <w:bookmarkStart w:id="153" w:name="_Hlk529265734"/>
      <w:bookmarkStart w:id="154" w:name="_Hlk528825141"/>
      <w:r w:rsidRPr="00DB7156">
        <w:rPr>
          <w:rFonts w:ascii="Arial" w:hAnsi="Arial" w:cs="Arial"/>
          <w:sz w:val="24"/>
          <w:szCs w:val="24"/>
        </w:rPr>
        <w:t xml:space="preserve">In </w:t>
      </w:r>
      <w:r w:rsidR="00276F03" w:rsidRPr="00DB7156">
        <w:rPr>
          <w:rFonts w:ascii="Arial" w:hAnsi="Arial" w:cs="Arial"/>
          <w:sz w:val="24"/>
          <w:szCs w:val="24"/>
        </w:rPr>
        <w:t xml:space="preserve">cases where the Company is responding to compliance with </w:t>
      </w:r>
      <w:r w:rsidR="001E6308" w:rsidRPr="00DB7156">
        <w:rPr>
          <w:rFonts w:ascii="Arial" w:hAnsi="Arial" w:cs="Arial"/>
          <w:sz w:val="24"/>
          <w:szCs w:val="24"/>
        </w:rPr>
        <w:t>the CCR Rule</w:t>
      </w:r>
      <w:r w:rsidR="00276F03" w:rsidRPr="00DB7156">
        <w:rPr>
          <w:rFonts w:ascii="Arial" w:hAnsi="Arial" w:cs="Arial"/>
          <w:sz w:val="24"/>
          <w:szCs w:val="24"/>
        </w:rPr>
        <w:t xml:space="preserve"> or</w:t>
      </w:r>
      <w:r w:rsidRPr="00DB7156">
        <w:rPr>
          <w:rFonts w:ascii="Arial" w:hAnsi="Arial" w:cs="Arial"/>
          <w:sz w:val="24"/>
          <w:szCs w:val="24"/>
        </w:rPr>
        <w:t xml:space="preserve"> compliance with ELG requirements</w:t>
      </w:r>
      <w:r w:rsidR="00276F03" w:rsidRPr="00DB7156">
        <w:rPr>
          <w:rFonts w:ascii="Arial" w:hAnsi="Arial" w:cs="Arial"/>
          <w:sz w:val="24"/>
          <w:szCs w:val="24"/>
        </w:rPr>
        <w:t>,</w:t>
      </w:r>
      <w:r w:rsidRPr="00DB7156">
        <w:rPr>
          <w:rFonts w:ascii="Arial" w:hAnsi="Arial" w:cs="Arial"/>
          <w:sz w:val="24"/>
          <w:szCs w:val="24"/>
        </w:rPr>
        <w:t xml:space="preserve"> technolog</w:t>
      </w:r>
      <w:r w:rsidR="00276F03" w:rsidRPr="00DB7156">
        <w:rPr>
          <w:rFonts w:ascii="Arial" w:hAnsi="Arial" w:cs="Arial"/>
          <w:sz w:val="24"/>
          <w:szCs w:val="24"/>
        </w:rPr>
        <w:t xml:space="preserve">y choices include closure of ash ponds and </w:t>
      </w:r>
      <w:r w:rsidR="00734060">
        <w:rPr>
          <w:rFonts w:ascii="Arial" w:hAnsi="Arial" w:cs="Arial"/>
          <w:sz w:val="24"/>
          <w:szCs w:val="24"/>
        </w:rPr>
        <w:t xml:space="preserve">installation of </w:t>
      </w:r>
      <w:r w:rsidR="00276F03" w:rsidRPr="00DB7156">
        <w:rPr>
          <w:rFonts w:ascii="Arial" w:hAnsi="Arial" w:cs="Arial"/>
          <w:sz w:val="24"/>
          <w:szCs w:val="24"/>
        </w:rPr>
        <w:t>controls that allow facilities</w:t>
      </w:r>
      <w:r w:rsidRPr="00DB7156">
        <w:rPr>
          <w:rFonts w:ascii="Arial" w:hAnsi="Arial" w:cs="Arial"/>
          <w:sz w:val="24"/>
          <w:szCs w:val="24"/>
        </w:rPr>
        <w:t xml:space="preserve"> </w:t>
      </w:r>
      <w:r w:rsidR="001E6308" w:rsidRPr="00DB7156">
        <w:rPr>
          <w:rFonts w:ascii="Arial" w:hAnsi="Arial" w:cs="Arial"/>
          <w:sz w:val="24"/>
          <w:szCs w:val="24"/>
        </w:rPr>
        <w:t xml:space="preserve">to eliminate the discharge of ash transport water, such as </w:t>
      </w:r>
      <w:r w:rsidRPr="00DB7156">
        <w:rPr>
          <w:rFonts w:ascii="Arial" w:hAnsi="Arial" w:cs="Arial"/>
          <w:sz w:val="24"/>
          <w:szCs w:val="24"/>
        </w:rPr>
        <w:t xml:space="preserve">dry ash handling equipment, </w:t>
      </w:r>
      <w:r w:rsidR="0009132E">
        <w:rPr>
          <w:rFonts w:ascii="Arial" w:hAnsi="Arial" w:cs="Arial"/>
          <w:sz w:val="24"/>
          <w:szCs w:val="24"/>
        </w:rPr>
        <w:t xml:space="preserve">including </w:t>
      </w:r>
      <w:r w:rsidRPr="00DB7156">
        <w:rPr>
          <w:rFonts w:ascii="Arial" w:hAnsi="Arial" w:cs="Arial"/>
          <w:sz w:val="24"/>
          <w:szCs w:val="24"/>
        </w:rPr>
        <w:t xml:space="preserve">remote drag chain conveyors and ash coolers. </w:t>
      </w:r>
      <w:r w:rsidR="005F1427" w:rsidRPr="00DB7156">
        <w:rPr>
          <w:rFonts w:ascii="Arial" w:hAnsi="Arial" w:cs="Arial"/>
          <w:sz w:val="24"/>
          <w:szCs w:val="24"/>
        </w:rPr>
        <w:t xml:space="preserve">Similar options apply to </w:t>
      </w:r>
      <w:r w:rsidR="002648ED" w:rsidRPr="00DB7156">
        <w:rPr>
          <w:rFonts w:ascii="Arial" w:hAnsi="Arial" w:cs="Arial"/>
          <w:sz w:val="24"/>
          <w:szCs w:val="24"/>
        </w:rPr>
        <w:t xml:space="preserve">potential </w:t>
      </w:r>
      <w:r w:rsidR="005F1427" w:rsidRPr="00DB7156">
        <w:rPr>
          <w:rFonts w:ascii="Arial" w:hAnsi="Arial" w:cs="Arial"/>
          <w:sz w:val="24"/>
          <w:szCs w:val="24"/>
        </w:rPr>
        <w:t xml:space="preserve">treatment of </w:t>
      </w:r>
      <w:r w:rsidR="00A4702E" w:rsidRPr="00DB7156">
        <w:rPr>
          <w:rFonts w:ascii="Arial" w:hAnsi="Arial" w:cs="Arial"/>
          <w:sz w:val="24"/>
          <w:szCs w:val="24"/>
        </w:rPr>
        <w:t xml:space="preserve">FGD </w:t>
      </w:r>
      <w:r w:rsidR="005F1427" w:rsidRPr="00DB7156">
        <w:rPr>
          <w:rFonts w:ascii="Arial" w:hAnsi="Arial" w:cs="Arial"/>
          <w:sz w:val="24"/>
          <w:szCs w:val="24"/>
        </w:rPr>
        <w:t xml:space="preserve">wastewater, where </w:t>
      </w:r>
      <w:r w:rsidR="0044567E">
        <w:rPr>
          <w:rFonts w:ascii="Arial" w:hAnsi="Arial" w:cs="Arial"/>
          <w:sz w:val="24"/>
          <w:szCs w:val="24"/>
        </w:rPr>
        <w:t>FGD</w:t>
      </w:r>
      <w:r w:rsidR="005F1427" w:rsidRPr="00DB7156">
        <w:rPr>
          <w:rFonts w:ascii="Arial" w:hAnsi="Arial" w:cs="Arial"/>
          <w:sz w:val="24"/>
          <w:szCs w:val="24"/>
        </w:rPr>
        <w:t xml:space="preserve"> operations, coal type and receiving stream flows influence wastewater chemistry and the treatment technology that may be most appropriate</w:t>
      </w:r>
      <w:r w:rsidR="002648ED" w:rsidRPr="00DB7156">
        <w:rPr>
          <w:rFonts w:ascii="Arial" w:hAnsi="Arial" w:cs="Arial"/>
          <w:sz w:val="24"/>
          <w:szCs w:val="24"/>
        </w:rPr>
        <w:t>, such as physical, chemical, and biological treatment</w:t>
      </w:r>
      <w:r w:rsidR="005F1427" w:rsidRPr="00DB7156">
        <w:rPr>
          <w:rFonts w:ascii="Arial" w:hAnsi="Arial" w:cs="Arial"/>
          <w:sz w:val="24"/>
          <w:szCs w:val="24"/>
        </w:rPr>
        <w:t xml:space="preserve">.  </w:t>
      </w:r>
    </w:p>
    <w:bookmarkEnd w:id="153"/>
    <w:p w14:paraId="7B7BFB7D" w14:textId="77777777" w:rsidR="005F1427" w:rsidRPr="00DB7156" w:rsidRDefault="005F1427" w:rsidP="00DB7156">
      <w:pPr>
        <w:spacing w:after="0" w:line="240" w:lineRule="auto"/>
        <w:ind w:left="540"/>
        <w:jc w:val="both"/>
        <w:rPr>
          <w:rFonts w:ascii="Arial" w:hAnsi="Arial" w:cs="Arial"/>
          <w:sz w:val="24"/>
          <w:szCs w:val="24"/>
        </w:rPr>
      </w:pPr>
    </w:p>
    <w:bookmarkEnd w:id="154"/>
    <w:p w14:paraId="22BA5080" w14:textId="68F6D6C0" w:rsidR="00FC67F9" w:rsidRPr="00DB7156" w:rsidRDefault="00FC67F9" w:rsidP="00DB7156">
      <w:pPr>
        <w:spacing w:after="0" w:line="240" w:lineRule="auto"/>
        <w:ind w:left="540"/>
        <w:jc w:val="both"/>
        <w:rPr>
          <w:rFonts w:ascii="Arial" w:hAnsi="Arial" w:cs="Arial"/>
          <w:sz w:val="24"/>
          <w:szCs w:val="24"/>
        </w:rPr>
      </w:pPr>
      <w:r w:rsidRPr="00DB7156">
        <w:rPr>
          <w:rFonts w:ascii="Arial" w:hAnsi="Arial" w:cs="Arial"/>
          <w:sz w:val="24"/>
          <w:szCs w:val="24"/>
        </w:rPr>
        <w:t xml:space="preserve">The </w:t>
      </w:r>
      <w:r w:rsidR="00DB1F99">
        <w:rPr>
          <w:rFonts w:ascii="Arial" w:hAnsi="Arial" w:cs="Arial"/>
          <w:sz w:val="24"/>
          <w:szCs w:val="24"/>
        </w:rPr>
        <w:t>following figure</w:t>
      </w:r>
      <w:r w:rsidRPr="00DB7156">
        <w:rPr>
          <w:rFonts w:ascii="Arial" w:hAnsi="Arial" w:cs="Arial"/>
          <w:sz w:val="24"/>
          <w:szCs w:val="24"/>
        </w:rPr>
        <w:t xml:space="preserve"> (Fig</w:t>
      </w:r>
      <w:r w:rsidR="00DB1F99">
        <w:rPr>
          <w:rFonts w:ascii="Arial" w:hAnsi="Arial" w:cs="Arial"/>
          <w:sz w:val="24"/>
          <w:szCs w:val="24"/>
        </w:rPr>
        <w:t>ure</w:t>
      </w:r>
      <w:r w:rsidRPr="00DB7156">
        <w:rPr>
          <w:rFonts w:ascii="Arial" w:hAnsi="Arial" w:cs="Arial"/>
          <w:sz w:val="24"/>
          <w:szCs w:val="24"/>
        </w:rPr>
        <w:t xml:space="preserve"> 3.1-1) illustrates </w:t>
      </w:r>
      <w:r w:rsidR="00310F17">
        <w:rPr>
          <w:rFonts w:ascii="Arial" w:hAnsi="Arial" w:cs="Arial"/>
          <w:sz w:val="24"/>
          <w:szCs w:val="24"/>
        </w:rPr>
        <w:t>possible</w:t>
      </w:r>
      <w:r w:rsidRPr="00DB7156">
        <w:rPr>
          <w:rFonts w:ascii="Arial" w:hAnsi="Arial" w:cs="Arial"/>
          <w:sz w:val="24"/>
          <w:szCs w:val="24"/>
        </w:rPr>
        <w:t xml:space="preserve"> control technologies and applications</w:t>
      </w:r>
      <w:r w:rsidR="00E5385D">
        <w:rPr>
          <w:rFonts w:ascii="Arial" w:hAnsi="Arial" w:cs="Arial"/>
          <w:sz w:val="24"/>
          <w:szCs w:val="24"/>
        </w:rPr>
        <w:t xml:space="preserve"> for coal-fired boilers</w:t>
      </w:r>
      <w:r w:rsidRPr="00DB7156">
        <w:rPr>
          <w:rFonts w:ascii="Arial" w:hAnsi="Arial" w:cs="Arial"/>
          <w:sz w:val="24"/>
          <w:szCs w:val="24"/>
        </w:rPr>
        <w:t xml:space="preserve">.  </w:t>
      </w:r>
    </w:p>
    <w:p w14:paraId="22BA5081" w14:textId="77777777" w:rsidR="00FC67F9" w:rsidRPr="00DB7156" w:rsidRDefault="00AA709A" w:rsidP="00DB7156">
      <w:pPr>
        <w:spacing w:after="0" w:line="240" w:lineRule="auto"/>
        <w:jc w:val="both"/>
        <w:rPr>
          <w:rFonts w:ascii="Arial" w:hAnsi="Arial" w:cs="Arial"/>
          <w:sz w:val="24"/>
          <w:szCs w:val="24"/>
        </w:rPr>
      </w:pPr>
      <w:r w:rsidRPr="00DB7156">
        <w:rPr>
          <w:rFonts w:ascii="Arial" w:hAnsi="Arial" w:cs="Arial"/>
          <w:noProof/>
          <w:sz w:val="24"/>
          <w:szCs w:val="24"/>
        </w:rPr>
        <mc:AlternateContent>
          <mc:Choice Requires="wps">
            <w:drawing>
              <wp:anchor distT="0" distB="0" distL="114300" distR="114300" simplePos="0" relativeHeight="251657216" behindDoc="0" locked="0" layoutInCell="1" allowOverlap="1" wp14:anchorId="22BA5557" wp14:editId="06DA2A02">
                <wp:simplePos x="0" y="0"/>
                <wp:positionH relativeFrom="column">
                  <wp:posOffset>-5257800</wp:posOffset>
                </wp:positionH>
                <wp:positionV relativeFrom="paragraph">
                  <wp:posOffset>153035</wp:posOffset>
                </wp:positionV>
                <wp:extent cx="4467225" cy="228600"/>
                <wp:effectExtent l="0" t="0" r="9525"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A55AB" w14:textId="77777777" w:rsidR="00FC3243" w:rsidRPr="008D0C3C" w:rsidRDefault="00FC3243" w:rsidP="00FC67F9">
                            <w:pPr>
                              <w:jc w:val="center"/>
                              <w:rPr>
                                <w:rFonts w:ascii="Arial" w:hAnsi="Arial" w:cs="Arial"/>
                                <w:b/>
                              </w:rPr>
                            </w:pPr>
                            <w:r w:rsidRPr="008D0C3C">
                              <w:rPr>
                                <w:rFonts w:ascii="Arial" w:hAnsi="Arial" w:cs="Arial"/>
                                <w:b/>
                              </w:rPr>
                              <w:t>Emission Control Technologies for Coal-Fired Boilers</w:t>
                            </w:r>
                          </w:p>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A5557" id="_x0000_t202" coordsize="21600,21600" o:spt="202" path="m,l,21600r21600,l21600,xe">
                <v:stroke joinstyle="miter"/>
                <v:path gradientshapeok="t" o:connecttype="rect"/>
              </v:shapetype>
              <v:shape id="Text Box 2" o:spid="_x0000_s1026" type="#_x0000_t202" style="position:absolute;left:0;text-align:left;margin-left:-414pt;margin-top:12.05pt;width:351.7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" stroked="f">
                <v:textbox inset="7.5pt,3.75pt,7.5pt,3.75pt">
                  <w:txbxContent>
                    <w:p w14:paraId="22BA55AB" w14:textId="77777777" w:rsidR="00FC3243" w:rsidRPr="008D0C3C" w:rsidRDefault="00FC3243" w:rsidP="00FC67F9">
                      <w:pPr>
                        <w:jc w:val="center"/>
                        <w:rPr>
                          <w:rFonts w:ascii="Arial" w:hAnsi="Arial" w:cs="Arial"/>
                          <w:b/>
                        </w:rPr>
                      </w:pPr>
                      <w:r w:rsidRPr="008D0C3C">
                        <w:rPr>
                          <w:rFonts w:ascii="Arial" w:hAnsi="Arial" w:cs="Arial"/>
                          <w:b/>
                        </w:rPr>
                        <w:t>Emission Control Technologies for Coal-Fired Boilers</w:t>
                      </w:r>
                    </w:p>
                  </w:txbxContent>
                </v:textbox>
              </v:shape>
            </w:pict>
          </mc:Fallback>
        </mc:AlternateContent>
      </w:r>
    </w:p>
    <w:p w14:paraId="22BA5096" w14:textId="77777777" w:rsidR="00313111" w:rsidRPr="00DB7156" w:rsidRDefault="00313111" w:rsidP="00DB7156">
      <w:pPr>
        <w:pStyle w:val="Caption"/>
        <w:tabs>
          <w:tab w:val="left" w:pos="720"/>
        </w:tabs>
        <w:ind w:left="630"/>
        <w:jc w:val="both"/>
        <w:rPr>
          <w:rFonts w:ascii="Arial" w:hAnsi="Arial" w:cs="Arial"/>
        </w:rPr>
      </w:pPr>
    </w:p>
    <w:p w14:paraId="22BA5097" w14:textId="77777777" w:rsidR="00752263" w:rsidRPr="00DB7156" w:rsidRDefault="00752263" w:rsidP="00DB7156">
      <w:pPr>
        <w:pStyle w:val="Caption"/>
        <w:tabs>
          <w:tab w:val="left" w:pos="720"/>
        </w:tabs>
        <w:ind w:left="630"/>
        <w:jc w:val="both"/>
        <w:rPr>
          <w:rFonts w:ascii="Arial" w:hAnsi="Arial" w:cs="Arial"/>
        </w:rPr>
        <w:sectPr w:rsidR="00752263" w:rsidRPr="00DB7156" w:rsidSect="007028D3">
          <w:headerReference w:type="even" r:id="rId18"/>
          <w:headerReference w:type="default" r:id="rId19"/>
          <w:footerReference w:type="default" r:id="rId20"/>
          <w:headerReference w:type="first" r:id="rId21"/>
          <w:type w:val="nextColumn"/>
          <w:pgSz w:w="12240" w:h="15840" w:code="1"/>
          <w:pgMar w:top="1440" w:right="1440" w:bottom="1440" w:left="1440" w:header="720" w:footer="720" w:gutter="0"/>
          <w:pgNumType w:start="1"/>
          <w:cols w:space="720"/>
        </w:sectPr>
      </w:pPr>
    </w:p>
    <w:p w14:paraId="22BA5098" w14:textId="77777777" w:rsidR="00313111" w:rsidRPr="00DB7156" w:rsidRDefault="00313111" w:rsidP="00DB7156">
      <w:pPr>
        <w:pStyle w:val="Caption"/>
        <w:tabs>
          <w:tab w:val="left" w:pos="720"/>
        </w:tabs>
        <w:ind w:left="630"/>
        <w:jc w:val="both"/>
        <w:rPr>
          <w:rFonts w:ascii="Arial" w:hAnsi="Arial" w:cs="Arial"/>
        </w:rPr>
      </w:pPr>
    </w:p>
    <w:p w14:paraId="22BA5099" w14:textId="694348FA" w:rsidR="006557BB" w:rsidRPr="00DB7156" w:rsidRDefault="006557BB" w:rsidP="00DB7156">
      <w:pPr>
        <w:pStyle w:val="Caption"/>
        <w:tabs>
          <w:tab w:val="left" w:pos="720"/>
        </w:tabs>
        <w:jc w:val="both"/>
        <w:rPr>
          <w:rFonts w:ascii="Arial" w:hAnsi="Arial" w:cs="Arial"/>
        </w:rPr>
      </w:pPr>
    </w:p>
    <w:p w14:paraId="3CFBF879" w14:textId="77777777" w:rsidR="00D414B9" w:rsidRDefault="00B84DFC" w:rsidP="00161BA9">
      <w:pPr>
        <w:rPr>
          <w:rFonts w:ascii="Arial" w:hAnsi="Arial" w:cs="Arial"/>
        </w:rPr>
      </w:pPr>
      <w:r w:rsidRPr="00B84DFC">
        <w:rPr>
          <w:rFonts w:ascii="Arial" w:hAnsi="Arial" w:cs="Arial"/>
          <w:noProof/>
        </w:rPr>
        <w:drawing>
          <wp:inline distT="0" distB="0" distL="0" distR="0" wp14:anchorId="1D368208" wp14:editId="31D0A256">
            <wp:extent cx="7724717" cy="467893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7735144" cy="4685253"/>
                    </a:xfrm>
                    <a:prstGeom prst="rect">
                      <a:avLst/>
                    </a:prstGeom>
                  </pic:spPr>
                </pic:pic>
              </a:graphicData>
            </a:graphic>
          </wp:inline>
        </w:drawing>
      </w:r>
    </w:p>
    <w:p w14:paraId="008D9469" w14:textId="77777777" w:rsidR="00A40796" w:rsidRPr="00A40796" w:rsidRDefault="00A40796" w:rsidP="00A40796">
      <w:pPr>
        <w:pStyle w:val="Caption"/>
        <w:tabs>
          <w:tab w:val="left" w:pos="720"/>
        </w:tabs>
        <w:ind w:left="630"/>
        <w:jc w:val="both"/>
        <w:rPr>
          <w:rFonts w:ascii="Arial" w:hAnsi="Arial" w:cs="Arial"/>
          <w:sz w:val="24"/>
        </w:rPr>
      </w:pPr>
      <w:r w:rsidRPr="00A40796">
        <w:rPr>
          <w:rFonts w:ascii="Arial" w:hAnsi="Arial" w:cs="Arial"/>
          <w:sz w:val="24"/>
        </w:rPr>
        <w:t>Figure 3.1-1 Possible Environmental Control Technologies for Coal-Fired Boilers</w:t>
      </w:r>
    </w:p>
    <w:p w14:paraId="15685CB4" w14:textId="15DF924B" w:rsidR="00A40796" w:rsidRPr="00DB7156" w:rsidRDefault="00A40796" w:rsidP="00161BA9">
      <w:pPr>
        <w:rPr>
          <w:rFonts w:ascii="Arial" w:hAnsi="Arial" w:cs="Arial"/>
        </w:rPr>
        <w:sectPr w:rsidR="00A40796" w:rsidRPr="00DB7156" w:rsidSect="007028D3">
          <w:headerReference w:type="even" r:id="rId23"/>
          <w:headerReference w:type="default" r:id="rId24"/>
          <w:footerReference w:type="default" r:id="rId25"/>
          <w:headerReference w:type="first" r:id="rId26"/>
          <w:pgSz w:w="15840" w:h="12240" w:orient="landscape" w:code="1"/>
          <w:pgMar w:top="1440" w:right="1440" w:bottom="1440" w:left="1440" w:header="720" w:footer="720" w:gutter="0"/>
          <w:cols w:space="720"/>
          <w:docGrid w:linePitch="299"/>
        </w:sectPr>
      </w:pPr>
    </w:p>
    <w:p w14:paraId="22BA50A1" w14:textId="4A351C46" w:rsidR="00752263" w:rsidRPr="00DB7156" w:rsidRDefault="00752263" w:rsidP="00DB7156">
      <w:pPr>
        <w:spacing w:after="0" w:line="240" w:lineRule="auto"/>
        <w:jc w:val="both"/>
        <w:rPr>
          <w:rFonts w:ascii="Arial" w:hAnsi="Arial" w:cs="Arial"/>
          <w:b/>
          <w:bCs/>
          <w:color w:val="000080"/>
          <w:sz w:val="24"/>
          <w:szCs w:val="24"/>
        </w:rPr>
      </w:pPr>
    </w:p>
    <w:p w14:paraId="22BA50A2" w14:textId="716B8BCC" w:rsidR="00752263" w:rsidRPr="00DB7156" w:rsidRDefault="00752263" w:rsidP="00E624B5">
      <w:pPr>
        <w:numPr>
          <w:ilvl w:val="0"/>
          <w:numId w:val="9"/>
        </w:numPr>
        <w:tabs>
          <w:tab w:val="num" w:pos="0"/>
          <w:tab w:val="left" w:pos="540"/>
        </w:tabs>
        <w:spacing w:after="0" w:line="240" w:lineRule="auto"/>
        <w:ind w:left="0" w:hanging="540"/>
        <w:jc w:val="both"/>
        <w:rPr>
          <w:rFonts w:ascii="Arial" w:hAnsi="Arial" w:cs="Arial"/>
          <w:sz w:val="24"/>
          <w:szCs w:val="24"/>
          <w:u w:val="single"/>
        </w:rPr>
      </w:pPr>
      <w:r w:rsidRPr="00DB7156">
        <w:rPr>
          <w:rFonts w:ascii="Arial" w:hAnsi="Arial" w:cs="Arial"/>
          <w:b/>
          <w:bCs/>
          <w:sz w:val="24"/>
          <w:szCs w:val="24"/>
        </w:rPr>
        <w:t>Determining and evaluating the financial impacts of the strategy.</w:t>
      </w:r>
      <w:r w:rsidRPr="00DB7156">
        <w:rPr>
          <w:rFonts w:ascii="Arial" w:hAnsi="Arial" w:cs="Arial"/>
          <w:sz w:val="24"/>
          <w:szCs w:val="24"/>
        </w:rPr>
        <w:t xml:space="preserve"> The final step is to </w:t>
      </w:r>
      <w:r w:rsidR="00120B89">
        <w:rPr>
          <w:rFonts w:ascii="Arial" w:hAnsi="Arial" w:cs="Arial"/>
          <w:sz w:val="24"/>
          <w:szCs w:val="24"/>
        </w:rPr>
        <w:t xml:space="preserve">include the environmental compliance strategy into unit </w:t>
      </w:r>
      <w:r w:rsidR="007B5E74">
        <w:rPr>
          <w:rFonts w:ascii="Arial" w:hAnsi="Arial" w:cs="Arial"/>
          <w:sz w:val="24"/>
          <w:szCs w:val="24"/>
        </w:rPr>
        <w:t>retirement study</w:t>
      </w:r>
      <w:r w:rsidR="00120B89">
        <w:rPr>
          <w:rFonts w:ascii="Arial" w:hAnsi="Arial" w:cs="Arial"/>
          <w:sz w:val="24"/>
          <w:szCs w:val="24"/>
        </w:rPr>
        <w:t xml:space="preserve"> scenarios. </w:t>
      </w:r>
      <w:r w:rsidRPr="00DB7156">
        <w:rPr>
          <w:rFonts w:ascii="Arial" w:hAnsi="Arial" w:cs="Arial"/>
          <w:sz w:val="24"/>
          <w:szCs w:val="24"/>
        </w:rPr>
        <w:t xml:space="preserve">Some units and plants may not be able to achieve the required </w:t>
      </w:r>
      <w:r w:rsidR="00653ECF" w:rsidRPr="00DB7156">
        <w:rPr>
          <w:rFonts w:ascii="Arial" w:hAnsi="Arial" w:cs="Arial"/>
          <w:sz w:val="24"/>
          <w:szCs w:val="24"/>
        </w:rPr>
        <w:t>environmental limits</w:t>
      </w:r>
      <w:r w:rsidRPr="00DB7156">
        <w:rPr>
          <w:rFonts w:ascii="Arial" w:hAnsi="Arial" w:cs="Arial"/>
          <w:sz w:val="24"/>
          <w:szCs w:val="24"/>
        </w:rPr>
        <w:t xml:space="preserve"> in a cost-effective manner and would need to acquire additional allowances, switch fuels, or retire to comply. If </w:t>
      </w:r>
      <w:r w:rsidR="00653ECF" w:rsidRPr="00DB7156">
        <w:rPr>
          <w:rFonts w:ascii="Arial" w:hAnsi="Arial" w:cs="Arial"/>
          <w:sz w:val="24"/>
          <w:szCs w:val="24"/>
        </w:rPr>
        <w:t xml:space="preserve">environmental </w:t>
      </w:r>
      <w:r w:rsidRPr="00DB7156">
        <w:rPr>
          <w:rFonts w:ascii="Arial" w:hAnsi="Arial" w:cs="Arial"/>
          <w:sz w:val="24"/>
          <w:szCs w:val="24"/>
        </w:rPr>
        <w:t>controls are mandated for a specific unit, then the economic value of the generating asset including future operating costs must be considered before application of the technology.</w:t>
      </w:r>
    </w:p>
    <w:p w14:paraId="22BA50A3" w14:textId="77777777" w:rsidR="00752263" w:rsidRPr="00DB7156" w:rsidRDefault="00752263" w:rsidP="00DB7156">
      <w:pPr>
        <w:tabs>
          <w:tab w:val="left" w:pos="540"/>
        </w:tabs>
        <w:spacing w:after="0" w:line="240" w:lineRule="auto"/>
        <w:jc w:val="both"/>
        <w:rPr>
          <w:rFonts w:ascii="Arial" w:hAnsi="Arial" w:cs="Arial"/>
          <w:sz w:val="24"/>
          <w:szCs w:val="24"/>
          <w:u w:val="single"/>
        </w:rPr>
      </w:pPr>
    </w:p>
    <w:p w14:paraId="22BA50A4" w14:textId="2067ECEC"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After the </w:t>
      </w:r>
      <w:r w:rsidR="00E5385D">
        <w:rPr>
          <w:rFonts w:ascii="Arial" w:hAnsi="Arial" w:cs="Arial"/>
          <w:sz w:val="24"/>
          <w:szCs w:val="24"/>
        </w:rPr>
        <w:t xml:space="preserve">compliance strategy </w:t>
      </w:r>
      <w:r w:rsidRPr="00DB7156">
        <w:rPr>
          <w:rFonts w:ascii="Arial" w:hAnsi="Arial" w:cs="Arial"/>
          <w:sz w:val="24"/>
          <w:szCs w:val="24"/>
        </w:rPr>
        <w:t xml:space="preserve">process is completed and analyzed across the various planning scenarios, a strategy is compiled on a unit level and reviewed annually based on the most current information. One major goal of the environmental strategy process is to maintain flexibility </w:t>
      </w:r>
      <w:r w:rsidR="002F2394" w:rsidRPr="00DB7156">
        <w:rPr>
          <w:rFonts w:ascii="Arial" w:hAnsi="Arial" w:cs="Arial"/>
          <w:sz w:val="24"/>
          <w:szCs w:val="24"/>
        </w:rPr>
        <w:t>in compliance options</w:t>
      </w:r>
      <w:r w:rsidR="004419F7" w:rsidRPr="00DB7156">
        <w:rPr>
          <w:rFonts w:ascii="Arial" w:hAnsi="Arial" w:cs="Arial"/>
          <w:sz w:val="24"/>
          <w:szCs w:val="24"/>
        </w:rPr>
        <w:t xml:space="preserve"> and operations</w:t>
      </w:r>
      <w:r w:rsidRPr="00DB7156">
        <w:rPr>
          <w:rFonts w:ascii="Arial" w:hAnsi="Arial" w:cs="Arial"/>
          <w:sz w:val="24"/>
          <w:szCs w:val="24"/>
        </w:rPr>
        <w:t xml:space="preserve"> </w:t>
      </w:r>
      <w:r w:rsidR="00B06467" w:rsidRPr="00DB7156">
        <w:rPr>
          <w:rFonts w:ascii="Arial" w:hAnsi="Arial" w:cs="Arial"/>
          <w:sz w:val="24"/>
          <w:szCs w:val="24"/>
        </w:rPr>
        <w:t>across the generating fl</w:t>
      </w:r>
      <w:r w:rsidR="00550560" w:rsidRPr="00DB7156">
        <w:rPr>
          <w:rFonts w:ascii="Arial" w:hAnsi="Arial" w:cs="Arial"/>
          <w:sz w:val="24"/>
          <w:szCs w:val="24"/>
        </w:rPr>
        <w:t>e</w:t>
      </w:r>
      <w:r w:rsidR="00B06467" w:rsidRPr="00DB7156">
        <w:rPr>
          <w:rFonts w:ascii="Arial" w:hAnsi="Arial" w:cs="Arial"/>
          <w:sz w:val="24"/>
          <w:szCs w:val="24"/>
        </w:rPr>
        <w:t>et</w:t>
      </w:r>
      <w:r w:rsidRPr="00DB7156">
        <w:rPr>
          <w:rFonts w:ascii="Arial" w:hAnsi="Arial" w:cs="Arial"/>
          <w:sz w:val="24"/>
          <w:szCs w:val="24"/>
        </w:rPr>
        <w:t xml:space="preserve">.  </w:t>
      </w:r>
    </w:p>
    <w:p w14:paraId="22BA50A5" w14:textId="77777777" w:rsidR="00752263" w:rsidRPr="00DB7156" w:rsidRDefault="00752263" w:rsidP="00DB7156">
      <w:pPr>
        <w:spacing w:after="0" w:line="240" w:lineRule="auto"/>
        <w:ind w:hanging="540"/>
        <w:jc w:val="both"/>
        <w:rPr>
          <w:rFonts w:ascii="Arial" w:hAnsi="Arial" w:cs="Arial"/>
          <w:sz w:val="24"/>
          <w:szCs w:val="24"/>
        </w:rPr>
      </w:pPr>
    </w:p>
    <w:p w14:paraId="22BA50A6" w14:textId="3047631D"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A key advantage of this process is that it allows decision making on an incremental basis.  While the strategy includes </w:t>
      </w:r>
      <w:r w:rsidR="00653ECF" w:rsidRPr="00DB7156">
        <w:rPr>
          <w:rFonts w:ascii="Arial" w:hAnsi="Arial" w:cs="Arial"/>
          <w:sz w:val="24"/>
          <w:szCs w:val="24"/>
        </w:rPr>
        <w:t xml:space="preserve">environmental </w:t>
      </w:r>
      <w:r w:rsidRPr="00DB7156">
        <w:rPr>
          <w:rFonts w:ascii="Arial" w:hAnsi="Arial" w:cs="Arial"/>
          <w:sz w:val="24"/>
          <w:szCs w:val="24"/>
        </w:rPr>
        <w:t xml:space="preserve">control plans for the next 10 years, final decisions on specific </w:t>
      </w:r>
      <w:r w:rsidR="00E624B5">
        <w:rPr>
          <w:rFonts w:ascii="Arial" w:hAnsi="Arial" w:cs="Arial"/>
          <w:sz w:val="24"/>
          <w:szCs w:val="24"/>
        </w:rPr>
        <w:t>environmental</w:t>
      </w:r>
      <w:r w:rsidR="00E624B5" w:rsidRPr="00DB7156">
        <w:rPr>
          <w:rFonts w:ascii="Arial" w:hAnsi="Arial" w:cs="Arial"/>
          <w:sz w:val="24"/>
          <w:szCs w:val="24"/>
        </w:rPr>
        <w:t xml:space="preserve"> </w:t>
      </w:r>
      <w:r w:rsidRPr="00DB7156">
        <w:rPr>
          <w:rFonts w:ascii="Arial" w:hAnsi="Arial" w:cs="Arial"/>
          <w:sz w:val="24"/>
          <w:szCs w:val="24"/>
        </w:rPr>
        <w:t xml:space="preserve">control projects are not made until commitments are required so that construction can commence. That is, while controls may be planned </w:t>
      </w:r>
      <w:r w:rsidR="00872624" w:rsidRPr="00DB7156">
        <w:rPr>
          <w:rFonts w:ascii="Arial" w:hAnsi="Arial" w:cs="Arial"/>
          <w:sz w:val="24"/>
          <w:szCs w:val="24"/>
        </w:rPr>
        <w:t xml:space="preserve">and required </w:t>
      </w:r>
      <w:r w:rsidRPr="00DB7156">
        <w:rPr>
          <w:rFonts w:ascii="Arial" w:hAnsi="Arial" w:cs="Arial"/>
          <w:sz w:val="24"/>
          <w:szCs w:val="24"/>
        </w:rPr>
        <w:t>on a particular unit in</w:t>
      </w:r>
      <w:r w:rsidR="000957C3" w:rsidRPr="00DB7156">
        <w:rPr>
          <w:rFonts w:ascii="Arial" w:hAnsi="Arial" w:cs="Arial"/>
          <w:sz w:val="24"/>
          <w:szCs w:val="24"/>
        </w:rPr>
        <w:t xml:space="preserve"> </w:t>
      </w:r>
      <w:r w:rsidR="004C3E44" w:rsidRPr="00DB7156">
        <w:rPr>
          <w:rFonts w:ascii="Arial" w:hAnsi="Arial" w:cs="Arial"/>
          <w:sz w:val="24"/>
          <w:szCs w:val="24"/>
        </w:rPr>
        <w:t>2023</w:t>
      </w:r>
      <w:r w:rsidRPr="00DB7156">
        <w:rPr>
          <w:rFonts w:ascii="Arial" w:hAnsi="Arial" w:cs="Arial"/>
          <w:sz w:val="24"/>
          <w:szCs w:val="24"/>
        </w:rPr>
        <w:t xml:space="preserve">, no firm commitment to that plan will be made until necessary to assure that the control equipment is in place and operational when needed. This flexibility allows the company to adapt to changing requirements </w:t>
      </w:r>
      <w:r w:rsidR="00B06467" w:rsidRPr="00DB7156">
        <w:rPr>
          <w:rFonts w:ascii="Arial" w:hAnsi="Arial" w:cs="Arial"/>
          <w:sz w:val="24"/>
          <w:szCs w:val="24"/>
        </w:rPr>
        <w:t xml:space="preserve">(such as the delay or change in scope of a final rule) </w:t>
      </w:r>
      <w:r w:rsidRPr="00DB7156">
        <w:rPr>
          <w:rFonts w:ascii="Arial" w:hAnsi="Arial" w:cs="Arial"/>
          <w:sz w:val="24"/>
          <w:szCs w:val="24"/>
        </w:rPr>
        <w:t xml:space="preserve">and </w:t>
      </w:r>
      <w:r w:rsidR="00B06467" w:rsidRPr="00DB7156">
        <w:rPr>
          <w:rFonts w:ascii="Arial" w:hAnsi="Arial" w:cs="Arial"/>
          <w:sz w:val="24"/>
          <w:szCs w:val="24"/>
        </w:rPr>
        <w:t xml:space="preserve">thus </w:t>
      </w:r>
      <w:r w:rsidRPr="00DB7156">
        <w:rPr>
          <w:rFonts w:ascii="Arial" w:hAnsi="Arial" w:cs="Arial"/>
          <w:sz w:val="24"/>
          <w:szCs w:val="24"/>
        </w:rPr>
        <w:t>reduce costs to the customer.</w:t>
      </w:r>
    </w:p>
    <w:p w14:paraId="22BA50A7" w14:textId="77777777" w:rsidR="00752263" w:rsidRPr="00DB7156" w:rsidRDefault="00752263" w:rsidP="00DB7156">
      <w:pPr>
        <w:spacing w:after="0" w:line="240" w:lineRule="auto"/>
        <w:jc w:val="both"/>
        <w:rPr>
          <w:rFonts w:ascii="Arial" w:hAnsi="Arial" w:cs="Arial"/>
        </w:rPr>
      </w:pPr>
    </w:p>
    <w:p w14:paraId="22BA50A8" w14:textId="05D64D56"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Future regulatory and legislative requirements that could significantly impact both the scope and the cost of compliance over the next decade are incorporated into the strategy. </w:t>
      </w:r>
      <w:r w:rsidR="004419F7" w:rsidRPr="00DB7156">
        <w:rPr>
          <w:rFonts w:ascii="Arial" w:hAnsi="Arial" w:cs="Arial"/>
          <w:sz w:val="24"/>
          <w:szCs w:val="24"/>
        </w:rPr>
        <w:t xml:space="preserve">Georgia Power </w:t>
      </w:r>
      <w:r w:rsidRPr="00DB7156">
        <w:rPr>
          <w:rFonts w:ascii="Arial" w:hAnsi="Arial" w:cs="Arial"/>
          <w:sz w:val="24"/>
          <w:szCs w:val="24"/>
        </w:rPr>
        <w:t>will continue its involvement in emerging regulations, and these requirements will be incorporated into future strategy updates, as appropriate.</w:t>
      </w:r>
    </w:p>
    <w:p w14:paraId="22BA50A9" w14:textId="77777777" w:rsidR="00752263" w:rsidRPr="00DB7156" w:rsidRDefault="00752263" w:rsidP="00DB7156">
      <w:pPr>
        <w:spacing w:after="0" w:line="240" w:lineRule="auto"/>
        <w:jc w:val="both"/>
        <w:rPr>
          <w:rFonts w:ascii="Arial" w:hAnsi="Arial" w:cs="Arial"/>
          <w:b/>
          <w:color w:val="000080"/>
          <w:sz w:val="24"/>
          <w:szCs w:val="24"/>
        </w:rPr>
      </w:pPr>
    </w:p>
    <w:p w14:paraId="22BA50AA" w14:textId="49E72C6D" w:rsidR="00752263" w:rsidRPr="00DB7156" w:rsidRDefault="00752263" w:rsidP="00DB7156">
      <w:pPr>
        <w:spacing w:after="0" w:line="240" w:lineRule="auto"/>
        <w:jc w:val="both"/>
        <w:rPr>
          <w:rFonts w:ascii="Arial" w:hAnsi="Arial" w:cs="Arial"/>
          <w:b/>
          <w:color w:val="000080"/>
          <w:sz w:val="24"/>
          <w:szCs w:val="24"/>
        </w:rPr>
      </w:pPr>
      <w:r w:rsidRPr="00DB7156">
        <w:rPr>
          <w:rFonts w:ascii="Arial" w:hAnsi="Arial" w:cs="Arial"/>
          <w:sz w:val="24"/>
          <w:szCs w:val="24"/>
        </w:rPr>
        <w:t xml:space="preserve">The uncertainty surrounding the legislative and regulatory environment reinforces the need for a flexible, robust compliance </w:t>
      </w:r>
      <w:r w:rsidR="00C2689B">
        <w:rPr>
          <w:rFonts w:ascii="Arial" w:hAnsi="Arial" w:cs="Arial"/>
          <w:sz w:val="24"/>
          <w:szCs w:val="24"/>
        </w:rPr>
        <w:t>strategy</w:t>
      </w:r>
      <w:r w:rsidRPr="00DB7156">
        <w:rPr>
          <w:rFonts w:ascii="Arial" w:hAnsi="Arial" w:cs="Arial"/>
          <w:sz w:val="24"/>
          <w:szCs w:val="24"/>
        </w:rPr>
        <w:t xml:space="preserve">. Accordingly, </w:t>
      </w:r>
      <w:r w:rsidR="00850EF3" w:rsidRPr="00DB7156">
        <w:rPr>
          <w:rFonts w:ascii="Arial" w:hAnsi="Arial" w:cs="Arial"/>
          <w:sz w:val="24"/>
          <w:szCs w:val="24"/>
        </w:rPr>
        <w:t xml:space="preserve">the </w:t>
      </w:r>
      <w:r w:rsidR="00C2689B">
        <w:rPr>
          <w:rFonts w:ascii="Arial" w:hAnsi="Arial" w:cs="Arial"/>
          <w:sz w:val="24"/>
          <w:szCs w:val="24"/>
        </w:rPr>
        <w:t>strategy</w:t>
      </w:r>
      <w:r w:rsidR="00C2689B" w:rsidRPr="00DB7156">
        <w:rPr>
          <w:rFonts w:ascii="Arial" w:hAnsi="Arial" w:cs="Arial"/>
          <w:sz w:val="24"/>
          <w:szCs w:val="24"/>
        </w:rPr>
        <w:t xml:space="preserve"> </w:t>
      </w:r>
      <w:r w:rsidR="00850EF3" w:rsidRPr="00DB7156">
        <w:rPr>
          <w:rFonts w:ascii="Arial" w:hAnsi="Arial" w:cs="Arial"/>
          <w:sz w:val="24"/>
          <w:szCs w:val="24"/>
        </w:rPr>
        <w:t xml:space="preserve">balances the need to make decisions on certain timelines (such as </w:t>
      </w:r>
      <w:r w:rsidRPr="00DB7156">
        <w:rPr>
          <w:rFonts w:ascii="Arial" w:hAnsi="Arial" w:cs="Arial"/>
          <w:sz w:val="24"/>
          <w:szCs w:val="24"/>
        </w:rPr>
        <w:t>fuel</w:t>
      </w:r>
      <w:r w:rsidR="00850EF3" w:rsidRPr="00DB7156">
        <w:rPr>
          <w:rFonts w:ascii="Arial" w:hAnsi="Arial" w:cs="Arial"/>
          <w:sz w:val="24"/>
          <w:szCs w:val="24"/>
        </w:rPr>
        <w:t xml:space="preserve"> and</w:t>
      </w:r>
      <w:r w:rsidRPr="00DB7156">
        <w:rPr>
          <w:rFonts w:ascii="Arial" w:hAnsi="Arial" w:cs="Arial"/>
          <w:sz w:val="24"/>
          <w:szCs w:val="24"/>
        </w:rPr>
        <w:t xml:space="preserve"> equipment purchases</w:t>
      </w:r>
      <w:r w:rsidR="00850EF3" w:rsidRPr="00DB7156">
        <w:rPr>
          <w:rFonts w:ascii="Arial" w:hAnsi="Arial" w:cs="Arial"/>
          <w:sz w:val="24"/>
          <w:szCs w:val="24"/>
        </w:rPr>
        <w:t>) with the need f</w:t>
      </w:r>
      <w:r w:rsidRPr="00DB7156">
        <w:rPr>
          <w:rFonts w:ascii="Arial" w:hAnsi="Arial" w:cs="Arial"/>
          <w:sz w:val="24"/>
          <w:szCs w:val="24"/>
        </w:rPr>
        <w:t xml:space="preserve">or </w:t>
      </w:r>
      <w:r w:rsidR="00850EF3" w:rsidRPr="00DB7156">
        <w:rPr>
          <w:rFonts w:ascii="Arial" w:hAnsi="Arial" w:cs="Arial"/>
          <w:sz w:val="24"/>
          <w:szCs w:val="24"/>
        </w:rPr>
        <w:t xml:space="preserve">more </w:t>
      </w:r>
      <w:r w:rsidRPr="00DB7156">
        <w:rPr>
          <w:rFonts w:ascii="Arial" w:hAnsi="Arial" w:cs="Arial"/>
          <w:sz w:val="24"/>
          <w:szCs w:val="24"/>
        </w:rPr>
        <w:t>information relative to regulatory and economic drivers</w:t>
      </w:r>
      <w:r w:rsidR="00850EF3" w:rsidRPr="00DB7156">
        <w:rPr>
          <w:rFonts w:ascii="Arial" w:hAnsi="Arial" w:cs="Arial"/>
          <w:sz w:val="24"/>
          <w:szCs w:val="24"/>
        </w:rPr>
        <w:t>. T</w:t>
      </w:r>
      <w:r w:rsidRPr="00DB7156">
        <w:rPr>
          <w:rFonts w:ascii="Arial" w:hAnsi="Arial" w:cs="Arial"/>
          <w:sz w:val="24"/>
          <w:szCs w:val="24"/>
        </w:rPr>
        <w:t>he analysis will be updated to determine the most cost-effective compliance decisions while maintaining future flexibility in the strategy. Because the Company’s compliance strategy is impacted by factors such as new regulations, new legislation, changes to existing environmental laws and regulations, the cost of emissions allowances, technology advance</w:t>
      </w:r>
      <w:r w:rsidR="004C3E44" w:rsidRPr="00DB7156">
        <w:rPr>
          <w:rFonts w:ascii="Arial" w:hAnsi="Arial" w:cs="Arial"/>
          <w:sz w:val="24"/>
          <w:szCs w:val="24"/>
        </w:rPr>
        <w:t>ment</w:t>
      </w:r>
      <w:r w:rsidRPr="00DB7156">
        <w:rPr>
          <w:rFonts w:ascii="Arial" w:hAnsi="Arial" w:cs="Arial"/>
          <w:sz w:val="24"/>
          <w:szCs w:val="24"/>
        </w:rPr>
        <w:t>s, and changes in fuel use, future environmental compliance costs will continue to be incurred.</w:t>
      </w:r>
    </w:p>
    <w:p w14:paraId="22BA50AB" w14:textId="77777777" w:rsidR="00752263" w:rsidRPr="00DB7156" w:rsidRDefault="00752263" w:rsidP="00DB7156">
      <w:pPr>
        <w:spacing w:after="0" w:line="240" w:lineRule="auto"/>
        <w:jc w:val="both"/>
        <w:rPr>
          <w:rFonts w:ascii="Arial" w:hAnsi="Arial" w:cs="Arial"/>
          <w:b/>
          <w:color w:val="000080"/>
          <w:sz w:val="24"/>
          <w:szCs w:val="24"/>
        </w:rPr>
      </w:pPr>
    </w:p>
    <w:p w14:paraId="367EB25D" w14:textId="77777777" w:rsidR="00461AC7" w:rsidRDefault="00461AC7">
      <w:pPr>
        <w:spacing w:after="0" w:line="240" w:lineRule="auto"/>
        <w:rPr>
          <w:rFonts w:ascii="Arial" w:hAnsi="Arial" w:cs="Arial"/>
          <w:b/>
          <w:bCs/>
          <w:color w:val="000080"/>
          <w:sz w:val="24"/>
          <w:szCs w:val="24"/>
        </w:rPr>
      </w:pPr>
      <w:bookmarkStart w:id="155" w:name="_Toc496107756"/>
      <w:bookmarkStart w:id="156" w:name="_Toc527987348"/>
      <w:bookmarkStart w:id="157" w:name="_Toc527983895"/>
      <w:r>
        <w:rPr>
          <w:rFonts w:ascii="Arial" w:hAnsi="Arial" w:cs="Arial"/>
          <w:b/>
          <w:bCs/>
          <w:color w:val="000080"/>
          <w:sz w:val="24"/>
          <w:szCs w:val="24"/>
        </w:rPr>
        <w:br w:type="page"/>
      </w:r>
    </w:p>
    <w:p w14:paraId="22BA50AC" w14:textId="3AD5C8A2" w:rsidR="00752263" w:rsidRPr="00DB7156" w:rsidRDefault="00752263" w:rsidP="00DB7156">
      <w:pPr>
        <w:autoSpaceDE w:val="0"/>
        <w:autoSpaceDN w:val="0"/>
        <w:adjustRightInd w:val="0"/>
        <w:spacing w:after="0" w:line="240" w:lineRule="auto"/>
        <w:jc w:val="both"/>
        <w:outlineLvl w:val="1"/>
        <w:rPr>
          <w:rFonts w:ascii="Arial" w:hAnsi="Arial" w:cs="Arial"/>
          <w:b/>
          <w:bCs/>
          <w:color w:val="000080"/>
          <w:sz w:val="24"/>
          <w:szCs w:val="24"/>
        </w:rPr>
      </w:pPr>
      <w:bookmarkStart w:id="158" w:name="_Toc530487279"/>
      <w:bookmarkStart w:id="159" w:name="_Toc535908147"/>
      <w:r w:rsidRPr="00DB7156">
        <w:rPr>
          <w:rFonts w:ascii="Arial" w:hAnsi="Arial" w:cs="Arial"/>
          <w:b/>
          <w:bCs/>
          <w:color w:val="000080"/>
          <w:sz w:val="24"/>
          <w:szCs w:val="24"/>
        </w:rPr>
        <w:t>3.2</w:t>
      </w:r>
      <w:r w:rsidRPr="00DB7156">
        <w:rPr>
          <w:rFonts w:ascii="Arial" w:hAnsi="Arial" w:cs="Arial"/>
          <w:b/>
          <w:bCs/>
          <w:color w:val="000080"/>
          <w:sz w:val="24"/>
          <w:szCs w:val="24"/>
        </w:rPr>
        <w:tab/>
        <w:t>Strategy Assumptions</w:t>
      </w:r>
      <w:bookmarkEnd w:id="155"/>
      <w:bookmarkEnd w:id="156"/>
      <w:bookmarkEnd w:id="157"/>
      <w:bookmarkEnd w:id="158"/>
      <w:bookmarkEnd w:id="159"/>
      <w:r w:rsidRPr="00DB7156">
        <w:rPr>
          <w:rFonts w:ascii="Arial" w:hAnsi="Arial" w:cs="Arial"/>
          <w:b/>
          <w:bCs/>
          <w:color w:val="000080"/>
          <w:sz w:val="24"/>
          <w:szCs w:val="24"/>
        </w:rPr>
        <w:t xml:space="preserve"> </w:t>
      </w:r>
    </w:p>
    <w:p w14:paraId="22BA50AD" w14:textId="77777777" w:rsidR="00752263" w:rsidRPr="00DB7156" w:rsidRDefault="00752263" w:rsidP="00DB7156">
      <w:pPr>
        <w:spacing w:after="0" w:line="240" w:lineRule="auto"/>
        <w:jc w:val="both"/>
        <w:rPr>
          <w:rFonts w:ascii="Arial" w:hAnsi="Arial" w:cs="Arial"/>
          <w:sz w:val="24"/>
          <w:szCs w:val="24"/>
        </w:rPr>
      </w:pPr>
    </w:p>
    <w:p w14:paraId="3549E2DA" w14:textId="1591C6D7" w:rsidR="00192736"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Based on this extensive strategy process and the regulatory and legislative requirements discussed in Section 2.0, the </w:t>
      </w:r>
      <w:r w:rsidR="00550560" w:rsidRPr="00DB7156">
        <w:rPr>
          <w:rFonts w:ascii="Arial" w:hAnsi="Arial" w:cs="Arial"/>
          <w:sz w:val="24"/>
          <w:szCs w:val="24"/>
        </w:rPr>
        <w:t xml:space="preserve">Georgia Power </w:t>
      </w:r>
      <w:r w:rsidRPr="00DB7156">
        <w:rPr>
          <w:rFonts w:ascii="Arial" w:hAnsi="Arial" w:cs="Arial"/>
          <w:sz w:val="24"/>
          <w:szCs w:val="24"/>
        </w:rPr>
        <w:t xml:space="preserve">environmental strategy is reviewed and updated each year. </w:t>
      </w:r>
      <w:r w:rsidR="00192736" w:rsidRPr="00DB7156">
        <w:rPr>
          <w:rFonts w:ascii="Arial" w:hAnsi="Arial" w:cs="Arial"/>
          <w:sz w:val="24"/>
          <w:szCs w:val="24"/>
        </w:rPr>
        <w:t xml:space="preserve">The environmental strategy combines the assumptions surrounding the regulatory requirements with the </w:t>
      </w:r>
      <w:r w:rsidR="00653ECF" w:rsidRPr="00DB7156">
        <w:rPr>
          <w:rFonts w:ascii="Arial" w:hAnsi="Arial" w:cs="Arial"/>
          <w:sz w:val="24"/>
          <w:szCs w:val="24"/>
        </w:rPr>
        <w:t>most cost</w:t>
      </w:r>
      <w:r w:rsidR="00C92750">
        <w:rPr>
          <w:rFonts w:ascii="Arial" w:hAnsi="Arial" w:cs="Arial"/>
          <w:sz w:val="24"/>
          <w:szCs w:val="24"/>
        </w:rPr>
        <w:t>-</w:t>
      </w:r>
      <w:r w:rsidR="00653ECF" w:rsidRPr="00DB7156">
        <w:rPr>
          <w:rFonts w:ascii="Arial" w:hAnsi="Arial" w:cs="Arial"/>
          <w:sz w:val="24"/>
          <w:szCs w:val="24"/>
        </w:rPr>
        <w:t>effective</w:t>
      </w:r>
      <w:r w:rsidR="00192736" w:rsidRPr="00DB7156">
        <w:rPr>
          <w:rFonts w:ascii="Arial" w:hAnsi="Arial" w:cs="Arial"/>
          <w:sz w:val="24"/>
          <w:szCs w:val="24"/>
        </w:rPr>
        <w:t xml:space="preserve"> environmental control technology that is commercially available and results in specific </w:t>
      </w:r>
      <w:r w:rsidR="00653ECF" w:rsidRPr="00DB7156">
        <w:rPr>
          <w:rFonts w:ascii="Arial" w:hAnsi="Arial" w:cs="Arial"/>
          <w:sz w:val="24"/>
          <w:szCs w:val="24"/>
        </w:rPr>
        <w:t xml:space="preserve">environmental </w:t>
      </w:r>
      <w:r w:rsidR="00192736" w:rsidRPr="00DB7156">
        <w:rPr>
          <w:rFonts w:ascii="Arial" w:hAnsi="Arial" w:cs="Arial"/>
          <w:sz w:val="24"/>
          <w:szCs w:val="24"/>
        </w:rPr>
        <w:t xml:space="preserve">control applications across Georgia Power.  </w:t>
      </w:r>
    </w:p>
    <w:p w14:paraId="22BA50AF" w14:textId="0BE48457" w:rsidR="00752263" w:rsidRPr="00DB7156" w:rsidRDefault="00752263" w:rsidP="00DB7156">
      <w:pPr>
        <w:spacing w:after="0" w:line="240" w:lineRule="auto"/>
        <w:jc w:val="both"/>
        <w:rPr>
          <w:rFonts w:ascii="Arial" w:hAnsi="Arial" w:cs="Arial"/>
          <w:sz w:val="24"/>
          <w:szCs w:val="24"/>
        </w:rPr>
      </w:pPr>
    </w:p>
    <w:p w14:paraId="2C92D999" w14:textId="77777777" w:rsidR="00395B08" w:rsidRPr="00DB7156" w:rsidRDefault="00395B08" w:rsidP="00395B08">
      <w:pPr>
        <w:spacing w:after="0" w:line="240" w:lineRule="auto"/>
        <w:jc w:val="both"/>
        <w:rPr>
          <w:rFonts w:ascii="Arial" w:hAnsi="Arial" w:cs="Arial"/>
          <w:sz w:val="24"/>
          <w:szCs w:val="24"/>
        </w:rPr>
      </w:pPr>
      <w:r w:rsidRPr="00DB7156">
        <w:rPr>
          <w:rFonts w:ascii="Arial" w:hAnsi="Arial" w:cs="Arial"/>
          <w:sz w:val="24"/>
          <w:szCs w:val="24"/>
        </w:rPr>
        <w:t>The current and expected requirements underlying the current system strategy include:</w:t>
      </w:r>
    </w:p>
    <w:p w14:paraId="18B2820D" w14:textId="77777777" w:rsidR="00395B08" w:rsidRPr="00DB7156" w:rsidRDefault="00395B08" w:rsidP="00395B08">
      <w:pPr>
        <w:spacing w:after="0" w:line="240" w:lineRule="auto"/>
        <w:jc w:val="both"/>
        <w:rPr>
          <w:rFonts w:ascii="Arial" w:hAnsi="Arial" w:cs="Arial"/>
          <w:sz w:val="24"/>
          <w:szCs w:val="24"/>
        </w:rPr>
      </w:pPr>
    </w:p>
    <w:p w14:paraId="1333DA6F" w14:textId="77777777" w:rsidR="00395B08" w:rsidRPr="00DD153C" w:rsidRDefault="00395B08" w:rsidP="00395B08">
      <w:pPr>
        <w:pStyle w:val="ListParagraph"/>
        <w:numPr>
          <w:ilvl w:val="0"/>
          <w:numId w:val="8"/>
        </w:numPr>
        <w:rPr>
          <w:rFonts w:ascii="Arial" w:eastAsia="Times New Roman" w:hAnsi="Arial" w:cs="Arial"/>
          <w:b/>
        </w:rPr>
      </w:pPr>
      <w:r w:rsidRPr="00DD153C">
        <w:rPr>
          <w:rFonts w:ascii="Arial" w:eastAsia="Times New Roman" w:hAnsi="Arial" w:cs="Arial"/>
          <w:b/>
        </w:rPr>
        <w:t>REDACTED REDACTED REDACTED REDACTED REDACTED REDACTED REDACTED REDACTED REDACTED REDACTED REDACTED REDACTED REDACTED REDACTED REDACTED REDACTED REDACTED REDACTED REDACTED REDACTED</w:t>
      </w:r>
    </w:p>
    <w:p w14:paraId="474F8028" w14:textId="77777777" w:rsidR="00395B08" w:rsidRPr="00DD153C" w:rsidRDefault="00395B08" w:rsidP="00395B08">
      <w:pPr>
        <w:numPr>
          <w:ilvl w:val="0"/>
          <w:numId w:val="8"/>
        </w:numPr>
        <w:spacing w:after="0" w:line="240" w:lineRule="auto"/>
        <w:jc w:val="both"/>
        <w:rPr>
          <w:rFonts w:ascii="Arial" w:hAnsi="Arial" w:cs="Arial"/>
          <w:b/>
          <w:sz w:val="24"/>
          <w:szCs w:val="24"/>
        </w:rPr>
      </w:pPr>
      <w:r w:rsidRPr="00DD153C">
        <w:rPr>
          <w:rFonts w:ascii="Arial" w:hAnsi="Arial" w:cs="Arial"/>
          <w:b/>
          <w:sz w:val="24"/>
          <w:szCs w:val="24"/>
        </w:rPr>
        <w:t xml:space="preserve">REDACTED REDACTED REDACTED REDACTED REDACTED REDACTED REDACTED REDACTED REDACTED REDACTED REDACTED REDACTED REDACTED </w:t>
      </w:r>
    </w:p>
    <w:p w14:paraId="4FF46256" w14:textId="77777777" w:rsidR="00395B08" w:rsidRPr="00DD153C" w:rsidRDefault="00395B08" w:rsidP="00395B08">
      <w:pPr>
        <w:numPr>
          <w:ilvl w:val="0"/>
          <w:numId w:val="8"/>
        </w:numPr>
        <w:spacing w:after="0" w:line="240" w:lineRule="auto"/>
        <w:jc w:val="both"/>
        <w:rPr>
          <w:rFonts w:ascii="Arial" w:hAnsi="Arial" w:cs="Arial"/>
          <w:b/>
          <w:sz w:val="24"/>
          <w:szCs w:val="24"/>
        </w:rPr>
      </w:pPr>
      <w:r w:rsidRPr="00DD153C">
        <w:rPr>
          <w:rFonts w:ascii="Arial" w:hAnsi="Arial" w:cs="Arial"/>
          <w:b/>
          <w:sz w:val="24"/>
          <w:szCs w:val="24"/>
        </w:rPr>
        <w:t xml:space="preserve">REDACTED REDACTED REDACTED REDACTED REDACTED REDACTED REDACTED REDACTED REDACTED REDACTED REDACTED REDACTED REDACTED REDACTED </w:t>
      </w:r>
    </w:p>
    <w:p w14:paraId="6D6D54FB" w14:textId="77777777" w:rsidR="00395B08" w:rsidRPr="00DD153C" w:rsidRDefault="00395B08" w:rsidP="00395B08">
      <w:pPr>
        <w:numPr>
          <w:ilvl w:val="0"/>
          <w:numId w:val="8"/>
        </w:numPr>
        <w:spacing w:after="0" w:line="240" w:lineRule="auto"/>
        <w:jc w:val="both"/>
        <w:rPr>
          <w:rFonts w:ascii="Arial" w:hAnsi="Arial" w:cs="Arial"/>
          <w:b/>
          <w:sz w:val="24"/>
          <w:szCs w:val="24"/>
        </w:rPr>
      </w:pPr>
      <w:r w:rsidRPr="00DD153C">
        <w:rPr>
          <w:rFonts w:ascii="Arial" w:hAnsi="Arial" w:cs="Arial"/>
          <w:b/>
          <w:sz w:val="24"/>
          <w:szCs w:val="24"/>
        </w:rPr>
        <w:t xml:space="preserve">REDACTED REDACTED REDACTED REDACTED REDACTED REDACTED REDACTED REDACTED REDACTED REDACTED REDACTED REDACTED REDACTED </w:t>
      </w:r>
    </w:p>
    <w:p w14:paraId="166215ED" w14:textId="77777777" w:rsidR="00395B08" w:rsidRPr="00DB7156" w:rsidRDefault="00395B08" w:rsidP="00395B08">
      <w:pPr>
        <w:numPr>
          <w:ilvl w:val="0"/>
          <w:numId w:val="8"/>
        </w:numPr>
        <w:spacing w:after="0" w:line="240" w:lineRule="auto"/>
        <w:jc w:val="both"/>
        <w:rPr>
          <w:rFonts w:ascii="Arial" w:hAnsi="Arial" w:cs="Arial"/>
          <w:sz w:val="24"/>
          <w:szCs w:val="24"/>
        </w:rPr>
      </w:pPr>
      <w:r w:rsidRPr="00DB7156">
        <w:rPr>
          <w:rFonts w:ascii="Arial" w:hAnsi="Arial" w:cs="Arial"/>
          <w:sz w:val="24"/>
          <w:szCs w:val="24"/>
        </w:rPr>
        <w:t>Compliance with the Georgia Multipollutant Rule and the Georgia SO</w:t>
      </w:r>
      <w:r w:rsidRPr="00DB7156">
        <w:rPr>
          <w:rFonts w:ascii="Arial" w:hAnsi="Arial" w:cs="Arial"/>
          <w:sz w:val="24"/>
          <w:szCs w:val="24"/>
          <w:vertAlign w:val="subscript"/>
        </w:rPr>
        <w:t>2</w:t>
      </w:r>
      <w:r w:rsidRPr="00DB7156">
        <w:rPr>
          <w:rFonts w:ascii="Arial" w:hAnsi="Arial" w:cs="Arial"/>
          <w:sz w:val="24"/>
          <w:szCs w:val="24"/>
        </w:rPr>
        <w:t xml:space="preserve"> Emissions Rule through operation of SCRs, </w:t>
      </w:r>
      <w:r>
        <w:rPr>
          <w:rFonts w:ascii="Arial" w:hAnsi="Arial" w:cs="Arial"/>
          <w:sz w:val="24"/>
          <w:szCs w:val="24"/>
        </w:rPr>
        <w:t>FGD</w:t>
      </w:r>
      <w:r w:rsidRPr="00DB7156">
        <w:rPr>
          <w:rFonts w:ascii="Arial" w:hAnsi="Arial" w:cs="Arial"/>
          <w:sz w:val="24"/>
          <w:szCs w:val="24"/>
        </w:rPr>
        <w:t>s, baghouses, and switching to natural gas as applicable.</w:t>
      </w:r>
    </w:p>
    <w:p w14:paraId="4BEFD893" w14:textId="77777777" w:rsidR="00395B08" w:rsidRPr="00DB7156" w:rsidRDefault="00395B08" w:rsidP="00395B08">
      <w:pPr>
        <w:numPr>
          <w:ilvl w:val="0"/>
          <w:numId w:val="8"/>
        </w:numPr>
        <w:spacing w:after="0" w:line="240" w:lineRule="auto"/>
        <w:jc w:val="both"/>
        <w:rPr>
          <w:rFonts w:ascii="Arial" w:hAnsi="Arial" w:cs="Arial"/>
          <w:sz w:val="24"/>
          <w:szCs w:val="24"/>
        </w:rPr>
      </w:pPr>
      <w:r w:rsidRPr="00DB7156">
        <w:rPr>
          <w:rFonts w:ascii="Arial" w:hAnsi="Arial" w:cs="Arial"/>
          <w:sz w:val="24"/>
          <w:szCs w:val="24"/>
        </w:rPr>
        <w:t xml:space="preserve">MATS compliance with technology options including the co-benefits of SCR and </w:t>
      </w:r>
      <w:r>
        <w:rPr>
          <w:rFonts w:ascii="Arial" w:hAnsi="Arial" w:cs="Arial"/>
          <w:sz w:val="24"/>
          <w:szCs w:val="24"/>
        </w:rPr>
        <w:t>FGD</w:t>
      </w:r>
      <w:r w:rsidRPr="00DB7156">
        <w:rPr>
          <w:rFonts w:ascii="Arial" w:hAnsi="Arial" w:cs="Arial"/>
          <w:sz w:val="24"/>
          <w:szCs w:val="24"/>
        </w:rPr>
        <w:t>s, mercury re-emission control systems, injection of activated carbon, injection of alkali sorbents, baghouses, and switching to natural gas as the primary fuel.</w:t>
      </w:r>
    </w:p>
    <w:p w14:paraId="4B545113" w14:textId="77777777" w:rsidR="00395B08" w:rsidRPr="00DD153C" w:rsidRDefault="00395B08" w:rsidP="00395B08">
      <w:pPr>
        <w:numPr>
          <w:ilvl w:val="0"/>
          <w:numId w:val="8"/>
        </w:numPr>
        <w:spacing w:after="0" w:line="240" w:lineRule="auto"/>
        <w:jc w:val="both"/>
        <w:rPr>
          <w:rFonts w:ascii="Arial" w:hAnsi="Arial" w:cs="Arial"/>
          <w:sz w:val="24"/>
          <w:szCs w:val="24"/>
        </w:rPr>
      </w:pPr>
      <w:r w:rsidRPr="00DD153C">
        <w:rPr>
          <w:rFonts w:ascii="Arial" w:hAnsi="Arial" w:cs="Arial"/>
          <w:b/>
          <w:sz w:val="24"/>
          <w:szCs w:val="24"/>
        </w:rPr>
        <w:t xml:space="preserve">REDACTED REDACTED REDACTED REDACTED REDACTED REDACTED REDACTED REDACTED REDACTED REDACTED REDACTED </w:t>
      </w:r>
    </w:p>
    <w:p w14:paraId="7CB71F4A" w14:textId="77777777" w:rsidR="00395B08" w:rsidRPr="00DD153C" w:rsidRDefault="00395B08" w:rsidP="00395B08">
      <w:pPr>
        <w:numPr>
          <w:ilvl w:val="0"/>
          <w:numId w:val="8"/>
        </w:numPr>
        <w:spacing w:after="0" w:line="240" w:lineRule="auto"/>
        <w:jc w:val="both"/>
        <w:rPr>
          <w:rFonts w:ascii="Arial" w:hAnsi="Arial" w:cs="Arial"/>
          <w:sz w:val="24"/>
          <w:szCs w:val="24"/>
        </w:rPr>
      </w:pPr>
      <w:r w:rsidRPr="00DD153C">
        <w:rPr>
          <w:rFonts w:ascii="Arial" w:hAnsi="Arial" w:cs="Arial"/>
          <w:b/>
          <w:sz w:val="24"/>
          <w:szCs w:val="24"/>
        </w:rPr>
        <w:t>REDACTED REDACTED REDACTED REDACTED REDACTED REDACTED REDACTED REDACTED REDACTED REDACTED REDACTED REDACTED</w:t>
      </w:r>
    </w:p>
    <w:p w14:paraId="18384E79" w14:textId="77777777" w:rsidR="00395B08" w:rsidRPr="00DD153C" w:rsidRDefault="00395B08" w:rsidP="00395B08">
      <w:pPr>
        <w:numPr>
          <w:ilvl w:val="0"/>
          <w:numId w:val="8"/>
        </w:numPr>
        <w:spacing w:after="0" w:line="240" w:lineRule="auto"/>
        <w:jc w:val="both"/>
        <w:rPr>
          <w:rFonts w:ascii="Arial" w:hAnsi="Arial" w:cs="Arial"/>
          <w:sz w:val="24"/>
          <w:szCs w:val="24"/>
        </w:rPr>
      </w:pPr>
      <w:r w:rsidRPr="00DD153C">
        <w:rPr>
          <w:rFonts w:ascii="Arial" w:hAnsi="Arial" w:cs="Arial"/>
          <w:b/>
          <w:sz w:val="24"/>
          <w:szCs w:val="24"/>
        </w:rPr>
        <w:t xml:space="preserve">REDACTED REDACTED REDACTED REDACTED REDACTED </w:t>
      </w:r>
    </w:p>
    <w:p w14:paraId="432743B6" w14:textId="77777777" w:rsidR="00395B08" w:rsidRPr="00DD153C" w:rsidRDefault="00395B08" w:rsidP="00395B08">
      <w:pPr>
        <w:numPr>
          <w:ilvl w:val="0"/>
          <w:numId w:val="8"/>
        </w:numPr>
        <w:spacing w:after="0" w:line="240" w:lineRule="auto"/>
        <w:jc w:val="both"/>
        <w:rPr>
          <w:rFonts w:ascii="Arial" w:hAnsi="Arial" w:cs="Arial"/>
          <w:sz w:val="24"/>
          <w:szCs w:val="24"/>
        </w:rPr>
      </w:pPr>
      <w:r w:rsidRPr="00DD153C">
        <w:rPr>
          <w:rFonts w:ascii="Arial" w:hAnsi="Arial" w:cs="Arial"/>
          <w:sz w:val="24"/>
          <w:szCs w:val="24"/>
        </w:rPr>
        <w:t>Potential permitting requirements.</w:t>
      </w:r>
    </w:p>
    <w:p w14:paraId="763123D3" w14:textId="4610EDB9" w:rsidR="00735624" w:rsidRPr="00DB7156" w:rsidRDefault="00735624" w:rsidP="00395B08">
      <w:pPr>
        <w:spacing w:after="0" w:line="240" w:lineRule="auto"/>
        <w:jc w:val="both"/>
        <w:rPr>
          <w:rFonts w:ascii="Arial" w:hAnsi="Arial" w:cs="Arial"/>
          <w:sz w:val="24"/>
          <w:szCs w:val="24"/>
          <w:highlight w:val="yellow"/>
        </w:rPr>
      </w:pPr>
    </w:p>
    <w:p w14:paraId="22BA50BD" w14:textId="40CDF3C1"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While there is uncertainty surrounding the stringency and timing of </w:t>
      </w:r>
      <w:r w:rsidR="00192736" w:rsidRPr="00DB7156">
        <w:rPr>
          <w:rFonts w:ascii="Arial" w:hAnsi="Arial" w:cs="Arial"/>
          <w:sz w:val="24"/>
          <w:szCs w:val="24"/>
        </w:rPr>
        <w:t xml:space="preserve">many of these </w:t>
      </w:r>
      <w:r w:rsidRPr="00DB7156">
        <w:rPr>
          <w:rFonts w:ascii="Arial" w:hAnsi="Arial" w:cs="Arial"/>
          <w:sz w:val="24"/>
          <w:szCs w:val="24"/>
        </w:rPr>
        <w:t>r</w:t>
      </w:r>
      <w:r w:rsidR="00192736" w:rsidRPr="00DB7156">
        <w:rPr>
          <w:rFonts w:ascii="Arial" w:hAnsi="Arial" w:cs="Arial"/>
          <w:sz w:val="24"/>
          <w:szCs w:val="24"/>
        </w:rPr>
        <w:t>ules, particularly the clean water and solid waste rules</w:t>
      </w:r>
      <w:r w:rsidRPr="00DB7156">
        <w:rPr>
          <w:rFonts w:ascii="Arial" w:hAnsi="Arial" w:cs="Arial"/>
          <w:sz w:val="24"/>
          <w:szCs w:val="24"/>
        </w:rPr>
        <w:t>, they must be</w:t>
      </w:r>
      <w:r w:rsidR="00192736" w:rsidRPr="00DB7156">
        <w:rPr>
          <w:rFonts w:ascii="Arial" w:hAnsi="Arial" w:cs="Arial"/>
          <w:sz w:val="24"/>
          <w:szCs w:val="24"/>
        </w:rPr>
        <w:t>, and are currently,</w:t>
      </w:r>
      <w:r w:rsidRPr="00DB7156">
        <w:rPr>
          <w:rFonts w:ascii="Arial" w:hAnsi="Arial" w:cs="Arial"/>
          <w:sz w:val="24"/>
          <w:szCs w:val="24"/>
        </w:rPr>
        <w:t xml:space="preserve"> considered in the development of the </w:t>
      </w:r>
      <w:r w:rsidR="00192736" w:rsidRPr="00DB7156">
        <w:rPr>
          <w:rFonts w:ascii="Arial" w:hAnsi="Arial" w:cs="Arial"/>
          <w:sz w:val="24"/>
          <w:szCs w:val="24"/>
        </w:rPr>
        <w:t xml:space="preserve">Company’s </w:t>
      </w:r>
      <w:r w:rsidRPr="00DB7156">
        <w:rPr>
          <w:rFonts w:ascii="Arial" w:hAnsi="Arial" w:cs="Arial"/>
          <w:sz w:val="24"/>
          <w:szCs w:val="24"/>
        </w:rPr>
        <w:t>environmental strategy.</w:t>
      </w:r>
    </w:p>
    <w:p w14:paraId="22BA50C0" w14:textId="77777777" w:rsidR="00752263" w:rsidRPr="00DB7156" w:rsidRDefault="00752263" w:rsidP="00DB7156">
      <w:pPr>
        <w:spacing w:after="0" w:line="240" w:lineRule="auto"/>
        <w:jc w:val="both"/>
        <w:rPr>
          <w:rFonts w:ascii="Arial" w:hAnsi="Arial" w:cs="Arial"/>
          <w:sz w:val="24"/>
          <w:szCs w:val="24"/>
        </w:rPr>
      </w:pPr>
    </w:p>
    <w:p w14:paraId="4A9B38E8" w14:textId="77777777" w:rsidR="00177118" w:rsidRDefault="00177118">
      <w:pPr>
        <w:spacing w:after="0" w:line="240" w:lineRule="auto"/>
        <w:rPr>
          <w:rFonts w:ascii="Arial" w:hAnsi="Arial" w:cs="Arial"/>
          <w:b/>
          <w:bCs/>
          <w:color w:val="000080"/>
          <w:sz w:val="24"/>
          <w:szCs w:val="24"/>
        </w:rPr>
      </w:pPr>
      <w:bookmarkStart w:id="160" w:name="_Toc496107757"/>
      <w:bookmarkStart w:id="161" w:name="_Toc527987349"/>
      <w:bookmarkStart w:id="162" w:name="_Toc527983896"/>
      <w:bookmarkStart w:id="163" w:name="_Toc530487280"/>
      <w:r>
        <w:rPr>
          <w:rFonts w:ascii="Arial" w:hAnsi="Arial" w:cs="Arial"/>
          <w:b/>
          <w:bCs/>
          <w:color w:val="000080"/>
          <w:sz w:val="24"/>
          <w:szCs w:val="24"/>
        </w:rPr>
        <w:br w:type="page"/>
      </w:r>
    </w:p>
    <w:p w14:paraId="22BA50C1" w14:textId="3F9B79C4" w:rsidR="00752263" w:rsidRPr="00DB7156" w:rsidRDefault="00752263" w:rsidP="00DB7156">
      <w:pPr>
        <w:autoSpaceDE w:val="0"/>
        <w:autoSpaceDN w:val="0"/>
        <w:adjustRightInd w:val="0"/>
        <w:spacing w:after="0" w:line="240" w:lineRule="auto"/>
        <w:jc w:val="both"/>
        <w:outlineLvl w:val="1"/>
        <w:rPr>
          <w:rFonts w:ascii="Arial" w:hAnsi="Arial" w:cs="Arial"/>
          <w:b/>
          <w:bCs/>
          <w:color w:val="000080"/>
          <w:sz w:val="24"/>
          <w:szCs w:val="24"/>
        </w:rPr>
      </w:pPr>
      <w:bookmarkStart w:id="164" w:name="_Toc535908148"/>
      <w:r w:rsidRPr="00DB7156">
        <w:rPr>
          <w:rFonts w:ascii="Arial" w:hAnsi="Arial" w:cs="Arial"/>
          <w:b/>
          <w:bCs/>
          <w:color w:val="000080"/>
          <w:sz w:val="24"/>
          <w:szCs w:val="24"/>
        </w:rPr>
        <w:t>3.3</w:t>
      </w:r>
      <w:r w:rsidRPr="00DB7156">
        <w:rPr>
          <w:rFonts w:ascii="Arial" w:hAnsi="Arial" w:cs="Arial"/>
          <w:b/>
          <w:bCs/>
          <w:color w:val="000080"/>
          <w:sz w:val="24"/>
          <w:szCs w:val="24"/>
        </w:rPr>
        <w:tab/>
      </w:r>
      <w:r w:rsidR="00813B7D" w:rsidRPr="00DB7156">
        <w:rPr>
          <w:rFonts w:ascii="Arial" w:hAnsi="Arial" w:cs="Arial"/>
          <w:b/>
          <w:bCs/>
          <w:color w:val="000080"/>
          <w:sz w:val="24"/>
          <w:szCs w:val="24"/>
        </w:rPr>
        <w:t>Environmental Compliance</w:t>
      </w:r>
      <w:r w:rsidRPr="00DB7156">
        <w:rPr>
          <w:rFonts w:ascii="Arial" w:hAnsi="Arial" w:cs="Arial"/>
          <w:b/>
          <w:bCs/>
          <w:color w:val="000080"/>
          <w:sz w:val="24"/>
          <w:szCs w:val="24"/>
        </w:rPr>
        <w:t xml:space="preserve"> Technologies</w:t>
      </w:r>
      <w:bookmarkEnd w:id="160"/>
      <w:bookmarkEnd w:id="161"/>
      <w:bookmarkEnd w:id="162"/>
      <w:bookmarkEnd w:id="163"/>
      <w:bookmarkEnd w:id="164"/>
    </w:p>
    <w:p w14:paraId="22BA50C2" w14:textId="77777777" w:rsidR="00752263" w:rsidRPr="00DB7156" w:rsidRDefault="00752263" w:rsidP="00DB7156">
      <w:pPr>
        <w:keepNext/>
        <w:spacing w:after="0" w:line="240" w:lineRule="auto"/>
        <w:jc w:val="both"/>
        <w:rPr>
          <w:rFonts w:ascii="Arial" w:hAnsi="Arial" w:cs="Arial"/>
          <w:sz w:val="24"/>
          <w:szCs w:val="24"/>
          <w:u w:val="single"/>
        </w:rPr>
      </w:pPr>
    </w:p>
    <w:p w14:paraId="22BA50C3" w14:textId="23CDE75F" w:rsidR="00752263" w:rsidRPr="00DB7156" w:rsidRDefault="00752263" w:rsidP="00DB7156">
      <w:pPr>
        <w:keepNext/>
        <w:spacing w:after="0" w:line="240" w:lineRule="auto"/>
        <w:jc w:val="both"/>
        <w:rPr>
          <w:rFonts w:ascii="Arial" w:hAnsi="Arial" w:cs="Arial"/>
          <w:sz w:val="24"/>
          <w:szCs w:val="24"/>
        </w:rPr>
      </w:pPr>
      <w:r w:rsidRPr="00DB7156">
        <w:rPr>
          <w:rFonts w:ascii="Arial" w:hAnsi="Arial" w:cs="Arial"/>
          <w:sz w:val="24"/>
          <w:szCs w:val="24"/>
        </w:rPr>
        <w:t xml:space="preserve">Research and development </w:t>
      </w:r>
      <w:r w:rsidR="00834EFD">
        <w:rPr>
          <w:rFonts w:ascii="Arial" w:hAnsi="Arial" w:cs="Arial"/>
          <w:sz w:val="24"/>
          <w:szCs w:val="24"/>
        </w:rPr>
        <w:t>(</w:t>
      </w:r>
      <w:r w:rsidR="00675244">
        <w:rPr>
          <w:rFonts w:ascii="Arial" w:hAnsi="Arial" w:cs="Arial"/>
          <w:sz w:val="24"/>
          <w:szCs w:val="24"/>
        </w:rPr>
        <w:t>“</w:t>
      </w:r>
      <w:r w:rsidR="00834EFD">
        <w:rPr>
          <w:rFonts w:ascii="Arial" w:hAnsi="Arial" w:cs="Arial"/>
          <w:sz w:val="24"/>
          <w:szCs w:val="24"/>
        </w:rPr>
        <w:t>R&amp;D</w:t>
      </w:r>
      <w:r w:rsidR="00675244">
        <w:rPr>
          <w:rFonts w:ascii="Arial" w:hAnsi="Arial" w:cs="Arial"/>
          <w:sz w:val="24"/>
          <w:szCs w:val="24"/>
        </w:rPr>
        <w:t>”</w:t>
      </w:r>
      <w:r w:rsidR="00834EFD">
        <w:rPr>
          <w:rFonts w:ascii="Arial" w:hAnsi="Arial" w:cs="Arial"/>
          <w:sz w:val="24"/>
          <w:szCs w:val="24"/>
        </w:rPr>
        <w:t xml:space="preserve">) </w:t>
      </w:r>
      <w:r w:rsidR="004419F7" w:rsidRPr="00DB7156">
        <w:rPr>
          <w:rFonts w:ascii="Arial" w:hAnsi="Arial" w:cs="Arial"/>
          <w:sz w:val="24"/>
          <w:szCs w:val="24"/>
        </w:rPr>
        <w:t xml:space="preserve">is </w:t>
      </w:r>
      <w:r w:rsidRPr="00DB7156">
        <w:rPr>
          <w:rFonts w:ascii="Arial" w:hAnsi="Arial" w:cs="Arial"/>
          <w:sz w:val="24"/>
          <w:szCs w:val="24"/>
        </w:rPr>
        <w:t xml:space="preserve">an integral part of the overall </w:t>
      </w:r>
      <w:r w:rsidR="004419F7" w:rsidRPr="00DB7156">
        <w:rPr>
          <w:rFonts w:ascii="Arial" w:hAnsi="Arial" w:cs="Arial"/>
          <w:sz w:val="24"/>
          <w:szCs w:val="24"/>
        </w:rPr>
        <w:t>Georgia Power</w:t>
      </w:r>
      <w:r w:rsidRPr="00DB7156">
        <w:rPr>
          <w:rFonts w:ascii="Arial" w:hAnsi="Arial" w:cs="Arial"/>
          <w:sz w:val="24"/>
          <w:szCs w:val="24"/>
        </w:rPr>
        <w:t xml:space="preserve"> environmental strategy and compliance plan. Through research, technologies are considered, evaluated, developed, and selected for possible implementation to meet compliance with federal and state regulatory requirements. Technology-related decisions are made based on compliance alternatives, technical review (often following actual testing), schedules, equipment-vendor price quotes, total costs over the useful life, specific unit issues, and performance guarantees. Operation</w:t>
      </w:r>
      <w:r w:rsidR="00D074C8" w:rsidRPr="00DB7156">
        <w:rPr>
          <w:rFonts w:ascii="Arial" w:hAnsi="Arial" w:cs="Arial"/>
          <w:sz w:val="24"/>
          <w:szCs w:val="24"/>
        </w:rPr>
        <w:t>s</w:t>
      </w:r>
      <w:r w:rsidRPr="00DB7156">
        <w:rPr>
          <w:rFonts w:ascii="Arial" w:hAnsi="Arial" w:cs="Arial"/>
          <w:sz w:val="24"/>
          <w:szCs w:val="24"/>
        </w:rPr>
        <w:t xml:space="preserve">, maintenance, and </w:t>
      </w:r>
      <w:r w:rsidR="00D074C8" w:rsidRPr="00DB7156">
        <w:rPr>
          <w:rFonts w:ascii="Arial" w:hAnsi="Arial" w:cs="Arial"/>
          <w:sz w:val="24"/>
          <w:szCs w:val="24"/>
        </w:rPr>
        <w:t>cost effectiveness</w:t>
      </w:r>
      <w:r w:rsidRPr="00DB7156">
        <w:rPr>
          <w:rFonts w:ascii="Arial" w:hAnsi="Arial" w:cs="Arial"/>
          <w:sz w:val="24"/>
          <w:szCs w:val="24"/>
        </w:rPr>
        <w:t xml:space="preserve"> are important part</w:t>
      </w:r>
      <w:r w:rsidR="00D074C8" w:rsidRPr="00DB7156">
        <w:rPr>
          <w:rFonts w:ascii="Arial" w:hAnsi="Arial" w:cs="Arial"/>
          <w:sz w:val="24"/>
          <w:szCs w:val="24"/>
        </w:rPr>
        <w:t>s</w:t>
      </w:r>
      <w:r w:rsidRPr="00DB7156">
        <w:rPr>
          <w:rFonts w:ascii="Arial" w:hAnsi="Arial" w:cs="Arial"/>
          <w:sz w:val="24"/>
          <w:szCs w:val="24"/>
        </w:rPr>
        <w:t xml:space="preserve"> of the decision-making process.  </w:t>
      </w:r>
    </w:p>
    <w:p w14:paraId="22BA50C4" w14:textId="77777777" w:rsidR="00752263" w:rsidRPr="00DB7156" w:rsidRDefault="00752263" w:rsidP="00DB7156">
      <w:pPr>
        <w:spacing w:after="0" w:line="240" w:lineRule="auto"/>
        <w:jc w:val="both"/>
        <w:rPr>
          <w:rFonts w:ascii="Arial" w:hAnsi="Arial" w:cs="Arial"/>
          <w:sz w:val="24"/>
          <w:szCs w:val="24"/>
        </w:rPr>
      </w:pPr>
    </w:p>
    <w:p w14:paraId="22BA50C5" w14:textId="61BCC70C"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Since </w:t>
      </w:r>
      <w:r w:rsidR="00552E66">
        <w:rPr>
          <w:rFonts w:ascii="Arial" w:hAnsi="Arial" w:cs="Arial"/>
          <w:sz w:val="24"/>
          <w:szCs w:val="24"/>
        </w:rPr>
        <w:t>the implementation of the CAAA</w:t>
      </w:r>
      <w:r w:rsidR="00675244">
        <w:rPr>
          <w:rFonts w:ascii="Arial" w:hAnsi="Arial" w:cs="Arial"/>
          <w:sz w:val="24"/>
          <w:szCs w:val="24"/>
        </w:rPr>
        <w:t xml:space="preserve"> of 1990</w:t>
      </w:r>
      <w:r w:rsidRPr="00DB7156">
        <w:rPr>
          <w:rFonts w:ascii="Arial" w:hAnsi="Arial" w:cs="Arial"/>
          <w:sz w:val="24"/>
          <w:szCs w:val="24"/>
        </w:rPr>
        <w:t xml:space="preserve">, </w:t>
      </w:r>
      <w:r w:rsidR="00675244">
        <w:rPr>
          <w:rFonts w:ascii="Arial" w:hAnsi="Arial" w:cs="Arial"/>
          <w:sz w:val="24"/>
          <w:szCs w:val="24"/>
        </w:rPr>
        <w:t>R&amp;D</w:t>
      </w:r>
      <w:r w:rsidRPr="00DB7156">
        <w:rPr>
          <w:rFonts w:ascii="Arial" w:hAnsi="Arial" w:cs="Arial"/>
          <w:sz w:val="24"/>
          <w:szCs w:val="24"/>
        </w:rPr>
        <w:t xml:space="preserve"> </w:t>
      </w:r>
      <w:r w:rsidR="00675244">
        <w:rPr>
          <w:rFonts w:ascii="Arial" w:hAnsi="Arial" w:cs="Arial"/>
          <w:sz w:val="24"/>
          <w:szCs w:val="24"/>
        </w:rPr>
        <w:t>has</w:t>
      </w:r>
      <w:r w:rsidRPr="00DB7156">
        <w:rPr>
          <w:rFonts w:ascii="Arial" w:hAnsi="Arial" w:cs="Arial"/>
          <w:sz w:val="24"/>
          <w:szCs w:val="24"/>
        </w:rPr>
        <w:t xml:space="preserve"> been crucial for Southern Company in assuring that the best possible </w:t>
      </w:r>
      <w:r w:rsidR="00EC6D0C" w:rsidRPr="00DB7156">
        <w:rPr>
          <w:rFonts w:ascii="Arial" w:hAnsi="Arial" w:cs="Arial"/>
          <w:sz w:val="24"/>
          <w:szCs w:val="24"/>
        </w:rPr>
        <w:t xml:space="preserve">environmental compliance </w:t>
      </w:r>
      <w:r w:rsidRPr="00DB7156">
        <w:rPr>
          <w:rFonts w:ascii="Arial" w:hAnsi="Arial" w:cs="Arial"/>
          <w:sz w:val="24"/>
          <w:szCs w:val="24"/>
        </w:rPr>
        <w:t>strategies are selected for implementation</w:t>
      </w:r>
      <w:r w:rsidR="00A3713F" w:rsidRPr="00DB7156">
        <w:rPr>
          <w:rFonts w:ascii="Arial" w:hAnsi="Arial" w:cs="Arial"/>
          <w:sz w:val="24"/>
          <w:szCs w:val="24"/>
        </w:rPr>
        <w:t xml:space="preserve"> at Georgia Power</w:t>
      </w:r>
      <w:r w:rsidRPr="00DB7156">
        <w:rPr>
          <w:rFonts w:ascii="Arial" w:hAnsi="Arial" w:cs="Arial"/>
          <w:sz w:val="24"/>
          <w:szCs w:val="24"/>
        </w:rPr>
        <w:t xml:space="preserve">. </w:t>
      </w:r>
      <w:r w:rsidR="0097787F" w:rsidRPr="00DB7156">
        <w:rPr>
          <w:rFonts w:ascii="Arial" w:hAnsi="Arial" w:cs="Arial"/>
          <w:sz w:val="24"/>
          <w:szCs w:val="24"/>
        </w:rPr>
        <w:t>ECS-</w:t>
      </w:r>
      <w:r w:rsidRPr="00DB7156">
        <w:rPr>
          <w:rFonts w:ascii="Arial" w:hAnsi="Arial" w:cs="Arial"/>
          <w:sz w:val="24"/>
          <w:szCs w:val="24"/>
        </w:rPr>
        <w:t xml:space="preserve">Appendix B provides a list of technologies considered in an ongoing effort to </w:t>
      </w:r>
      <w:r w:rsidR="00552E66">
        <w:rPr>
          <w:rFonts w:ascii="Arial" w:hAnsi="Arial" w:cs="Arial"/>
          <w:sz w:val="24"/>
          <w:szCs w:val="24"/>
        </w:rPr>
        <w:t>reduce</w:t>
      </w:r>
      <w:r w:rsidR="00552E66" w:rsidRPr="00DB7156">
        <w:rPr>
          <w:rFonts w:ascii="Arial" w:hAnsi="Arial" w:cs="Arial"/>
          <w:sz w:val="24"/>
          <w:szCs w:val="24"/>
        </w:rPr>
        <w:t xml:space="preserve"> </w:t>
      </w:r>
      <w:r w:rsidRPr="00DB7156">
        <w:rPr>
          <w:rFonts w:ascii="Arial" w:hAnsi="Arial" w:cs="Arial"/>
          <w:sz w:val="24"/>
          <w:szCs w:val="24"/>
        </w:rPr>
        <w:t xml:space="preserve">emissions, meet mandated requirements in a timely manner, maintain system reliability, and assure </w:t>
      </w:r>
      <w:r w:rsidR="00A3713F" w:rsidRPr="00DB7156">
        <w:rPr>
          <w:rFonts w:ascii="Arial" w:hAnsi="Arial" w:cs="Arial"/>
          <w:sz w:val="24"/>
          <w:szCs w:val="24"/>
        </w:rPr>
        <w:t>cost-effective</w:t>
      </w:r>
      <w:r w:rsidRPr="00DB7156">
        <w:rPr>
          <w:rFonts w:ascii="Arial" w:hAnsi="Arial" w:cs="Arial"/>
          <w:sz w:val="24"/>
          <w:szCs w:val="24"/>
        </w:rPr>
        <w:t xml:space="preserve"> </w:t>
      </w:r>
      <w:r w:rsidR="00A3713F" w:rsidRPr="00DB7156">
        <w:rPr>
          <w:rFonts w:ascii="Arial" w:hAnsi="Arial" w:cs="Arial"/>
          <w:sz w:val="24"/>
          <w:szCs w:val="24"/>
        </w:rPr>
        <w:t xml:space="preserve">generation </w:t>
      </w:r>
      <w:r w:rsidRPr="00DB7156">
        <w:rPr>
          <w:rFonts w:ascii="Arial" w:hAnsi="Arial" w:cs="Arial"/>
          <w:sz w:val="24"/>
          <w:szCs w:val="24"/>
        </w:rPr>
        <w:t>for customers.</w:t>
      </w:r>
    </w:p>
    <w:p w14:paraId="22BA50C6" w14:textId="77777777" w:rsidR="00752263" w:rsidRPr="00DB7156" w:rsidRDefault="00752263" w:rsidP="00DB7156">
      <w:pPr>
        <w:spacing w:after="0" w:line="240" w:lineRule="auto"/>
        <w:jc w:val="both"/>
        <w:rPr>
          <w:rFonts w:ascii="Arial" w:hAnsi="Arial" w:cs="Arial"/>
          <w:sz w:val="24"/>
          <w:szCs w:val="24"/>
        </w:rPr>
      </w:pPr>
    </w:p>
    <w:p w14:paraId="22BA50C7" w14:textId="0E3B05AF"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Research programs are conducted at </w:t>
      </w:r>
      <w:r w:rsidR="0041603F" w:rsidRPr="00DB7156">
        <w:rPr>
          <w:rFonts w:ascii="Arial" w:hAnsi="Arial" w:cs="Arial"/>
          <w:sz w:val="24"/>
          <w:szCs w:val="24"/>
        </w:rPr>
        <w:t xml:space="preserve">Georgia Power </w:t>
      </w:r>
      <w:r w:rsidRPr="00DB7156">
        <w:rPr>
          <w:rFonts w:ascii="Arial" w:hAnsi="Arial" w:cs="Arial"/>
          <w:sz w:val="24"/>
          <w:szCs w:val="24"/>
        </w:rPr>
        <w:t xml:space="preserve">plants, at other Southern Company </w:t>
      </w:r>
      <w:r w:rsidR="00675244">
        <w:rPr>
          <w:rFonts w:ascii="Arial" w:hAnsi="Arial" w:cs="Arial"/>
          <w:sz w:val="24"/>
          <w:szCs w:val="24"/>
        </w:rPr>
        <w:t xml:space="preserve">system </w:t>
      </w:r>
      <w:r w:rsidRPr="00DB7156">
        <w:rPr>
          <w:rFonts w:ascii="Arial" w:hAnsi="Arial" w:cs="Arial"/>
          <w:sz w:val="24"/>
          <w:szCs w:val="24"/>
        </w:rPr>
        <w:t xml:space="preserve">plants, and through industry affiliations at plants across the U.S. and around the world. To minimize cost and risk, only proven technologies should be implemented commercially. </w:t>
      </w:r>
      <w:r w:rsidR="00D074C8" w:rsidRPr="00DB7156">
        <w:rPr>
          <w:rFonts w:ascii="Arial" w:hAnsi="Arial" w:cs="Arial"/>
          <w:sz w:val="24"/>
          <w:szCs w:val="24"/>
        </w:rPr>
        <w:t>These industry R&amp;D efforts are leveraged</w:t>
      </w:r>
      <w:r w:rsidRPr="00DB7156">
        <w:rPr>
          <w:rFonts w:ascii="Arial" w:hAnsi="Arial" w:cs="Arial"/>
          <w:sz w:val="24"/>
          <w:szCs w:val="24"/>
        </w:rPr>
        <w:t xml:space="preserve"> to test low-NO</w:t>
      </w:r>
      <w:r w:rsidRPr="00DB7156">
        <w:rPr>
          <w:rFonts w:ascii="Arial" w:hAnsi="Arial" w:cs="Arial"/>
          <w:sz w:val="24"/>
          <w:szCs w:val="24"/>
          <w:vertAlign w:val="subscript"/>
        </w:rPr>
        <w:t>X</w:t>
      </w:r>
      <w:r w:rsidRPr="00DB7156">
        <w:rPr>
          <w:rFonts w:ascii="Arial" w:hAnsi="Arial" w:cs="Arial"/>
          <w:sz w:val="24"/>
          <w:szCs w:val="24"/>
        </w:rPr>
        <w:t xml:space="preserve"> burners, precipitators, catalyst materials for </w:t>
      </w:r>
      <w:r w:rsidR="00A04739" w:rsidRPr="00DB7156">
        <w:rPr>
          <w:rFonts w:ascii="Arial" w:hAnsi="Arial" w:cs="Arial"/>
          <w:sz w:val="24"/>
          <w:szCs w:val="24"/>
        </w:rPr>
        <w:t>SCRs</w:t>
      </w:r>
      <w:r w:rsidRPr="00DB7156">
        <w:rPr>
          <w:rFonts w:ascii="Arial" w:hAnsi="Arial" w:cs="Arial"/>
          <w:sz w:val="24"/>
          <w:szCs w:val="24"/>
        </w:rPr>
        <w:t xml:space="preserve">, </w:t>
      </w:r>
      <w:r w:rsidR="00A04739" w:rsidRPr="00DB7156">
        <w:rPr>
          <w:rFonts w:ascii="Arial" w:hAnsi="Arial" w:cs="Arial"/>
          <w:sz w:val="24"/>
          <w:szCs w:val="24"/>
        </w:rPr>
        <w:t>FGDs</w:t>
      </w:r>
      <w:r w:rsidRPr="00DB7156">
        <w:rPr>
          <w:rFonts w:ascii="Arial" w:hAnsi="Arial" w:cs="Arial"/>
          <w:sz w:val="24"/>
          <w:szCs w:val="24"/>
        </w:rPr>
        <w:t xml:space="preserve">, mercury reduction systems, </w:t>
      </w:r>
      <w:r w:rsidR="00800812">
        <w:rPr>
          <w:rFonts w:ascii="Arial" w:hAnsi="Arial" w:cs="Arial"/>
          <w:sz w:val="24"/>
          <w:szCs w:val="24"/>
        </w:rPr>
        <w:t>CCS</w:t>
      </w:r>
      <w:r w:rsidR="00B06467" w:rsidRPr="00DB7156">
        <w:rPr>
          <w:rFonts w:ascii="Arial" w:hAnsi="Arial" w:cs="Arial"/>
          <w:sz w:val="24"/>
          <w:szCs w:val="24"/>
        </w:rPr>
        <w:t xml:space="preserve">, </w:t>
      </w:r>
      <w:r w:rsidRPr="00DB7156">
        <w:rPr>
          <w:rFonts w:ascii="Arial" w:hAnsi="Arial" w:cs="Arial"/>
          <w:sz w:val="24"/>
          <w:szCs w:val="24"/>
        </w:rPr>
        <w:t xml:space="preserve">and other equipment </w:t>
      </w:r>
      <w:r w:rsidR="00D074C8" w:rsidRPr="00DB7156">
        <w:rPr>
          <w:rFonts w:ascii="Arial" w:hAnsi="Arial" w:cs="Arial"/>
          <w:sz w:val="24"/>
          <w:szCs w:val="24"/>
        </w:rPr>
        <w:t xml:space="preserve">and </w:t>
      </w:r>
      <w:r w:rsidRPr="00DB7156">
        <w:rPr>
          <w:rFonts w:ascii="Arial" w:hAnsi="Arial" w:cs="Arial"/>
          <w:sz w:val="24"/>
          <w:szCs w:val="24"/>
        </w:rPr>
        <w:t xml:space="preserve">have contributed to </w:t>
      </w:r>
      <w:r w:rsidR="00D074C8" w:rsidRPr="00DB7156">
        <w:rPr>
          <w:rFonts w:ascii="Arial" w:hAnsi="Arial" w:cs="Arial"/>
          <w:sz w:val="24"/>
          <w:szCs w:val="24"/>
        </w:rPr>
        <w:t xml:space="preserve">Georgia Power’s </w:t>
      </w:r>
      <w:r w:rsidRPr="00DB7156">
        <w:rPr>
          <w:rFonts w:ascii="Arial" w:hAnsi="Arial" w:cs="Arial"/>
          <w:sz w:val="24"/>
          <w:szCs w:val="24"/>
        </w:rPr>
        <w:t xml:space="preserve">ability to meet stringent requirements while </w:t>
      </w:r>
      <w:r w:rsidR="00D074C8" w:rsidRPr="00DB7156">
        <w:rPr>
          <w:rFonts w:ascii="Arial" w:hAnsi="Arial" w:cs="Arial"/>
          <w:sz w:val="24"/>
          <w:szCs w:val="24"/>
        </w:rPr>
        <w:t>continuing to provide</w:t>
      </w:r>
      <w:r w:rsidRPr="00DB7156">
        <w:rPr>
          <w:rFonts w:ascii="Arial" w:hAnsi="Arial" w:cs="Arial"/>
          <w:sz w:val="24"/>
          <w:szCs w:val="24"/>
        </w:rPr>
        <w:t xml:space="preserve"> </w:t>
      </w:r>
      <w:r w:rsidR="00A3713F" w:rsidRPr="00DB7156">
        <w:rPr>
          <w:rFonts w:ascii="Arial" w:hAnsi="Arial" w:cs="Arial"/>
          <w:sz w:val="24"/>
          <w:szCs w:val="24"/>
        </w:rPr>
        <w:t>affordable</w:t>
      </w:r>
      <w:r w:rsidRPr="00DB7156">
        <w:rPr>
          <w:rFonts w:ascii="Arial" w:hAnsi="Arial" w:cs="Arial"/>
          <w:sz w:val="24"/>
          <w:szCs w:val="24"/>
        </w:rPr>
        <w:t xml:space="preserve"> energy for </w:t>
      </w:r>
      <w:r w:rsidR="00EC6D0C" w:rsidRPr="00DB7156">
        <w:rPr>
          <w:rFonts w:ascii="Arial" w:hAnsi="Arial" w:cs="Arial"/>
          <w:sz w:val="24"/>
          <w:szCs w:val="24"/>
        </w:rPr>
        <w:t>customers</w:t>
      </w:r>
      <w:r w:rsidRPr="00DB7156">
        <w:rPr>
          <w:rFonts w:ascii="Arial" w:hAnsi="Arial" w:cs="Arial"/>
          <w:sz w:val="24"/>
          <w:szCs w:val="24"/>
        </w:rPr>
        <w:t>.</w:t>
      </w:r>
    </w:p>
    <w:p w14:paraId="22BA50C8" w14:textId="77777777" w:rsidR="00752263" w:rsidRPr="00DB7156" w:rsidRDefault="00752263" w:rsidP="00DB7156">
      <w:pPr>
        <w:spacing w:after="0" w:line="240" w:lineRule="auto"/>
        <w:jc w:val="both"/>
        <w:rPr>
          <w:rFonts w:ascii="Arial" w:hAnsi="Arial" w:cs="Arial"/>
          <w:b/>
          <w:bCs/>
          <w:color w:val="000080"/>
          <w:sz w:val="24"/>
          <w:szCs w:val="24"/>
        </w:rPr>
      </w:pPr>
    </w:p>
    <w:p w14:paraId="3A8AD8FC" w14:textId="14A5267E" w:rsidR="00A04739" w:rsidRPr="00DB7156" w:rsidRDefault="00A04739" w:rsidP="00DB7156">
      <w:pPr>
        <w:spacing w:after="0" w:line="240" w:lineRule="auto"/>
        <w:jc w:val="both"/>
        <w:rPr>
          <w:rFonts w:ascii="Arial" w:hAnsi="Arial" w:cs="Arial"/>
          <w:bCs/>
          <w:sz w:val="24"/>
          <w:szCs w:val="24"/>
        </w:rPr>
      </w:pPr>
      <w:r w:rsidRPr="00DB7156">
        <w:rPr>
          <w:rFonts w:ascii="Arial" w:hAnsi="Arial" w:cs="Arial"/>
          <w:bCs/>
          <w:sz w:val="24"/>
          <w:szCs w:val="24"/>
        </w:rPr>
        <w:t>The Water Research Center (</w:t>
      </w:r>
      <w:r w:rsidR="00DA58F0">
        <w:rPr>
          <w:rFonts w:ascii="Arial" w:hAnsi="Arial" w:cs="Arial"/>
          <w:bCs/>
          <w:sz w:val="24"/>
          <w:szCs w:val="24"/>
        </w:rPr>
        <w:t>“</w:t>
      </w:r>
      <w:r w:rsidRPr="00DB7156">
        <w:rPr>
          <w:rFonts w:ascii="Arial" w:hAnsi="Arial" w:cs="Arial"/>
          <w:bCs/>
          <w:sz w:val="24"/>
          <w:szCs w:val="24"/>
        </w:rPr>
        <w:t>WRC</w:t>
      </w:r>
      <w:r w:rsidR="00DA58F0">
        <w:rPr>
          <w:rFonts w:ascii="Arial" w:hAnsi="Arial" w:cs="Arial"/>
          <w:bCs/>
          <w:sz w:val="24"/>
          <w:szCs w:val="24"/>
        </w:rPr>
        <w:t>”</w:t>
      </w:r>
      <w:r w:rsidRPr="00DB7156">
        <w:rPr>
          <w:rFonts w:ascii="Arial" w:hAnsi="Arial" w:cs="Arial"/>
          <w:bCs/>
          <w:sz w:val="24"/>
          <w:szCs w:val="24"/>
        </w:rPr>
        <w:t xml:space="preserve">), for example, which is located at Georgia Power’s Plant Bowen, provides a venue for developing and testing various types of cutting-edge technologies to reduce power plant water withdrawals and consumption and improve the quality of water related to power generation. </w:t>
      </w:r>
      <w:r w:rsidR="00345D58">
        <w:rPr>
          <w:rFonts w:ascii="Arial" w:hAnsi="Arial" w:cs="Arial"/>
          <w:bCs/>
          <w:sz w:val="24"/>
          <w:szCs w:val="24"/>
        </w:rPr>
        <w:t>Since it began operation in 2012, r</w:t>
      </w:r>
      <w:r w:rsidRPr="00DB7156">
        <w:rPr>
          <w:rFonts w:ascii="Arial" w:hAnsi="Arial" w:cs="Arial"/>
          <w:bCs/>
          <w:sz w:val="24"/>
          <w:szCs w:val="24"/>
        </w:rPr>
        <w:t>esearch conducted at the WRC has and continues to inform technological strategies for achieving cost-effective environmental complianc</w:t>
      </w:r>
      <w:r w:rsidR="00EB5A2D">
        <w:rPr>
          <w:rFonts w:ascii="Arial" w:hAnsi="Arial" w:cs="Arial"/>
          <w:bCs/>
          <w:sz w:val="24"/>
          <w:szCs w:val="24"/>
        </w:rPr>
        <w:t>e</w:t>
      </w:r>
      <w:r w:rsidRPr="00DB7156">
        <w:rPr>
          <w:rFonts w:ascii="Arial" w:hAnsi="Arial" w:cs="Arial"/>
          <w:bCs/>
          <w:sz w:val="24"/>
          <w:szCs w:val="24"/>
        </w:rPr>
        <w:t>.</w:t>
      </w:r>
    </w:p>
    <w:p w14:paraId="630238F1" w14:textId="0631F521" w:rsidR="00953B34" w:rsidRPr="00DB7156" w:rsidRDefault="00953B34" w:rsidP="00DB7156">
      <w:pPr>
        <w:spacing w:after="0" w:line="240" w:lineRule="auto"/>
        <w:jc w:val="both"/>
        <w:rPr>
          <w:rFonts w:ascii="Arial" w:hAnsi="Arial" w:cs="Arial"/>
          <w:bCs/>
          <w:sz w:val="24"/>
          <w:szCs w:val="24"/>
        </w:rPr>
      </w:pPr>
    </w:p>
    <w:p w14:paraId="09C0E8BF" w14:textId="4EF9BECD" w:rsidR="0072258D" w:rsidRDefault="006264E3" w:rsidP="00DB7156">
      <w:pPr>
        <w:spacing w:after="0" w:line="240" w:lineRule="auto"/>
        <w:jc w:val="both"/>
        <w:rPr>
          <w:rFonts w:ascii="Arial" w:hAnsi="Arial" w:cs="Arial"/>
          <w:bCs/>
          <w:sz w:val="24"/>
          <w:szCs w:val="24"/>
        </w:rPr>
      </w:pPr>
      <w:r w:rsidRPr="00DB7156">
        <w:rPr>
          <w:rFonts w:ascii="Arial" w:hAnsi="Arial" w:cs="Arial"/>
          <w:bCs/>
          <w:sz w:val="24"/>
          <w:szCs w:val="24"/>
        </w:rPr>
        <w:t>In partnership with EPRI</w:t>
      </w:r>
      <w:r w:rsidR="003A2F4B">
        <w:rPr>
          <w:rFonts w:ascii="Arial" w:hAnsi="Arial" w:cs="Arial"/>
          <w:bCs/>
          <w:sz w:val="24"/>
          <w:szCs w:val="24"/>
        </w:rPr>
        <w:t>, Southern Research</w:t>
      </w:r>
      <w:r w:rsidR="00345D58">
        <w:rPr>
          <w:rFonts w:ascii="Arial" w:hAnsi="Arial" w:cs="Arial"/>
          <w:bCs/>
          <w:sz w:val="24"/>
          <w:szCs w:val="24"/>
        </w:rPr>
        <w:t>,</w:t>
      </w:r>
      <w:r w:rsidRPr="00DB7156">
        <w:rPr>
          <w:rFonts w:ascii="Arial" w:hAnsi="Arial" w:cs="Arial"/>
          <w:bCs/>
          <w:sz w:val="24"/>
          <w:szCs w:val="24"/>
        </w:rPr>
        <w:t xml:space="preserve"> and other </w:t>
      </w:r>
      <w:r w:rsidR="00345D58">
        <w:rPr>
          <w:rFonts w:ascii="Arial" w:hAnsi="Arial" w:cs="Arial"/>
          <w:bCs/>
          <w:sz w:val="24"/>
          <w:szCs w:val="24"/>
        </w:rPr>
        <w:t>industry partners</w:t>
      </w:r>
      <w:r w:rsidRPr="00DB7156">
        <w:rPr>
          <w:rFonts w:ascii="Arial" w:hAnsi="Arial" w:cs="Arial"/>
          <w:bCs/>
          <w:sz w:val="24"/>
          <w:szCs w:val="24"/>
        </w:rPr>
        <w:t xml:space="preserve">, Southern Company and Georgia Power are expanding the </w:t>
      </w:r>
      <w:r w:rsidR="00552E66">
        <w:rPr>
          <w:rFonts w:ascii="Arial" w:hAnsi="Arial" w:cs="Arial"/>
          <w:bCs/>
          <w:sz w:val="24"/>
          <w:szCs w:val="24"/>
        </w:rPr>
        <w:t>WRC</w:t>
      </w:r>
      <w:r w:rsidRPr="00DB7156">
        <w:rPr>
          <w:rFonts w:ascii="Arial" w:hAnsi="Arial" w:cs="Arial"/>
          <w:bCs/>
          <w:sz w:val="24"/>
          <w:szCs w:val="24"/>
        </w:rPr>
        <w:t xml:space="preserve"> at Plant Bowen to become the Water Research and Conservation Center with locations at Plants Bowen and McDonough-Atkinson. The center at Plant Bowen will maintain its focus on </w:t>
      </w:r>
      <w:r w:rsidR="00F42A10" w:rsidRPr="00DB7156">
        <w:rPr>
          <w:rFonts w:ascii="Arial" w:hAnsi="Arial" w:cs="Arial"/>
          <w:bCs/>
          <w:sz w:val="24"/>
          <w:szCs w:val="24"/>
        </w:rPr>
        <w:t xml:space="preserve">researching technologies to maintain compliance with current and future </w:t>
      </w:r>
      <w:r w:rsidRPr="00DB7156">
        <w:rPr>
          <w:rFonts w:ascii="Arial" w:hAnsi="Arial" w:cs="Arial"/>
          <w:bCs/>
          <w:sz w:val="24"/>
          <w:szCs w:val="24"/>
        </w:rPr>
        <w:t>environmental regulations, while continuing the testing and evaluation of pilot systems that are nearing commercialization. The new center at Plant McDonough</w:t>
      </w:r>
      <w:r w:rsidR="00345D58">
        <w:rPr>
          <w:rFonts w:ascii="Arial" w:hAnsi="Arial" w:cs="Arial"/>
          <w:bCs/>
          <w:sz w:val="24"/>
          <w:szCs w:val="24"/>
        </w:rPr>
        <w:t>-Atkinson</w:t>
      </w:r>
      <w:r w:rsidRPr="00DB7156">
        <w:rPr>
          <w:rFonts w:ascii="Arial" w:hAnsi="Arial" w:cs="Arial"/>
          <w:bCs/>
          <w:sz w:val="24"/>
          <w:szCs w:val="24"/>
        </w:rPr>
        <w:t xml:space="preserve"> will promote long-term solutions and advancements in power plant cooling systems leading to reduced freshwater withdrawal and consumption as well as improved plant efficiency while optimizing total cost and energy generation.</w:t>
      </w:r>
      <w:r w:rsidR="00345D58">
        <w:rPr>
          <w:rFonts w:ascii="Arial" w:hAnsi="Arial" w:cs="Arial"/>
          <w:bCs/>
          <w:sz w:val="24"/>
          <w:szCs w:val="24"/>
        </w:rPr>
        <w:t xml:space="preserve"> The center </w:t>
      </w:r>
      <w:r w:rsidR="00AD0B76">
        <w:rPr>
          <w:rFonts w:ascii="Arial" w:hAnsi="Arial" w:cs="Arial"/>
          <w:bCs/>
          <w:sz w:val="24"/>
          <w:szCs w:val="24"/>
        </w:rPr>
        <w:t xml:space="preserve">will </w:t>
      </w:r>
      <w:r w:rsidR="00345D58">
        <w:rPr>
          <w:rFonts w:ascii="Arial" w:hAnsi="Arial" w:cs="Arial"/>
          <w:bCs/>
          <w:sz w:val="24"/>
          <w:szCs w:val="24"/>
        </w:rPr>
        <w:t>provide a venue</w:t>
      </w:r>
      <w:r w:rsidR="00ED18C2">
        <w:rPr>
          <w:rFonts w:ascii="Arial" w:hAnsi="Arial" w:cs="Arial"/>
          <w:bCs/>
          <w:sz w:val="24"/>
          <w:szCs w:val="24"/>
        </w:rPr>
        <w:t xml:space="preserve"> </w:t>
      </w:r>
      <w:r w:rsidR="00345D58">
        <w:rPr>
          <w:rFonts w:ascii="Arial" w:hAnsi="Arial" w:cs="Arial"/>
          <w:bCs/>
          <w:sz w:val="24"/>
          <w:szCs w:val="24"/>
        </w:rPr>
        <w:t xml:space="preserve">with the </w:t>
      </w:r>
      <w:r w:rsidR="00ED18C2">
        <w:rPr>
          <w:rFonts w:ascii="Arial" w:hAnsi="Arial" w:cs="Arial"/>
          <w:bCs/>
          <w:sz w:val="24"/>
          <w:szCs w:val="24"/>
        </w:rPr>
        <w:t xml:space="preserve">necessary </w:t>
      </w:r>
      <w:r w:rsidR="00345D58">
        <w:rPr>
          <w:rFonts w:ascii="Arial" w:hAnsi="Arial" w:cs="Arial"/>
          <w:bCs/>
          <w:sz w:val="24"/>
          <w:szCs w:val="24"/>
        </w:rPr>
        <w:t>infrastructure</w:t>
      </w:r>
      <w:r w:rsidR="00ED18C2">
        <w:rPr>
          <w:rFonts w:ascii="Arial" w:hAnsi="Arial" w:cs="Arial"/>
          <w:bCs/>
          <w:sz w:val="24"/>
          <w:szCs w:val="24"/>
        </w:rPr>
        <w:t xml:space="preserve">, like the one at Plant Bowen, that </w:t>
      </w:r>
      <w:r w:rsidR="007C6928">
        <w:rPr>
          <w:rFonts w:ascii="Arial" w:hAnsi="Arial" w:cs="Arial"/>
          <w:bCs/>
          <w:sz w:val="24"/>
          <w:szCs w:val="24"/>
        </w:rPr>
        <w:t xml:space="preserve">the Company and </w:t>
      </w:r>
      <w:r w:rsidR="00345D58">
        <w:rPr>
          <w:rFonts w:ascii="Arial" w:hAnsi="Arial" w:cs="Arial"/>
          <w:bCs/>
          <w:sz w:val="24"/>
          <w:szCs w:val="24"/>
        </w:rPr>
        <w:t xml:space="preserve">project partners </w:t>
      </w:r>
      <w:r w:rsidR="00ED18C2">
        <w:rPr>
          <w:rFonts w:ascii="Arial" w:hAnsi="Arial" w:cs="Arial"/>
          <w:bCs/>
          <w:sz w:val="24"/>
          <w:szCs w:val="24"/>
        </w:rPr>
        <w:t>can use in</w:t>
      </w:r>
      <w:r w:rsidR="00345D58">
        <w:rPr>
          <w:rFonts w:ascii="Arial" w:hAnsi="Arial" w:cs="Arial"/>
          <w:bCs/>
          <w:sz w:val="24"/>
          <w:szCs w:val="24"/>
        </w:rPr>
        <w:t xml:space="preserve"> </w:t>
      </w:r>
      <w:r w:rsidR="00345D58" w:rsidRPr="00345D58">
        <w:rPr>
          <w:rFonts w:ascii="Arial" w:hAnsi="Arial" w:cs="Arial"/>
          <w:bCs/>
          <w:sz w:val="24"/>
          <w:szCs w:val="24"/>
        </w:rPr>
        <w:t>develop</w:t>
      </w:r>
      <w:r w:rsidR="00ED18C2">
        <w:rPr>
          <w:rFonts w:ascii="Arial" w:hAnsi="Arial" w:cs="Arial"/>
          <w:bCs/>
          <w:sz w:val="24"/>
          <w:szCs w:val="24"/>
        </w:rPr>
        <w:t>ing</w:t>
      </w:r>
      <w:r w:rsidR="00345D58" w:rsidRPr="00345D58">
        <w:rPr>
          <w:rFonts w:ascii="Arial" w:hAnsi="Arial" w:cs="Arial"/>
          <w:bCs/>
          <w:sz w:val="24"/>
          <w:szCs w:val="24"/>
        </w:rPr>
        <w:t xml:space="preserve"> and test</w:t>
      </w:r>
      <w:r w:rsidR="00ED18C2">
        <w:rPr>
          <w:rFonts w:ascii="Arial" w:hAnsi="Arial" w:cs="Arial"/>
          <w:bCs/>
          <w:sz w:val="24"/>
          <w:szCs w:val="24"/>
        </w:rPr>
        <w:t>ing</w:t>
      </w:r>
      <w:r w:rsidR="00345D58">
        <w:rPr>
          <w:rFonts w:ascii="Arial" w:hAnsi="Arial" w:cs="Arial"/>
          <w:bCs/>
          <w:sz w:val="24"/>
          <w:szCs w:val="24"/>
        </w:rPr>
        <w:t xml:space="preserve"> </w:t>
      </w:r>
      <w:r w:rsidR="00345D58" w:rsidRPr="00345D58">
        <w:rPr>
          <w:rFonts w:ascii="Arial" w:hAnsi="Arial" w:cs="Arial"/>
          <w:bCs/>
          <w:sz w:val="24"/>
          <w:szCs w:val="24"/>
        </w:rPr>
        <w:t xml:space="preserve">technologies </w:t>
      </w:r>
      <w:r w:rsidR="00ED18C2">
        <w:rPr>
          <w:rFonts w:ascii="Arial" w:hAnsi="Arial" w:cs="Arial"/>
          <w:bCs/>
          <w:sz w:val="24"/>
          <w:szCs w:val="24"/>
        </w:rPr>
        <w:t>to reach these goals.</w:t>
      </w:r>
    </w:p>
    <w:p w14:paraId="45015A24" w14:textId="77777777" w:rsidR="0072258D" w:rsidRDefault="0072258D" w:rsidP="00DB7156">
      <w:pPr>
        <w:spacing w:after="0" w:line="240" w:lineRule="auto"/>
        <w:jc w:val="both"/>
        <w:rPr>
          <w:rFonts w:ascii="Arial" w:hAnsi="Arial" w:cs="Arial"/>
          <w:bCs/>
          <w:sz w:val="24"/>
          <w:szCs w:val="24"/>
        </w:rPr>
      </w:pPr>
    </w:p>
    <w:p w14:paraId="5D339672" w14:textId="3FD3E814" w:rsidR="00970C41" w:rsidRDefault="0072258D" w:rsidP="002B416F">
      <w:pPr>
        <w:spacing w:after="120" w:line="240" w:lineRule="auto"/>
        <w:jc w:val="both"/>
        <w:rPr>
          <w:rFonts w:ascii="Arial" w:hAnsi="Arial" w:cs="Arial"/>
          <w:bCs/>
          <w:sz w:val="24"/>
          <w:szCs w:val="24"/>
        </w:rPr>
      </w:pPr>
      <w:bookmarkStart w:id="165" w:name="_Hlk535655759"/>
      <w:r w:rsidRPr="0084580B">
        <w:rPr>
          <w:rFonts w:ascii="Arial" w:hAnsi="Arial" w:cs="Arial"/>
          <w:sz w:val="24"/>
          <w:szCs w:val="24"/>
        </w:rPr>
        <w:t xml:space="preserve">Additionally, the Company is developing a center for </w:t>
      </w:r>
      <w:r w:rsidR="002B416F">
        <w:rPr>
          <w:rFonts w:ascii="Arial" w:hAnsi="Arial" w:cs="Arial"/>
          <w:sz w:val="24"/>
          <w:szCs w:val="24"/>
        </w:rPr>
        <w:t>b</w:t>
      </w:r>
      <w:r w:rsidR="002B416F" w:rsidRPr="0084580B">
        <w:rPr>
          <w:rFonts w:ascii="Arial" w:hAnsi="Arial" w:cs="Arial"/>
          <w:sz w:val="24"/>
          <w:szCs w:val="24"/>
        </w:rPr>
        <w:t xml:space="preserve">eneficial </w:t>
      </w:r>
      <w:r w:rsidR="002B416F">
        <w:rPr>
          <w:rFonts w:ascii="Arial" w:hAnsi="Arial" w:cs="Arial"/>
          <w:sz w:val="24"/>
          <w:szCs w:val="24"/>
        </w:rPr>
        <w:t>u</w:t>
      </w:r>
      <w:r w:rsidR="002B416F" w:rsidRPr="0084580B">
        <w:rPr>
          <w:rFonts w:ascii="Arial" w:hAnsi="Arial" w:cs="Arial"/>
          <w:sz w:val="24"/>
          <w:szCs w:val="24"/>
        </w:rPr>
        <w:t xml:space="preserve">se </w:t>
      </w:r>
      <w:r w:rsidRPr="0084580B">
        <w:rPr>
          <w:rFonts w:ascii="Arial" w:hAnsi="Arial" w:cs="Arial"/>
          <w:sz w:val="24"/>
          <w:szCs w:val="24"/>
        </w:rPr>
        <w:t xml:space="preserve">of </w:t>
      </w:r>
      <w:r w:rsidR="002B416F">
        <w:rPr>
          <w:rFonts w:ascii="Arial" w:hAnsi="Arial" w:cs="Arial"/>
          <w:sz w:val="24"/>
          <w:szCs w:val="24"/>
        </w:rPr>
        <w:t>h</w:t>
      </w:r>
      <w:r w:rsidR="002B416F" w:rsidRPr="0084580B">
        <w:rPr>
          <w:rFonts w:ascii="Arial" w:hAnsi="Arial" w:cs="Arial"/>
          <w:sz w:val="24"/>
          <w:szCs w:val="24"/>
        </w:rPr>
        <w:t xml:space="preserve">arvested </w:t>
      </w:r>
      <w:r w:rsidRPr="0084580B">
        <w:rPr>
          <w:rFonts w:ascii="Arial" w:hAnsi="Arial" w:cs="Arial"/>
          <w:sz w:val="24"/>
          <w:szCs w:val="24"/>
        </w:rPr>
        <w:t xml:space="preserve">CCR. </w:t>
      </w:r>
      <w:r w:rsidR="00ED4083" w:rsidRPr="0084580B">
        <w:rPr>
          <w:rFonts w:ascii="Arial" w:hAnsi="Arial" w:cs="Arial"/>
          <w:sz w:val="24"/>
          <w:szCs w:val="24"/>
        </w:rPr>
        <w:t xml:space="preserve">Using </w:t>
      </w:r>
      <w:r w:rsidRPr="0084580B">
        <w:rPr>
          <w:rFonts w:ascii="Arial" w:hAnsi="Arial" w:cs="Arial"/>
          <w:sz w:val="24"/>
          <w:szCs w:val="24"/>
        </w:rPr>
        <w:t>CCR</w:t>
      </w:r>
      <w:r w:rsidR="00356B42">
        <w:rPr>
          <w:rFonts w:ascii="Arial" w:hAnsi="Arial" w:cs="Arial"/>
          <w:sz w:val="24"/>
          <w:szCs w:val="24"/>
        </w:rPr>
        <w:t xml:space="preserve"> that has been</w:t>
      </w:r>
      <w:r w:rsidRPr="0084580B">
        <w:rPr>
          <w:rFonts w:ascii="Arial" w:hAnsi="Arial" w:cs="Arial"/>
          <w:sz w:val="24"/>
          <w:szCs w:val="24"/>
        </w:rPr>
        <w:t xml:space="preserve"> stored in closed ponds </w:t>
      </w:r>
      <w:r w:rsidR="00356B42">
        <w:rPr>
          <w:rFonts w:ascii="Arial" w:hAnsi="Arial" w:cs="Arial"/>
          <w:sz w:val="24"/>
          <w:szCs w:val="24"/>
        </w:rPr>
        <w:t xml:space="preserve">or landfills for commercial </w:t>
      </w:r>
      <w:r w:rsidRPr="0084580B">
        <w:rPr>
          <w:rFonts w:ascii="Arial" w:hAnsi="Arial" w:cs="Arial"/>
          <w:sz w:val="24"/>
          <w:szCs w:val="24"/>
        </w:rPr>
        <w:t>products is a</w:t>
      </w:r>
      <w:r w:rsidR="00970C41">
        <w:rPr>
          <w:rFonts w:ascii="Arial" w:hAnsi="Arial" w:cs="Arial"/>
          <w:sz w:val="24"/>
          <w:szCs w:val="24"/>
        </w:rPr>
        <w:t>n</w:t>
      </w:r>
      <w:r w:rsidRPr="0084580B">
        <w:rPr>
          <w:rFonts w:ascii="Arial" w:hAnsi="Arial" w:cs="Arial"/>
          <w:sz w:val="24"/>
          <w:szCs w:val="24"/>
        </w:rPr>
        <w:t xml:space="preserve"> </w:t>
      </w:r>
      <w:r w:rsidR="00ED4083" w:rsidRPr="0084580B">
        <w:rPr>
          <w:rFonts w:ascii="Arial" w:hAnsi="Arial" w:cs="Arial"/>
          <w:sz w:val="24"/>
          <w:szCs w:val="24"/>
        </w:rPr>
        <w:t>effective way</w:t>
      </w:r>
      <w:r w:rsidRPr="0084580B">
        <w:rPr>
          <w:rFonts w:ascii="Arial" w:hAnsi="Arial" w:cs="Arial"/>
          <w:sz w:val="24"/>
          <w:szCs w:val="24"/>
        </w:rPr>
        <w:t xml:space="preserve"> to recycle </w:t>
      </w:r>
      <w:r w:rsidR="00356B42">
        <w:rPr>
          <w:rFonts w:ascii="Arial" w:hAnsi="Arial" w:cs="Arial"/>
          <w:sz w:val="24"/>
          <w:szCs w:val="24"/>
        </w:rPr>
        <w:t xml:space="preserve">CCR </w:t>
      </w:r>
      <w:r w:rsidRPr="0084580B">
        <w:rPr>
          <w:rFonts w:ascii="Arial" w:hAnsi="Arial" w:cs="Arial"/>
          <w:sz w:val="24"/>
          <w:szCs w:val="24"/>
        </w:rPr>
        <w:t xml:space="preserve">for beneficial use. </w:t>
      </w:r>
      <w:r w:rsidR="00931504">
        <w:rPr>
          <w:rFonts w:ascii="Arial" w:hAnsi="Arial" w:cs="Arial"/>
          <w:bCs/>
          <w:sz w:val="24"/>
          <w:szCs w:val="24"/>
        </w:rPr>
        <w:t xml:space="preserve">Scientific research and larger-scale process engineering tests and demonstrations are necessary to further develop advanced processing and beneficial use technologies that can expand the use of CCR into more markets and increase the amount of stored CCR that can be harvested for beneficial use.  </w:t>
      </w:r>
    </w:p>
    <w:p w14:paraId="30E06A53" w14:textId="082B7C76" w:rsidR="00200DE0" w:rsidRDefault="00970C41" w:rsidP="000A26A5">
      <w:pPr>
        <w:spacing w:after="120" w:line="240" w:lineRule="auto"/>
        <w:contextualSpacing/>
        <w:jc w:val="both"/>
        <w:rPr>
          <w:rFonts w:ascii="Arial" w:hAnsi="Arial" w:cs="Arial"/>
          <w:sz w:val="24"/>
          <w:szCs w:val="24"/>
        </w:rPr>
      </w:pPr>
      <w:r>
        <w:rPr>
          <w:rFonts w:ascii="Arial" w:hAnsi="Arial" w:cs="Arial"/>
          <w:sz w:val="24"/>
          <w:szCs w:val="24"/>
        </w:rPr>
        <w:t>The current Georgia markets</w:t>
      </w:r>
      <w:r w:rsidRPr="00931504">
        <w:rPr>
          <w:rFonts w:ascii="Arial" w:hAnsi="Arial" w:cs="Arial"/>
          <w:sz w:val="24"/>
          <w:szCs w:val="24"/>
        </w:rPr>
        <w:t xml:space="preserve"> </w:t>
      </w:r>
      <w:r>
        <w:rPr>
          <w:rFonts w:ascii="Arial" w:hAnsi="Arial" w:cs="Arial"/>
          <w:sz w:val="24"/>
          <w:szCs w:val="24"/>
        </w:rPr>
        <w:t xml:space="preserve">for CCR use, </w:t>
      </w:r>
      <w:r w:rsidR="00395B08" w:rsidRPr="00DD153C">
        <w:rPr>
          <w:rFonts w:ascii="Arial" w:hAnsi="Arial" w:cs="Arial"/>
          <w:b/>
          <w:sz w:val="24"/>
          <w:szCs w:val="24"/>
        </w:rPr>
        <w:t>REDACTED</w:t>
      </w:r>
      <w:r w:rsidR="00395B08">
        <w:rPr>
          <w:rFonts w:ascii="Arial" w:hAnsi="Arial" w:cs="Arial"/>
          <w:b/>
          <w:sz w:val="24"/>
          <w:szCs w:val="24"/>
        </w:rPr>
        <w:t xml:space="preserve"> </w:t>
      </w:r>
      <w:r w:rsidR="00395B08" w:rsidRPr="00DD153C">
        <w:rPr>
          <w:rFonts w:ascii="Arial" w:hAnsi="Arial" w:cs="Arial"/>
          <w:b/>
          <w:sz w:val="24"/>
          <w:szCs w:val="24"/>
        </w:rPr>
        <w:t>REDACTED</w:t>
      </w:r>
      <w:r w:rsidR="00395B08">
        <w:rPr>
          <w:rFonts w:ascii="Arial" w:hAnsi="Arial" w:cs="Arial"/>
          <w:b/>
          <w:sz w:val="24"/>
          <w:szCs w:val="24"/>
        </w:rPr>
        <w:t xml:space="preserve"> </w:t>
      </w:r>
      <w:r w:rsidR="00395B08" w:rsidRPr="00DD153C">
        <w:rPr>
          <w:rFonts w:ascii="Arial" w:hAnsi="Arial" w:cs="Arial"/>
          <w:b/>
          <w:sz w:val="24"/>
          <w:szCs w:val="24"/>
        </w:rPr>
        <w:t>REDACTED</w:t>
      </w:r>
      <w:r w:rsidR="00395B08">
        <w:rPr>
          <w:rFonts w:ascii="Arial" w:hAnsi="Arial" w:cs="Arial"/>
          <w:b/>
          <w:sz w:val="24"/>
          <w:szCs w:val="24"/>
        </w:rPr>
        <w:t xml:space="preserve"> </w:t>
      </w:r>
      <w:r w:rsidR="00395B08" w:rsidRPr="00DD153C">
        <w:rPr>
          <w:rFonts w:ascii="Arial" w:hAnsi="Arial" w:cs="Arial"/>
          <w:b/>
          <w:sz w:val="24"/>
          <w:szCs w:val="24"/>
        </w:rPr>
        <w:t>REDACTED</w:t>
      </w:r>
      <w:r w:rsidR="00395B08">
        <w:rPr>
          <w:rFonts w:ascii="Arial" w:hAnsi="Arial" w:cs="Arial"/>
          <w:b/>
          <w:sz w:val="24"/>
          <w:szCs w:val="24"/>
        </w:rPr>
        <w:t xml:space="preserve"> </w:t>
      </w:r>
      <w:r w:rsidR="00395B08" w:rsidRPr="00DD153C">
        <w:rPr>
          <w:rFonts w:ascii="Arial" w:hAnsi="Arial" w:cs="Arial"/>
          <w:b/>
          <w:sz w:val="24"/>
          <w:szCs w:val="24"/>
        </w:rPr>
        <w:t>REDACTED</w:t>
      </w:r>
      <w:r w:rsidR="00395B08">
        <w:rPr>
          <w:rFonts w:ascii="Arial" w:hAnsi="Arial" w:cs="Arial"/>
          <w:b/>
          <w:sz w:val="24"/>
          <w:szCs w:val="24"/>
        </w:rPr>
        <w:t xml:space="preserve"> </w:t>
      </w:r>
      <w:r w:rsidR="00395B08" w:rsidRPr="00DD153C">
        <w:rPr>
          <w:rFonts w:ascii="Arial" w:hAnsi="Arial" w:cs="Arial"/>
          <w:b/>
          <w:sz w:val="24"/>
          <w:szCs w:val="24"/>
        </w:rPr>
        <w:t>REDACTED</w:t>
      </w:r>
      <w:r w:rsidR="00395B08">
        <w:rPr>
          <w:rFonts w:ascii="Arial" w:hAnsi="Arial" w:cs="Arial"/>
          <w:b/>
          <w:sz w:val="24"/>
          <w:szCs w:val="24"/>
        </w:rPr>
        <w:t xml:space="preserve"> </w:t>
      </w:r>
      <w:r w:rsidR="00395B08" w:rsidRPr="00DD153C">
        <w:rPr>
          <w:rFonts w:ascii="Arial" w:hAnsi="Arial" w:cs="Arial"/>
          <w:b/>
          <w:sz w:val="24"/>
          <w:szCs w:val="24"/>
        </w:rPr>
        <w:t>REDACTED</w:t>
      </w:r>
      <w:r w:rsidRPr="00931504">
        <w:rPr>
          <w:rFonts w:ascii="Arial" w:hAnsi="Arial" w:cs="Arial"/>
          <w:sz w:val="24"/>
          <w:szCs w:val="24"/>
        </w:rPr>
        <w:t xml:space="preserve">. This </w:t>
      </w:r>
      <w:r w:rsidR="002B416F">
        <w:rPr>
          <w:rFonts w:ascii="Arial" w:hAnsi="Arial" w:cs="Arial"/>
          <w:sz w:val="24"/>
          <w:szCs w:val="24"/>
        </w:rPr>
        <w:t>center</w:t>
      </w:r>
      <w:r w:rsidRPr="00931504">
        <w:rPr>
          <w:rFonts w:ascii="Arial" w:hAnsi="Arial" w:cs="Arial"/>
          <w:sz w:val="24"/>
          <w:szCs w:val="24"/>
        </w:rPr>
        <w:t xml:space="preserve"> </w:t>
      </w:r>
      <w:r w:rsidR="00E937A5">
        <w:rPr>
          <w:rFonts w:ascii="Arial" w:hAnsi="Arial" w:cs="Arial"/>
          <w:sz w:val="24"/>
          <w:szCs w:val="24"/>
        </w:rPr>
        <w:t>aims to develop</w:t>
      </w:r>
      <w:r w:rsidRPr="00931504">
        <w:rPr>
          <w:rFonts w:ascii="Arial" w:hAnsi="Arial" w:cs="Arial"/>
          <w:sz w:val="24"/>
          <w:szCs w:val="24"/>
        </w:rPr>
        <w:t xml:space="preserve"> new technologies </w:t>
      </w:r>
      <w:r w:rsidR="00E937A5">
        <w:rPr>
          <w:rFonts w:ascii="Arial" w:hAnsi="Arial" w:cs="Arial"/>
          <w:sz w:val="24"/>
          <w:szCs w:val="24"/>
        </w:rPr>
        <w:t xml:space="preserve">or processes </w:t>
      </w:r>
      <w:r w:rsidRPr="00931504">
        <w:rPr>
          <w:rFonts w:ascii="Arial" w:hAnsi="Arial" w:cs="Arial"/>
          <w:sz w:val="24"/>
          <w:szCs w:val="24"/>
        </w:rPr>
        <w:t xml:space="preserve">that </w:t>
      </w:r>
      <w:r w:rsidR="00E937A5">
        <w:rPr>
          <w:rFonts w:ascii="Arial" w:hAnsi="Arial" w:cs="Arial"/>
          <w:sz w:val="24"/>
          <w:szCs w:val="24"/>
        </w:rPr>
        <w:t>drive dow</w:t>
      </w:r>
      <w:r w:rsidR="00E54166">
        <w:rPr>
          <w:rFonts w:ascii="Arial" w:hAnsi="Arial" w:cs="Arial"/>
          <w:sz w:val="24"/>
          <w:szCs w:val="24"/>
        </w:rPr>
        <w:t>nw</w:t>
      </w:r>
      <w:r w:rsidR="00E937A5">
        <w:rPr>
          <w:rFonts w:ascii="Arial" w:hAnsi="Arial" w:cs="Arial"/>
          <w:sz w:val="24"/>
          <w:szCs w:val="24"/>
        </w:rPr>
        <w:t>ard cost pressure associated with beneficiation</w:t>
      </w:r>
      <w:r w:rsidR="00EC2E02" w:rsidRPr="00EC2E02">
        <w:rPr>
          <w:rFonts w:ascii="Arial" w:hAnsi="Arial" w:cs="Arial"/>
          <w:sz w:val="24"/>
          <w:szCs w:val="24"/>
        </w:rPr>
        <w:t xml:space="preserve"> </w:t>
      </w:r>
      <w:r w:rsidR="0015062C">
        <w:rPr>
          <w:rFonts w:ascii="Arial" w:hAnsi="Arial" w:cs="Arial"/>
          <w:sz w:val="24"/>
          <w:szCs w:val="24"/>
        </w:rPr>
        <w:t xml:space="preserve">and </w:t>
      </w:r>
      <w:r w:rsidR="00EC2E02">
        <w:rPr>
          <w:rFonts w:ascii="Arial" w:hAnsi="Arial" w:cs="Arial"/>
          <w:sz w:val="24"/>
          <w:szCs w:val="24"/>
        </w:rPr>
        <w:t>expand</w:t>
      </w:r>
      <w:r w:rsidR="0015062C">
        <w:rPr>
          <w:rFonts w:ascii="Arial" w:hAnsi="Arial" w:cs="Arial"/>
          <w:sz w:val="24"/>
          <w:szCs w:val="24"/>
        </w:rPr>
        <w:t xml:space="preserve"> current and potential</w:t>
      </w:r>
      <w:r w:rsidR="00EC2E02">
        <w:rPr>
          <w:rFonts w:ascii="Arial" w:hAnsi="Arial" w:cs="Arial"/>
          <w:sz w:val="24"/>
          <w:szCs w:val="24"/>
        </w:rPr>
        <w:t xml:space="preserve"> market</w:t>
      </w:r>
      <w:r w:rsidR="0015062C">
        <w:rPr>
          <w:rFonts w:ascii="Arial" w:hAnsi="Arial" w:cs="Arial"/>
          <w:sz w:val="24"/>
          <w:szCs w:val="24"/>
        </w:rPr>
        <w:t>s</w:t>
      </w:r>
      <w:r w:rsidR="00E937A5">
        <w:rPr>
          <w:rFonts w:ascii="Arial" w:hAnsi="Arial" w:cs="Arial"/>
          <w:sz w:val="24"/>
          <w:szCs w:val="24"/>
        </w:rPr>
        <w:t>. This downward cost pressure would create an adjustable mechanism to obtain market equilibrium</w:t>
      </w:r>
      <w:r w:rsidR="00ED059E">
        <w:rPr>
          <w:rFonts w:ascii="Arial" w:hAnsi="Arial" w:cs="Arial"/>
          <w:sz w:val="24"/>
          <w:szCs w:val="24"/>
        </w:rPr>
        <w:t xml:space="preserve"> such that beneficial reuse from operating power plants is </w:t>
      </w:r>
      <w:r w:rsidR="0015062C">
        <w:rPr>
          <w:rFonts w:ascii="Arial" w:hAnsi="Arial" w:cs="Arial"/>
          <w:sz w:val="24"/>
          <w:szCs w:val="24"/>
        </w:rPr>
        <w:t>preserved</w:t>
      </w:r>
      <w:r>
        <w:rPr>
          <w:rFonts w:ascii="Arial" w:hAnsi="Arial" w:cs="Arial"/>
          <w:sz w:val="24"/>
          <w:szCs w:val="24"/>
        </w:rPr>
        <w:t xml:space="preserve">. </w:t>
      </w:r>
      <w:r w:rsidR="00E937A5">
        <w:rPr>
          <w:rFonts w:ascii="Arial" w:hAnsi="Arial" w:cs="Arial"/>
          <w:sz w:val="24"/>
          <w:szCs w:val="24"/>
        </w:rPr>
        <w:t>In addition, technology developments or enhancements to beneficiate</w:t>
      </w:r>
      <w:r w:rsidRPr="00931504">
        <w:rPr>
          <w:rFonts w:ascii="Arial" w:hAnsi="Arial" w:cs="Arial"/>
          <w:sz w:val="24"/>
          <w:szCs w:val="24"/>
        </w:rPr>
        <w:t xml:space="preserve"> CCR </w:t>
      </w:r>
      <w:r>
        <w:rPr>
          <w:rFonts w:ascii="Arial" w:hAnsi="Arial" w:cs="Arial"/>
          <w:sz w:val="24"/>
          <w:szCs w:val="24"/>
        </w:rPr>
        <w:t>could</w:t>
      </w:r>
      <w:r w:rsidRPr="00931504">
        <w:rPr>
          <w:rFonts w:ascii="Arial" w:hAnsi="Arial" w:cs="Arial"/>
          <w:sz w:val="24"/>
          <w:szCs w:val="24"/>
        </w:rPr>
        <w:t xml:space="preserve"> ultimately allow G</w:t>
      </w:r>
      <w:r>
        <w:rPr>
          <w:rFonts w:ascii="Arial" w:hAnsi="Arial" w:cs="Arial"/>
          <w:sz w:val="24"/>
          <w:szCs w:val="24"/>
        </w:rPr>
        <w:t>eorgia Power</w:t>
      </w:r>
      <w:r w:rsidRPr="00931504">
        <w:rPr>
          <w:rFonts w:ascii="Arial" w:hAnsi="Arial" w:cs="Arial"/>
          <w:sz w:val="24"/>
          <w:szCs w:val="24"/>
        </w:rPr>
        <w:t xml:space="preserve"> to reduce the amount of CCR that </w:t>
      </w:r>
      <w:r w:rsidR="00356B42">
        <w:rPr>
          <w:rFonts w:ascii="Arial" w:hAnsi="Arial" w:cs="Arial"/>
          <w:sz w:val="24"/>
          <w:szCs w:val="24"/>
        </w:rPr>
        <w:t>is</w:t>
      </w:r>
      <w:r w:rsidR="00356B42" w:rsidRPr="00931504">
        <w:rPr>
          <w:rFonts w:ascii="Arial" w:hAnsi="Arial" w:cs="Arial"/>
          <w:sz w:val="24"/>
          <w:szCs w:val="24"/>
        </w:rPr>
        <w:t xml:space="preserve"> </w:t>
      </w:r>
      <w:r w:rsidRPr="00931504">
        <w:rPr>
          <w:rFonts w:ascii="Arial" w:hAnsi="Arial" w:cs="Arial"/>
          <w:sz w:val="24"/>
          <w:szCs w:val="24"/>
        </w:rPr>
        <w:t>stored in landfills</w:t>
      </w:r>
      <w:r w:rsidR="00ED059E">
        <w:rPr>
          <w:rFonts w:ascii="Arial" w:hAnsi="Arial" w:cs="Arial"/>
          <w:sz w:val="24"/>
          <w:szCs w:val="24"/>
        </w:rPr>
        <w:t xml:space="preserve"> or reclaim CCR already stored in landfills</w:t>
      </w:r>
      <w:r w:rsidR="0015062C">
        <w:rPr>
          <w:rFonts w:ascii="Arial" w:hAnsi="Arial" w:cs="Arial"/>
          <w:sz w:val="24"/>
          <w:szCs w:val="24"/>
        </w:rPr>
        <w:t xml:space="preserve"> and ash ponds</w:t>
      </w:r>
      <w:r w:rsidR="00E937A5">
        <w:rPr>
          <w:rFonts w:ascii="Arial" w:hAnsi="Arial" w:cs="Arial"/>
          <w:sz w:val="24"/>
          <w:szCs w:val="24"/>
        </w:rPr>
        <w:t xml:space="preserve">. </w:t>
      </w:r>
      <w:r w:rsidR="00356B42">
        <w:rPr>
          <w:rFonts w:ascii="Arial" w:hAnsi="Arial" w:cs="Arial"/>
          <w:sz w:val="24"/>
          <w:szCs w:val="24"/>
        </w:rPr>
        <w:t xml:space="preserve">This would result in lower capital and O&amp;M costs for CCR storage in landfills. </w:t>
      </w:r>
      <w:r w:rsidR="00E937A5">
        <w:rPr>
          <w:rFonts w:ascii="Arial" w:hAnsi="Arial" w:cs="Arial"/>
          <w:sz w:val="24"/>
          <w:szCs w:val="24"/>
        </w:rPr>
        <w:t xml:space="preserve">The strategy associated with implementing a cost-effective mechanism to inject beneficiated ash into the market, as well as limiting the quantity of CCR in landfills, </w:t>
      </w:r>
      <w:r w:rsidR="00E54166">
        <w:rPr>
          <w:rFonts w:ascii="Arial" w:hAnsi="Arial" w:cs="Arial"/>
          <w:sz w:val="24"/>
          <w:szCs w:val="24"/>
        </w:rPr>
        <w:t>focuses on current and future customer benefit.</w:t>
      </w:r>
      <w:r w:rsidR="00E937A5">
        <w:rPr>
          <w:rFonts w:ascii="Arial" w:hAnsi="Arial" w:cs="Arial"/>
          <w:sz w:val="24"/>
          <w:szCs w:val="24"/>
        </w:rPr>
        <w:t xml:space="preserve"> </w:t>
      </w:r>
    </w:p>
    <w:p w14:paraId="66723180" w14:textId="2C5BD044" w:rsidR="0072258D" w:rsidRPr="000A26A5" w:rsidRDefault="000A26A5" w:rsidP="000A26A5">
      <w:pPr>
        <w:spacing w:after="120" w:line="240" w:lineRule="auto"/>
        <w:contextualSpacing/>
        <w:jc w:val="both"/>
        <w:rPr>
          <w:rFonts w:ascii="Arial" w:hAnsi="Arial" w:cs="Arial"/>
          <w:sz w:val="24"/>
          <w:szCs w:val="24"/>
        </w:rPr>
      </w:pPr>
      <w:r>
        <w:rPr>
          <w:rFonts w:ascii="Arial" w:hAnsi="Arial" w:cs="Arial"/>
          <w:sz w:val="24"/>
          <w:szCs w:val="24"/>
        </w:rPr>
        <w:br/>
      </w:r>
      <w:r w:rsidR="00BA307A" w:rsidRPr="000A26A5">
        <w:rPr>
          <w:rFonts w:ascii="Arial" w:hAnsi="Arial" w:cs="Arial"/>
          <w:sz w:val="24"/>
          <w:szCs w:val="24"/>
        </w:rPr>
        <w:t>T</w:t>
      </w:r>
      <w:r w:rsidR="00E54166" w:rsidRPr="000A26A5">
        <w:rPr>
          <w:rFonts w:ascii="Arial" w:hAnsi="Arial" w:cs="Arial"/>
          <w:sz w:val="24"/>
          <w:szCs w:val="24"/>
        </w:rPr>
        <w:t xml:space="preserve">his center </w:t>
      </w:r>
      <w:r w:rsidR="00BA307A" w:rsidRPr="000A26A5">
        <w:rPr>
          <w:rFonts w:ascii="Arial" w:hAnsi="Arial" w:cs="Arial"/>
          <w:sz w:val="24"/>
          <w:szCs w:val="24"/>
        </w:rPr>
        <w:t>w</w:t>
      </w:r>
      <w:r w:rsidR="00675244">
        <w:rPr>
          <w:rFonts w:ascii="Arial" w:hAnsi="Arial" w:cs="Arial"/>
          <w:sz w:val="24"/>
          <w:szCs w:val="24"/>
        </w:rPr>
        <w:t xml:space="preserve">ill be built and operated by </w:t>
      </w:r>
      <w:r w:rsidR="00BA307A" w:rsidRPr="000A26A5">
        <w:rPr>
          <w:rFonts w:ascii="Arial" w:hAnsi="Arial" w:cs="Arial"/>
          <w:sz w:val="24"/>
          <w:szCs w:val="24"/>
        </w:rPr>
        <w:t xml:space="preserve">EPRI </w:t>
      </w:r>
      <w:r w:rsidR="00ED4083" w:rsidRPr="000A26A5">
        <w:rPr>
          <w:rFonts w:ascii="Arial" w:hAnsi="Arial" w:cs="Arial"/>
          <w:sz w:val="24"/>
          <w:szCs w:val="24"/>
        </w:rPr>
        <w:t>at a company-owned coal-fired power plant</w:t>
      </w:r>
      <w:r w:rsidR="00E54166" w:rsidRPr="000A26A5">
        <w:rPr>
          <w:rFonts w:ascii="Arial" w:hAnsi="Arial" w:cs="Arial"/>
          <w:sz w:val="24"/>
          <w:szCs w:val="24"/>
        </w:rPr>
        <w:t xml:space="preserve"> </w:t>
      </w:r>
      <w:r w:rsidR="00BA307A" w:rsidRPr="000A26A5">
        <w:rPr>
          <w:rFonts w:ascii="Arial" w:hAnsi="Arial" w:cs="Arial"/>
          <w:sz w:val="24"/>
          <w:szCs w:val="24"/>
        </w:rPr>
        <w:t>and</w:t>
      </w:r>
      <w:r w:rsidR="0072258D" w:rsidRPr="000A26A5">
        <w:rPr>
          <w:rFonts w:ascii="Arial" w:hAnsi="Arial" w:cs="Arial"/>
          <w:sz w:val="24"/>
          <w:szCs w:val="24"/>
        </w:rPr>
        <w:t xml:space="preserve"> </w:t>
      </w:r>
      <w:r w:rsidR="00E54166" w:rsidRPr="000A26A5">
        <w:rPr>
          <w:rFonts w:ascii="Arial" w:hAnsi="Arial" w:cs="Arial"/>
          <w:sz w:val="24"/>
          <w:szCs w:val="24"/>
        </w:rPr>
        <w:t xml:space="preserve">will be used </w:t>
      </w:r>
      <w:r w:rsidR="0072258D" w:rsidRPr="000A26A5">
        <w:rPr>
          <w:rFonts w:ascii="Arial" w:hAnsi="Arial" w:cs="Arial"/>
          <w:sz w:val="24"/>
          <w:szCs w:val="24"/>
        </w:rPr>
        <w:t xml:space="preserve">for testing and development of technologies for using harvested CCR. The objectives for the center are to: </w:t>
      </w:r>
    </w:p>
    <w:p w14:paraId="45E1D603" w14:textId="6C6DEEF3" w:rsidR="0072258D" w:rsidRPr="00264EA7" w:rsidRDefault="0072258D" w:rsidP="0084580B">
      <w:pPr>
        <w:pStyle w:val="BodyText1"/>
        <w:numPr>
          <w:ilvl w:val="0"/>
          <w:numId w:val="35"/>
        </w:numPr>
        <w:spacing w:after="0"/>
        <w:jc w:val="both"/>
        <w:rPr>
          <w:rFonts w:eastAsia="Times New Roman"/>
          <w:sz w:val="24"/>
          <w:szCs w:val="24"/>
        </w:rPr>
      </w:pPr>
      <w:r w:rsidRPr="00264EA7">
        <w:rPr>
          <w:rFonts w:eastAsia="Times New Roman"/>
          <w:sz w:val="24"/>
          <w:szCs w:val="24"/>
        </w:rPr>
        <w:t>review commercial beneficiation process</w:t>
      </w:r>
      <w:r w:rsidR="00465866">
        <w:rPr>
          <w:rFonts w:eastAsia="Times New Roman"/>
          <w:sz w:val="24"/>
          <w:szCs w:val="24"/>
        </w:rPr>
        <w:t>es</w:t>
      </w:r>
    </w:p>
    <w:p w14:paraId="03DC1B1E" w14:textId="2C2E3EF4" w:rsidR="0072258D" w:rsidRPr="00264EA7" w:rsidRDefault="0072258D" w:rsidP="0084580B">
      <w:pPr>
        <w:pStyle w:val="BodyText1"/>
        <w:numPr>
          <w:ilvl w:val="0"/>
          <w:numId w:val="35"/>
        </w:numPr>
        <w:spacing w:after="0"/>
        <w:jc w:val="both"/>
        <w:rPr>
          <w:rFonts w:eastAsia="Times New Roman"/>
          <w:sz w:val="24"/>
          <w:szCs w:val="24"/>
        </w:rPr>
      </w:pPr>
      <w:r w:rsidRPr="00264EA7">
        <w:rPr>
          <w:rFonts w:eastAsia="Times New Roman"/>
          <w:sz w:val="24"/>
          <w:szCs w:val="24"/>
        </w:rPr>
        <w:t xml:space="preserve">speed development of emerging </w:t>
      </w:r>
      <w:r w:rsidR="0072195A">
        <w:rPr>
          <w:rFonts w:eastAsia="Times New Roman"/>
          <w:sz w:val="24"/>
          <w:szCs w:val="24"/>
        </w:rPr>
        <w:t xml:space="preserve">beneficial use </w:t>
      </w:r>
      <w:r w:rsidR="00465866">
        <w:rPr>
          <w:rFonts w:eastAsia="Times New Roman"/>
          <w:sz w:val="24"/>
          <w:szCs w:val="24"/>
        </w:rPr>
        <w:t>technologies</w:t>
      </w:r>
    </w:p>
    <w:p w14:paraId="2E090233" w14:textId="4AC13E35" w:rsidR="0072258D" w:rsidRPr="00264EA7" w:rsidRDefault="0072195A" w:rsidP="0084580B">
      <w:pPr>
        <w:pStyle w:val="BodyText1"/>
        <w:numPr>
          <w:ilvl w:val="0"/>
          <w:numId w:val="35"/>
        </w:numPr>
        <w:spacing w:after="0"/>
        <w:jc w:val="both"/>
        <w:rPr>
          <w:rFonts w:eastAsia="Times New Roman"/>
          <w:sz w:val="24"/>
          <w:szCs w:val="24"/>
        </w:rPr>
      </w:pPr>
      <w:r>
        <w:rPr>
          <w:rFonts w:eastAsia="Times New Roman"/>
          <w:sz w:val="24"/>
          <w:szCs w:val="24"/>
        </w:rPr>
        <w:t xml:space="preserve">understand performance of </w:t>
      </w:r>
      <w:r w:rsidR="00DE385C">
        <w:rPr>
          <w:rFonts w:eastAsia="Times New Roman"/>
          <w:sz w:val="24"/>
          <w:szCs w:val="24"/>
        </w:rPr>
        <w:t>reuse</w:t>
      </w:r>
      <w:r w:rsidR="00DE385C" w:rsidRPr="00264EA7">
        <w:rPr>
          <w:rFonts w:eastAsia="Times New Roman"/>
          <w:sz w:val="24"/>
          <w:szCs w:val="24"/>
        </w:rPr>
        <w:t xml:space="preserve"> </w:t>
      </w:r>
      <w:r w:rsidR="0072258D" w:rsidRPr="00264EA7">
        <w:rPr>
          <w:rFonts w:eastAsia="Times New Roman"/>
          <w:sz w:val="24"/>
          <w:szCs w:val="24"/>
        </w:rPr>
        <w:t>product</w:t>
      </w:r>
      <w:r>
        <w:rPr>
          <w:rFonts w:eastAsia="Times New Roman"/>
          <w:sz w:val="24"/>
          <w:szCs w:val="24"/>
        </w:rPr>
        <w:t>s</w:t>
      </w:r>
      <w:r w:rsidR="0072258D" w:rsidRPr="00264EA7">
        <w:rPr>
          <w:rFonts w:eastAsia="Times New Roman"/>
          <w:sz w:val="24"/>
          <w:szCs w:val="24"/>
        </w:rPr>
        <w:t xml:space="preserve"> </w:t>
      </w:r>
    </w:p>
    <w:p w14:paraId="2AA63020" w14:textId="7569F60B" w:rsidR="0072258D" w:rsidRPr="00264EA7" w:rsidRDefault="0072258D" w:rsidP="0084580B">
      <w:pPr>
        <w:pStyle w:val="BodyText1"/>
        <w:numPr>
          <w:ilvl w:val="0"/>
          <w:numId w:val="35"/>
        </w:numPr>
        <w:spacing w:after="0"/>
        <w:jc w:val="both"/>
        <w:rPr>
          <w:rFonts w:eastAsia="Times New Roman"/>
          <w:sz w:val="24"/>
          <w:szCs w:val="24"/>
        </w:rPr>
      </w:pPr>
      <w:r w:rsidRPr="00264EA7">
        <w:rPr>
          <w:rFonts w:eastAsia="Times New Roman"/>
          <w:sz w:val="24"/>
          <w:szCs w:val="24"/>
        </w:rPr>
        <w:t>d</w:t>
      </w:r>
      <w:r w:rsidR="00465866">
        <w:rPr>
          <w:rFonts w:eastAsia="Times New Roman"/>
          <w:sz w:val="24"/>
          <w:szCs w:val="24"/>
        </w:rPr>
        <w:t>evelop realistic cost profiles</w:t>
      </w:r>
    </w:p>
    <w:p w14:paraId="44910E0C" w14:textId="77777777" w:rsidR="0072258D" w:rsidRPr="00264EA7" w:rsidRDefault="0072258D" w:rsidP="00264EA7">
      <w:pPr>
        <w:pStyle w:val="BodyText1"/>
        <w:spacing w:after="0"/>
        <w:ind w:left="360"/>
        <w:jc w:val="both"/>
        <w:rPr>
          <w:rFonts w:eastAsia="Times New Roman"/>
          <w:sz w:val="24"/>
          <w:szCs w:val="24"/>
        </w:rPr>
      </w:pPr>
    </w:p>
    <w:p w14:paraId="0BD4B4B6" w14:textId="7C9D6B29" w:rsidR="0072258D" w:rsidRPr="00264EA7" w:rsidRDefault="0072258D" w:rsidP="00264EA7">
      <w:pPr>
        <w:pStyle w:val="BodyText1"/>
        <w:jc w:val="both"/>
        <w:rPr>
          <w:rFonts w:eastAsia="Times New Roman"/>
          <w:sz w:val="24"/>
          <w:szCs w:val="24"/>
        </w:rPr>
      </w:pPr>
      <w:r w:rsidRPr="00264EA7">
        <w:rPr>
          <w:rFonts w:eastAsia="Times New Roman"/>
          <w:sz w:val="24"/>
          <w:szCs w:val="24"/>
        </w:rPr>
        <w:t xml:space="preserve">The facility will </w:t>
      </w:r>
      <w:r w:rsidR="008C11AF" w:rsidRPr="00264EA7">
        <w:rPr>
          <w:rFonts w:eastAsia="Times New Roman"/>
          <w:sz w:val="24"/>
          <w:szCs w:val="24"/>
        </w:rPr>
        <w:t xml:space="preserve">allow </w:t>
      </w:r>
      <w:r w:rsidRPr="00264EA7">
        <w:rPr>
          <w:rFonts w:eastAsia="Times New Roman"/>
          <w:sz w:val="24"/>
          <w:szCs w:val="24"/>
        </w:rPr>
        <w:t xml:space="preserve">for pilot </w:t>
      </w:r>
      <w:r w:rsidR="00356B42">
        <w:rPr>
          <w:rFonts w:eastAsia="Times New Roman"/>
          <w:sz w:val="24"/>
          <w:szCs w:val="24"/>
        </w:rPr>
        <w:t xml:space="preserve">projects </w:t>
      </w:r>
      <w:r w:rsidRPr="00264EA7">
        <w:rPr>
          <w:rFonts w:eastAsia="Times New Roman"/>
          <w:sz w:val="24"/>
          <w:szCs w:val="24"/>
        </w:rPr>
        <w:t xml:space="preserve">and </w:t>
      </w:r>
      <w:r w:rsidR="00356B42">
        <w:rPr>
          <w:rFonts w:eastAsia="Times New Roman"/>
          <w:sz w:val="24"/>
          <w:szCs w:val="24"/>
        </w:rPr>
        <w:t xml:space="preserve">continued </w:t>
      </w:r>
      <w:r w:rsidRPr="00264EA7">
        <w:rPr>
          <w:rFonts w:eastAsia="Times New Roman"/>
          <w:sz w:val="24"/>
          <w:szCs w:val="24"/>
        </w:rPr>
        <w:t xml:space="preserve">testing of technologies to </w:t>
      </w:r>
      <w:r w:rsidR="009317B1">
        <w:rPr>
          <w:rFonts w:eastAsia="Times New Roman"/>
          <w:sz w:val="24"/>
          <w:szCs w:val="24"/>
        </w:rPr>
        <w:t xml:space="preserve">potentially </w:t>
      </w:r>
      <w:r w:rsidRPr="00264EA7">
        <w:rPr>
          <w:rFonts w:eastAsia="Times New Roman"/>
          <w:sz w:val="24"/>
          <w:szCs w:val="24"/>
        </w:rPr>
        <w:t>produce valuable products from ponded and landfill</w:t>
      </w:r>
      <w:r w:rsidR="00356B42">
        <w:rPr>
          <w:rFonts w:eastAsia="Times New Roman"/>
          <w:sz w:val="24"/>
          <w:szCs w:val="24"/>
        </w:rPr>
        <w:t>ed</w:t>
      </w:r>
      <w:r w:rsidRPr="00264EA7">
        <w:rPr>
          <w:rFonts w:eastAsia="Times New Roman"/>
          <w:sz w:val="24"/>
          <w:szCs w:val="24"/>
        </w:rPr>
        <w:t xml:space="preserve"> CCR. The research center will be a collaborative project with other electric power utilities supporting construction and operations through funding from the </w:t>
      </w:r>
      <w:r w:rsidR="00675244">
        <w:rPr>
          <w:rFonts w:eastAsia="Times New Roman"/>
          <w:sz w:val="24"/>
          <w:szCs w:val="24"/>
        </w:rPr>
        <w:t>EPRI</w:t>
      </w:r>
      <w:r w:rsidRPr="00264EA7">
        <w:rPr>
          <w:rFonts w:eastAsia="Times New Roman"/>
          <w:sz w:val="24"/>
          <w:szCs w:val="24"/>
        </w:rPr>
        <w:t xml:space="preserve">. </w:t>
      </w:r>
      <w:r w:rsidR="008C11AF" w:rsidRPr="00264EA7">
        <w:rPr>
          <w:rFonts w:eastAsia="Times New Roman"/>
          <w:sz w:val="24"/>
          <w:szCs w:val="24"/>
        </w:rPr>
        <w:t xml:space="preserve"> </w:t>
      </w:r>
    </w:p>
    <w:bookmarkEnd w:id="165"/>
    <w:p w14:paraId="7A254F21" w14:textId="77777777" w:rsidR="0072258D" w:rsidRPr="0072258D" w:rsidRDefault="0072258D" w:rsidP="0072258D">
      <w:pPr>
        <w:rPr>
          <w:rFonts w:ascii="Arial" w:hAnsi="Arial" w:cs="Arial"/>
          <w:b/>
          <w:bCs/>
          <w:sz w:val="24"/>
          <w:szCs w:val="24"/>
        </w:rPr>
      </w:pPr>
    </w:p>
    <w:p w14:paraId="45959C93" w14:textId="5B2272B1" w:rsidR="00953B34" w:rsidRPr="0072258D" w:rsidRDefault="00953B34" w:rsidP="00DB7156">
      <w:pPr>
        <w:spacing w:after="0" w:line="240" w:lineRule="auto"/>
        <w:jc w:val="both"/>
        <w:rPr>
          <w:rFonts w:ascii="Arial" w:hAnsi="Arial" w:cs="Arial"/>
          <w:b/>
          <w:bCs/>
          <w:sz w:val="24"/>
          <w:szCs w:val="24"/>
        </w:rPr>
      </w:pPr>
    </w:p>
    <w:p w14:paraId="22BA50C9" w14:textId="77777777" w:rsidR="00752263" w:rsidRPr="00DB7156" w:rsidRDefault="00752263" w:rsidP="00DB7156">
      <w:pPr>
        <w:keepNext/>
        <w:widowControl w:val="0"/>
        <w:spacing w:after="0" w:line="240" w:lineRule="auto"/>
        <w:ind w:left="90"/>
        <w:jc w:val="both"/>
        <w:outlineLvl w:val="0"/>
        <w:rPr>
          <w:rFonts w:ascii="Arial" w:hAnsi="Arial" w:cs="Arial"/>
          <w:b/>
          <w:bCs/>
          <w:color w:val="000080"/>
          <w:kern w:val="28"/>
          <w:sz w:val="28"/>
          <w:szCs w:val="28"/>
        </w:rPr>
      </w:pPr>
      <w:r w:rsidRPr="00DB7156">
        <w:rPr>
          <w:rFonts w:ascii="Arial" w:hAnsi="Arial" w:cs="Arial"/>
          <w:b/>
          <w:bCs/>
          <w:color w:val="FF0000"/>
          <w:kern w:val="28"/>
          <w:sz w:val="28"/>
          <w:szCs w:val="28"/>
          <w:u w:val="single"/>
        </w:rPr>
        <w:br w:type="page"/>
      </w:r>
      <w:bookmarkStart w:id="166" w:name="_Toc496107758"/>
      <w:bookmarkStart w:id="167" w:name="_Toc527987350"/>
      <w:bookmarkStart w:id="168" w:name="_Toc527983897"/>
      <w:bookmarkStart w:id="169" w:name="_Toc530487281"/>
      <w:bookmarkStart w:id="170" w:name="_Toc535908149"/>
      <w:r w:rsidRPr="00DB7156">
        <w:rPr>
          <w:rFonts w:ascii="Arial" w:hAnsi="Arial" w:cs="Arial"/>
          <w:b/>
          <w:color w:val="000080"/>
          <w:kern w:val="28"/>
          <w:sz w:val="28"/>
          <w:szCs w:val="28"/>
        </w:rPr>
        <w:t>4.0</w:t>
      </w:r>
      <w:r w:rsidRPr="00DB7156">
        <w:rPr>
          <w:rFonts w:ascii="Arial" w:hAnsi="Arial" w:cs="Arial"/>
          <w:b/>
          <w:bCs/>
          <w:color w:val="000080"/>
          <w:kern w:val="28"/>
          <w:sz w:val="28"/>
          <w:szCs w:val="28"/>
        </w:rPr>
        <w:t xml:space="preserve"> Strategy Results and Financial Summary</w:t>
      </w:r>
      <w:bookmarkEnd w:id="166"/>
      <w:bookmarkEnd w:id="167"/>
      <w:bookmarkEnd w:id="168"/>
      <w:bookmarkEnd w:id="169"/>
      <w:bookmarkEnd w:id="170"/>
    </w:p>
    <w:p w14:paraId="22BA50CA" w14:textId="77777777" w:rsidR="00752263" w:rsidRPr="00DB7156" w:rsidRDefault="00752263" w:rsidP="00DB7156">
      <w:pPr>
        <w:spacing w:after="0" w:line="240" w:lineRule="auto"/>
        <w:jc w:val="both"/>
        <w:rPr>
          <w:rFonts w:ascii="Arial" w:hAnsi="Arial" w:cs="Arial"/>
          <w:sz w:val="28"/>
          <w:szCs w:val="28"/>
          <w:u w:val="single"/>
        </w:rPr>
      </w:pPr>
    </w:p>
    <w:p w14:paraId="22BA50CB" w14:textId="4DE6E7BF"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Since 1990, </w:t>
      </w:r>
      <w:r w:rsidR="00EC517B" w:rsidRPr="00DB7156">
        <w:rPr>
          <w:rFonts w:ascii="Arial" w:hAnsi="Arial" w:cs="Arial"/>
          <w:sz w:val="24"/>
          <w:szCs w:val="24"/>
        </w:rPr>
        <w:t>Georgia Power has faced</w:t>
      </w:r>
      <w:r w:rsidRPr="00DB7156">
        <w:rPr>
          <w:rFonts w:ascii="Arial" w:hAnsi="Arial" w:cs="Arial"/>
          <w:sz w:val="24"/>
          <w:szCs w:val="24"/>
        </w:rPr>
        <w:t xml:space="preserve"> a host of new environmental regulations and requirements as described in Section 2.0. The </w:t>
      </w:r>
      <w:r w:rsidR="00E542AF">
        <w:rPr>
          <w:rFonts w:ascii="Arial" w:hAnsi="Arial" w:cs="Arial"/>
          <w:sz w:val="24"/>
          <w:szCs w:val="24"/>
        </w:rPr>
        <w:t>C</w:t>
      </w:r>
      <w:r w:rsidR="00E542AF" w:rsidRPr="00DB7156">
        <w:rPr>
          <w:rFonts w:ascii="Arial" w:hAnsi="Arial" w:cs="Arial"/>
          <w:sz w:val="24"/>
          <w:szCs w:val="24"/>
        </w:rPr>
        <w:t xml:space="preserve">ompany </w:t>
      </w:r>
      <w:r w:rsidRPr="00DB7156">
        <w:rPr>
          <w:rFonts w:ascii="Arial" w:hAnsi="Arial" w:cs="Arial"/>
          <w:sz w:val="24"/>
          <w:szCs w:val="24"/>
        </w:rPr>
        <w:t>has consistently responded with a timely</w:t>
      </w:r>
      <w:r w:rsidR="0084580B">
        <w:rPr>
          <w:rFonts w:ascii="Arial" w:hAnsi="Arial" w:cs="Arial"/>
          <w:sz w:val="24"/>
          <w:szCs w:val="24"/>
        </w:rPr>
        <w:t>, comprehensive,</w:t>
      </w:r>
      <w:r w:rsidR="00840A6E">
        <w:rPr>
          <w:rFonts w:ascii="Arial" w:hAnsi="Arial" w:cs="Arial"/>
          <w:sz w:val="24"/>
          <w:szCs w:val="24"/>
        </w:rPr>
        <w:t xml:space="preserve"> </w:t>
      </w:r>
      <w:r w:rsidR="00A80201">
        <w:rPr>
          <w:rFonts w:ascii="Arial" w:hAnsi="Arial" w:cs="Arial"/>
          <w:sz w:val="24"/>
          <w:szCs w:val="24"/>
        </w:rPr>
        <w:t>and</w:t>
      </w:r>
      <w:r w:rsidR="00965F51" w:rsidRPr="00DB7156">
        <w:rPr>
          <w:rFonts w:ascii="Arial" w:hAnsi="Arial" w:cs="Arial"/>
          <w:sz w:val="24"/>
          <w:szCs w:val="24"/>
        </w:rPr>
        <w:t xml:space="preserve"> </w:t>
      </w:r>
      <w:r w:rsidRPr="00DB7156">
        <w:rPr>
          <w:rFonts w:ascii="Arial" w:hAnsi="Arial" w:cs="Arial"/>
          <w:sz w:val="24"/>
          <w:szCs w:val="24"/>
        </w:rPr>
        <w:t xml:space="preserve">cost-effective strategy that has either met or exceeded new </w:t>
      </w:r>
      <w:r w:rsidR="00A04739" w:rsidRPr="00DB7156">
        <w:rPr>
          <w:rFonts w:ascii="Arial" w:hAnsi="Arial" w:cs="Arial"/>
          <w:sz w:val="24"/>
          <w:szCs w:val="24"/>
        </w:rPr>
        <w:t xml:space="preserve">and revised </w:t>
      </w:r>
      <w:r w:rsidRPr="00DB7156">
        <w:rPr>
          <w:rFonts w:ascii="Arial" w:hAnsi="Arial" w:cs="Arial"/>
          <w:sz w:val="24"/>
          <w:szCs w:val="24"/>
        </w:rPr>
        <w:t>environmental regulations</w:t>
      </w:r>
      <w:r w:rsidR="005B0D0F">
        <w:rPr>
          <w:rFonts w:ascii="Arial" w:hAnsi="Arial" w:cs="Arial"/>
          <w:sz w:val="24"/>
          <w:szCs w:val="24"/>
        </w:rPr>
        <w:t xml:space="preserve">, allowing our facilities to </w:t>
      </w:r>
      <w:r w:rsidR="00CA71B9">
        <w:rPr>
          <w:rFonts w:ascii="Arial" w:hAnsi="Arial" w:cs="Arial"/>
          <w:sz w:val="24"/>
          <w:szCs w:val="24"/>
        </w:rPr>
        <w:t>meet the needs of customers</w:t>
      </w:r>
      <w:r w:rsidRPr="00DB7156">
        <w:rPr>
          <w:rFonts w:ascii="Arial" w:hAnsi="Arial" w:cs="Arial"/>
          <w:sz w:val="24"/>
          <w:szCs w:val="24"/>
        </w:rPr>
        <w:t>.</w:t>
      </w:r>
    </w:p>
    <w:p w14:paraId="22BA50CC" w14:textId="77777777" w:rsidR="00752263" w:rsidRPr="00DB7156" w:rsidRDefault="00752263" w:rsidP="00DB7156">
      <w:pPr>
        <w:spacing w:after="0" w:line="240" w:lineRule="auto"/>
        <w:jc w:val="both"/>
        <w:rPr>
          <w:rFonts w:ascii="Arial" w:hAnsi="Arial" w:cs="Arial"/>
          <w:sz w:val="24"/>
          <w:szCs w:val="24"/>
        </w:rPr>
      </w:pPr>
    </w:p>
    <w:p w14:paraId="22BA50CD" w14:textId="6A8C703A" w:rsidR="00752263" w:rsidRPr="00DB7156" w:rsidRDefault="00965F51" w:rsidP="00DB7156">
      <w:pPr>
        <w:spacing w:after="0" w:line="240" w:lineRule="auto"/>
        <w:jc w:val="both"/>
        <w:rPr>
          <w:rFonts w:ascii="Arial" w:hAnsi="Arial" w:cs="Arial"/>
          <w:sz w:val="24"/>
          <w:szCs w:val="24"/>
        </w:rPr>
      </w:pPr>
      <w:r w:rsidRPr="00DB7156">
        <w:rPr>
          <w:rFonts w:ascii="Arial" w:hAnsi="Arial" w:cs="Arial"/>
          <w:sz w:val="24"/>
          <w:szCs w:val="24"/>
        </w:rPr>
        <w:t>Historically</w:t>
      </w:r>
      <w:r w:rsidR="00752263" w:rsidRPr="00DB7156">
        <w:rPr>
          <w:rFonts w:ascii="Arial" w:hAnsi="Arial" w:cs="Arial"/>
          <w:sz w:val="24"/>
          <w:szCs w:val="24"/>
        </w:rPr>
        <w:t xml:space="preserve">, the applicable regulations and the </w:t>
      </w:r>
      <w:r w:rsidR="000572B2" w:rsidRPr="00DB7156">
        <w:rPr>
          <w:rFonts w:ascii="Arial" w:hAnsi="Arial" w:cs="Arial"/>
          <w:sz w:val="24"/>
          <w:szCs w:val="24"/>
        </w:rPr>
        <w:t>Georgia Power</w:t>
      </w:r>
      <w:r w:rsidR="00752263" w:rsidRPr="00DB7156">
        <w:rPr>
          <w:rFonts w:ascii="Arial" w:hAnsi="Arial" w:cs="Arial"/>
          <w:sz w:val="24"/>
          <w:szCs w:val="24"/>
        </w:rPr>
        <w:t xml:space="preserve"> compliance </w:t>
      </w:r>
      <w:r w:rsidR="003A2002">
        <w:rPr>
          <w:rFonts w:ascii="Arial" w:hAnsi="Arial" w:cs="Arial"/>
          <w:sz w:val="24"/>
          <w:szCs w:val="24"/>
        </w:rPr>
        <w:t>strategy</w:t>
      </w:r>
      <w:r w:rsidR="003A2002" w:rsidRPr="00DB7156">
        <w:rPr>
          <w:rFonts w:ascii="Arial" w:hAnsi="Arial" w:cs="Arial"/>
          <w:sz w:val="24"/>
          <w:szCs w:val="24"/>
        </w:rPr>
        <w:t xml:space="preserve"> </w:t>
      </w:r>
      <w:r w:rsidR="00752263" w:rsidRPr="00DB7156">
        <w:rPr>
          <w:rFonts w:ascii="Arial" w:hAnsi="Arial" w:cs="Arial"/>
          <w:sz w:val="24"/>
          <w:szCs w:val="24"/>
        </w:rPr>
        <w:t xml:space="preserve">have </w:t>
      </w:r>
      <w:r w:rsidR="000741A8" w:rsidRPr="00DB7156">
        <w:rPr>
          <w:rFonts w:ascii="Arial" w:hAnsi="Arial" w:cs="Arial"/>
          <w:sz w:val="24"/>
          <w:szCs w:val="24"/>
        </w:rPr>
        <w:t xml:space="preserve">centered </w:t>
      </w:r>
      <w:r w:rsidR="00752263" w:rsidRPr="00DB7156">
        <w:rPr>
          <w:rFonts w:ascii="Arial" w:hAnsi="Arial" w:cs="Arial"/>
          <w:sz w:val="24"/>
          <w:szCs w:val="24"/>
        </w:rPr>
        <w:t xml:space="preserve">largely on </w:t>
      </w:r>
      <w:r w:rsidR="000741A8" w:rsidRPr="00DB7156">
        <w:rPr>
          <w:rFonts w:ascii="Arial" w:hAnsi="Arial" w:cs="Arial"/>
          <w:sz w:val="24"/>
          <w:szCs w:val="24"/>
        </w:rPr>
        <w:t>air quality</w:t>
      </w:r>
      <w:r w:rsidRPr="00DB7156">
        <w:rPr>
          <w:rFonts w:ascii="Arial" w:hAnsi="Arial" w:cs="Arial"/>
          <w:sz w:val="24"/>
          <w:szCs w:val="24"/>
        </w:rPr>
        <w:t xml:space="preserve"> and emissions</w:t>
      </w:r>
      <w:r w:rsidR="000741A8" w:rsidRPr="00DB7156">
        <w:rPr>
          <w:rFonts w:ascii="Arial" w:hAnsi="Arial" w:cs="Arial"/>
          <w:sz w:val="24"/>
          <w:szCs w:val="24"/>
        </w:rPr>
        <w:t xml:space="preserve">, with a focus on the </w:t>
      </w:r>
      <w:r w:rsidR="00752263" w:rsidRPr="00DB7156">
        <w:rPr>
          <w:rFonts w:ascii="Arial" w:hAnsi="Arial" w:cs="Arial"/>
          <w:sz w:val="24"/>
          <w:szCs w:val="24"/>
        </w:rPr>
        <w:t>reduction of SO</w:t>
      </w:r>
      <w:r w:rsidR="00752263" w:rsidRPr="00DB7156">
        <w:rPr>
          <w:rFonts w:ascii="Arial" w:hAnsi="Arial" w:cs="Arial"/>
          <w:sz w:val="24"/>
          <w:szCs w:val="24"/>
          <w:vertAlign w:val="subscript"/>
        </w:rPr>
        <w:t>2</w:t>
      </w:r>
      <w:r w:rsidR="00752263" w:rsidRPr="00DB7156">
        <w:rPr>
          <w:rFonts w:ascii="Arial" w:hAnsi="Arial" w:cs="Arial"/>
          <w:sz w:val="24"/>
          <w:szCs w:val="24"/>
        </w:rPr>
        <w:t xml:space="preserve"> and 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emissions</w:t>
      </w:r>
      <w:r w:rsidR="00630362" w:rsidRPr="00DB7156">
        <w:rPr>
          <w:rFonts w:ascii="Arial" w:hAnsi="Arial" w:cs="Arial"/>
          <w:sz w:val="24"/>
          <w:szCs w:val="24"/>
        </w:rPr>
        <w:t xml:space="preserve"> as well as </w:t>
      </w:r>
      <w:r w:rsidR="000572B2" w:rsidRPr="00DB7156">
        <w:rPr>
          <w:rFonts w:ascii="Arial" w:hAnsi="Arial" w:cs="Arial"/>
          <w:sz w:val="24"/>
          <w:szCs w:val="24"/>
        </w:rPr>
        <w:t xml:space="preserve">mercury </w:t>
      </w:r>
      <w:r w:rsidR="00F30D2D" w:rsidRPr="00DB7156">
        <w:rPr>
          <w:rFonts w:ascii="Arial" w:hAnsi="Arial" w:cs="Arial"/>
          <w:sz w:val="24"/>
          <w:szCs w:val="24"/>
        </w:rPr>
        <w:t xml:space="preserve">and other </w:t>
      </w:r>
      <w:r w:rsidR="000741A8" w:rsidRPr="00DB7156">
        <w:rPr>
          <w:rFonts w:ascii="Arial" w:hAnsi="Arial" w:cs="Arial"/>
          <w:sz w:val="24"/>
          <w:szCs w:val="24"/>
        </w:rPr>
        <w:t>HAP</w:t>
      </w:r>
      <w:r w:rsidR="00F30D2D" w:rsidRPr="00DB7156">
        <w:rPr>
          <w:rFonts w:ascii="Arial" w:hAnsi="Arial" w:cs="Arial"/>
          <w:sz w:val="24"/>
          <w:szCs w:val="24"/>
        </w:rPr>
        <w:t xml:space="preserve"> </w:t>
      </w:r>
      <w:r w:rsidR="000572B2" w:rsidRPr="00DB7156">
        <w:rPr>
          <w:rFonts w:ascii="Arial" w:hAnsi="Arial" w:cs="Arial"/>
          <w:sz w:val="24"/>
          <w:szCs w:val="24"/>
        </w:rPr>
        <w:t>emissions</w:t>
      </w:r>
      <w:r w:rsidR="00752263" w:rsidRPr="00DB7156">
        <w:rPr>
          <w:rFonts w:ascii="Arial" w:hAnsi="Arial" w:cs="Arial"/>
          <w:sz w:val="24"/>
          <w:szCs w:val="24"/>
        </w:rPr>
        <w:t xml:space="preserve">. </w:t>
      </w:r>
    </w:p>
    <w:p w14:paraId="3447F221" w14:textId="255469D7" w:rsidR="00290325" w:rsidRPr="00DB7156" w:rsidRDefault="00290325" w:rsidP="00DB7156">
      <w:pPr>
        <w:spacing w:after="0" w:line="240" w:lineRule="auto"/>
        <w:jc w:val="both"/>
        <w:rPr>
          <w:rFonts w:ascii="Arial" w:hAnsi="Arial" w:cs="Arial"/>
          <w:sz w:val="24"/>
          <w:szCs w:val="24"/>
        </w:rPr>
      </w:pPr>
    </w:p>
    <w:p w14:paraId="326D2410" w14:textId="51EC2CE8" w:rsidR="00290325" w:rsidRPr="00DB7156" w:rsidRDefault="00290325" w:rsidP="00DB7156">
      <w:pPr>
        <w:spacing w:after="0" w:line="240" w:lineRule="auto"/>
        <w:jc w:val="both"/>
        <w:rPr>
          <w:rFonts w:ascii="Arial" w:hAnsi="Arial" w:cs="Arial"/>
          <w:sz w:val="24"/>
          <w:szCs w:val="24"/>
        </w:rPr>
      </w:pPr>
      <w:r w:rsidRPr="00DB7156">
        <w:rPr>
          <w:rFonts w:ascii="Arial" w:hAnsi="Arial" w:cs="Arial"/>
          <w:sz w:val="24"/>
          <w:szCs w:val="24"/>
        </w:rPr>
        <w:t xml:space="preserve">More recently, </w:t>
      </w:r>
      <w:r w:rsidR="009B21C9">
        <w:rPr>
          <w:rFonts w:ascii="Arial" w:hAnsi="Arial" w:cs="Arial"/>
          <w:sz w:val="24"/>
          <w:szCs w:val="24"/>
        </w:rPr>
        <w:t xml:space="preserve">while still focused on operation and compliance </w:t>
      </w:r>
      <w:r w:rsidR="00E34510">
        <w:rPr>
          <w:rFonts w:ascii="Arial" w:hAnsi="Arial" w:cs="Arial"/>
          <w:sz w:val="24"/>
          <w:szCs w:val="24"/>
        </w:rPr>
        <w:t xml:space="preserve">activites </w:t>
      </w:r>
      <w:r w:rsidR="009B21C9">
        <w:rPr>
          <w:rFonts w:ascii="Arial" w:hAnsi="Arial" w:cs="Arial"/>
          <w:sz w:val="24"/>
          <w:szCs w:val="24"/>
        </w:rPr>
        <w:t xml:space="preserve">related to air quality regulations, </w:t>
      </w:r>
      <w:r w:rsidRPr="00DB7156">
        <w:rPr>
          <w:rFonts w:ascii="Arial" w:hAnsi="Arial" w:cs="Arial"/>
          <w:sz w:val="24"/>
          <w:szCs w:val="24"/>
        </w:rPr>
        <w:t>the Company’s environmental compliance strategy</w:t>
      </w:r>
      <w:r w:rsidR="00965F51" w:rsidRPr="00DB7156">
        <w:rPr>
          <w:rFonts w:ascii="Arial" w:hAnsi="Arial" w:cs="Arial"/>
          <w:sz w:val="24"/>
          <w:szCs w:val="24"/>
        </w:rPr>
        <w:t xml:space="preserve"> </w:t>
      </w:r>
      <w:r w:rsidR="00E34510">
        <w:rPr>
          <w:rFonts w:ascii="Arial" w:hAnsi="Arial" w:cs="Arial"/>
          <w:sz w:val="24"/>
          <w:szCs w:val="24"/>
        </w:rPr>
        <w:t>concentrates</w:t>
      </w:r>
      <w:r w:rsidRPr="00DB7156">
        <w:rPr>
          <w:rFonts w:ascii="Arial" w:hAnsi="Arial" w:cs="Arial"/>
          <w:sz w:val="24"/>
          <w:szCs w:val="24"/>
        </w:rPr>
        <w:t xml:space="preserve"> on compliance with</w:t>
      </w:r>
      <w:r w:rsidR="00965F51" w:rsidRPr="00DB7156">
        <w:rPr>
          <w:rFonts w:ascii="Arial" w:hAnsi="Arial" w:cs="Arial"/>
          <w:sz w:val="24"/>
          <w:szCs w:val="24"/>
        </w:rPr>
        <w:t xml:space="preserve"> increasing and </w:t>
      </w:r>
      <w:r w:rsidR="00834EFD" w:rsidRPr="00DB7156">
        <w:rPr>
          <w:rFonts w:ascii="Arial" w:hAnsi="Arial" w:cs="Arial"/>
          <w:sz w:val="24"/>
          <w:szCs w:val="24"/>
        </w:rPr>
        <w:t>significant</w:t>
      </w:r>
      <w:r w:rsidRPr="00DB7156">
        <w:rPr>
          <w:rFonts w:ascii="Arial" w:hAnsi="Arial" w:cs="Arial"/>
          <w:sz w:val="24"/>
          <w:szCs w:val="24"/>
        </w:rPr>
        <w:t xml:space="preserve"> regulations governing water resources and </w:t>
      </w:r>
      <w:r w:rsidR="00965F51" w:rsidRPr="00DB7156">
        <w:rPr>
          <w:rFonts w:ascii="Arial" w:hAnsi="Arial" w:cs="Arial"/>
          <w:sz w:val="24"/>
          <w:szCs w:val="24"/>
        </w:rPr>
        <w:t xml:space="preserve">solid </w:t>
      </w:r>
      <w:r w:rsidRPr="00DB7156">
        <w:rPr>
          <w:rFonts w:ascii="Arial" w:hAnsi="Arial" w:cs="Arial"/>
          <w:sz w:val="24"/>
          <w:szCs w:val="24"/>
        </w:rPr>
        <w:t xml:space="preserve">waste management. </w:t>
      </w:r>
    </w:p>
    <w:p w14:paraId="22BA50CE" w14:textId="77777777" w:rsidR="00752263" w:rsidRPr="00DB7156" w:rsidRDefault="00752263" w:rsidP="00DB7156">
      <w:pPr>
        <w:spacing w:after="0" w:line="240" w:lineRule="auto"/>
        <w:jc w:val="both"/>
        <w:rPr>
          <w:rFonts w:ascii="Arial" w:hAnsi="Arial" w:cs="Arial"/>
          <w:sz w:val="24"/>
          <w:szCs w:val="24"/>
        </w:rPr>
      </w:pPr>
    </w:p>
    <w:p w14:paraId="22BA50CF" w14:textId="299EF505"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This section </w:t>
      </w:r>
      <w:r w:rsidR="00051DDE" w:rsidRPr="00DB7156">
        <w:rPr>
          <w:rFonts w:ascii="Arial" w:hAnsi="Arial" w:cs="Arial"/>
          <w:sz w:val="24"/>
          <w:szCs w:val="24"/>
        </w:rPr>
        <w:t xml:space="preserve">provides </w:t>
      </w:r>
      <w:r w:rsidRPr="00DB7156">
        <w:rPr>
          <w:rFonts w:ascii="Arial" w:hAnsi="Arial" w:cs="Arial"/>
          <w:sz w:val="24"/>
          <w:szCs w:val="24"/>
        </w:rPr>
        <w:t xml:space="preserve">the </w:t>
      </w:r>
      <w:r w:rsidR="00051DDE" w:rsidRPr="00DB7156">
        <w:rPr>
          <w:rFonts w:ascii="Arial" w:hAnsi="Arial" w:cs="Arial"/>
          <w:sz w:val="24"/>
          <w:szCs w:val="24"/>
        </w:rPr>
        <w:t xml:space="preserve">Company’s </w:t>
      </w:r>
      <w:r w:rsidRPr="00DB7156">
        <w:rPr>
          <w:rFonts w:ascii="Arial" w:hAnsi="Arial" w:cs="Arial"/>
          <w:sz w:val="24"/>
          <w:szCs w:val="24"/>
        </w:rPr>
        <w:t>compliance strategy for air, water</w:t>
      </w:r>
      <w:r w:rsidR="00757C62">
        <w:rPr>
          <w:rFonts w:ascii="Arial" w:hAnsi="Arial" w:cs="Arial"/>
          <w:sz w:val="24"/>
          <w:szCs w:val="24"/>
        </w:rPr>
        <w:t xml:space="preserve">, and </w:t>
      </w:r>
      <w:r w:rsidR="00757C62" w:rsidRPr="00DB7156">
        <w:rPr>
          <w:rFonts w:ascii="Arial" w:hAnsi="Arial" w:cs="Arial"/>
          <w:sz w:val="24"/>
          <w:szCs w:val="24"/>
        </w:rPr>
        <w:t xml:space="preserve">solid waste management </w:t>
      </w:r>
      <w:r w:rsidR="00513491" w:rsidRPr="00DB7156">
        <w:rPr>
          <w:rFonts w:ascii="Arial" w:hAnsi="Arial" w:cs="Arial"/>
          <w:sz w:val="24"/>
          <w:szCs w:val="24"/>
        </w:rPr>
        <w:t>requirements</w:t>
      </w:r>
      <w:r w:rsidRPr="00DB7156">
        <w:rPr>
          <w:rFonts w:ascii="Arial" w:hAnsi="Arial" w:cs="Arial"/>
          <w:sz w:val="24"/>
          <w:szCs w:val="24"/>
        </w:rPr>
        <w:t xml:space="preserve">. </w:t>
      </w:r>
    </w:p>
    <w:p w14:paraId="22BA50D0" w14:textId="77777777" w:rsidR="00752263" w:rsidRPr="00DB7156" w:rsidRDefault="00752263" w:rsidP="00DB7156">
      <w:pPr>
        <w:spacing w:after="0" w:line="240" w:lineRule="auto"/>
        <w:jc w:val="both"/>
        <w:rPr>
          <w:rFonts w:ascii="Arial" w:hAnsi="Arial" w:cs="Arial"/>
          <w:b/>
          <w:bCs/>
          <w:color w:val="000080"/>
          <w:sz w:val="24"/>
          <w:szCs w:val="24"/>
        </w:rPr>
      </w:pPr>
    </w:p>
    <w:p w14:paraId="22BA50D1" w14:textId="77777777" w:rsidR="00752263" w:rsidRPr="00DB7156" w:rsidRDefault="00752263" w:rsidP="00DB7156">
      <w:pPr>
        <w:spacing w:after="0" w:line="240" w:lineRule="auto"/>
        <w:jc w:val="both"/>
        <w:outlineLvl w:val="1"/>
        <w:rPr>
          <w:rFonts w:ascii="Arial" w:hAnsi="Arial" w:cs="Arial"/>
          <w:b/>
          <w:bCs/>
          <w:color w:val="000080"/>
          <w:sz w:val="24"/>
          <w:szCs w:val="24"/>
        </w:rPr>
      </w:pPr>
      <w:bookmarkStart w:id="171" w:name="_Toc496107759"/>
      <w:bookmarkStart w:id="172" w:name="_Toc527987351"/>
      <w:bookmarkStart w:id="173" w:name="_Toc527983898"/>
      <w:bookmarkStart w:id="174" w:name="_Toc530487282"/>
      <w:bookmarkStart w:id="175" w:name="_Toc535908150"/>
      <w:r w:rsidRPr="00DB7156">
        <w:rPr>
          <w:rFonts w:ascii="Arial" w:hAnsi="Arial" w:cs="Arial"/>
          <w:b/>
          <w:bCs/>
          <w:color w:val="000080"/>
          <w:sz w:val="24"/>
          <w:szCs w:val="24"/>
        </w:rPr>
        <w:t>4.1</w:t>
      </w:r>
      <w:r w:rsidRPr="00DB7156">
        <w:rPr>
          <w:rFonts w:ascii="Arial" w:hAnsi="Arial" w:cs="Arial"/>
          <w:b/>
          <w:bCs/>
          <w:color w:val="000080"/>
          <w:sz w:val="24"/>
          <w:szCs w:val="24"/>
        </w:rPr>
        <w:tab/>
        <w:t>Air</w:t>
      </w:r>
      <w:r w:rsidR="00513491" w:rsidRPr="00DB7156">
        <w:rPr>
          <w:rFonts w:ascii="Arial" w:hAnsi="Arial" w:cs="Arial"/>
          <w:b/>
          <w:bCs/>
          <w:color w:val="000080"/>
          <w:sz w:val="24"/>
          <w:szCs w:val="24"/>
        </w:rPr>
        <w:t xml:space="preserve"> Compliance</w:t>
      </w:r>
      <w:r w:rsidRPr="00DB7156">
        <w:rPr>
          <w:rFonts w:ascii="Arial" w:hAnsi="Arial" w:cs="Arial"/>
          <w:b/>
          <w:bCs/>
          <w:color w:val="000080"/>
          <w:sz w:val="24"/>
          <w:szCs w:val="24"/>
        </w:rPr>
        <w:t xml:space="preserve"> Strategy Review</w:t>
      </w:r>
      <w:bookmarkEnd w:id="171"/>
      <w:bookmarkEnd w:id="172"/>
      <w:bookmarkEnd w:id="173"/>
      <w:bookmarkEnd w:id="174"/>
      <w:bookmarkEnd w:id="175"/>
    </w:p>
    <w:p w14:paraId="22BA50D2" w14:textId="77777777" w:rsidR="00752263" w:rsidRPr="00DB7156" w:rsidRDefault="00752263" w:rsidP="00DB7156">
      <w:pPr>
        <w:spacing w:after="0" w:line="240" w:lineRule="auto"/>
        <w:jc w:val="both"/>
        <w:rPr>
          <w:rFonts w:ascii="Arial" w:hAnsi="Arial" w:cs="Arial"/>
          <w:sz w:val="24"/>
          <w:szCs w:val="24"/>
        </w:rPr>
      </w:pPr>
    </w:p>
    <w:p w14:paraId="22BA50D3" w14:textId="6C839C24" w:rsidR="005D137B" w:rsidRPr="00DB7156" w:rsidRDefault="0065317A" w:rsidP="00DB7156">
      <w:pPr>
        <w:spacing w:after="0" w:line="240" w:lineRule="auto"/>
        <w:jc w:val="both"/>
        <w:rPr>
          <w:rFonts w:ascii="Arial" w:hAnsi="Arial" w:cs="Arial"/>
          <w:sz w:val="24"/>
          <w:szCs w:val="24"/>
        </w:rPr>
      </w:pPr>
      <w:r w:rsidRPr="00DB7156">
        <w:rPr>
          <w:rFonts w:ascii="Arial" w:hAnsi="Arial" w:cs="Arial"/>
          <w:sz w:val="24"/>
          <w:szCs w:val="24"/>
        </w:rPr>
        <w:t xml:space="preserve">The </w:t>
      </w:r>
      <w:r w:rsidR="00EC6D0C" w:rsidRPr="00DB7156">
        <w:rPr>
          <w:rFonts w:ascii="Arial" w:hAnsi="Arial" w:cs="Arial"/>
          <w:sz w:val="24"/>
          <w:szCs w:val="24"/>
        </w:rPr>
        <w:t xml:space="preserve">air </w:t>
      </w:r>
      <w:r w:rsidRPr="00DB7156">
        <w:rPr>
          <w:rFonts w:ascii="Arial" w:hAnsi="Arial" w:cs="Arial"/>
          <w:sz w:val="24"/>
          <w:szCs w:val="24"/>
        </w:rPr>
        <w:t xml:space="preserve">emission reductions that Georgia Power has achieved to date have been driven by the need to </w:t>
      </w:r>
      <w:r w:rsidR="00752263" w:rsidRPr="00DB7156">
        <w:rPr>
          <w:rFonts w:ascii="Arial" w:hAnsi="Arial" w:cs="Arial"/>
          <w:sz w:val="24"/>
          <w:szCs w:val="24"/>
        </w:rPr>
        <w:t>compl</w:t>
      </w:r>
      <w:r w:rsidRPr="00DB7156">
        <w:rPr>
          <w:rFonts w:ascii="Arial" w:hAnsi="Arial" w:cs="Arial"/>
          <w:sz w:val="24"/>
          <w:szCs w:val="24"/>
        </w:rPr>
        <w:t>y</w:t>
      </w:r>
      <w:r w:rsidR="00752263" w:rsidRPr="00DB7156">
        <w:rPr>
          <w:rFonts w:ascii="Arial" w:hAnsi="Arial" w:cs="Arial"/>
          <w:sz w:val="24"/>
          <w:szCs w:val="24"/>
        </w:rPr>
        <w:t xml:space="preserve"> with many CAA</w:t>
      </w:r>
      <w:r w:rsidR="00EE660A" w:rsidRPr="00DB7156">
        <w:rPr>
          <w:rFonts w:ascii="Arial" w:hAnsi="Arial" w:cs="Arial"/>
          <w:sz w:val="24"/>
          <w:szCs w:val="24"/>
        </w:rPr>
        <w:t xml:space="preserve"> and state</w:t>
      </w:r>
      <w:r w:rsidR="00752263" w:rsidRPr="00DB7156">
        <w:rPr>
          <w:rFonts w:ascii="Arial" w:hAnsi="Arial" w:cs="Arial"/>
          <w:sz w:val="24"/>
          <w:szCs w:val="24"/>
        </w:rPr>
        <w:t xml:space="preserve"> regulations </w:t>
      </w:r>
      <w:r w:rsidRPr="00DB7156">
        <w:rPr>
          <w:rFonts w:ascii="Arial" w:hAnsi="Arial" w:cs="Arial"/>
          <w:sz w:val="24"/>
          <w:szCs w:val="24"/>
        </w:rPr>
        <w:t xml:space="preserve">focused on </w:t>
      </w:r>
      <w:r w:rsidR="00752263" w:rsidRPr="00DB7156">
        <w:rPr>
          <w:rFonts w:ascii="Arial" w:hAnsi="Arial" w:cs="Arial"/>
          <w:sz w:val="24"/>
          <w:szCs w:val="24"/>
        </w:rPr>
        <w:t>SO</w:t>
      </w:r>
      <w:r w:rsidR="00752263" w:rsidRPr="00DB7156">
        <w:rPr>
          <w:rFonts w:ascii="Arial" w:hAnsi="Arial" w:cs="Arial"/>
          <w:sz w:val="24"/>
          <w:szCs w:val="24"/>
          <w:vertAlign w:val="subscript"/>
        </w:rPr>
        <w:t>2</w:t>
      </w:r>
      <w:r w:rsidR="00752263" w:rsidRPr="00DB7156">
        <w:rPr>
          <w:rFonts w:ascii="Arial" w:hAnsi="Arial" w:cs="Arial"/>
          <w:sz w:val="24"/>
          <w:szCs w:val="24"/>
        </w:rPr>
        <w:t xml:space="preserve"> and 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emissions from power plants, including the </w:t>
      </w:r>
      <w:r w:rsidR="003D3A9F" w:rsidRPr="00DB7156">
        <w:rPr>
          <w:rFonts w:ascii="Arial" w:hAnsi="Arial" w:cs="Arial"/>
          <w:sz w:val="24"/>
          <w:szCs w:val="24"/>
        </w:rPr>
        <w:t xml:space="preserve">Acid Rain Program, </w:t>
      </w:r>
      <w:r w:rsidR="00A04739" w:rsidRPr="00DB7156">
        <w:rPr>
          <w:rFonts w:ascii="Arial" w:hAnsi="Arial" w:cs="Arial"/>
          <w:sz w:val="24"/>
          <w:szCs w:val="24"/>
        </w:rPr>
        <w:t>CSAPR</w:t>
      </w:r>
      <w:r w:rsidR="005D137B" w:rsidRPr="00DB7156">
        <w:rPr>
          <w:rFonts w:ascii="Arial" w:hAnsi="Arial" w:cs="Arial"/>
          <w:sz w:val="24"/>
          <w:szCs w:val="24"/>
        </w:rPr>
        <w:t xml:space="preserve">, </w:t>
      </w:r>
      <w:r w:rsidR="00A04739" w:rsidRPr="00DB7156">
        <w:rPr>
          <w:rFonts w:ascii="Arial" w:hAnsi="Arial" w:cs="Arial"/>
          <w:sz w:val="24"/>
          <w:szCs w:val="24"/>
        </w:rPr>
        <w:t>CAVR</w:t>
      </w:r>
      <w:r w:rsidR="005D137B" w:rsidRPr="00DB7156">
        <w:rPr>
          <w:rFonts w:ascii="Arial" w:hAnsi="Arial" w:cs="Arial"/>
          <w:sz w:val="24"/>
          <w:szCs w:val="24"/>
        </w:rPr>
        <w:t>,</w:t>
      </w:r>
      <w:r w:rsidR="00752263" w:rsidRPr="00DB7156">
        <w:rPr>
          <w:rFonts w:ascii="Arial" w:hAnsi="Arial" w:cs="Arial"/>
          <w:sz w:val="24"/>
          <w:szCs w:val="24"/>
        </w:rPr>
        <w:t xml:space="preserve"> and state regulations designed to achieve attainment with the ozone and PM NAAQS.</w:t>
      </w:r>
      <w:r w:rsidR="003D3A9F" w:rsidRPr="00DB7156">
        <w:rPr>
          <w:rFonts w:ascii="Arial" w:hAnsi="Arial" w:cs="Arial"/>
          <w:sz w:val="24"/>
          <w:szCs w:val="24"/>
        </w:rPr>
        <w:t xml:space="preserve"> </w:t>
      </w:r>
      <w:r w:rsidR="00EE660A" w:rsidRPr="00DB7156">
        <w:rPr>
          <w:rFonts w:ascii="Arial" w:hAnsi="Arial" w:cs="Arial"/>
          <w:sz w:val="24"/>
          <w:szCs w:val="24"/>
        </w:rPr>
        <w:t>In addition, s</w:t>
      </w:r>
      <w:r w:rsidR="00DF4032" w:rsidRPr="00DB7156">
        <w:rPr>
          <w:rFonts w:ascii="Arial" w:hAnsi="Arial" w:cs="Arial"/>
          <w:sz w:val="24"/>
          <w:szCs w:val="24"/>
        </w:rPr>
        <w:t xml:space="preserve">tate </w:t>
      </w:r>
      <w:r w:rsidR="004C2916" w:rsidRPr="00DB7156">
        <w:rPr>
          <w:rFonts w:ascii="Arial" w:hAnsi="Arial" w:cs="Arial"/>
          <w:sz w:val="24"/>
          <w:szCs w:val="24"/>
        </w:rPr>
        <w:t xml:space="preserve">and federal </w:t>
      </w:r>
      <w:r w:rsidR="003D3A9F" w:rsidRPr="00DB7156">
        <w:rPr>
          <w:rFonts w:ascii="Arial" w:hAnsi="Arial" w:cs="Arial"/>
          <w:sz w:val="24"/>
          <w:szCs w:val="24"/>
        </w:rPr>
        <w:t>regulations</w:t>
      </w:r>
      <w:r w:rsidR="00E62500" w:rsidRPr="00DB7156">
        <w:rPr>
          <w:rFonts w:ascii="Arial" w:hAnsi="Arial" w:cs="Arial"/>
          <w:sz w:val="24"/>
          <w:szCs w:val="24"/>
        </w:rPr>
        <w:t>, such as the Georgia Multipollutant Rule and MATS,</w:t>
      </w:r>
      <w:r w:rsidR="003D3A9F" w:rsidRPr="00DB7156">
        <w:rPr>
          <w:rFonts w:ascii="Arial" w:hAnsi="Arial" w:cs="Arial"/>
          <w:sz w:val="24"/>
          <w:szCs w:val="24"/>
        </w:rPr>
        <w:t xml:space="preserve"> have also </w:t>
      </w:r>
      <w:r w:rsidR="00051DDE" w:rsidRPr="00DB7156">
        <w:rPr>
          <w:rFonts w:ascii="Arial" w:hAnsi="Arial" w:cs="Arial"/>
          <w:sz w:val="24"/>
          <w:szCs w:val="24"/>
        </w:rPr>
        <w:t>required</w:t>
      </w:r>
      <w:r w:rsidR="003D3A9F" w:rsidRPr="00DB7156">
        <w:rPr>
          <w:rFonts w:ascii="Arial" w:hAnsi="Arial" w:cs="Arial"/>
          <w:sz w:val="24"/>
          <w:szCs w:val="24"/>
        </w:rPr>
        <w:t xml:space="preserve"> </w:t>
      </w:r>
      <w:r w:rsidR="00E62500" w:rsidRPr="00DB7156">
        <w:rPr>
          <w:rFonts w:ascii="Arial" w:hAnsi="Arial" w:cs="Arial"/>
          <w:sz w:val="24"/>
          <w:szCs w:val="24"/>
        </w:rPr>
        <w:t>reduc</w:t>
      </w:r>
      <w:r w:rsidR="00051DDE" w:rsidRPr="00DB7156">
        <w:rPr>
          <w:rFonts w:ascii="Arial" w:hAnsi="Arial" w:cs="Arial"/>
          <w:sz w:val="24"/>
          <w:szCs w:val="24"/>
        </w:rPr>
        <w:t>tions in</w:t>
      </w:r>
      <w:r w:rsidR="00E62500" w:rsidRPr="00DB7156">
        <w:rPr>
          <w:rFonts w:ascii="Arial" w:hAnsi="Arial" w:cs="Arial"/>
          <w:sz w:val="24"/>
          <w:szCs w:val="24"/>
        </w:rPr>
        <w:t xml:space="preserve"> emissions of</w:t>
      </w:r>
      <w:r w:rsidR="000F44B9" w:rsidRPr="00DB7156">
        <w:rPr>
          <w:rFonts w:ascii="Arial" w:hAnsi="Arial" w:cs="Arial"/>
          <w:sz w:val="24"/>
          <w:szCs w:val="24"/>
        </w:rPr>
        <w:t xml:space="preserve"> </w:t>
      </w:r>
      <w:r w:rsidR="00051DDE" w:rsidRPr="00DB7156">
        <w:rPr>
          <w:rFonts w:ascii="Arial" w:hAnsi="Arial" w:cs="Arial"/>
          <w:sz w:val="24"/>
          <w:szCs w:val="24"/>
        </w:rPr>
        <w:t>mercury and other HAPs</w:t>
      </w:r>
      <w:r w:rsidR="003D3A9F" w:rsidRPr="00DB7156">
        <w:rPr>
          <w:rFonts w:ascii="Arial" w:hAnsi="Arial" w:cs="Arial"/>
          <w:sz w:val="24"/>
          <w:szCs w:val="24"/>
        </w:rPr>
        <w:t xml:space="preserve"> </w:t>
      </w:r>
      <w:r w:rsidR="00E34510">
        <w:rPr>
          <w:rFonts w:ascii="Arial" w:hAnsi="Arial" w:cs="Arial"/>
          <w:sz w:val="24"/>
          <w:szCs w:val="24"/>
        </w:rPr>
        <w:t>through installation of controls on the Company’s</w:t>
      </w:r>
      <w:r w:rsidR="00E34510" w:rsidRPr="00DB7156">
        <w:rPr>
          <w:rFonts w:ascii="Arial" w:hAnsi="Arial" w:cs="Arial"/>
          <w:sz w:val="24"/>
          <w:szCs w:val="24"/>
        </w:rPr>
        <w:t xml:space="preserve"> </w:t>
      </w:r>
      <w:r w:rsidR="003D3A9F" w:rsidRPr="00DB7156">
        <w:rPr>
          <w:rFonts w:ascii="Arial" w:hAnsi="Arial" w:cs="Arial"/>
          <w:sz w:val="24"/>
          <w:szCs w:val="24"/>
        </w:rPr>
        <w:t>power plants</w:t>
      </w:r>
      <w:r w:rsidR="00DF4032" w:rsidRPr="00DB7156">
        <w:rPr>
          <w:rFonts w:ascii="Arial" w:hAnsi="Arial" w:cs="Arial"/>
          <w:sz w:val="24"/>
          <w:szCs w:val="24"/>
        </w:rPr>
        <w:t>.</w:t>
      </w:r>
    </w:p>
    <w:p w14:paraId="22BA50D4" w14:textId="77777777" w:rsidR="005D137B" w:rsidRPr="00DB7156" w:rsidRDefault="005D137B" w:rsidP="00DB7156">
      <w:pPr>
        <w:spacing w:after="0" w:line="240" w:lineRule="auto"/>
        <w:jc w:val="both"/>
        <w:rPr>
          <w:rFonts w:ascii="Arial" w:hAnsi="Arial" w:cs="Arial"/>
          <w:sz w:val="24"/>
          <w:szCs w:val="24"/>
        </w:rPr>
      </w:pPr>
    </w:p>
    <w:p w14:paraId="22BA50D5" w14:textId="2816AA4C" w:rsidR="000767A6" w:rsidRPr="00DB7156" w:rsidRDefault="000767A6"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Table 4.1-1</w:t>
      </w:r>
      <w:r w:rsidR="004C2916" w:rsidRPr="00DB7156">
        <w:rPr>
          <w:rFonts w:ascii="Arial" w:hAnsi="Arial" w:cs="Arial"/>
          <w:sz w:val="24"/>
          <w:szCs w:val="24"/>
        </w:rPr>
        <w:t xml:space="preserve"> </w:t>
      </w:r>
      <w:r w:rsidR="00A678B2" w:rsidRPr="00DB7156">
        <w:rPr>
          <w:rFonts w:ascii="Arial" w:hAnsi="Arial" w:cs="Arial"/>
          <w:sz w:val="24"/>
          <w:szCs w:val="24"/>
        </w:rPr>
        <w:t>(below)</w:t>
      </w:r>
      <w:r w:rsidRPr="00DB7156">
        <w:rPr>
          <w:rFonts w:ascii="Arial" w:hAnsi="Arial" w:cs="Arial"/>
          <w:sz w:val="24"/>
          <w:szCs w:val="24"/>
        </w:rPr>
        <w:t xml:space="preserve"> summarizes the </w:t>
      </w:r>
      <w:r w:rsidR="0065317A" w:rsidRPr="00DB7156">
        <w:rPr>
          <w:rFonts w:ascii="Arial" w:hAnsi="Arial" w:cs="Arial"/>
          <w:sz w:val="24"/>
          <w:szCs w:val="24"/>
        </w:rPr>
        <w:t xml:space="preserve">emissions </w:t>
      </w:r>
      <w:r w:rsidRPr="00DB7156">
        <w:rPr>
          <w:rFonts w:ascii="Arial" w:hAnsi="Arial" w:cs="Arial"/>
          <w:sz w:val="24"/>
          <w:szCs w:val="24"/>
        </w:rPr>
        <w:t xml:space="preserve">control </w:t>
      </w:r>
      <w:r w:rsidR="0065317A" w:rsidRPr="00DB7156">
        <w:rPr>
          <w:rFonts w:ascii="Arial" w:hAnsi="Arial" w:cs="Arial"/>
          <w:sz w:val="24"/>
          <w:szCs w:val="24"/>
        </w:rPr>
        <w:t>equipment installed at Georgia Power</w:t>
      </w:r>
      <w:r w:rsidR="0044093E" w:rsidRPr="00DB7156">
        <w:rPr>
          <w:rFonts w:ascii="Arial" w:hAnsi="Arial" w:cs="Arial"/>
          <w:sz w:val="24"/>
          <w:szCs w:val="24"/>
        </w:rPr>
        <w:t>’s coal-fired</w:t>
      </w:r>
      <w:r w:rsidR="0065317A" w:rsidRPr="00DB7156">
        <w:rPr>
          <w:rFonts w:ascii="Arial" w:hAnsi="Arial" w:cs="Arial"/>
          <w:sz w:val="24"/>
          <w:szCs w:val="24"/>
        </w:rPr>
        <w:t xml:space="preserve"> units </w:t>
      </w:r>
      <w:r w:rsidRPr="00DB7156">
        <w:rPr>
          <w:rFonts w:ascii="Arial" w:hAnsi="Arial" w:cs="Arial"/>
          <w:sz w:val="24"/>
          <w:szCs w:val="24"/>
        </w:rPr>
        <w:t xml:space="preserve">since the 1990 </w:t>
      </w:r>
      <w:r w:rsidR="00552E66">
        <w:rPr>
          <w:rFonts w:ascii="Arial" w:hAnsi="Arial" w:cs="Arial"/>
          <w:sz w:val="24"/>
          <w:szCs w:val="24"/>
        </w:rPr>
        <w:t>CAAA</w:t>
      </w:r>
      <w:r w:rsidRPr="00DB7156">
        <w:rPr>
          <w:rFonts w:ascii="Arial" w:hAnsi="Arial" w:cs="Arial"/>
          <w:sz w:val="24"/>
          <w:szCs w:val="24"/>
        </w:rPr>
        <w:t xml:space="preserve">. </w:t>
      </w:r>
      <w:r w:rsidR="00461AC7">
        <w:rPr>
          <w:rFonts w:ascii="Arial" w:hAnsi="Arial" w:cs="Arial"/>
          <w:sz w:val="24"/>
          <w:szCs w:val="24"/>
        </w:rPr>
        <w:t>Continuing to operate</w:t>
      </w:r>
      <w:r w:rsidR="00E542AF">
        <w:rPr>
          <w:rFonts w:ascii="Arial" w:hAnsi="Arial" w:cs="Arial"/>
          <w:sz w:val="24"/>
          <w:szCs w:val="24"/>
        </w:rPr>
        <w:t xml:space="preserve"> the control equipment, as required to remain in compliance with the applicable rules, requires ongoing </w:t>
      </w:r>
      <w:r w:rsidR="005752F2">
        <w:rPr>
          <w:rFonts w:ascii="Arial" w:hAnsi="Arial" w:cs="Arial"/>
          <w:sz w:val="24"/>
          <w:szCs w:val="24"/>
        </w:rPr>
        <w:t xml:space="preserve">operation and </w:t>
      </w:r>
      <w:r w:rsidR="00E542AF">
        <w:rPr>
          <w:rFonts w:ascii="Arial" w:hAnsi="Arial" w:cs="Arial"/>
          <w:sz w:val="24"/>
          <w:szCs w:val="24"/>
        </w:rPr>
        <w:t>maintenance expend</w:t>
      </w:r>
      <w:r w:rsidR="00C92750">
        <w:rPr>
          <w:rFonts w:ascii="Arial" w:hAnsi="Arial" w:cs="Arial"/>
          <w:sz w:val="24"/>
          <w:szCs w:val="24"/>
        </w:rPr>
        <w:t>i</w:t>
      </w:r>
      <w:r w:rsidR="00E542AF">
        <w:rPr>
          <w:rFonts w:ascii="Arial" w:hAnsi="Arial" w:cs="Arial"/>
          <w:sz w:val="24"/>
          <w:szCs w:val="24"/>
        </w:rPr>
        <w:t xml:space="preserve">tures. </w:t>
      </w:r>
      <w:r w:rsidR="004D1C8A">
        <w:rPr>
          <w:rFonts w:ascii="Arial" w:hAnsi="Arial" w:cs="Arial"/>
          <w:sz w:val="24"/>
          <w:szCs w:val="24"/>
        </w:rPr>
        <w:t xml:space="preserve">The </w:t>
      </w:r>
      <w:r w:rsidR="004D1C8A" w:rsidRPr="00EB022C">
        <w:rPr>
          <w:rFonts w:ascii="Arial" w:hAnsi="Arial" w:cs="Arial"/>
          <w:sz w:val="24"/>
          <w:szCs w:val="24"/>
        </w:rPr>
        <w:t xml:space="preserve">Selected Supporting Information section of Technical Appendix Volume </w:t>
      </w:r>
      <w:r w:rsidR="00EB022C" w:rsidRPr="00EB022C">
        <w:rPr>
          <w:rFonts w:ascii="Arial" w:hAnsi="Arial" w:cs="Arial"/>
          <w:sz w:val="24"/>
          <w:szCs w:val="24"/>
        </w:rPr>
        <w:t>1</w:t>
      </w:r>
      <w:r w:rsidR="004D1C8A">
        <w:rPr>
          <w:rFonts w:ascii="Arial" w:hAnsi="Arial" w:cs="Arial"/>
          <w:sz w:val="24"/>
          <w:szCs w:val="24"/>
        </w:rPr>
        <w:t xml:space="preserve"> </w:t>
      </w:r>
      <w:r w:rsidR="00E542AF">
        <w:rPr>
          <w:rFonts w:ascii="Arial" w:hAnsi="Arial" w:cs="Arial"/>
          <w:sz w:val="24"/>
          <w:szCs w:val="24"/>
        </w:rPr>
        <w:t>outlines such anticipated estimates for the ongoing operational and main</w:t>
      </w:r>
      <w:r w:rsidR="00C92750">
        <w:rPr>
          <w:rFonts w:ascii="Arial" w:hAnsi="Arial" w:cs="Arial"/>
          <w:sz w:val="24"/>
          <w:szCs w:val="24"/>
        </w:rPr>
        <w:t>tenance</w:t>
      </w:r>
      <w:r w:rsidR="00E542AF">
        <w:rPr>
          <w:rFonts w:ascii="Arial" w:hAnsi="Arial" w:cs="Arial"/>
          <w:sz w:val="24"/>
          <w:szCs w:val="24"/>
        </w:rPr>
        <w:t xml:space="preserve"> requirements. </w:t>
      </w:r>
      <w:r w:rsidR="0097787F" w:rsidRPr="00DB7156">
        <w:rPr>
          <w:rFonts w:ascii="Arial" w:hAnsi="Arial" w:cs="Arial"/>
          <w:sz w:val="24"/>
          <w:szCs w:val="24"/>
        </w:rPr>
        <w:t>ECS-</w:t>
      </w:r>
      <w:r w:rsidRPr="00DB7156">
        <w:rPr>
          <w:rFonts w:ascii="Arial" w:hAnsi="Arial" w:cs="Arial"/>
          <w:sz w:val="24"/>
          <w:szCs w:val="24"/>
        </w:rPr>
        <w:t>Appendix A</w:t>
      </w:r>
      <w:r w:rsidRPr="00DB7156">
        <w:rPr>
          <w:rFonts w:ascii="Arial" w:hAnsi="Arial" w:cs="Arial"/>
          <w:b/>
          <w:sz w:val="24"/>
          <w:szCs w:val="24"/>
        </w:rPr>
        <w:t xml:space="preserve"> </w:t>
      </w:r>
      <w:r w:rsidRPr="00DB7156">
        <w:rPr>
          <w:rFonts w:ascii="Arial" w:hAnsi="Arial" w:cs="Arial"/>
          <w:sz w:val="24"/>
          <w:szCs w:val="24"/>
        </w:rPr>
        <w:t xml:space="preserve">provides a reference list of the acronyms/abbreviations used in the table for both controls and vendor names. See </w:t>
      </w:r>
      <w:r w:rsidR="00B67C6E" w:rsidRPr="00DB7156">
        <w:rPr>
          <w:rFonts w:ascii="Arial" w:hAnsi="Arial" w:cs="Arial"/>
          <w:sz w:val="24"/>
          <w:szCs w:val="24"/>
        </w:rPr>
        <w:t>ECS-</w:t>
      </w:r>
      <w:r w:rsidRPr="00DB7156">
        <w:rPr>
          <w:rFonts w:ascii="Arial" w:hAnsi="Arial" w:cs="Arial"/>
          <w:sz w:val="24"/>
          <w:szCs w:val="24"/>
        </w:rPr>
        <w:t xml:space="preserve">Appendix B for additional technical summaries on </w:t>
      </w:r>
      <w:r w:rsidR="00630362" w:rsidRPr="00DB7156">
        <w:rPr>
          <w:rFonts w:ascii="Arial" w:hAnsi="Arial" w:cs="Arial"/>
          <w:sz w:val="24"/>
          <w:szCs w:val="24"/>
        </w:rPr>
        <w:t xml:space="preserve">environmental </w:t>
      </w:r>
      <w:r w:rsidRPr="00DB7156">
        <w:rPr>
          <w:rFonts w:ascii="Arial" w:hAnsi="Arial" w:cs="Arial"/>
          <w:sz w:val="24"/>
          <w:szCs w:val="24"/>
        </w:rPr>
        <w:t>control technologies.</w:t>
      </w:r>
      <w:r w:rsidR="008739DA" w:rsidRPr="00DB7156">
        <w:rPr>
          <w:rFonts w:ascii="Arial" w:hAnsi="Arial" w:cs="Arial"/>
          <w:sz w:val="24"/>
          <w:szCs w:val="24"/>
        </w:rPr>
        <w:t xml:space="preserve"> </w:t>
      </w:r>
    </w:p>
    <w:p w14:paraId="22BA50D9" w14:textId="5A3EA2DA" w:rsidR="000767A6" w:rsidRPr="00DB7156" w:rsidRDefault="000767A6" w:rsidP="00DB7156">
      <w:pPr>
        <w:tabs>
          <w:tab w:val="left" w:pos="450"/>
        </w:tabs>
        <w:spacing w:after="0" w:line="240" w:lineRule="auto"/>
        <w:jc w:val="both"/>
        <w:rPr>
          <w:rFonts w:ascii="Arial" w:hAnsi="Arial" w:cs="Arial"/>
          <w:b/>
          <w:bCs/>
          <w:sz w:val="20"/>
          <w:szCs w:val="20"/>
        </w:rPr>
      </w:pPr>
    </w:p>
    <w:p w14:paraId="2FFA68A0" w14:textId="7722E03E" w:rsidR="00E1301C" w:rsidRPr="00DB7156" w:rsidRDefault="00E1301C" w:rsidP="00DB7156">
      <w:pPr>
        <w:tabs>
          <w:tab w:val="left" w:pos="450"/>
        </w:tabs>
        <w:spacing w:after="0" w:line="240" w:lineRule="auto"/>
        <w:jc w:val="both"/>
        <w:rPr>
          <w:rFonts w:ascii="Arial" w:hAnsi="Arial" w:cs="Arial"/>
          <w:b/>
          <w:bCs/>
          <w:sz w:val="20"/>
          <w:szCs w:val="20"/>
        </w:rPr>
      </w:pPr>
    </w:p>
    <w:p w14:paraId="1001B43F" w14:textId="5B5E4382" w:rsidR="00E1301C" w:rsidRPr="00DB7156" w:rsidRDefault="00E1301C" w:rsidP="00DB7156">
      <w:pPr>
        <w:tabs>
          <w:tab w:val="left" w:pos="450"/>
        </w:tabs>
        <w:spacing w:after="0" w:line="240" w:lineRule="auto"/>
        <w:jc w:val="both"/>
        <w:rPr>
          <w:rFonts w:ascii="Arial" w:hAnsi="Arial" w:cs="Arial"/>
          <w:b/>
          <w:bCs/>
          <w:sz w:val="20"/>
          <w:szCs w:val="20"/>
        </w:rPr>
      </w:pPr>
    </w:p>
    <w:p w14:paraId="4A50A9BE" w14:textId="3CA9B6F5" w:rsidR="00E1301C" w:rsidRPr="00DB7156" w:rsidRDefault="00E1301C" w:rsidP="00DB7156">
      <w:pPr>
        <w:tabs>
          <w:tab w:val="left" w:pos="450"/>
        </w:tabs>
        <w:spacing w:after="0" w:line="240" w:lineRule="auto"/>
        <w:jc w:val="both"/>
        <w:rPr>
          <w:rFonts w:ascii="Arial" w:hAnsi="Arial" w:cs="Arial"/>
          <w:b/>
          <w:bCs/>
          <w:sz w:val="20"/>
          <w:szCs w:val="20"/>
        </w:rPr>
      </w:pPr>
    </w:p>
    <w:p w14:paraId="55DCBA4E" w14:textId="6496BA12" w:rsidR="00E1301C" w:rsidRPr="00DB7156" w:rsidRDefault="00E1301C" w:rsidP="00DB7156">
      <w:pPr>
        <w:tabs>
          <w:tab w:val="left" w:pos="450"/>
        </w:tabs>
        <w:spacing w:after="0" w:line="240" w:lineRule="auto"/>
        <w:jc w:val="both"/>
        <w:rPr>
          <w:rFonts w:ascii="Arial" w:hAnsi="Arial" w:cs="Arial"/>
          <w:b/>
          <w:bCs/>
          <w:sz w:val="20"/>
          <w:szCs w:val="20"/>
        </w:rPr>
      </w:pPr>
    </w:p>
    <w:p w14:paraId="5D783ED9" w14:textId="18BB2796" w:rsidR="0044567E" w:rsidRPr="000A26A5" w:rsidRDefault="000767A6" w:rsidP="0044567E">
      <w:pPr>
        <w:tabs>
          <w:tab w:val="left" w:pos="450"/>
        </w:tabs>
        <w:spacing w:after="0" w:line="240" w:lineRule="auto"/>
        <w:jc w:val="both"/>
        <w:rPr>
          <w:rFonts w:ascii="Arial" w:hAnsi="Arial" w:cs="Arial"/>
          <w:b/>
          <w:bCs/>
          <w:sz w:val="24"/>
          <w:szCs w:val="24"/>
        </w:rPr>
      </w:pPr>
      <w:r w:rsidRPr="000A26A5">
        <w:rPr>
          <w:rFonts w:ascii="Arial" w:hAnsi="Arial" w:cs="Arial"/>
          <w:b/>
          <w:bCs/>
          <w:sz w:val="24"/>
          <w:szCs w:val="24"/>
        </w:rPr>
        <w:t xml:space="preserve">Table 4.1-1 Current </w:t>
      </w:r>
      <w:r w:rsidR="000F44B9" w:rsidRPr="000A26A5">
        <w:rPr>
          <w:rFonts w:ascii="Arial" w:hAnsi="Arial" w:cs="Arial"/>
          <w:b/>
          <w:bCs/>
          <w:sz w:val="24"/>
          <w:szCs w:val="24"/>
        </w:rPr>
        <w:t>Emissions Control</w:t>
      </w:r>
      <w:r w:rsidRPr="000A26A5">
        <w:rPr>
          <w:rFonts w:ascii="Arial" w:hAnsi="Arial" w:cs="Arial"/>
          <w:b/>
          <w:bCs/>
          <w:sz w:val="24"/>
          <w:szCs w:val="24"/>
        </w:rPr>
        <w:t xml:space="preserve"> Equipment</w:t>
      </w:r>
      <w:r w:rsidR="00EC3347" w:rsidRPr="000A26A5" w:rsidDel="00D12D23">
        <w:rPr>
          <w:sz w:val="24"/>
          <w:szCs w:val="24"/>
        </w:rPr>
        <w:t xml:space="preserve"> </w:t>
      </w:r>
    </w:p>
    <w:p w14:paraId="5B368CF2" w14:textId="77777777" w:rsidR="0044567E" w:rsidRDefault="0044567E" w:rsidP="00DB7156">
      <w:pPr>
        <w:spacing w:after="0" w:line="240" w:lineRule="auto"/>
        <w:jc w:val="both"/>
        <w:rPr>
          <w:rStyle w:val="CommentReference"/>
        </w:rPr>
      </w:pPr>
    </w:p>
    <w:tbl>
      <w:tblPr>
        <w:tblW w:w="8905" w:type="dxa"/>
        <w:tblLook w:val="04A0" w:firstRow="1" w:lastRow="0" w:firstColumn="1" w:lastColumn="0" w:noHBand="0" w:noVBand="1"/>
      </w:tblPr>
      <w:tblGrid>
        <w:gridCol w:w="1509"/>
        <w:gridCol w:w="1937"/>
        <w:gridCol w:w="2072"/>
        <w:gridCol w:w="1203"/>
        <w:gridCol w:w="2184"/>
      </w:tblGrid>
      <w:tr w:rsidR="0044567E" w:rsidRPr="0044567E" w14:paraId="3A82E4AB" w14:textId="77777777" w:rsidTr="0044567E">
        <w:trPr>
          <w:trHeight w:val="442"/>
        </w:trPr>
        <w:tc>
          <w:tcPr>
            <w:tcW w:w="1509" w:type="dxa"/>
            <w:tcBorders>
              <w:top w:val="single" w:sz="4" w:space="0" w:color="A6A6A6"/>
              <w:left w:val="single" w:sz="4" w:space="0" w:color="A6A6A6"/>
              <w:bottom w:val="single" w:sz="4" w:space="0" w:color="A6A6A6"/>
              <w:right w:val="single" w:sz="4" w:space="0" w:color="A6A6A6"/>
            </w:tcBorders>
            <w:shd w:val="clear" w:color="000000" w:fill="D9D9D9"/>
            <w:noWrap/>
            <w:vAlign w:val="center"/>
            <w:hideMark/>
          </w:tcPr>
          <w:p w14:paraId="56CA18FF" w14:textId="77777777" w:rsidR="0044567E" w:rsidRPr="0044567E" w:rsidRDefault="0044567E" w:rsidP="0044567E">
            <w:pPr>
              <w:spacing w:after="0" w:line="240" w:lineRule="auto"/>
              <w:jc w:val="center"/>
              <w:rPr>
                <w:rFonts w:ascii="Arial" w:hAnsi="Arial" w:cs="Arial"/>
                <w:b/>
                <w:bCs/>
                <w:color w:val="000000"/>
              </w:rPr>
            </w:pPr>
            <w:r w:rsidRPr="0044567E">
              <w:rPr>
                <w:rFonts w:ascii="Arial" w:hAnsi="Arial" w:cs="Arial"/>
                <w:b/>
                <w:bCs/>
                <w:color w:val="000000"/>
              </w:rPr>
              <w:t>Unit</w:t>
            </w:r>
          </w:p>
        </w:tc>
        <w:tc>
          <w:tcPr>
            <w:tcW w:w="1937" w:type="dxa"/>
            <w:tcBorders>
              <w:top w:val="single" w:sz="4" w:space="0" w:color="A6A6A6"/>
              <w:left w:val="nil"/>
              <w:bottom w:val="single" w:sz="4" w:space="0" w:color="A6A6A6"/>
              <w:right w:val="single" w:sz="4" w:space="0" w:color="A6A6A6"/>
            </w:tcBorders>
            <w:shd w:val="clear" w:color="000000" w:fill="D9D9D9"/>
            <w:vAlign w:val="center"/>
            <w:hideMark/>
          </w:tcPr>
          <w:p w14:paraId="222DDCDC" w14:textId="77777777" w:rsidR="0044567E" w:rsidRPr="0044567E" w:rsidRDefault="0044567E" w:rsidP="0044567E">
            <w:pPr>
              <w:spacing w:after="0" w:line="240" w:lineRule="auto"/>
              <w:jc w:val="center"/>
              <w:rPr>
                <w:rFonts w:ascii="Arial" w:hAnsi="Arial" w:cs="Arial"/>
                <w:b/>
                <w:bCs/>
                <w:color w:val="000000"/>
              </w:rPr>
            </w:pPr>
            <w:r w:rsidRPr="0044567E">
              <w:rPr>
                <w:rFonts w:ascii="Arial" w:hAnsi="Arial" w:cs="Arial"/>
                <w:b/>
                <w:bCs/>
                <w:color w:val="000000"/>
              </w:rPr>
              <w:t>Unit Type</w:t>
            </w:r>
          </w:p>
        </w:tc>
        <w:tc>
          <w:tcPr>
            <w:tcW w:w="2072" w:type="dxa"/>
            <w:tcBorders>
              <w:top w:val="single" w:sz="4" w:space="0" w:color="A6A6A6"/>
              <w:left w:val="nil"/>
              <w:bottom w:val="single" w:sz="4" w:space="0" w:color="A6A6A6"/>
              <w:right w:val="single" w:sz="4" w:space="0" w:color="A6A6A6"/>
            </w:tcBorders>
            <w:shd w:val="clear" w:color="000000" w:fill="D9D9D9"/>
            <w:vAlign w:val="center"/>
            <w:hideMark/>
          </w:tcPr>
          <w:p w14:paraId="547E9ED1" w14:textId="722AFEF4" w:rsidR="0044567E" w:rsidRPr="0044567E" w:rsidRDefault="0044567E" w:rsidP="0044567E">
            <w:pPr>
              <w:spacing w:after="0" w:line="240" w:lineRule="auto"/>
              <w:jc w:val="center"/>
              <w:rPr>
                <w:rFonts w:ascii="Arial" w:hAnsi="Arial" w:cs="Arial"/>
                <w:b/>
                <w:bCs/>
                <w:color w:val="000000"/>
              </w:rPr>
            </w:pPr>
            <w:r w:rsidRPr="0044567E">
              <w:rPr>
                <w:rFonts w:ascii="Arial" w:hAnsi="Arial" w:cs="Arial"/>
                <w:b/>
                <w:bCs/>
                <w:color w:val="000000"/>
              </w:rPr>
              <w:t>NOX Control</w:t>
            </w:r>
          </w:p>
        </w:tc>
        <w:tc>
          <w:tcPr>
            <w:tcW w:w="1203" w:type="dxa"/>
            <w:tcBorders>
              <w:top w:val="single" w:sz="4" w:space="0" w:color="A6A6A6"/>
              <w:left w:val="nil"/>
              <w:bottom w:val="single" w:sz="4" w:space="0" w:color="A6A6A6"/>
              <w:right w:val="single" w:sz="4" w:space="0" w:color="A6A6A6"/>
            </w:tcBorders>
            <w:shd w:val="clear" w:color="000000" w:fill="D9D9D9"/>
            <w:vAlign w:val="center"/>
            <w:hideMark/>
          </w:tcPr>
          <w:p w14:paraId="189F88ED" w14:textId="77777777" w:rsidR="0044567E" w:rsidRPr="0044567E" w:rsidRDefault="0044567E" w:rsidP="0044567E">
            <w:pPr>
              <w:spacing w:after="0" w:line="240" w:lineRule="auto"/>
              <w:jc w:val="center"/>
              <w:rPr>
                <w:rFonts w:ascii="Arial" w:hAnsi="Arial" w:cs="Arial"/>
                <w:b/>
                <w:bCs/>
                <w:color w:val="000000"/>
              </w:rPr>
            </w:pPr>
            <w:r w:rsidRPr="0044567E">
              <w:rPr>
                <w:rFonts w:ascii="Arial" w:hAnsi="Arial" w:cs="Arial"/>
                <w:b/>
                <w:bCs/>
                <w:color w:val="000000"/>
              </w:rPr>
              <w:t>SO2 Control</w:t>
            </w:r>
          </w:p>
        </w:tc>
        <w:tc>
          <w:tcPr>
            <w:tcW w:w="2184" w:type="dxa"/>
            <w:tcBorders>
              <w:top w:val="single" w:sz="4" w:space="0" w:color="A6A6A6"/>
              <w:left w:val="nil"/>
              <w:bottom w:val="single" w:sz="4" w:space="0" w:color="A6A6A6"/>
              <w:right w:val="single" w:sz="4" w:space="0" w:color="A6A6A6"/>
            </w:tcBorders>
            <w:shd w:val="clear" w:color="000000" w:fill="D9D9D9"/>
            <w:vAlign w:val="center"/>
            <w:hideMark/>
          </w:tcPr>
          <w:p w14:paraId="3B54AD23" w14:textId="77777777" w:rsidR="0044567E" w:rsidRPr="0044567E" w:rsidRDefault="0044567E" w:rsidP="0044567E">
            <w:pPr>
              <w:spacing w:after="0" w:line="240" w:lineRule="auto"/>
              <w:jc w:val="center"/>
              <w:rPr>
                <w:rFonts w:ascii="Arial" w:hAnsi="Arial" w:cs="Arial"/>
                <w:b/>
                <w:bCs/>
                <w:color w:val="000000"/>
              </w:rPr>
            </w:pPr>
            <w:r w:rsidRPr="0044567E">
              <w:rPr>
                <w:rFonts w:ascii="Arial" w:hAnsi="Arial" w:cs="Arial"/>
                <w:b/>
                <w:bCs/>
                <w:color w:val="000000"/>
              </w:rPr>
              <w:t>Mercury Control</w:t>
            </w:r>
          </w:p>
        </w:tc>
      </w:tr>
      <w:tr w:rsidR="0044567E" w:rsidRPr="0044567E" w14:paraId="3BB4E48C"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4A8B3C80"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Bowen 1</w:t>
            </w:r>
          </w:p>
        </w:tc>
        <w:tc>
          <w:tcPr>
            <w:tcW w:w="1937" w:type="dxa"/>
            <w:tcBorders>
              <w:top w:val="nil"/>
              <w:left w:val="nil"/>
              <w:bottom w:val="single" w:sz="4" w:space="0" w:color="A6A6A6"/>
              <w:right w:val="single" w:sz="4" w:space="0" w:color="A6A6A6"/>
            </w:tcBorders>
            <w:shd w:val="clear" w:color="auto" w:fill="auto"/>
            <w:noWrap/>
            <w:vAlign w:val="center"/>
            <w:hideMark/>
          </w:tcPr>
          <w:p w14:paraId="5A9CE62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5037007F"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691AF228"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49C8E98F" w14:textId="7683C0A9"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MRCS / FGD / SCR</w:t>
            </w:r>
          </w:p>
        </w:tc>
      </w:tr>
      <w:tr w:rsidR="0044567E" w:rsidRPr="0044567E" w14:paraId="1AE9B6FC"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25B0A148"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Bowen 2</w:t>
            </w:r>
          </w:p>
        </w:tc>
        <w:tc>
          <w:tcPr>
            <w:tcW w:w="1937" w:type="dxa"/>
            <w:tcBorders>
              <w:top w:val="nil"/>
              <w:left w:val="nil"/>
              <w:bottom w:val="single" w:sz="4" w:space="0" w:color="A6A6A6"/>
              <w:right w:val="single" w:sz="4" w:space="0" w:color="A6A6A6"/>
            </w:tcBorders>
            <w:shd w:val="clear" w:color="auto" w:fill="auto"/>
            <w:noWrap/>
            <w:vAlign w:val="center"/>
            <w:hideMark/>
          </w:tcPr>
          <w:p w14:paraId="04281982"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1167353F"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3F725B0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211AC44E" w14:textId="3783147F"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MRCS / FGD / SCR</w:t>
            </w:r>
          </w:p>
        </w:tc>
      </w:tr>
      <w:tr w:rsidR="0044567E" w:rsidRPr="0044567E" w14:paraId="38C41BD0"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131DA270"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Bowen 3</w:t>
            </w:r>
          </w:p>
        </w:tc>
        <w:tc>
          <w:tcPr>
            <w:tcW w:w="1937" w:type="dxa"/>
            <w:tcBorders>
              <w:top w:val="nil"/>
              <w:left w:val="nil"/>
              <w:bottom w:val="single" w:sz="4" w:space="0" w:color="A6A6A6"/>
              <w:right w:val="single" w:sz="4" w:space="0" w:color="A6A6A6"/>
            </w:tcBorders>
            <w:shd w:val="clear" w:color="auto" w:fill="auto"/>
            <w:noWrap/>
            <w:vAlign w:val="center"/>
            <w:hideMark/>
          </w:tcPr>
          <w:p w14:paraId="72ED61B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17CA0704"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3C7BE90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78A6F9A5" w14:textId="3AB624C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BH / FGD / SCR</w:t>
            </w:r>
          </w:p>
        </w:tc>
      </w:tr>
      <w:tr w:rsidR="0044567E" w:rsidRPr="0044567E" w14:paraId="56B71A21"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566BD18E"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Bowen 4</w:t>
            </w:r>
          </w:p>
        </w:tc>
        <w:tc>
          <w:tcPr>
            <w:tcW w:w="1937" w:type="dxa"/>
            <w:tcBorders>
              <w:top w:val="nil"/>
              <w:left w:val="nil"/>
              <w:bottom w:val="single" w:sz="4" w:space="0" w:color="A6A6A6"/>
              <w:right w:val="single" w:sz="4" w:space="0" w:color="A6A6A6"/>
            </w:tcBorders>
            <w:shd w:val="clear" w:color="auto" w:fill="auto"/>
            <w:noWrap/>
            <w:vAlign w:val="center"/>
            <w:hideMark/>
          </w:tcPr>
          <w:p w14:paraId="01530A02"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69B3A4E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2BC9F1E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7D523B3A" w14:textId="78ADBB8F"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BH / FGD / SCR</w:t>
            </w:r>
          </w:p>
        </w:tc>
      </w:tr>
      <w:tr w:rsidR="0044567E" w:rsidRPr="0044567E" w14:paraId="560CC552"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497239C8"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Gaston 1</w:t>
            </w:r>
          </w:p>
        </w:tc>
        <w:tc>
          <w:tcPr>
            <w:tcW w:w="1937" w:type="dxa"/>
            <w:tcBorders>
              <w:top w:val="nil"/>
              <w:left w:val="nil"/>
              <w:bottom w:val="single" w:sz="4" w:space="0" w:color="A6A6A6"/>
              <w:right w:val="single" w:sz="4" w:space="0" w:color="A6A6A6"/>
            </w:tcBorders>
            <w:shd w:val="clear" w:color="auto" w:fill="auto"/>
            <w:noWrap/>
            <w:vAlign w:val="center"/>
            <w:hideMark/>
          </w:tcPr>
          <w:p w14:paraId="3E1F86A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5A7E463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w:t>
            </w:r>
          </w:p>
        </w:tc>
        <w:tc>
          <w:tcPr>
            <w:tcW w:w="1203" w:type="dxa"/>
            <w:tcBorders>
              <w:top w:val="nil"/>
              <w:left w:val="nil"/>
              <w:bottom w:val="single" w:sz="4" w:space="0" w:color="A6A6A6"/>
              <w:right w:val="single" w:sz="4" w:space="0" w:color="A6A6A6"/>
            </w:tcBorders>
            <w:shd w:val="clear" w:color="auto" w:fill="auto"/>
            <w:noWrap/>
            <w:vAlign w:val="center"/>
            <w:hideMark/>
          </w:tcPr>
          <w:p w14:paraId="395925C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c>
          <w:tcPr>
            <w:tcW w:w="2184" w:type="dxa"/>
            <w:tcBorders>
              <w:top w:val="nil"/>
              <w:left w:val="nil"/>
              <w:bottom w:val="single" w:sz="4" w:space="0" w:color="A6A6A6"/>
              <w:right w:val="single" w:sz="4" w:space="0" w:color="A6A6A6"/>
            </w:tcBorders>
            <w:shd w:val="clear" w:color="auto" w:fill="auto"/>
            <w:noWrap/>
            <w:vAlign w:val="center"/>
            <w:hideMark/>
          </w:tcPr>
          <w:p w14:paraId="2C0BA6DA"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r>
      <w:tr w:rsidR="0044567E" w:rsidRPr="0044567E" w14:paraId="526297DC"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42FAC99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Gaston 2</w:t>
            </w:r>
          </w:p>
        </w:tc>
        <w:tc>
          <w:tcPr>
            <w:tcW w:w="1937" w:type="dxa"/>
            <w:tcBorders>
              <w:top w:val="nil"/>
              <w:left w:val="nil"/>
              <w:bottom w:val="single" w:sz="4" w:space="0" w:color="A6A6A6"/>
              <w:right w:val="single" w:sz="4" w:space="0" w:color="A6A6A6"/>
            </w:tcBorders>
            <w:shd w:val="clear" w:color="auto" w:fill="auto"/>
            <w:noWrap/>
            <w:vAlign w:val="center"/>
            <w:hideMark/>
          </w:tcPr>
          <w:p w14:paraId="2A1531F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0A2A0DA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w:t>
            </w:r>
          </w:p>
        </w:tc>
        <w:tc>
          <w:tcPr>
            <w:tcW w:w="1203" w:type="dxa"/>
            <w:tcBorders>
              <w:top w:val="nil"/>
              <w:left w:val="nil"/>
              <w:bottom w:val="single" w:sz="4" w:space="0" w:color="A6A6A6"/>
              <w:right w:val="single" w:sz="4" w:space="0" w:color="A6A6A6"/>
            </w:tcBorders>
            <w:shd w:val="clear" w:color="auto" w:fill="auto"/>
            <w:noWrap/>
            <w:vAlign w:val="center"/>
            <w:hideMark/>
          </w:tcPr>
          <w:p w14:paraId="0A5B438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c>
          <w:tcPr>
            <w:tcW w:w="2184" w:type="dxa"/>
            <w:tcBorders>
              <w:top w:val="nil"/>
              <w:left w:val="nil"/>
              <w:bottom w:val="single" w:sz="4" w:space="0" w:color="A6A6A6"/>
              <w:right w:val="single" w:sz="4" w:space="0" w:color="A6A6A6"/>
            </w:tcBorders>
            <w:shd w:val="clear" w:color="auto" w:fill="auto"/>
            <w:noWrap/>
            <w:vAlign w:val="center"/>
            <w:hideMark/>
          </w:tcPr>
          <w:p w14:paraId="6A3A1C75"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r>
      <w:tr w:rsidR="0044567E" w:rsidRPr="0044567E" w14:paraId="6E1DC274"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2B68A738"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Gaston 3</w:t>
            </w:r>
          </w:p>
        </w:tc>
        <w:tc>
          <w:tcPr>
            <w:tcW w:w="1937" w:type="dxa"/>
            <w:tcBorders>
              <w:top w:val="nil"/>
              <w:left w:val="nil"/>
              <w:bottom w:val="single" w:sz="4" w:space="0" w:color="A6A6A6"/>
              <w:right w:val="single" w:sz="4" w:space="0" w:color="A6A6A6"/>
            </w:tcBorders>
            <w:shd w:val="clear" w:color="auto" w:fill="auto"/>
            <w:noWrap/>
            <w:vAlign w:val="center"/>
            <w:hideMark/>
          </w:tcPr>
          <w:p w14:paraId="68E3D014"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06B28D1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w:t>
            </w:r>
          </w:p>
        </w:tc>
        <w:tc>
          <w:tcPr>
            <w:tcW w:w="1203" w:type="dxa"/>
            <w:tcBorders>
              <w:top w:val="nil"/>
              <w:left w:val="nil"/>
              <w:bottom w:val="single" w:sz="4" w:space="0" w:color="A6A6A6"/>
              <w:right w:val="single" w:sz="4" w:space="0" w:color="A6A6A6"/>
            </w:tcBorders>
            <w:shd w:val="clear" w:color="auto" w:fill="auto"/>
            <w:noWrap/>
            <w:vAlign w:val="center"/>
            <w:hideMark/>
          </w:tcPr>
          <w:p w14:paraId="0ADAC468"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c>
          <w:tcPr>
            <w:tcW w:w="2184" w:type="dxa"/>
            <w:tcBorders>
              <w:top w:val="nil"/>
              <w:left w:val="nil"/>
              <w:bottom w:val="single" w:sz="4" w:space="0" w:color="A6A6A6"/>
              <w:right w:val="single" w:sz="4" w:space="0" w:color="A6A6A6"/>
            </w:tcBorders>
            <w:shd w:val="clear" w:color="auto" w:fill="auto"/>
            <w:noWrap/>
            <w:vAlign w:val="center"/>
            <w:hideMark/>
          </w:tcPr>
          <w:p w14:paraId="05AD8D98"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r>
      <w:tr w:rsidR="0044567E" w:rsidRPr="0044567E" w14:paraId="7FCCEA6C"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06B9CBDD"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Gaston 4</w:t>
            </w:r>
          </w:p>
        </w:tc>
        <w:tc>
          <w:tcPr>
            <w:tcW w:w="1937" w:type="dxa"/>
            <w:tcBorders>
              <w:top w:val="nil"/>
              <w:left w:val="nil"/>
              <w:bottom w:val="single" w:sz="4" w:space="0" w:color="A6A6A6"/>
              <w:right w:val="single" w:sz="4" w:space="0" w:color="A6A6A6"/>
            </w:tcBorders>
            <w:shd w:val="clear" w:color="auto" w:fill="auto"/>
            <w:noWrap/>
            <w:vAlign w:val="center"/>
            <w:hideMark/>
          </w:tcPr>
          <w:p w14:paraId="20CE8A2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2E9765E5"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w:t>
            </w:r>
          </w:p>
        </w:tc>
        <w:tc>
          <w:tcPr>
            <w:tcW w:w="1203" w:type="dxa"/>
            <w:tcBorders>
              <w:top w:val="nil"/>
              <w:left w:val="nil"/>
              <w:bottom w:val="single" w:sz="4" w:space="0" w:color="A6A6A6"/>
              <w:right w:val="single" w:sz="4" w:space="0" w:color="A6A6A6"/>
            </w:tcBorders>
            <w:shd w:val="clear" w:color="auto" w:fill="auto"/>
            <w:noWrap/>
            <w:vAlign w:val="center"/>
            <w:hideMark/>
          </w:tcPr>
          <w:p w14:paraId="012CC69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c>
          <w:tcPr>
            <w:tcW w:w="2184" w:type="dxa"/>
            <w:tcBorders>
              <w:top w:val="nil"/>
              <w:left w:val="nil"/>
              <w:bottom w:val="single" w:sz="4" w:space="0" w:color="A6A6A6"/>
              <w:right w:val="single" w:sz="4" w:space="0" w:color="A6A6A6"/>
            </w:tcBorders>
            <w:shd w:val="clear" w:color="auto" w:fill="auto"/>
            <w:noWrap/>
            <w:vAlign w:val="center"/>
            <w:hideMark/>
          </w:tcPr>
          <w:p w14:paraId="2DCBD591"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r>
      <w:tr w:rsidR="0044567E" w:rsidRPr="0044567E" w14:paraId="358CD184"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734A3944"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Hammond 1</w:t>
            </w:r>
          </w:p>
        </w:tc>
        <w:tc>
          <w:tcPr>
            <w:tcW w:w="1937" w:type="dxa"/>
            <w:tcBorders>
              <w:top w:val="nil"/>
              <w:left w:val="nil"/>
              <w:bottom w:val="single" w:sz="4" w:space="0" w:color="A6A6A6"/>
              <w:right w:val="single" w:sz="4" w:space="0" w:color="A6A6A6"/>
            </w:tcBorders>
            <w:shd w:val="clear" w:color="auto" w:fill="auto"/>
            <w:noWrap/>
            <w:vAlign w:val="center"/>
            <w:hideMark/>
          </w:tcPr>
          <w:p w14:paraId="0183C9E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37E4B76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w:t>
            </w:r>
          </w:p>
        </w:tc>
        <w:tc>
          <w:tcPr>
            <w:tcW w:w="1203" w:type="dxa"/>
            <w:tcBorders>
              <w:top w:val="nil"/>
              <w:left w:val="nil"/>
              <w:bottom w:val="single" w:sz="4" w:space="0" w:color="A6A6A6"/>
              <w:right w:val="single" w:sz="4" w:space="0" w:color="A6A6A6"/>
            </w:tcBorders>
            <w:shd w:val="clear" w:color="auto" w:fill="auto"/>
            <w:noWrap/>
            <w:vAlign w:val="center"/>
            <w:hideMark/>
          </w:tcPr>
          <w:p w14:paraId="5C5C84C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645F42A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FGD</w:t>
            </w:r>
          </w:p>
        </w:tc>
      </w:tr>
      <w:tr w:rsidR="0044567E" w:rsidRPr="0044567E" w14:paraId="473A3C9C"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764E8E6A"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Hammond 2</w:t>
            </w:r>
          </w:p>
        </w:tc>
        <w:tc>
          <w:tcPr>
            <w:tcW w:w="1937" w:type="dxa"/>
            <w:tcBorders>
              <w:top w:val="nil"/>
              <w:left w:val="nil"/>
              <w:bottom w:val="single" w:sz="4" w:space="0" w:color="A6A6A6"/>
              <w:right w:val="single" w:sz="4" w:space="0" w:color="A6A6A6"/>
            </w:tcBorders>
            <w:shd w:val="clear" w:color="auto" w:fill="auto"/>
            <w:noWrap/>
            <w:vAlign w:val="center"/>
            <w:hideMark/>
          </w:tcPr>
          <w:p w14:paraId="3EBA7411"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120377E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w:t>
            </w:r>
          </w:p>
        </w:tc>
        <w:tc>
          <w:tcPr>
            <w:tcW w:w="1203" w:type="dxa"/>
            <w:tcBorders>
              <w:top w:val="nil"/>
              <w:left w:val="nil"/>
              <w:bottom w:val="single" w:sz="4" w:space="0" w:color="A6A6A6"/>
              <w:right w:val="single" w:sz="4" w:space="0" w:color="A6A6A6"/>
            </w:tcBorders>
            <w:shd w:val="clear" w:color="auto" w:fill="auto"/>
            <w:noWrap/>
            <w:vAlign w:val="center"/>
            <w:hideMark/>
          </w:tcPr>
          <w:p w14:paraId="2A1AEC6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65ECC47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FGD</w:t>
            </w:r>
          </w:p>
        </w:tc>
      </w:tr>
      <w:tr w:rsidR="0044567E" w:rsidRPr="0044567E" w14:paraId="032FCD95"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203400A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Hammond 3</w:t>
            </w:r>
          </w:p>
        </w:tc>
        <w:tc>
          <w:tcPr>
            <w:tcW w:w="1937" w:type="dxa"/>
            <w:tcBorders>
              <w:top w:val="nil"/>
              <w:left w:val="nil"/>
              <w:bottom w:val="single" w:sz="4" w:space="0" w:color="A6A6A6"/>
              <w:right w:val="single" w:sz="4" w:space="0" w:color="A6A6A6"/>
            </w:tcBorders>
            <w:shd w:val="clear" w:color="auto" w:fill="auto"/>
            <w:noWrap/>
            <w:vAlign w:val="center"/>
            <w:hideMark/>
          </w:tcPr>
          <w:p w14:paraId="060A6B5A"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58C51D42"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w:t>
            </w:r>
          </w:p>
        </w:tc>
        <w:tc>
          <w:tcPr>
            <w:tcW w:w="1203" w:type="dxa"/>
            <w:tcBorders>
              <w:top w:val="nil"/>
              <w:left w:val="nil"/>
              <w:bottom w:val="single" w:sz="4" w:space="0" w:color="A6A6A6"/>
              <w:right w:val="single" w:sz="4" w:space="0" w:color="A6A6A6"/>
            </w:tcBorders>
            <w:shd w:val="clear" w:color="auto" w:fill="auto"/>
            <w:noWrap/>
            <w:vAlign w:val="center"/>
            <w:hideMark/>
          </w:tcPr>
          <w:p w14:paraId="1D004458" w14:textId="3C0151EA"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2E4AB5DE"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FGD</w:t>
            </w:r>
          </w:p>
        </w:tc>
      </w:tr>
      <w:tr w:rsidR="0044567E" w:rsidRPr="0044567E" w14:paraId="252B34CA"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5BEE8EFD"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Hammond 4</w:t>
            </w:r>
          </w:p>
        </w:tc>
        <w:tc>
          <w:tcPr>
            <w:tcW w:w="1937" w:type="dxa"/>
            <w:tcBorders>
              <w:top w:val="nil"/>
              <w:left w:val="nil"/>
              <w:bottom w:val="single" w:sz="4" w:space="0" w:color="A6A6A6"/>
              <w:right w:val="single" w:sz="4" w:space="0" w:color="A6A6A6"/>
            </w:tcBorders>
            <w:shd w:val="clear" w:color="auto" w:fill="auto"/>
            <w:noWrap/>
            <w:vAlign w:val="center"/>
            <w:hideMark/>
          </w:tcPr>
          <w:p w14:paraId="69F0732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487E7795"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 / OFA / SCR</w:t>
            </w:r>
          </w:p>
        </w:tc>
        <w:tc>
          <w:tcPr>
            <w:tcW w:w="1203" w:type="dxa"/>
            <w:tcBorders>
              <w:top w:val="nil"/>
              <w:left w:val="nil"/>
              <w:bottom w:val="single" w:sz="4" w:space="0" w:color="A6A6A6"/>
              <w:right w:val="single" w:sz="4" w:space="0" w:color="A6A6A6"/>
            </w:tcBorders>
            <w:shd w:val="clear" w:color="auto" w:fill="auto"/>
            <w:noWrap/>
            <w:vAlign w:val="center"/>
            <w:hideMark/>
          </w:tcPr>
          <w:p w14:paraId="36BE75D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43BC2D86" w14:textId="19B04651"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FGD / SCR</w:t>
            </w:r>
          </w:p>
        </w:tc>
      </w:tr>
      <w:tr w:rsidR="0044567E" w:rsidRPr="0044567E" w14:paraId="68FE6D9E"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0594EB5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McIntosh 1</w:t>
            </w:r>
          </w:p>
        </w:tc>
        <w:tc>
          <w:tcPr>
            <w:tcW w:w="1937" w:type="dxa"/>
            <w:tcBorders>
              <w:top w:val="nil"/>
              <w:left w:val="nil"/>
              <w:bottom w:val="single" w:sz="4" w:space="0" w:color="A6A6A6"/>
              <w:right w:val="single" w:sz="4" w:space="0" w:color="A6A6A6"/>
            </w:tcBorders>
            <w:shd w:val="clear" w:color="auto" w:fill="auto"/>
            <w:noWrap/>
            <w:vAlign w:val="center"/>
            <w:hideMark/>
          </w:tcPr>
          <w:p w14:paraId="3D147CA2"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Wall Fired</w:t>
            </w:r>
          </w:p>
        </w:tc>
        <w:tc>
          <w:tcPr>
            <w:tcW w:w="2072" w:type="dxa"/>
            <w:tcBorders>
              <w:top w:val="nil"/>
              <w:left w:val="nil"/>
              <w:bottom w:val="single" w:sz="4" w:space="0" w:color="A6A6A6"/>
              <w:right w:val="single" w:sz="4" w:space="0" w:color="A6A6A6"/>
            </w:tcBorders>
            <w:shd w:val="clear" w:color="auto" w:fill="auto"/>
            <w:noWrap/>
            <w:vAlign w:val="center"/>
            <w:hideMark/>
          </w:tcPr>
          <w:p w14:paraId="55FE3681"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OFA</w:t>
            </w:r>
          </w:p>
        </w:tc>
        <w:tc>
          <w:tcPr>
            <w:tcW w:w="1203" w:type="dxa"/>
            <w:tcBorders>
              <w:top w:val="nil"/>
              <w:left w:val="nil"/>
              <w:bottom w:val="single" w:sz="4" w:space="0" w:color="A6A6A6"/>
              <w:right w:val="single" w:sz="4" w:space="0" w:color="A6A6A6"/>
            </w:tcBorders>
            <w:shd w:val="clear" w:color="auto" w:fill="auto"/>
            <w:noWrap/>
            <w:vAlign w:val="center"/>
            <w:hideMark/>
          </w:tcPr>
          <w:p w14:paraId="147DE30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t>
            </w:r>
          </w:p>
        </w:tc>
        <w:tc>
          <w:tcPr>
            <w:tcW w:w="2184" w:type="dxa"/>
            <w:tcBorders>
              <w:top w:val="nil"/>
              <w:left w:val="nil"/>
              <w:bottom w:val="single" w:sz="4" w:space="0" w:color="A6A6A6"/>
              <w:right w:val="single" w:sz="4" w:space="0" w:color="A6A6A6"/>
            </w:tcBorders>
            <w:shd w:val="clear" w:color="auto" w:fill="auto"/>
            <w:noWrap/>
            <w:vAlign w:val="center"/>
            <w:hideMark/>
          </w:tcPr>
          <w:p w14:paraId="3C7B808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DSI</w:t>
            </w:r>
          </w:p>
        </w:tc>
      </w:tr>
      <w:tr w:rsidR="0044567E" w:rsidRPr="0044567E" w14:paraId="4ABFC8B3"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03C0378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Scherer 1</w:t>
            </w:r>
          </w:p>
        </w:tc>
        <w:tc>
          <w:tcPr>
            <w:tcW w:w="1937" w:type="dxa"/>
            <w:tcBorders>
              <w:top w:val="nil"/>
              <w:left w:val="nil"/>
              <w:bottom w:val="single" w:sz="4" w:space="0" w:color="A6A6A6"/>
              <w:right w:val="single" w:sz="4" w:space="0" w:color="A6A6A6"/>
            </w:tcBorders>
            <w:shd w:val="clear" w:color="auto" w:fill="auto"/>
            <w:noWrap/>
            <w:vAlign w:val="center"/>
            <w:hideMark/>
          </w:tcPr>
          <w:p w14:paraId="001F8D9E"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558889C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7219F3DA"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68ACDDA4"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Baghouse / ACI</w:t>
            </w:r>
          </w:p>
        </w:tc>
      </w:tr>
      <w:tr w:rsidR="0044567E" w:rsidRPr="0044567E" w14:paraId="1620EE63"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3A8358FD"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Scherer 2</w:t>
            </w:r>
          </w:p>
        </w:tc>
        <w:tc>
          <w:tcPr>
            <w:tcW w:w="1937" w:type="dxa"/>
            <w:tcBorders>
              <w:top w:val="nil"/>
              <w:left w:val="nil"/>
              <w:bottom w:val="single" w:sz="4" w:space="0" w:color="A6A6A6"/>
              <w:right w:val="single" w:sz="4" w:space="0" w:color="A6A6A6"/>
            </w:tcBorders>
            <w:shd w:val="clear" w:color="auto" w:fill="auto"/>
            <w:noWrap/>
            <w:vAlign w:val="center"/>
            <w:hideMark/>
          </w:tcPr>
          <w:p w14:paraId="5BF9B335"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155CD52B"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256A8F17"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04002F3D"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Baghouse / ACI</w:t>
            </w:r>
          </w:p>
        </w:tc>
      </w:tr>
      <w:tr w:rsidR="0044567E" w:rsidRPr="0044567E" w14:paraId="686AE9E2"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0865FA6D"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Scherer 3</w:t>
            </w:r>
          </w:p>
        </w:tc>
        <w:tc>
          <w:tcPr>
            <w:tcW w:w="1937" w:type="dxa"/>
            <w:tcBorders>
              <w:top w:val="nil"/>
              <w:left w:val="nil"/>
              <w:bottom w:val="single" w:sz="4" w:space="0" w:color="A6A6A6"/>
              <w:right w:val="single" w:sz="4" w:space="0" w:color="A6A6A6"/>
            </w:tcBorders>
            <w:shd w:val="clear" w:color="auto" w:fill="auto"/>
            <w:noWrap/>
            <w:vAlign w:val="center"/>
            <w:hideMark/>
          </w:tcPr>
          <w:p w14:paraId="4B44CC6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2961D2E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28E5833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07E7F33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Baghouse / ACI</w:t>
            </w:r>
          </w:p>
        </w:tc>
      </w:tr>
      <w:tr w:rsidR="0044567E" w:rsidRPr="0044567E" w14:paraId="3CCC096D"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689B7FEE"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Wansley 1</w:t>
            </w:r>
          </w:p>
        </w:tc>
        <w:tc>
          <w:tcPr>
            <w:tcW w:w="1937" w:type="dxa"/>
            <w:tcBorders>
              <w:top w:val="nil"/>
              <w:left w:val="nil"/>
              <w:bottom w:val="single" w:sz="4" w:space="0" w:color="A6A6A6"/>
              <w:right w:val="single" w:sz="4" w:space="0" w:color="A6A6A6"/>
            </w:tcBorders>
            <w:shd w:val="clear" w:color="auto" w:fill="auto"/>
            <w:noWrap/>
            <w:vAlign w:val="center"/>
            <w:hideMark/>
          </w:tcPr>
          <w:p w14:paraId="3087BED4"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62B09E0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2CABA300"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4F9907C6" w14:textId="1A864FC5"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MRCS / FGD / SCR</w:t>
            </w:r>
          </w:p>
        </w:tc>
      </w:tr>
      <w:tr w:rsidR="0044567E" w:rsidRPr="0044567E" w14:paraId="01147C8E"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7A9273E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Wansley 2</w:t>
            </w:r>
          </w:p>
        </w:tc>
        <w:tc>
          <w:tcPr>
            <w:tcW w:w="1937" w:type="dxa"/>
            <w:tcBorders>
              <w:top w:val="nil"/>
              <w:left w:val="nil"/>
              <w:bottom w:val="single" w:sz="4" w:space="0" w:color="A6A6A6"/>
              <w:right w:val="single" w:sz="4" w:space="0" w:color="A6A6A6"/>
            </w:tcBorders>
            <w:shd w:val="clear" w:color="auto" w:fill="auto"/>
            <w:noWrap/>
            <w:vAlign w:val="center"/>
            <w:hideMark/>
          </w:tcPr>
          <w:p w14:paraId="5F759F43"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3E6BC3A7"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LNCFS II / SCR</w:t>
            </w:r>
          </w:p>
        </w:tc>
        <w:tc>
          <w:tcPr>
            <w:tcW w:w="1203" w:type="dxa"/>
            <w:tcBorders>
              <w:top w:val="nil"/>
              <w:left w:val="nil"/>
              <w:bottom w:val="single" w:sz="4" w:space="0" w:color="A6A6A6"/>
              <w:right w:val="single" w:sz="4" w:space="0" w:color="A6A6A6"/>
            </w:tcBorders>
            <w:shd w:val="clear" w:color="auto" w:fill="auto"/>
            <w:noWrap/>
            <w:vAlign w:val="center"/>
            <w:hideMark/>
          </w:tcPr>
          <w:p w14:paraId="473DB03D"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FGD</w:t>
            </w:r>
          </w:p>
        </w:tc>
        <w:tc>
          <w:tcPr>
            <w:tcW w:w="2184" w:type="dxa"/>
            <w:tcBorders>
              <w:top w:val="nil"/>
              <w:left w:val="nil"/>
              <w:bottom w:val="single" w:sz="4" w:space="0" w:color="A6A6A6"/>
              <w:right w:val="single" w:sz="4" w:space="0" w:color="A6A6A6"/>
            </w:tcBorders>
            <w:shd w:val="clear" w:color="auto" w:fill="auto"/>
            <w:noWrap/>
            <w:vAlign w:val="center"/>
            <w:hideMark/>
          </w:tcPr>
          <w:p w14:paraId="249EF472" w14:textId="2DAEF0D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ACI / ALK / MRCS / FGD / SCR</w:t>
            </w:r>
          </w:p>
        </w:tc>
      </w:tr>
      <w:tr w:rsidR="0044567E" w:rsidRPr="0044567E" w14:paraId="7D5E609F"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09FAFD7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Yates 6</w:t>
            </w:r>
          </w:p>
        </w:tc>
        <w:tc>
          <w:tcPr>
            <w:tcW w:w="1937" w:type="dxa"/>
            <w:tcBorders>
              <w:top w:val="nil"/>
              <w:left w:val="nil"/>
              <w:bottom w:val="single" w:sz="4" w:space="0" w:color="A6A6A6"/>
              <w:right w:val="single" w:sz="4" w:space="0" w:color="A6A6A6"/>
            </w:tcBorders>
            <w:shd w:val="clear" w:color="auto" w:fill="auto"/>
            <w:noWrap/>
            <w:vAlign w:val="center"/>
            <w:hideMark/>
          </w:tcPr>
          <w:p w14:paraId="7CDAD30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71DF01EE"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 SOFA</w:t>
            </w:r>
          </w:p>
        </w:tc>
        <w:tc>
          <w:tcPr>
            <w:tcW w:w="1203" w:type="dxa"/>
            <w:tcBorders>
              <w:top w:val="nil"/>
              <w:left w:val="nil"/>
              <w:bottom w:val="single" w:sz="4" w:space="0" w:color="A6A6A6"/>
              <w:right w:val="single" w:sz="4" w:space="0" w:color="A6A6A6"/>
            </w:tcBorders>
            <w:shd w:val="clear" w:color="auto" w:fill="auto"/>
            <w:noWrap/>
            <w:vAlign w:val="center"/>
            <w:hideMark/>
          </w:tcPr>
          <w:p w14:paraId="135A0139"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c>
          <w:tcPr>
            <w:tcW w:w="2184" w:type="dxa"/>
            <w:tcBorders>
              <w:top w:val="nil"/>
              <w:left w:val="nil"/>
              <w:bottom w:val="single" w:sz="4" w:space="0" w:color="A6A6A6"/>
              <w:right w:val="single" w:sz="4" w:space="0" w:color="A6A6A6"/>
            </w:tcBorders>
            <w:shd w:val="clear" w:color="auto" w:fill="auto"/>
            <w:noWrap/>
            <w:vAlign w:val="center"/>
            <w:hideMark/>
          </w:tcPr>
          <w:p w14:paraId="7EEDA1A0"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r>
      <w:tr w:rsidR="0044567E" w:rsidRPr="0044567E" w14:paraId="72B937E3" w14:textId="77777777" w:rsidTr="0044567E">
        <w:trPr>
          <w:trHeight w:val="460"/>
        </w:trPr>
        <w:tc>
          <w:tcPr>
            <w:tcW w:w="1509" w:type="dxa"/>
            <w:tcBorders>
              <w:top w:val="nil"/>
              <w:left w:val="single" w:sz="4" w:space="0" w:color="A6A6A6"/>
              <w:bottom w:val="single" w:sz="4" w:space="0" w:color="A6A6A6"/>
              <w:right w:val="single" w:sz="4" w:space="0" w:color="A6A6A6"/>
            </w:tcBorders>
            <w:shd w:val="clear" w:color="auto" w:fill="auto"/>
            <w:noWrap/>
            <w:vAlign w:val="center"/>
            <w:hideMark/>
          </w:tcPr>
          <w:p w14:paraId="28ADAA60"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Yates 7</w:t>
            </w:r>
          </w:p>
        </w:tc>
        <w:tc>
          <w:tcPr>
            <w:tcW w:w="1937" w:type="dxa"/>
            <w:tcBorders>
              <w:top w:val="nil"/>
              <w:left w:val="nil"/>
              <w:bottom w:val="single" w:sz="4" w:space="0" w:color="A6A6A6"/>
              <w:right w:val="single" w:sz="4" w:space="0" w:color="A6A6A6"/>
            </w:tcBorders>
            <w:shd w:val="clear" w:color="auto" w:fill="auto"/>
            <w:noWrap/>
            <w:vAlign w:val="center"/>
            <w:hideMark/>
          </w:tcPr>
          <w:p w14:paraId="296DED08"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Tangentially Fired</w:t>
            </w:r>
          </w:p>
        </w:tc>
        <w:tc>
          <w:tcPr>
            <w:tcW w:w="2072" w:type="dxa"/>
            <w:tcBorders>
              <w:top w:val="nil"/>
              <w:left w:val="nil"/>
              <w:bottom w:val="single" w:sz="4" w:space="0" w:color="A6A6A6"/>
              <w:right w:val="single" w:sz="4" w:space="0" w:color="A6A6A6"/>
            </w:tcBorders>
            <w:shd w:val="clear" w:color="auto" w:fill="auto"/>
            <w:noWrap/>
            <w:vAlign w:val="center"/>
            <w:hideMark/>
          </w:tcPr>
          <w:p w14:paraId="792B22AC"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LNB, SOFA</w:t>
            </w:r>
          </w:p>
        </w:tc>
        <w:tc>
          <w:tcPr>
            <w:tcW w:w="1203" w:type="dxa"/>
            <w:tcBorders>
              <w:top w:val="nil"/>
              <w:left w:val="nil"/>
              <w:bottom w:val="single" w:sz="4" w:space="0" w:color="A6A6A6"/>
              <w:right w:val="single" w:sz="4" w:space="0" w:color="A6A6A6"/>
            </w:tcBorders>
            <w:shd w:val="clear" w:color="auto" w:fill="auto"/>
            <w:noWrap/>
            <w:vAlign w:val="center"/>
            <w:hideMark/>
          </w:tcPr>
          <w:p w14:paraId="06DE075D"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c>
          <w:tcPr>
            <w:tcW w:w="2184" w:type="dxa"/>
            <w:tcBorders>
              <w:top w:val="nil"/>
              <w:left w:val="nil"/>
              <w:bottom w:val="single" w:sz="4" w:space="0" w:color="A6A6A6"/>
              <w:right w:val="single" w:sz="4" w:space="0" w:color="A6A6A6"/>
            </w:tcBorders>
            <w:shd w:val="clear" w:color="auto" w:fill="auto"/>
            <w:noWrap/>
            <w:vAlign w:val="center"/>
            <w:hideMark/>
          </w:tcPr>
          <w:p w14:paraId="0ECD3D66" w14:textId="77777777" w:rsidR="0044567E" w:rsidRPr="0044567E" w:rsidRDefault="0044567E" w:rsidP="0044567E">
            <w:pPr>
              <w:spacing w:after="0" w:line="240" w:lineRule="auto"/>
              <w:jc w:val="center"/>
              <w:rPr>
                <w:rFonts w:ascii="Arial" w:hAnsi="Arial" w:cs="Arial"/>
                <w:color w:val="000000"/>
                <w:sz w:val="20"/>
                <w:szCs w:val="20"/>
              </w:rPr>
            </w:pPr>
            <w:r w:rsidRPr="0044567E">
              <w:rPr>
                <w:rFonts w:ascii="Arial" w:hAnsi="Arial" w:cs="Arial"/>
                <w:color w:val="000000"/>
                <w:sz w:val="20"/>
                <w:szCs w:val="20"/>
              </w:rPr>
              <w:t>Gas Fired</w:t>
            </w:r>
          </w:p>
        </w:tc>
      </w:tr>
    </w:tbl>
    <w:p w14:paraId="0F13C785" w14:textId="41D9CA66" w:rsidR="007078E7" w:rsidRDefault="007078E7" w:rsidP="00DB7156">
      <w:pPr>
        <w:spacing w:after="0" w:line="240" w:lineRule="auto"/>
        <w:jc w:val="both"/>
        <w:rPr>
          <w:rFonts w:ascii="Arial" w:hAnsi="Arial" w:cs="Arial"/>
          <w:sz w:val="24"/>
          <w:szCs w:val="24"/>
        </w:rPr>
      </w:pPr>
    </w:p>
    <w:p w14:paraId="38E7C7B3" w14:textId="2A19673F" w:rsidR="007078E7" w:rsidRDefault="007078E7" w:rsidP="0052463C">
      <w:pPr>
        <w:spacing w:after="0" w:line="240" w:lineRule="auto"/>
        <w:jc w:val="center"/>
        <w:rPr>
          <w:rFonts w:ascii="Arial" w:hAnsi="Arial" w:cs="Arial"/>
          <w:sz w:val="24"/>
          <w:szCs w:val="24"/>
        </w:rPr>
      </w:pPr>
    </w:p>
    <w:p w14:paraId="19E70B3B" w14:textId="19291C5F" w:rsidR="004F3144"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The </w:t>
      </w:r>
      <w:r w:rsidR="00A40796">
        <w:rPr>
          <w:rFonts w:ascii="Arial" w:hAnsi="Arial" w:cs="Arial"/>
          <w:sz w:val="24"/>
          <w:szCs w:val="24"/>
        </w:rPr>
        <w:t xml:space="preserve">following </w:t>
      </w:r>
      <w:r w:rsidRPr="00DB7156">
        <w:rPr>
          <w:rFonts w:ascii="Arial" w:hAnsi="Arial" w:cs="Arial"/>
          <w:sz w:val="24"/>
          <w:szCs w:val="24"/>
        </w:rPr>
        <w:t>discussion details G</w:t>
      </w:r>
      <w:r w:rsidR="0065317A" w:rsidRPr="00DB7156">
        <w:rPr>
          <w:rFonts w:ascii="Arial" w:hAnsi="Arial" w:cs="Arial"/>
          <w:sz w:val="24"/>
          <w:szCs w:val="24"/>
        </w:rPr>
        <w:t>eorgia Power</w:t>
      </w:r>
      <w:r w:rsidRPr="00DB7156">
        <w:rPr>
          <w:rFonts w:ascii="Arial" w:hAnsi="Arial" w:cs="Arial"/>
          <w:sz w:val="24"/>
          <w:szCs w:val="24"/>
        </w:rPr>
        <w:t xml:space="preserve">’s compliance strategy as it relates to each </w:t>
      </w:r>
      <w:r w:rsidR="0079669E" w:rsidRPr="00DB7156">
        <w:rPr>
          <w:rFonts w:ascii="Arial" w:hAnsi="Arial" w:cs="Arial"/>
          <w:sz w:val="24"/>
          <w:szCs w:val="24"/>
        </w:rPr>
        <w:t>r</w:t>
      </w:r>
      <w:r w:rsidRPr="00DB7156">
        <w:rPr>
          <w:rFonts w:ascii="Arial" w:hAnsi="Arial" w:cs="Arial"/>
          <w:sz w:val="24"/>
          <w:szCs w:val="24"/>
        </w:rPr>
        <w:t>egulatory requirement.</w:t>
      </w:r>
    </w:p>
    <w:p w14:paraId="22BA51A3" w14:textId="25005C70" w:rsidR="00752263" w:rsidRPr="00DB7156" w:rsidRDefault="00752263" w:rsidP="00DB7156">
      <w:pPr>
        <w:spacing w:after="0" w:line="240" w:lineRule="auto"/>
        <w:jc w:val="both"/>
        <w:rPr>
          <w:rFonts w:ascii="Arial" w:hAnsi="Arial" w:cs="Arial"/>
          <w:b/>
          <w:bCs/>
          <w:color w:val="000080"/>
          <w:sz w:val="24"/>
          <w:szCs w:val="24"/>
        </w:rPr>
      </w:pPr>
      <w:r w:rsidRPr="00DB7156">
        <w:rPr>
          <w:rFonts w:ascii="Arial" w:hAnsi="Arial" w:cs="Arial"/>
          <w:sz w:val="24"/>
          <w:szCs w:val="24"/>
        </w:rPr>
        <w:t xml:space="preserve"> </w:t>
      </w:r>
    </w:p>
    <w:p w14:paraId="3C10B59B" w14:textId="77777777" w:rsidR="00A40796" w:rsidRDefault="00A40796">
      <w:pPr>
        <w:spacing w:after="0" w:line="240" w:lineRule="auto"/>
        <w:rPr>
          <w:rFonts w:ascii="Arial" w:hAnsi="Arial" w:cs="Arial"/>
          <w:b/>
          <w:bCs/>
          <w:color w:val="000080"/>
          <w:sz w:val="24"/>
          <w:szCs w:val="24"/>
        </w:rPr>
      </w:pPr>
      <w:bookmarkStart w:id="176" w:name="_Toc496107760"/>
      <w:bookmarkStart w:id="177" w:name="_Toc527987352"/>
      <w:bookmarkStart w:id="178" w:name="_Toc527983899"/>
      <w:bookmarkStart w:id="179" w:name="_Toc530487283"/>
      <w:r>
        <w:rPr>
          <w:rFonts w:ascii="Arial" w:hAnsi="Arial" w:cs="Arial"/>
          <w:b/>
          <w:bCs/>
          <w:color w:val="000080"/>
          <w:sz w:val="24"/>
          <w:szCs w:val="24"/>
        </w:rPr>
        <w:br w:type="page"/>
      </w:r>
    </w:p>
    <w:p w14:paraId="22BA51A4" w14:textId="7A9EE052" w:rsidR="00752263" w:rsidRPr="00DB7156" w:rsidRDefault="004F3144" w:rsidP="00DB7156">
      <w:pPr>
        <w:spacing w:after="0" w:line="240" w:lineRule="auto"/>
        <w:jc w:val="both"/>
        <w:outlineLvl w:val="2"/>
        <w:rPr>
          <w:rFonts w:ascii="Arial" w:hAnsi="Arial" w:cs="Arial"/>
          <w:b/>
          <w:bCs/>
          <w:color w:val="000080"/>
          <w:sz w:val="24"/>
          <w:szCs w:val="24"/>
        </w:rPr>
      </w:pPr>
      <w:bookmarkStart w:id="180" w:name="_Toc535908151"/>
      <w:r w:rsidRPr="00DB7156">
        <w:rPr>
          <w:rFonts w:ascii="Arial" w:hAnsi="Arial" w:cs="Arial"/>
          <w:b/>
          <w:bCs/>
          <w:color w:val="000080"/>
          <w:sz w:val="24"/>
          <w:szCs w:val="24"/>
        </w:rPr>
        <w:t>4.1.1</w:t>
      </w:r>
      <w:r w:rsidRPr="00DB7156">
        <w:rPr>
          <w:rFonts w:ascii="Arial" w:hAnsi="Arial" w:cs="Arial"/>
          <w:b/>
          <w:bCs/>
          <w:color w:val="000080"/>
          <w:sz w:val="24"/>
          <w:szCs w:val="24"/>
        </w:rPr>
        <w:tab/>
        <w:t>SO</w:t>
      </w:r>
      <w:r w:rsidRPr="00DB7156">
        <w:rPr>
          <w:rFonts w:ascii="Arial" w:hAnsi="Arial" w:cs="Arial"/>
          <w:b/>
          <w:bCs/>
          <w:color w:val="000080"/>
          <w:sz w:val="24"/>
          <w:szCs w:val="24"/>
          <w:vertAlign w:val="subscript"/>
        </w:rPr>
        <w:t>2</w:t>
      </w:r>
      <w:r w:rsidRPr="00DB7156">
        <w:rPr>
          <w:rFonts w:ascii="Arial" w:hAnsi="Arial" w:cs="Arial"/>
          <w:b/>
          <w:bCs/>
          <w:color w:val="000080"/>
          <w:sz w:val="24"/>
          <w:szCs w:val="24"/>
        </w:rPr>
        <w:t xml:space="preserve"> Compliance</w:t>
      </w:r>
      <w:bookmarkEnd w:id="176"/>
      <w:bookmarkEnd w:id="177"/>
      <w:bookmarkEnd w:id="178"/>
      <w:bookmarkEnd w:id="179"/>
      <w:bookmarkEnd w:id="180"/>
    </w:p>
    <w:p w14:paraId="22BA51A6" w14:textId="27EE82B0" w:rsidR="003C720F" w:rsidRPr="00DB7156" w:rsidRDefault="003C720F"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bookmarkStart w:id="181" w:name="_Toc345263813"/>
      <w:bookmarkEnd w:id="181"/>
    </w:p>
    <w:p w14:paraId="22BA51A7" w14:textId="6892AADA" w:rsidR="00014AA9" w:rsidRPr="00DB7156" w:rsidRDefault="008E12B6"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Since 2007, the SO</w:t>
      </w:r>
      <w:r w:rsidRPr="00DB7156">
        <w:rPr>
          <w:rFonts w:ascii="Arial" w:hAnsi="Arial" w:cs="Arial"/>
          <w:sz w:val="24"/>
          <w:szCs w:val="24"/>
          <w:vertAlign w:val="subscript"/>
        </w:rPr>
        <w:t>2</w:t>
      </w:r>
      <w:r w:rsidRPr="00DB7156">
        <w:rPr>
          <w:rFonts w:ascii="Arial" w:hAnsi="Arial" w:cs="Arial"/>
          <w:sz w:val="24"/>
          <w:szCs w:val="24"/>
        </w:rPr>
        <w:t xml:space="preserve"> controls strategy and schedule for Georgia Power have been largely mapped out by the requirements in the </w:t>
      </w:r>
      <w:r w:rsidR="0065317A" w:rsidRPr="00DB7156">
        <w:rPr>
          <w:rFonts w:ascii="Arial" w:hAnsi="Arial" w:cs="Arial"/>
          <w:sz w:val="24"/>
          <w:szCs w:val="24"/>
        </w:rPr>
        <w:t xml:space="preserve">Georgia </w:t>
      </w:r>
      <w:r w:rsidRPr="00DB7156">
        <w:rPr>
          <w:rFonts w:ascii="Arial" w:hAnsi="Arial" w:cs="Arial"/>
          <w:sz w:val="24"/>
          <w:szCs w:val="24"/>
        </w:rPr>
        <w:t>Multipollutant Rule and the companion SO</w:t>
      </w:r>
      <w:r w:rsidRPr="00DB7156">
        <w:rPr>
          <w:rFonts w:ascii="Arial" w:hAnsi="Arial" w:cs="Arial"/>
          <w:sz w:val="24"/>
          <w:szCs w:val="24"/>
          <w:vertAlign w:val="subscript"/>
        </w:rPr>
        <w:t>2</w:t>
      </w:r>
      <w:r w:rsidRPr="00DB7156">
        <w:rPr>
          <w:rFonts w:ascii="Arial" w:hAnsi="Arial" w:cs="Arial"/>
          <w:sz w:val="24"/>
          <w:szCs w:val="24"/>
        </w:rPr>
        <w:t xml:space="preserve"> Emissions Rule. </w:t>
      </w:r>
      <w:r w:rsidR="00014AA9" w:rsidRPr="00DB7156">
        <w:rPr>
          <w:rFonts w:ascii="Arial" w:hAnsi="Arial" w:cs="Arial"/>
          <w:sz w:val="24"/>
          <w:szCs w:val="24"/>
        </w:rPr>
        <w:t>The Georgia Multipollutant Rule require</w:t>
      </w:r>
      <w:r w:rsidR="00FE79B6" w:rsidRPr="00DB7156">
        <w:rPr>
          <w:rFonts w:ascii="Arial" w:hAnsi="Arial" w:cs="Arial"/>
          <w:sz w:val="24"/>
          <w:szCs w:val="24"/>
        </w:rPr>
        <w:t>d</w:t>
      </w:r>
      <w:r w:rsidR="00014AA9" w:rsidRPr="00DB7156">
        <w:rPr>
          <w:rFonts w:ascii="Arial" w:hAnsi="Arial" w:cs="Arial"/>
          <w:sz w:val="24"/>
          <w:szCs w:val="24"/>
        </w:rPr>
        <w:t xml:space="preserve"> the installation and operation of </w:t>
      </w:r>
      <w:r w:rsidR="0044567E">
        <w:rPr>
          <w:rFonts w:ascii="Arial" w:hAnsi="Arial" w:cs="Arial"/>
          <w:sz w:val="24"/>
          <w:szCs w:val="24"/>
        </w:rPr>
        <w:t>FGD</w:t>
      </w:r>
      <w:r w:rsidR="00014AA9" w:rsidRPr="00DB7156">
        <w:rPr>
          <w:rFonts w:ascii="Arial" w:hAnsi="Arial" w:cs="Arial"/>
          <w:sz w:val="24"/>
          <w:szCs w:val="24"/>
        </w:rPr>
        <w:t xml:space="preserve"> systems at certain units by specified dates between 2008 and 2015</w:t>
      </w:r>
      <w:r w:rsidR="0044093E" w:rsidRPr="00DB7156">
        <w:rPr>
          <w:rFonts w:ascii="Arial" w:hAnsi="Arial" w:cs="Arial"/>
          <w:sz w:val="24"/>
          <w:szCs w:val="24"/>
        </w:rPr>
        <w:t xml:space="preserve"> and require</w:t>
      </w:r>
      <w:r w:rsidR="00FE79B6" w:rsidRPr="00DB7156">
        <w:rPr>
          <w:rFonts w:ascii="Arial" w:hAnsi="Arial" w:cs="Arial"/>
          <w:sz w:val="24"/>
          <w:szCs w:val="24"/>
        </w:rPr>
        <w:t>d</w:t>
      </w:r>
      <w:r w:rsidR="0044093E" w:rsidRPr="00DB7156">
        <w:rPr>
          <w:rFonts w:ascii="Arial" w:hAnsi="Arial" w:cs="Arial"/>
          <w:sz w:val="24"/>
          <w:szCs w:val="24"/>
        </w:rPr>
        <w:t xml:space="preserve"> switching from coal to natural gas for units at Plant Yates</w:t>
      </w:r>
      <w:r w:rsidR="00014AA9" w:rsidRPr="00DB7156">
        <w:rPr>
          <w:rFonts w:ascii="Arial" w:hAnsi="Arial" w:cs="Arial"/>
          <w:sz w:val="24"/>
          <w:szCs w:val="24"/>
        </w:rPr>
        <w:t xml:space="preserve">. </w:t>
      </w:r>
      <w:r w:rsidR="0065317A" w:rsidRPr="00DB7156">
        <w:rPr>
          <w:rFonts w:ascii="Arial" w:hAnsi="Arial" w:cs="Arial"/>
          <w:sz w:val="24"/>
          <w:szCs w:val="24"/>
        </w:rPr>
        <w:t xml:space="preserve">In addition to the reductions that have been driven by the </w:t>
      </w:r>
      <w:r w:rsidR="00552E66">
        <w:rPr>
          <w:rFonts w:ascii="Arial" w:hAnsi="Arial" w:cs="Arial"/>
          <w:sz w:val="24"/>
          <w:szCs w:val="24"/>
        </w:rPr>
        <w:t xml:space="preserve">Georgia </w:t>
      </w:r>
      <w:r w:rsidR="0065317A" w:rsidRPr="00DB7156">
        <w:rPr>
          <w:rFonts w:ascii="Arial" w:hAnsi="Arial" w:cs="Arial"/>
          <w:sz w:val="24"/>
          <w:szCs w:val="24"/>
        </w:rPr>
        <w:t>Multipollutant Rule, t</w:t>
      </w:r>
      <w:r w:rsidR="00014AA9" w:rsidRPr="00DB7156">
        <w:rPr>
          <w:rFonts w:ascii="Arial" w:hAnsi="Arial" w:cs="Arial"/>
          <w:sz w:val="24"/>
          <w:szCs w:val="24"/>
        </w:rPr>
        <w:t>he sections below review the historical, ongoing, and expected potential impacts of other rules on the SO</w:t>
      </w:r>
      <w:r w:rsidR="00014AA9" w:rsidRPr="00DB7156">
        <w:rPr>
          <w:rFonts w:ascii="Arial" w:hAnsi="Arial" w:cs="Arial"/>
          <w:sz w:val="24"/>
          <w:szCs w:val="24"/>
          <w:vertAlign w:val="subscript"/>
        </w:rPr>
        <w:t>2</w:t>
      </w:r>
      <w:r w:rsidR="00014AA9" w:rsidRPr="00DB7156">
        <w:rPr>
          <w:rFonts w:ascii="Arial" w:hAnsi="Arial" w:cs="Arial"/>
          <w:sz w:val="24"/>
          <w:szCs w:val="24"/>
        </w:rPr>
        <w:t xml:space="preserve"> compliance strategy.  </w:t>
      </w:r>
    </w:p>
    <w:p w14:paraId="22BA51A8" w14:textId="77777777" w:rsidR="008E12B6" w:rsidRPr="00DB7156" w:rsidRDefault="008E12B6"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 xml:space="preserve"> </w:t>
      </w:r>
    </w:p>
    <w:p w14:paraId="22BA51A9" w14:textId="77777777" w:rsidR="003C720F" w:rsidRPr="00DB7156" w:rsidRDefault="003C720F"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Acid Rain SO</w:t>
      </w:r>
      <w:r w:rsidRPr="00DB7156">
        <w:rPr>
          <w:rFonts w:ascii="Arial" w:hAnsi="Arial" w:cs="Arial"/>
          <w:b/>
          <w:bCs/>
          <w:color w:val="000080"/>
          <w:sz w:val="24"/>
          <w:szCs w:val="24"/>
          <w:vertAlign w:val="subscript"/>
        </w:rPr>
        <w:t>2</w:t>
      </w:r>
      <w:r w:rsidRPr="00DB7156">
        <w:rPr>
          <w:rFonts w:ascii="Arial" w:hAnsi="Arial" w:cs="Arial"/>
          <w:b/>
          <w:bCs/>
          <w:color w:val="000080"/>
          <w:sz w:val="24"/>
          <w:szCs w:val="24"/>
        </w:rPr>
        <w:t xml:space="preserve"> Compliance Review </w:t>
      </w:r>
    </w:p>
    <w:p w14:paraId="3A80FEF2" w14:textId="28F69751" w:rsidR="0073494E" w:rsidRPr="00DB7156" w:rsidRDefault="005F58F0"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The Acid Rain Program sets a cap on SO</w:t>
      </w:r>
      <w:r w:rsidRPr="00DB7156">
        <w:rPr>
          <w:rFonts w:ascii="Arial" w:hAnsi="Arial" w:cs="Arial"/>
          <w:sz w:val="24"/>
          <w:szCs w:val="24"/>
          <w:vertAlign w:val="subscript"/>
        </w:rPr>
        <w:t>2</w:t>
      </w:r>
      <w:r w:rsidRPr="00DB7156">
        <w:rPr>
          <w:rFonts w:ascii="Arial" w:hAnsi="Arial" w:cs="Arial"/>
          <w:sz w:val="24"/>
          <w:szCs w:val="24"/>
        </w:rPr>
        <w:t xml:space="preserve"> emissions </w:t>
      </w:r>
      <w:r w:rsidR="00C80D61" w:rsidRPr="00DB7156">
        <w:rPr>
          <w:rFonts w:ascii="Arial" w:hAnsi="Arial" w:cs="Arial"/>
          <w:sz w:val="24"/>
          <w:szCs w:val="24"/>
        </w:rPr>
        <w:t xml:space="preserve">from power plants </w:t>
      </w:r>
      <w:r w:rsidRPr="00DB7156">
        <w:rPr>
          <w:rFonts w:ascii="Arial" w:hAnsi="Arial" w:cs="Arial"/>
          <w:sz w:val="24"/>
          <w:szCs w:val="24"/>
        </w:rPr>
        <w:t>by allocating a fixed number of allowances to each unit</w:t>
      </w:r>
      <w:r w:rsidR="00C80D61" w:rsidRPr="00DB7156">
        <w:rPr>
          <w:rFonts w:ascii="Arial" w:hAnsi="Arial" w:cs="Arial"/>
          <w:sz w:val="24"/>
          <w:szCs w:val="24"/>
        </w:rPr>
        <w:t xml:space="preserve"> subject to the program</w:t>
      </w:r>
      <w:r w:rsidRPr="00DB7156">
        <w:rPr>
          <w:rFonts w:ascii="Arial" w:hAnsi="Arial" w:cs="Arial"/>
          <w:sz w:val="24"/>
          <w:szCs w:val="24"/>
        </w:rPr>
        <w:t>. At the end of each year, a unit must surrender allowances in an amount equal to the number of tons of SO</w:t>
      </w:r>
      <w:r w:rsidRPr="00DB7156">
        <w:rPr>
          <w:rFonts w:ascii="Arial" w:hAnsi="Arial" w:cs="Arial"/>
          <w:sz w:val="24"/>
          <w:szCs w:val="24"/>
          <w:vertAlign w:val="subscript"/>
        </w:rPr>
        <w:t>2</w:t>
      </w:r>
      <w:r w:rsidRPr="00DB7156">
        <w:rPr>
          <w:rFonts w:ascii="Arial" w:hAnsi="Arial" w:cs="Arial"/>
          <w:sz w:val="24"/>
          <w:szCs w:val="24"/>
        </w:rPr>
        <w:t xml:space="preserve"> </w:t>
      </w:r>
      <w:r w:rsidR="00BB4EC8" w:rsidRPr="00DB7156">
        <w:rPr>
          <w:rFonts w:ascii="Arial" w:hAnsi="Arial" w:cs="Arial"/>
          <w:sz w:val="24"/>
          <w:szCs w:val="24"/>
        </w:rPr>
        <w:t>emitted</w:t>
      </w:r>
      <w:r w:rsidRPr="00DB7156">
        <w:rPr>
          <w:rFonts w:ascii="Arial" w:hAnsi="Arial" w:cs="Arial"/>
          <w:sz w:val="24"/>
          <w:szCs w:val="24"/>
        </w:rPr>
        <w:t xml:space="preserve">. </w:t>
      </w:r>
      <w:r w:rsidR="00BB4EC8" w:rsidRPr="00DB7156">
        <w:rPr>
          <w:rFonts w:ascii="Arial" w:hAnsi="Arial" w:cs="Arial"/>
          <w:sz w:val="24"/>
          <w:szCs w:val="24"/>
        </w:rPr>
        <w:t xml:space="preserve">Unused allowances may be sold </w:t>
      </w:r>
      <w:r w:rsidR="00C80D61" w:rsidRPr="00DB7156">
        <w:rPr>
          <w:rFonts w:ascii="Arial" w:hAnsi="Arial" w:cs="Arial"/>
          <w:sz w:val="24"/>
          <w:szCs w:val="24"/>
        </w:rPr>
        <w:t xml:space="preserve">to offset the cost of compliance </w:t>
      </w:r>
      <w:r w:rsidR="00BB4EC8" w:rsidRPr="00DB7156">
        <w:rPr>
          <w:rFonts w:ascii="Arial" w:hAnsi="Arial" w:cs="Arial"/>
          <w:sz w:val="24"/>
          <w:szCs w:val="24"/>
        </w:rPr>
        <w:t xml:space="preserve">or saved, i.e., banked, for future use. </w:t>
      </w:r>
      <w:r w:rsidR="0073494E" w:rsidRPr="00DB7156">
        <w:rPr>
          <w:rFonts w:ascii="Arial" w:hAnsi="Arial" w:cs="Arial"/>
          <w:sz w:val="24"/>
          <w:szCs w:val="24"/>
        </w:rPr>
        <w:t xml:space="preserve">Initial allowance allocations were received in 1995 when Phase I of the program began. </w:t>
      </w:r>
      <w:r w:rsidR="005F05EA" w:rsidRPr="00DB7156">
        <w:rPr>
          <w:rFonts w:ascii="Arial" w:hAnsi="Arial" w:cs="Arial"/>
          <w:sz w:val="24"/>
          <w:szCs w:val="24"/>
        </w:rPr>
        <w:t xml:space="preserve">When Phase II began in 2000, the </w:t>
      </w:r>
      <w:r w:rsidR="00B9661B" w:rsidRPr="00DB7156">
        <w:rPr>
          <w:rFonts w:ascii="Arial" w:hAnsi="Arial" w:cs="Arial"/>
          <w:sz w:val="24"/>
          <w:szCs w:val="24"/>
        </w:rPr>
        <w:t xml:space="preserve">number of allowances available </w:t>
      </w:r>
      <w:r w:rsidR="005F05EA" w:rsidRPr="00DB7156">
        <w:rPr>
          <w:rFonts w:ascii="Arial" w:hAnsi="Arial" w:cs="Arial"/>
          <w:sz w:val="24"/>
          <w:szCs w:val="24"/>
        </w:rPr>
        <w:t>was</w:t>
      </w:r>
      <w:r w:rsidR="00B9661B" w:rsidRPr="00DB7156">
        <w:rPr>
          <w:rFonts w:ascii="Arial" w:hAnsi="Arial" w:cs="Arial"/>
          <w:sz w:val="24"/>
          <w:szCs w:val="24"/>
        </w:rPr>
        <w:t xml:space="preserve"> reduced to </w:t>
      </w:r>
      <w:r w:rsidR="005F05EA" w:rsidRPr="00DB7156">
        <w:rPr>
          <w:rFonts w:ascii="Arial" w:hAnsi="Arial" w:cs="Arial"/>
          <w:sz w:val="24"/>
          <w:szCs w:val="24"/>
        </w:rPr>
        <w:t xml:space="preserve">limit </w:t>
      </w:r>
      <w:r w:rsidR="005C02FF" w:rsidRPr="00DB7156">
        <w:rPr>
          <w:rFonts w:ascii="Arial" w:hAnsi="Arial" w:cs="Arial"/>
          <w:sz w:val="24"/>
          <w:szCs w:val="24"/>
        </w:rPr>
        <w:t>SO</w:t>
      </w:r>
      <w:r w:rsidR="005C02FF" w:rsidRPr="00DB7156">
        <w:rPr>
          <w:rFonts w:ascii="Arial" w:hAnsi="Arial" w:cs="Arial"/>
          <w:sz w:val="24"/>
          <w:szCs w:val="24"/>
          <w:vertAlign w:val="subscript"/>
        </w:rPr>
        <w:t>2</w:t>
      </w:r>
      <w:r w:rsidR="005C02FF" w:rsidRPr="00DB7156">
        <w:rPr>
          <w:rFonts w:ascii="Arial" w:hAnsi="Arial" w:cs="Arial"/>
          <w:sz w:val="24"/>
          <w:szCs w:val="24"/>
        </w:rPr>
        <w:t xml:space="preserve"> </w:t>
      </w:r>
      <w:r w:rsidR="005F05EA" w:rsidRPr="00DB7156">
        <w:rPr>
          <w:rFonts w:ascii="Arial" w:hAnsi="Arial" w:cs="Arial"/>
          <w:sz w:val="24"/>
          <w:szCs w:val="24"/>
        </w:rPr>
        <w:t xml:space="preserve">emissions to </w:t>
      </w:r>
      <w:r w:rsidR="00B9661B" w:rsidRPr="00DB7156">
        <w:rPr>
          <w:rFonts w:ascii="Arial" w:hAnsi="Arial" w:cs="Arial"/>
          <w:sz w:val="24"/>
          <w:szCs w:val="24"/>
        </w:rPr>
        <w:t>50% below 1980 levels by 2010.</w:t>
      </w:r>
    </w:p>
    <w:p w14:paraId="617BF30E" w14:textId="77777777" w:rsidR="0073494E" w:rsidRPr="00DB7156" w:rsidRDefault="0073494E"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p>
    <w:p w14:paraId="22BA51AA" w14:textId="1D421ADD" w:rsidR="00752263" w:rsidRPr="00DB7156" w:rsidRDefault="005F58F0" w:rsidP="00DB7156">
      <w:pPr>
        <w:tabs>
          <w:tab w:val="left" w:pos="1428"/>
          <w:tab w:val="left" w:pos="4716"/>
          <w:tab w:val="left" w:pos="4896"/>
          <w:tab w:val="left" w:pos="6718"/>
        </w:tabs>
        <w:suppressAutoHyphens/>
        <w:spacing w:after="0" w:line="240" w:lineRule="auto"/>
        <w:jc w:val="both"/>
        <w:rPr>
          <w:rFonts w:ascii="Arial" w:hAnsi="Arial" w:cs="Arial"/>
          <w:color w:val="000080"/>
          <w:sz w:val="24"/>
          <w:szCs w:val="24"/>
          <w:u w:val="single"/>
        </w:rPr>
      </w:pPr>
      <w:r w:rsidRPr="00DB7156">
        <w:rPr>
          <w:rFonts w:ascii="Arial" w:hAnsi="Arial" w:cs="Arial"/>
          <w:sz w:val="24"/>
          <w:szCs w:val="24"/>
        </w:rPr>
        <w:t>Historically, Georgia Power’s compliance strategy relied heavily upon use of low-sulfur coal</w:t>
      </w:r>
      <w:r w:rsidR="00BB4EC8" w:rsidRPr="00DB7156">
        <w:rPr>
          <w:rFonts w:ascii="Arial" w:hAnsi="Arial" w:cs="Arial"/>
          <w:sz w:val="24"/>
          <w:szCs w:val="24"/>
        </w:rPr>
        <w:t xml:space="preserve">. </w:t>
      </w:r>
      <w:r w:rsidR="00E15B86" w:rsidRPr="00DB7156">
        <w:rPr>
          <w:rFonts w:ascii="Arial" w:hAnsi="Arial" w:cs="Arial"/>
          <w:sz w:val="24"/>
          <w:szCs w:val="24"/>
        </w:rPr>
        <w:t>However, today the strategy relies on FGD</w:t>
      </w:r>
      <w:r w:rsidR="00EE660A" w:rsidRPr="00DB7156">
        <w:rPr>
          <w:rFonts w:ascii="Arial" w:hAnsi="Arial" w:cs="Arial"/>
          <w:sz w:val="24"/>
          <w:szCs w:val="24"/>
        </w:rPr>
        <w:t>s</w:t>
      </w:r>
      <w:r w:rsidR="00E15B86" w:rsidRPr="00DB7156">
        <w:rPr>
          <w:rFonts w:ascii="Arial" w:hAnsi="Arial" w:cs="Arial"/>
          <w:sz w:val="24"/>
          <w:szCs w:val="24"/>
        </w:rPr>
        <w:t xml:space="preserve"> for SO</w:t>
      </w:r>
      <w:r w:rsidR="00E15B86" w:rsidRPr="00DB7156">
        <w:rPr>
          <w:rFonts w:ascii="Arial" w:hAnsi="Arial" w:cs="Arial"/>
          <w:sz w:val="24"/>
          <w:szCs w:val="24"/>
          <w:vertAlign w:val="subscript"/>
        </w:rPr>
        <w:t>2</w:t>
      </w:r>
      <w:r w:rsidR="00E15B86" w:rsidRPr="00DB7156">
        <w:rPr>
          <w:rFonts w:ascii="Arial" w:hAnsi="Arial" w:cs="Arial"/>
          <w:sz w:val="24"/>
          <w:szCs w:val="24"/>
        </w:rPr>
        <w:t xml:space="preserve"> control at the larger coal-fired units. </w:t>
      </w:r>
      <w:r w:rsidR="00ED2968" w:rsidRPr="00AC20C4">
        <w:rPr>
          <w:rFonts w:ascii="Arial" w:hAnsi="Arial" w:cs="Arial"/>
          <w:sz w:val="24"/>
          <w:szCs w:val="24"/>
        </w:rPr>
        <w:t xml:space="preserve">For purposes of Acid Rain compliance, Georgia Power currently expects </w:t>
      </w:r>
      <w:r w:rsidR="00395B08" w:rsidRPr="00395B08">
        <w:rPr>
          <w:rFonts w:ascii="Arial" w:hAnsi="Arial" w:cs="Arial"/>
          <w:b/>
          <w:sz w:val="20"/>
          <w:szCs w:val="23"/>
        </w:rPr>
        <w:t xml:space="preserve">REDACTED </w:t>
      </w:r>
      <w:r w:rsidR="00395B08" w:rsidRPr="00395B08">
        <w:rPr>
          <w:rFonts w:ascii="Arial" w:hAnsi="Arial" w:cs="Arial"/>
          <w:b/>
          <w:sz w:val="23"/>
          <w:szCs w:val="23"/>
        </w:rPr>
        <w:t>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 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 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 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w:t>
      </w:r>
      <w:r w:rsidR="00395B08" w:rsidRPr="00395B08">
        <w:rPr>
          <w:rFonts w:ascii="Arial" w:hAnsi="Arial" w:cs="Arial"/>
          <w:sz w:val="23"/>
          <w:szCs w:val="23"/>
        </w:rPr>
        <w:t xml:space="preserve"> </w:t>
      </w:r>
      <w:r w:rsidR="00395B08" w:rsidRPr="00395B08">
        <w:rPr>
          <w:rFonts w:ascii="Arial" w:hAnsi="Arial" w:cs="Arial"/>
          <w:b/>
          <w:sz w:val="23"/>
          <w:szCs w:val="23"/>
        </w:rPr>
        <w:t>REDACTED</w:t>
      </w:r>
      <w:r w:rsidR="00395B08" w:rsidRPr="00395B08">
        <w:rPr>
          <w:rFonts w:ascii="Arial" w:hAnsi="Arial" w:cs="Arial"/>
          <w:sz w:val="23"/>
          <w:szCs w:val="23"/>
        </w:rPr>
        <w:t xml:space="preserve"> </w:t>
      </w:r>
      <w:r w:rsidR="00395B08" w:rsidRPr="00395B08">
        <w:rPr>
          <w:rFonts w:ascii="Arial" w:hAnsi="Arial" w:cs="Arial"/>
          <w:b/>
          <w:sz w:val="23"/>
          <w:szCs w:val="23"/>
        </w:rPr>
        <w:t>REDACTED</w:t>
      </w:r>
      <w:r w:rsidR="00395B08" w:rsidRPr="00395B08">
        <w:rPr>
          <w:rFonts w:ascii="Arial" w:hAnsi="Arial" w:cs="Arial"/>
          <w:sz w:val="23"/>
          <w:szCs w:val="23"/>
        </w:rPr>
        <w:t xml:space="preserve"> </w:t>
      </w:r>
      <w:r w:rsidR="00395B08" w:rsidRPr="00395B08">
        <w:rPr>
          <w:rFonts w:ascii="Arial" w:hAnsi="Arial" w:cs="Arial"/>
          <w:b/>
          <w:sz w:val="23"/>
          <w:szCs w:val="23"/>
        </w:rPr>
        <w:t>REDACTED</w:t>
      </w:r>
      <w:r w:rsidR="00395B08" w:rsidRPr="00395B08">
        <w:rPr>
          <w:rFonts w:ascii="Arial" w:hAnsi="Arial" w:cs="Arial"/>
          <w:sz w:val="23"/>
          <w:szCs w:val="23"/>
        </w:rPr>
        <w:t>.</w:t>
      </w:r>
      <w:r w:rsidR="00395B08">
        <w:rPr>
          <w:rFonts w:ascii="Arial" w:hAnsi="Arial" w:cs="Arial"/>
          <w:sz w:val="24"/>
          <w:szCs w:val="24"/>
        </w:rPr>
        <w:t xml:space="preserve"> </w:t>
      </w:r>
      <w:r w:rsidR="00BD22CF" w:rsidRPr="00395B08">
        <w:rPr>
          <w:rFonts w:ascii="Arial" w:hAnsi="Arial" w:cs="Arial"/>
          <w:sz w:val="24"/>
          <w:szCs w:val="24"/>
        </w:rPr>
        <w:t>Under</w:t>
      </w:r>
      <w:r w:rsidR="00BD22CF" w:rsidRPr="00AC20C4">
        <w:rPr>
          <w:rFonts w:ascii="Arial" w:hAnsi="Arial" w:cs="Arial"/>
          <w:sz w:val="24"/>
          <w:szCs w:val="24"/>
        </w:rPr>
        <w:t xml:space="preserve"> current regulations for the Acid Rain Program, projections show that </w:t>
      </w:r>
      <w:r w:rsidR="00395B08" w:rsidRPr="00395B08">
        <w:rPr>
          <w:rFonts w:ascii="Arial" w:hAnsi="Arial" w:cs="Arial"/>
          <w:b/>
          <w:sz w:val="23"/>
          <w:szCs w:val="23"/>
        </w:rPr>
        <w:t>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 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 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 REDACTED REDACTED</w:t>
      </w:r>
      <w:r w:rsidR="00395B08" w:rsidRPr="00395B08">
        <w:rPr>
          <w:rFonts w:ascii="Arial" w:hAnsi="Arial" w:cs="Arial"/>
          <w:sz w:val="23"/>
          <w:szCs w:val="23"/>
        </w:rPr>
        <w:t xml:space="preserve"> </w:t>
      </w:r>
      <w:r w:rsidR="00395B08" w:rsidRPr="00395B08">
        <w:rPr>
          <w:rFonts w:ascii="Arial" w:hAnsi="Arial" w:cs="Arial"/>
          <w:b/>
          <w:sz w:val="23"/>
          <w:szCs w:val="23"/>
        </w:rPr>
        <w:t>REDACTED</w:t>
      </w:r>
      <w:r w:rsidR="00395B08" w:rsidRPr="00395B08">
        <w:rPr>
          <w:rFonts w:ascii="Arial" w:hAnsi="Arial" w:cs="Arial"/>
          <w:sz w:val="23"/>
          <w:szCs w:val="23"/>
        </w:rPr>
        <w:t xml:space="preserve"> </w:t>
      </w:r>
      <w:r w:rsidR="00395B08" w:rsidRPr="00395B08">
        <w:rPr>
          <w:rFonts w:ascii="Arial" w:hAnsi="Arial" w:cs="Arial"/>
          <w:b/>
          <w:sz w:val="23"/>
          <w:szCs w:val="23"/>
        </w:rPr>
        <w:t>REDACTED</w:t>
      </w:r>
      <w:r w:rsidR="00395B08" w:rsidRPr="00395B08">
        <w:rPr>
          <w:rFonts w:ascii="Arial" w:hAnsi="Arial" w:cs="Arial"/>
          <w:sz w:val="23"/>
          <w:szCs w:val="23"/>
        </w:rPr>
        <w:t xml:space="preserve"> </w:t>
      </w:r>
      <w:r w:rsidR="00395B08" w:rsidRPr="00395B08">
        <w:rPr>
          <w:rFonts w:ascii="Arial" w:hAnsi="Arial" w:cs="Arial"/>
          <w:b/>
          <w:sz w:val="23"/>
          <w:szCs w:val="23"/>
        </w:rPr>
        <w:t>REDACTED</w:t>
      </w:r>
      <w:r w:rsidR="00395B08" w:rsidRPr="00395B08">
        <w:rPr>
          <w:rFonts w:ascii="Arial" w:hAnsi="Arial" w:cs="Arial"/>
          <w:sz w:val="23"/>
          <w:szCs w:val="23"/>
        </w:rPr>
        <w:t>.</w:t>
      </w:r>
    </w:p>
    <w:p w14:paraId="22BA51AB" w14:textId="77777777" w:rsidR="003C720F" w:rsidRPr="00DB7156" w:rsidRDefault="003C720F" w:rsidP="00DB7156">
      <w:pPr>
        <w:keepNext/>
        <w:autoSpaceDE w:val="0"/>
        <w:autoSpaceDN w:val="0"/>
        <w:adjustRightInd w:val="0"/>
        <w:spacing w:after="0" w:line="240" w:lineRule="auto"/>
        <w:jc w:val="both"/>
        <w:rPr>
          <w:rFonts w:ascii="Arial" w:hAnsi="Arial" w:cs="Arial"/>
          <w:b/>
          <w:bCs/>
          <w:color w:val="000080"/>
          <w:sz w:val="24"/>
          <w:szCs w:val="24"/>
        </w:rPr>
      </w:pPr>
    </w:p>
    <w:p w14:paraId="22BA51AC" w14:textId="49EFAE10" w:rsidR="003C720F" w:rsidRPr="00DB7156" w:rsidRDefault="00324F18"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 xml:space="preserve">CSAPR </w:t>
      </w:r>
      <w:r w:rsidR="003C720F" w:rsidRPr="00DB7156">
        <w:rPr>
          <w:rFonts w:ascii="Arial" w:hAnsi="Arial" w:cs="Arial"/>
          <w:b/>
          <w:bCs/>
          <w:color w:val="000080"/>
          <w:sz w:val="24"/>
          <w:szCs w:val="24"/>
        </w:rPr>
        <w:t>SO</w:t>
      </w:r>
      <w:r w:rsidR="003C720F" w:rsidRPr="00DB7156">
        <w:rPr>
          <w:rFonts w:ascii="Arial" w:hAnsi="Arial" w:cs="Arial"/>
          <w:b/>
          <w:bCs/>
          <w:color w:val="000080"/>
          <w:sz w:val="24"/>
          <w:szCs w:val="24"/>
          <w:vertAlign w:val="subscript"/>
        </w:rPr>
        <w:t>2</w:t>
      </w:r>
      <w:r w:rsidR="003C720F" w:rsidRPr="00DB7156">
        <w:rPr>
          <w:rFonts w:ascii="Arial" w:hAnsi="Arial" w:cs="Arial"/>
          <w:b/>
          <w:bCs/>
          <w:color w:val="000080"/>
          <w:sz w:val="24"/>
          <w:szCs w:val="24"/>
        </w:rPr>
        <w:t xml:space="preserve"> Compliance Review </w:t>
      </w:r>
    </w:p>
    <w:p w14:paraId="259D1B5F" w14:textId="773F2F99" w:rsidR="00A72303" w:rsidRPr="00DB7156" w:rsidRDefault="00150CCB"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In 201</w:t>
      </w:r>
      <w:r w:rsidR="00324F18" w:rsidRPr="00DB7156">
        <w:rPr>
          <w:rFonts w:ascii="Arial" w:hAnsi="Arial" w:cs="Arial"/>
          <w:sz w:val="24"/>
          <w:szCs w:val="24"/>
        </w:rPr>
        <w:t>5</w:t>
      </w:r>
      <w:r w:rsidRPr="00DB7156">
        <w:rPr>
          <w:rFonts w:ascii="Arial" w:hAnsi="Arial" w:cs="Arial"/>
          <w:sz w:val="24"/>
          <w:szCs w:val="24"/>
        </w:rPr>
        <w:t xml:space="preserve">, Phase I of the </w:t>
      </w:r>
      <w:r w:rsidR="00324F18" w:rsidRPr="00DB7156">
        <w:rPr>
          <w:rFonts w:ascii="Arial" w:hAnsi="Arial" w:cs="Arial"/>
          <w:sz w:val="24"/>
          <w:szCs w:val="24"/>
        </w:rPr>
        <w:t xml:space="preserve">CSAPR </w:t>
      </w:r>
      <w:r w:rsidRPr="00DB7156">
        <w:rPr>
          <w:rFonts w:ascii="Arial" w:hAnsi="Arial" w:cs="Arial"/>
          <w:sz w:val="24"/>
          <w:szCs w:val="24"/>
        </w:rPr>
        <w:t>SO</w:t>
      </w:r>
      <w:r w:rsidRPr="00DB7156">
        <w:rPr>
          <w:rFonts w:ascii="Arial" w:hAnsi="Arial" w:cs="Arial"/>
          <w:sz w:val="24"/>
          <w:szCs w:val="24"/>
          <w:vertAlign w:val="subscript"/>
        </w:rPr>
        <w:t>2</w:t>
      </w:r>
      <w:r w:rsidRPr="00DB7156">
        <w:rPr>
          <w:rFonts w:ascii="Arial" w:hAnsi="Arial" w:cs="Arial"/>
          <w:sz w:val="24"/>
          <w:szCs w:val="24"/>
        </w:rPr>
        <w:t xml:space="preserve"> program began. </w:t>
      </w:r>
      <w:r w:rsidR="00750481" w:rsidRPr="00DB7156">
        <w:rPr>
          <w:rFonts w:ascii="Arial" w:hAnsi="Arial" w:cs="Arial"/>
          <w:sz w:val="24"/>
          <w:szCs w:val="24"/>
        </w:rPr>
        <w:t>Similar to the Acid Rain Program, CSAPR sets a cap on SO</w:t>
      </w:r>
      <w:r w:rsidR="00750481" w:rsidRPr="00DB7156">
        <w:rPr>
          <w:rFonts w:ascii="Arial" w:hAnsi="Arial" w:cs="Arial"/>
          <w:sz w:val="24"/>
          <w:szCs w:val="24"/>
          <w:vertAlign w:val="subscript"/>
        </w:rPr>
        <w:t>2</w:t>
      </w:r>
      <w:r w:rsidR="00750481" w:rsidRPr="00DB7156">
        <w:rPr>
          <w:rFonts w:ascii="Arial" w:hAnsi="Arial" w:cs="Arial"/>
          <w:sz w:val="24"/>
          <w:szCs w:val="24"/>
        </w:rPr>
        <w:t xml:space="preserve"> emissions from power plants subject to the program and requires units to surrender allowances in an amount equal to the number of tons of SO</w:t>
      </w:r>
      <w:r w:rsidR="00750481" w:rsidRPr="00DB7156">
        <w:rPr>
          <w:rFonts w:ascii="Arial" w:hAnsi="Arial" w:cs="Arial"/>
          <w:sz w:val="24"/>
          <w:szCs w:val="24"/>
          <w:vertAlign w:val="subscript"/>
        </w:rPr>
        <w:t>2</w:t>
      </w:r>
      <w:r w:rsidR="00750481" w:rsidRPr="00DB7156">
        <w:rPr>
          <w:rFonts w:ascii="Arial" w:hAnsi="Arial" w:cs="Arial"/>
          <w:sz w:val="24"/>
          <w:szCs w:val="24"/>
        </w:rPr>
        <w:t xml:space="preserve"> emitted for compliance. However, unlike the </w:t>
      </w:r>
      <w:r w:rsidR="00A72303" w:rsidRPr="00DB7156">
        <w:rPr>
          <w:rFonts w:ascii="Arial" w:hAnsi="Arial" w:cs="Arial"/>
          <w:sz w:val="24"/>
          <w:szCs w:val="24"/>
        </w:rPr>
        <w:t xml:space="preserve">Acid Rain Program, CSAPR prevents or limits trading of allowances between certain states. </w:t>
      </w:r>
      <w:r w:rsidR="0044093E" w:rsidRPr="00DB7156">
        <w:rPr>
          <w:rFonts w:ascii="Arial" w:hAnsi="Arial" w:cs="Arial"/>
          <w:sz w:val="24"/>
          <w:szCs w:val="24"/>
        </w:rPr>
        <w:t xml:space="preserve">Phase II of the </w:t>
      </w:r>
      <w:r w:rsidR="00324F18" w:rsidRPr="00DB7156">
        <w:rPr>
          <w:rFonts w:ascii="Arial" w:hAnsi="Arial" w:cs="Arial"/>
          <w:sz w:val="24"/>
          <w:szCs w:val="24"/>
        </w:rPr>
        <w:t xml:space="preserve">CSAPR </w:t>
      </w:r>
      <w:r w:rsidR="0044093E" w:rsidRPr="00DB7156">
        <w:rPr>
          <w:rFonts w:ascii="Arial" w:hAnsi="Arial" w:cs="Arial"/>
          <w:sz w:val="24"/>
          <w:szCs w:val="24"/>
        </w:rPr>
        <w:t>SO</w:t>
      </w:r>
      <w:r w:rsidR="0044093E" w:rsidRPr="00DB7156">
        <w:rPr>
          <w:rFonts w:ascii="Arial" w:hAnsi="Arial" w:cs="Arial"/>
          <w:sz w:val="24"/>
          <w:szCs w:val="24"/>
          <w:vertAlign w:val="subscript"/>
        </w:rPr>
        <w:t>2</w:t>
      </w:r>
      <w:r w:rsidR="0044093E" w:rsidRPr="00DB7156">
        <w:rPr>
          <w:rFonts w:ascii="Arial" w:hAnsi="Arial" w:cs="Arial"/>
          <w:sz w:val="24"/>
          <w:szCs w:val="24"/>
        </w:rPr>
        <w:t xml:space="preserve"> </w:t>
      </w:r>
      <w:r w:rsidR="00F31281" w:rsidRPr="00DB7156">
        <w:rPr>
          <w:rFonts w:ascii="Arial" w:hAnsi="Arial" w:cs="Arial"/>
          <w:sz w:val="24"/>
          <w:szCs w:val="24"/>
        </w:rPr>
        <w:t>prog</w:t>
      </w:r>
      <w:r w:rsidR="000F44B9" w:rsidRPr="00DB7156">
        <w:rPr>
          <w:rFonts w:ascii="Arial" w:hAnsi="Arial" w:cs="Arial"/>
          <w:sz w:val="24"/>
          <w:szCs w:val="24"/>
        </w:rPr>
        <w:t>r</w:t>
      </w:r>
      <w:r w:rsidR="00F31281" w:rsidRPr="00DB7156">
        <w:rPr>
          <w:rFonts w:ascii="Arial" w:hAnsi="Arial" w:cs="Arial"/>
          <w:sz w:val="24"/>
          <w:szCs w:val="24"/>
        </w:rPr>
        <w:t xml:space="preserve">am </w:t>
      </w:r>
      <w:r w:rsidR="00A72303" w:rsidRPr="00DB7156">
        <w:rPr>
          <w:rFonts w:ascii="Arial" w:hAnsi="Arial" w:cs="Arial"/>
          <w:sz w:val="24"/>
          <w:szCs w:val="24"/>
        </w:rPr>
        <w:t xml:space="preserve">began </w:t>
      </w:r>
      <w:r w:rsidR="0044093E" w:rsidRPr="00DB7156">
        <w:rPr>
          <w:rFonts w:ascii="Arial" w:hAnsi="Arial" w:cs="Arial"/>
          <w:sz w:val="24"/>
          <w:szCs w:val="24"/>
        </w:rPr>
        <w:t>in 201</w:t>
      </w:r>
      <w:r w:rsidR="00324F18" w:rsidRPr="00DB7156">
        <w:rPr>
          <w:rFonts w:ascii="Arial" w:hAnsi="Arial" w:cs="Arial"/>
          <w:sz w:val="24"/>
          <w:szCs w:val="24"/>
        </w:rPr>
        <w:t>7</w:t>
      </w:r>
      <w:r w:rsidR="00FC3682" w:rsidRPr="00DB7156">
        <w:rPr>
          <w:rFonts w:ascii="Arial" w:hAnsi="Arial" w:cs="Arial"/>
          <w:sz w:val="24"/>
          <w:szCs w:val="24"/>
        </w:rPr>
        <w:t xml:space="preserve"> </w:t>
      </w:r>
      <w:r w:rsidR="00E47F1C" w:rsidRPr="00DB7156">
        <w:rPr>
          <w:rFonts w:ascii="Arial" w:hAnsi="Arial" w:cs="Arial"/>
          <w:sz w:val="24"/>
          <w:szCs w:val="24"/>
        </w:rPr>
        <w:t>and</w:t>
      </w:r>
      <w:r w:rsidR="00FC3682" w:rsidRPr="00DB7156">
        <w:rPr>
          <w:rFonts w:ascii="Arial" w:hAnsi="Arial" w:cs="Arial"/>
          <w:sz w:val="24"/>
          <w:szCs w:val="24"/>
        </w:rPr>
        <w:t xml:space="preserve"> increase</w:t>
      </w:r>
      <w:r w:rsidR="007450A9" w:rsidRPr="00DB7156">
        <w:rPr>
          <w:rFonts w:ascii="Arial" w:hAnsi="Arial" w:cs="Arial"/>
          <w:sz w:val="24"/>
          <w:szCs w:val="24"/>
        </w:rPr>
        <w:t>d</w:t>
      </w:r>
      <w:r w:rsidR="00FC3682" w:rsidRPr="00DB7156">
        <w:rPr>
          <w:rFonts w:ascii="Arial" w:hAnsi="Arial" w:cs="Arial"/>
          <w:sz w:val="24"/>
          <w:szCs w:val="24"/>
        </w:rPr>
        <w:t xml:space="preserve"> SO</w:t>
      </w:r>
      <w:r w:rsidR="00FC3682" w:rsidRPr="00DB7156">
        <w:rPr>
          <w:rFonts w:ascii="Arial" w:hAnsi="Arial" w:cs="Arial"/>
          <w:sz w:val="24"/>
          <w:szCs w:val="24"/>
          <w:vertAlign w:val="subscript"/>
        </w:rPr>
        <w:t>2</w:t>
      </w:r>
      <w:r w:rsidR="00FC3682" w:rsidRPr="00DB7156">
        <w:rPr>
          <w:rFonts w:ascii="Arial" w:hAnsi="Arial" w:cs="Arial"/>
          <w:sz w:val="24"/>
          <w:szCs w:val="24"/>
        </w:rPr>
        <w:t xml:space="preserve"> reduction requirements</w:t>
      </w:r>
      <w:r w:rsidR="001D545F" w:rsidRPr="00DB7156">
        <w:rPr>
          <w:rFonts w:ascii="Arial" w:hAnsi="Arial" w:cs="Arial"/>
          <w:sz w:val="24"/>
          <w:szCs w:val="24"/>
        </w:rPr>
        <w:t xml:space="preserve"> to </w:t>
      </w:r>
      <w:r w:rsidR="001C04E8" w:rsidRPr="00DB7156">
        <w:rPr>
          <w:rFonts w:ascii="Arial" w:hAnsi="Arial" w:cs="Arial"/>
          <w:sz w:val="24"/>
          <w:szCs w:val="24"/>
        </w:rPr>
        <w:t xml:space="preserve">help states </w:t>
      </w:r>
      <w:r w:rsidR="001D545F" w:rsidRPr="00DB7156">
        <w:rPr>
          <w:rFonts w:ascii="Arial" w:hAnsi="Arial" w:cs="Arial"/>
          <w:sz w:val="24"/>
          <w:szCs w:val="24"/>
        </w:rPr>
        <w:t xml:space="preserve">fulfill certain SIP obligations </w:t>
      </w:r>
      <w:r w:rsidR="006B5B34" w:rsidRPr="00DB7156">
        <w:rPr>
          <w:rFonts w:ascii="Arial" w:hAnsi="Arial" w:cs="Arial"/>
          <w:sz w:val="24"/>
          <w:szCs w:val="24"/>
        </w:rPr>
        <w:t>related</w:t>
      </w:r>
      <w:r w:rsidR="001D545F" w:rsidRPr="00DB7156">
        <w:rPr>
          <w:rFonts w:ascii="Arial" w:hAnsi="Arial" w:cs="Arial"/>
          <w:sz w:val="24"/>
          <w:szCs w:val="24"/>
        </w:rPr>
        <w:t xml:space="preserve"> to the PM NAAQS and interstate transport</w:t>
      </w:r>
      <w:r w:rsidR="00324F18" w:rsidRPr="00DB7156">
        <w:rPr>
          <w:rFonts w:ascii="Arial" w:hAnsi="Arial" w:cs="Arial"/>
          <w:sz w:val="24"/>
          <w:szCs w:val="24"/>
        </w:rPr>
        <w:t xml:space="preserve">.  </w:t>
      </w:r>
    </w:p>
    <w:p w14:paraId="5AC12660" w14:textId="77777777" w:rsidR="00A72303" w:rsidRPr="00DB7156" w:rsidRDefault="00A72303"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p>
    <w:p w14:paraId="22BA51B6" w14:textId="22D3C6C9" w:rsidR="001E5550" w:rsidRPr="00DB7156" w:rsidRDefault="00DA2C02"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Pr>
          <w:rFonts w:ascii="Arial" w:hAnsi="Arial" w:cs="Arial"/>
          <w:sz w:val="24"/>
          <w:szCs w:val="24"/>
        </w:rPr>
        <w:t>T</w:t>
      </w:r>
      <w:r w:rsidR="00266C89" w:rsidRPr="00DB7156">
        <w:rPr>
          <w:rFonts w:ascii="Arial" w:hAnsi="Arial" w:cs="Arial"/>
          <w:color w:val="000000"/>
          <w:sz w:val="24"/>
          <w:szCs w:val="24"/>
        </w:rPr>
        <w:t xml:space="preserve">he compliance strategy for </w:t>
      </w:r>
      <w:r w:rsidR="00266C89" w:rsidRPr="00DB7156">
        <w:rPr>
          <w:rFonts w:ascii="Arial" w:hAnsi="Arial" w:cs="Arial"/>
          <w:sz w:val="24"/>
          <w:szCs w:val="24"/>
        </w:rPr>
        <w:t xml:space="preserve">CSAPR </w:t>
      </w:r>
      <w:r w:rsidR="00014FC1" w:rsidRPr="00DB7156">
        <w:rPr>
          <w:rFonts w:ascii="Arial" w:hAnsi="Arial" w:cs="Arial"/>
          <w:sz w:val="24"/>
          <w:szCs w:val="24"/>
        </w:rPr>
        <w:t xml:space="preserve">Phase II </w:t>
      </w:r>
      <w:r w:rsidR="003B334F" w:rsidRPr="00DB7156">
        <w:rPr>
          <w:rFonts w:ascii="Arial" w:hAnsi="Arial" w:cs="Arial"/>
          <w:sz w:val="24"/>
          <w:szCs w:val="24"/>
        </w:rPr>
        <w:t xml:space="preserve">primarily </w:t>
      </w:r>
      <w:r w:rsidR="00014FC1" w:rsidRPr="00DB7156">
        <w:rPr>
          <w:rFonts w:ascii="Arial" w:hAnsi="Arial" w:cs="Arial"/>
          <w:sz w:val="24"/>
          <w:szCs w:val="24"/>
        </w:rPr>
        <w:t>relies on FGD</w:t>
      </w:r>
      <w:r w:rsidR="000F44B9" w:rsidRPr="00DB7156">
        <w:rPr>
          <w:rFonts w:ascii="Arial" w:hAnsi="Arial" w:cs="Arial"/>
          <w:sz w:val="24"/>
          <w:szCs w:val="24"/>
        </w:rPr>
        <w:t>s</w:t>
      </w:r>
      <w:r w:rsidR="00014FC1" w:rsidRPr="00DB7156">
        <w:rPr>
          <w:rFonts w:ascii="Arial" w:hAnsi="Arial" w:cs="Arial"/>
          <w:sz w:val="24"/>
          <w:szCs w:val="24"/>
        </w:rPr>
        <w:t xml:space="preserve"> for SO</w:t>
      </w:r>
      <w:r w:rsidR="00014FC1" w:rsidRPr="00DB7156">
        <w:rPr>
          <w:rFonts w:ascii="Arial" w:hAnsi="Arial" w:cs="Arial"/>
          <w:sz w:val="24"/>
          <w:szCs w:val="24"/>
          <w:vertAlign w:val="subscript"/>
        </w:rPr>
        <w:t>2</w:t>
      </w:r>
      <w:r w:rsidR="00014FC1" w:rsidRPr="00DB7156">
        <w:rPr>
          <w:rFonts w:ascii="Arial" w:hAnsi="Arial" w:cs="Arial"/>
          <w:sz w:val="24"/>
          <w:szCs w:val="24"/>
        </w:rPr>
        <w:t xml:space="preserve"> control at coal-fired units.</w:t>
      </w:r>
      <w:r w:rsidR="00324F18" w:rsidRPr="00DB7156">
        <w:rPr>
          <w:rFonts w:ascii="Arial" w:hAnsi="Arial" w:cs="Arial"/>
          <w:sz w:val="24"/>
          <w:szCs w:val="24"/>
        </w:rPr>
        <w:t xml:space="preserve"> </w:t>
      </w:r>
      <w:r w:rsidR="00ED2968" w:rsidRPr="00AC20C4">
        <w:rPr>
          <w:rFonts w:ascii="Arial" w:hAnsi="Arial" w:cs="Arial"/>
          <w:sz w:val="24"/>
          <w:szCs w:val="24"/>
        </w:rPr>
        <w:t>For purposes of</w:t>
      </w:r>
      <w:r w:rsidR="0044093E" w:rsidRPr="00AC20C4">
        <w:rPr>
          <w:rFonts w:ascii="Arial" w:hAnsi="Arial" w:cs="Arial"/>
          <w:sz w:val="24"/>
          <w:szCs w:val="24"/>
        </w:rPr>
        <w:t xml:space="preserve"> Phase II</w:t>
      </w:r>
      <w:r w:rsidR="00ED2968" w:rsidRPr="00AC20C4">
        <w:rPr>
          <w:rFonts w:ascii="Arial" w:hAnsi="Arial" w:cs="Arial"/>
          <w:sz w:val="24"/>
          <w:szCs w:val="24"/>
        </w:rPr>
        <w:t xml:space="preserve"> </w:t>
      </w:r>
      <w:r w:rsidR="00324F18" w:rsidRPr="00AC20C4">
        <w:rPr>
          <w:rFonts w:ascii="Arial" w:hAnsi="Arial" w:cs="Arial"/>
          <w:sz w:val="24"/>
          <w:szCs w:val="24"/>
        </w:rPr>
        <w:t xml:space="preserve">CSAPR </w:t>
      </w:r>
      <w:r w:rsidR="00ED2968" w:rsidRPr="00AC20C4">
        <w:rPr>
          <w:rFonts w:ascii="Arial" w:hAnsi="Arial" w:cs="Arial"/>
          <w:sz w:val="24"/>
          <w:szCs w:val="24"/>
        </w:rPr>
        <w:t xml:space="preserve">compliance, Georgia Power currently expects </w:t>
      </w:r>
      <w:r w:rsidR="00395B08" w:rsidRPr="00395B08">
        <w:rPr>
          <w:rFonts w:ascii="Arial" w:hAnsi="Arial" w:cs="Arial"/>
          <w:b/>
          <w:sz w:val="24"/>
          <w:szCs w:val="24"/>
        </w:rPr>
        <w:t>REDACTED</w:t>
      </w:r>
      <w:r w:rsidR="00395B08" w:rsidRPr="00395B08">
        <w:rPr>
          <w:rFonts w:ascii="Arial" w:hAnsi="Arial" w:cs="Arial"/>
          <w:sz w:val="24"/>
          <w:szCs w:val="24"/>
        </w:rPr>
        <w:t xml:space="preserve"> </w:t>
      </w:r>
      <w:r w:rsidR="00395B08" w:rsidRPr="00395B08">
        <w:rPr>
          <w:rFonts w:ascii="Arial" w:hAnsi="Arial" w:cs="Arial"/>
          <w:b/>
          <w:sz w:val="24"/>
          <w:szCs w:val="24"/>
        </w:rPr>
        <w:t>REDACTED REDACTED REDACTED</w:t>
      </w:r>
      <w:r w:rsidR="00395B08" w:rsidRPr="00395B08">
        <w:rPr>
          <w:rFonts w:ascii="Arial" w:hAnsi="Arial" w:cs="Arial"/>
          <w:sz w:val="24"/>
          <w:szCs w:val="24"/>
        </w:rPr>
        <w:t xml:space="preserve"> </w:t>
      </w:r>
      <w:r w:rsidR="00395B08" w:rsidRPr="00395B08">
        <w:rPr>
          <w:rFonts w:ascii="Arial" w:hAnsi="Arial" w:cs="Arial"/>
          <w:b/>
          <w:sz w:val="24"/>
          <w:szCs w:val="24"/>
        </w:rPr>
        <w:t>REDACTED REDACTED</w:t>
      </w:r>
      <w:r w:rsidR="00395B08" w:rsidRPr="00395B08">
        <w:rPr>
          <w:rFonts w:ascii="Arial" w:hAnsi="Arial" w:cs="Arial"/>
          <w:sz w:val="24"/>
          <w:szCs w:val="24"/>
        </w:rPr>
        <w:t xml:space="preserve"> </w:t>
      </w:r>
      <w:r w:rsidR="00395B08" w:rsidRPr="00747301">
        <w:rPr>
          <w:rFonts w:ascii="Arial" w:hAnsi="Arial" w:cs="Arial"/>
          <w:b/>
          <w:sz w:val="20"/>
          <w:szCs w:val="24"/>
        </w:rPr>
        <w:t>REDACTED</w:t>
      </w:r>
      <w:r w:rsidR="00395B08" w:rsidRPr="00747301">
        <w:rPr>
          <w:rFonts w:ascii="Arial" w:hAnsi="Arial" w:cs="Arial"/>
          <w:sz w:val="20"/>
          <w:szCs w:val="24"/>
        </w:rPr>
        <w:t xml:space="preserve"> </w:t>
      </w:r>
      <w:r w:rsidR="00395B08" w:rsidRPr="00747301">
        <w:rPr>
          <w:rFonts w:ascii="Arial" w:hAnsi="Arial" w:cs="Arial"/>
          <w:b/>
          <w:sz w:val="20"/>
          <w:szCs w:val="24"/>
        </w:rPr>
        <w:t>REDACTED</w:t>
      </w:r>
      <w:r w:rsidR="00395B08" w:rsidRPr="00747301">
        <w:rPr>
          <w:rFonts w:ascii="Arial" w:hAnsi="Arial" w:cs="Arial"/>
          <w:sz w:val="20"/>
          <w:szCs w:val="24"/>
        </w:rPr>
        <w:t xml:space="preserve"> </w:t>
      </w:r>
      <w:r w:rsidR="00395B08" w:rsidRPr="00747301">
        <w:rPr>
          <w:rFonts w:ascii="Arial" w:hAnsi="Arial" w:cs="Arial"/>
          <w:b/>
          <w:sz w:val="20"/>
          <w:szCs w:val="24"/>
        </w:rPr>
        <w:t>REDACTED</w:t>
      </w:r>
      <w:r w:rsidR="00395B08" w:rsidRPr="00395B08">
        <w:rPr>
          <w:rFonts w:ascii="Arial" w:hAnsi="Arial" w:cs="Arial"/>
          <w:sz w:val="24"/>
          <w:szCs w:val="24"/>
        </w:rPr>
        <w:t xml:space="preserve">. </w:t>
      </w:r>
      <w:r w:rsidR="00263EB6" w:rsidRPr="00AC20C4">
        <w:rPr>
          <w:rFonts w:ascii="Arial" w:hAnsi="Arial" w:cs="Arial"/>
          <w:sz w:val="24"/>
          <w:szCs w:val="24"/>
        </w:rPr>
        <w:t xml:space="preserve">Under current </w:t>
      </w:r>
      <w:r w:rsidR="00535B6E" w:rsidRPr="00AC20C4">
        <w:rPr>
          <w:rFonts w:ascii="Arial" w:hAnsi="Arial" w:cs="Arial"/>
          <w:sz w:val="24"/>
          <w:szCs w:val="24"/>
        </w:rPr>
        <w:t>regulations for the</w:t>
      </w:r>
      <w:r w:rsidR="00263EB6" w:rsidRPr="00AC20C4">
        <w:rPr>
          <w:rFonts w:ascii="Arial" w:hAnsi="Arial" w:cs="Arial"/>
          <w:sz w:val="24"/>
          <w:szCs w:val="24"/>
        </w:rPr>
        <w:t xml:space="preserve"> </w:t>
      </w:r>
      <w:r w:rsidR="00D4202F" w:rsidRPr="00AC20C4">
        <w:rPr>
          <w:rFonts w:ascii="Arial" w:hAnsi="Arial" w:cs="Arial"/>
          <w:sz w:val="24"/>
          <w:szCs w:val="24"/>
        </w:rPr>
        <w:t xml:space="preserve">CSAPR </w:t>
      </w:r>
      <w:r w:rsidR="00535B6E" w:rsidRPr="00AC20C4">
        <w:rPr>
          <w:rFonts w:ascii="Arial" w:hAnsi="Arial" w:cs="Arial"/>
          <w:sz w:val="24"/>
          <w:szCs w:val="24"/>
        </w:rPr>
        <w:t>SO</w:t>
      </w:r>
      <w:r w:rsidR="00535B6E" w:rsidRPr="00AC20C4">
        <w:rPr>
          <w:rFonts w:ascii="Arial" w:hAnsi="Arial" w:cs="Arial"/>
          <w:sz w:val="24"/>
          <w:szCs w:val="24"/>
          <w:vertAlign w:val="subscript"/>
        </w:rPr>
        <w:t>2</w:t>
      </w:r>
      <w:r w:rsidR="00535B6E" w:rsidRPr="00AC20C4">
        <w:rPr>
          <w:rFonts w:ascii="Arial" w:hAnsi="Arial" w:cs="Arial"/>
          <w:sz w:val="24"/>
          <w:szCs w:val="24"/>
        </w:rPr>
        <w:t xml:space="preserve"> trading program</w:t>
      </w:r>
      <w:r w:rsidR="00263EB6" w:rsidRPr="00AC20C4">
        <w:rPr>
          <w:rFonts w:ascii="Arial" w:hAnsi="Arial" w:cs="Arial"/>
          <w:sz w:val="24"/>
          <w:szCs w:val="24"/>
        </w:rPr>
        <w:t xml:space="preserve">, projections show that </w:t>
      </w:r>
      <w:r w:rsidR="00395B08" w:rsidRPr="00395B08">
        <w:rPr>
          <w:rFonts w:ascii="Arial" w:hAnsi="Arial" w:cs="Arial"/>
          <w:b/>
          <w:szCs w:val="24"/>
        </w:rPr>
        <w:t>REDACTED</w:t>
      </w:r>
      <w:r w:rsidR="00395B08" w:rsidRPr="00395B08">
        <w:rPr>
          <w:rFonts w:ascii="Arial" w:hAnsi="Arial" w:cs="Arial"/>
          <w:szCs w:val="24"/>
        </w:rPr>
        <w:t xml:space="preserve"> </w:t>
      </w:r>
      <w:r w:rsidR="00395B08" w:rsidRPr="00395B08">
        <w:rPr>
          <w:rFonts w:ascii="Arial" w:hAnsi="Arial" w:cs="Arial"/>
          <w:b/>
          <w:szCs w:val="24"/>
        </w:rPr>
        <w:t>REDACTED REDACTED REDACTED</w:t>
      </w:r>
      <w:r w:rsidR="00395B08" w:rsidRPr="00395B08">
        <w:rPr>
          <w:rFonts w:ascii="Arial" w:hAnsi="Arial" w:cs="Arial"/>
          <w:sz w:val="24"/>
          <w:szCs w:val="24"/>
        </w:rPr>
        <w:t xml:space="preserve"> </w:t>
      </w:r>
      <w:r w:rsidR="00395B08" w:rsidRPr="00395B08">
        <w:rPr>
          <w:rFonts w:ascii="Arial" w:hAnsi="Arial" w:cs="Arial"/>
          <w:b/>
          <w:sz w:val="24"/>
          <w:szCs w:val="24"/>
        </w:rPr>
        <w:t>REDACTED</w:t>
      </w:r>
      <w:r w:rsidR="00395B08" w:rsidRPr="00395B08">
        <w:rPr>
          <w:rFonts w:ascii="Arial" w:hAnsi="Arial" w:cs="Arial"/>
          <w:sz w:val="24"/>
          <w:szCs w:val="24"/>
        </w:rPr>
        <w:t xml:space="preserve"> </w:t>
      </w:r>
      <w:r w:rsidR="00395B08" w:rsidRPr="00395B08">
        <w:rPr>
          <w:rFonts w:ascii="Arial" w:hAnsi="Arial" w:cs="Arial"/>
          <w:b/>
          <w:sz w:val="24"/>
          <w:szCs w:val="24"/>
        </w:rPr>
        <w:t>REDACTED REDACTED REDACTED</w:t>
      </w:r>
      <w:r w:rsidR="00395B08" w:rsidRPr="00395B08">
        <w:rPr>
          <w:rFonts w:ascii="Arial" w:hAnsi="Arial" w:cs="Arial"/>
          <w:sz w:val="24"/>
          <w:szCs w:val="24"/>
        </w:rPr>
        <w:t xml:space="preserve"> </w:t>
      </w:r>
      <w:r w:rsidR="00395B08" w:rsidRPr="00395B08">
        <w:rPr>
          <w:rFonts w:ascii="Arial" w:hAnsi="Arial" w:cs="Arial"/>
          <w:b/>
          <w:sz w:val="24"/>
          <w:szCs w:val="24"/>
        </w:rPr>
        <w:t>REDACTED REDACTED</w:t>
      </w:r>
      <w:r w:rsidR="00395B08" w:rsidRPr="00395B08">
        <w:rPr>
          <w:rFonts w:ascii="Arial" w:hAnsi="Arial" w:cs="Arial"/>
          <w:sz w:val="24"/>
          <w:szCs w:val="24"/>
        </w:rPr>
        <w:t xml:space="preserve"> </w:t>
      </w:r>
      <w:r w:rsidR="00395B08" w:rsidRPr="00395B08">
        <w:rPr>
          <w:rFonts w:ascii="Arial" w:hAnsi="Arial" w:cs="Arial"/>
          <w:b/>
          <w:sz w:val="24"/>
          <w:szCs w:val="24"/>
        </w:rPr>
        <w:t>REDACTED</w:t>
      </w:r>
      <w:r w:rsidR="00395B08" w:rsidRPr="00395B08">
        <w:rPr>
          <w:rFonts w:ascii="Arial" w:hAnsi="Arial" w:cs="Arial"/>
          <w:sz w:val="24"/>
          <w:szCs w:val="24"/>
        </w:rPr>
        <w:t xml:space="preserve"> </w:t>
      </w:r>
      <w:r w:rsidR="00395B08" w:rsidRPr="00395B08">
        <w:rPr>
          <w:rFonts w:ascii="Arial" w:hAnsi="Arial" w:cs="Arial"/>
          <w:b/>
          <w:sz w:val="24"/>
          <w:szCs w:val="24"/>
        </w:rPr>
        <w:t>REDACTED</w:t>
      </w:r>
      <w:r w:rsidR="00395B08" w:rsidRPr="00395B08">
        <w:rPr>
          <w:rFonts w:ascii="Arial" w:hAnsi="Arial" w:cs="Arial"/>
          <w:sz w:val="24"/>
          <w:szCs w:val="24"/>
        </w:rPr>
        <w:t xml:space="preserve"> </w:t>
      </w:r>
      <w:r w:rsidR="00395B08" w:rsidRPr="00395B08">
        <w:rPr>
          <w:rFonts w:ascii="Arial" w:hAnsi="Arial" w:cs="Arial"/>
          <w:b/>
          <w:sz w:val="24"/>
          <w:szCs w:val="24"/>
        </w:rPr>
        <w:t>REDACTED REDACTED REDACTED</w:t>
      </w:r>
    </w:p>
    <w:p w14:paraId="22BA51B7" w14:textId="77777777" w:rsidR="00752263" w:rsidRPr="00DB7156" w:rsidRDefault="00752263" w:rsidP="00DB7156">
      <w:pPr>
        <w:tabs>
          <w:tab w:val="left" w:pos="720"/>
          <w:tab w:val="left" w:pos="1428"/>
          <w:tab w:val="left" w:pos="4716"/>
          <w:tab w:val="left" w:pos="4896"/>
          <w:tab w:val="left" w:pos="6718"/>
        </w:tabs>
        <w:suppressAutoHyphens/>
        <w:spacing w:after="0" w:line="240" w:lineRule="auto"/>
        <w:jc w:val="both"/>
        <w:rPr>
          <w:rFonts w:ascii="Arial" w:hAnsi="Arial" w:cs="Arial"/>
          <w:b/>
          <w:bCs/>
          <w:color w:val="000080"/>
        </w:rPr>
      </w:pPr>
    </w:p>
    <w:p w14:paraId="22BA51B8" w14:textId="670103F7" w:rsidR="00E138BA" w:rsidRPr="00DB7156" w:rsidRDefault="00E138BA"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MATS SO</w:t>
      </w:r>
      <w:r w:rsidRPr="00DB7156">
        <w:rPr>
          <w:rFonts w:ascii="Arial" w:hAnsi="Arial" w:cs="Arial"/>
          <w:b/>
          <w:bCs/>
          <w:color w:val="000080"/>
          <w:sz w:val="24"/>
          <w:szCs w:val="24"/>
          <w:vertAlign w:val="subscript"/>
        </w:rPr>
        <w:t>2</w:t>
      </w:r>
      <w:r w:rsidR="00116AB7" w:rsidRPr="00DB7156">
        <w:rPr>
          <w:rFonts w:ascii="Arial" w:hAnsi="Arial" w:cs="Arial"/>
          <w:b/>
          <w:bCs/>
          <w:color w:val="000080"/>
          <w:sz w:val="24"/>
          <w:szCs w:val="24"/>
        </w:rPr>
        <w:t>/</w:t>
      </w:r>
      <w:r w:rsidRPr="00DB7156">
        <w:rPr>
          <w:rFonts w:ascii="Arial" w:hAnsi="Arial" w:cs="Arial"/>
          <w:b/>
          <w:bCs/>
          <w:color w:val="000080"/>
          <w:sz w:val="24"/>
          <w:szCs w:val="24"/>
        </w:rPr>
        <w:t xml:space="preserve">Acid Gases Compliance Review </w:t>
      </w:r>
    </w:p>
    <w:p w14:paraId="22BA51B9" w14:textId="2C6204B3" w:rsidR="00E138BA" w:rsidRPr="00DB7156" w:rsidRDefault="00834EFD" w:rsidP="00DB7156">
      <w:pPr>
        <w:spacing w:after="0" w:line="240" w:lineRule="auto"/>
        <w:jc w:val="both"/>
        <w:rPr>
          <w:rFonts w:ascii="Arial" w:hAnsi="Arial" w:cs="Arial"/>
          <w:color w:val="1F497D"/>
        </w:rPr>
      </w:pPr>
      <w:r>
        <w:rPr>
          <w:rFonts w:ascii="Arial" w:hAnsi="Arial" w:cs="Arial"/>
          <w:sz w:val="24"/>
          <w:szCs w:val="24"/>
        </w:rPr>
        <w:t>Under the MATS R</w:t>
      </w:r>
      <w:r w:rsidR="00D643E2" w:rsidRPr="00DB7156">
        <w:rPr>
          <w:rFonts w:ascii="Arial" w:hAnsi="Arial" w:cs="Arial"/>
          <w:sz w:val="24"/>
          <w:szCs w:val="24"/>
        </w:rPr>
        <w:t xml:space="preserve">ule, </w:t>
      </w:r>
      <w:r w:rsidR="00DA54CD" w:rsidRPr="00DB7156">
        <w:rPr>
          <w:rFonts w:ascii="Arial" w:hAnsi="Arial" w:cs="Arial"/>
          <w:sz w:val="24"/>
          <w:szCs w:val="24"/>
        </w:rPr>
        <w:t xml:space="preserve">a unit that has a </w:t>
      </w:r>
      <w:r w:rsidR="0044567E">
        <w:rPr>
          <w:rFonts w:ascii="Arial" w:hAnsi="Arial" w:cs="Arial"/>
          <w:sz w:val="24"/>
          <w:szCs w:val="24"/>
        </w:rPr>
        <w:t>FGD</w:t>
      </w:r>
      <w:r w:rsidR="00DA54CD" w:rsidRPr="00DB7156">
        <w:rPr>
          <w:rFonts w:ascii="Arial" w:hAnsi="Arial" w:cs="Arial"/>
          <w:sz w:val="24"/>
          <w:szCs w:val="24"/>
        </w:rPr>
        <w:t xml:space="preserve"> may comply with an emissions limit for SO</w:t>
      </w:r>
      <w:r w:rsidR="00DA54CD" w:rsidRPr="00DB7156">
        <w:rPr>
          <w:rFonts w:ascii="Arial" w:hAnsi="Arial" w:cs="Arial"/>
          <w:sz w:val="24"/>
          <w:szCs w:val="24"/>
          <w:vertAlign w:val="subscript"/>
        </w:rPr>
        <w:t>2</w:t>
      </w:r>
      <w:r w:rsidR="00DA54CD" w:rsidRPr="00DB7156">
        <w:rPr>
          <w:rFonts w:ascii="Arial" w:hAnsi="Arial" w:cs="Arial"/>
          <w:sz w:val="24"/>
          <w:szCs w:val="24"/>
        </w:rPr>
        <w:t xml:space="preserve"> as an alternate to the </w:t>
      </w:r>
      <w:r w:rsidR="0058601B" w:rsidRPr="00DB7156">
        <w:rPr>
          <w:rFonts w:ascii="Arial" w:hAnsi="Arial" w:cs="Arial"/>
          <w:sz w:val="24"/>
          <w:szCs w:val="24"/>
        </w:rPr>
        <w:t>hydrogen chloride (</w:t>
      </w:r>
      <w:r w:rsidR="00F4257C">
        <w:rPr>
          <w:rFonts w:ascii="Arial" w:hAnsi="Arial" w:cs="Arial"/>
          <w:sz w:val="24"/>
          <w:szCs w:val="24"/>
        </w:rPr>
        <w:t>“</w:t>
      </w:r>
      <w:r w:rsidR="00DA54CD" w:rsidRPr="00DB7156">
        <w:rPr>
          <w:rFonts w:ascii="Arial" w:hAnsi="Arial" w:cs="Arial"/>
          <w:sz w:val="24"/>
          <w:szCs w:val="24"/>
        </w:rPr>
        <w:t>HCl</w:t>
      </w:r>
      <w:r w:rsidR="00F4257C">
        <w:rPr>
          <w:rFonts w:ascii="Arial" w:hAnsi="Arial" w:cs="Arial"/>
          <w:sz w:val="24"/>
          <w:szCs w:val="24"/>
        </w:rPr>
        <w:t>”</w:t>
      </w:r>
      <w:r w:rsidR="0058601B" w:rsidRPr="00DB7156">
        <w:rPr>
          <w:rFonts w:ascii="Arial" w:hAnsi="Arial" w:cs="Arial"/>
          <w:sz w:val="24"/>
          <w:szCs w:val="24"/>
        </w:rPr>
        <w:t>)</w:t>
      </w:r>
      <w:r w:rsidR="00DA54CD" w:rsidRPr="00DB7156">
        <w:rPr>
          <w:rFonts w:ascii="Arial" w:hAnsi="Arial" w:cs="Arial"/>
          <w:sz w:val="24"/>
          <w:szCs w:val="24"/>
        </w:rPr>
        <w:t xml:space="preserve"> limit</w:t>
      </w:r>
      <w:r w:rsidR="00E138BA" w:rsidRPr="00DB7156">
        <w:rPr>
          <w:rFonts w:ascii="Arial" w:hAnsi="Arial" w:cs="Arial"/>
          <w:sz w:val="24"/>
          <w:szCs w:val="24"/>
        </w:rPr>
        <w:t xml:space="preserve">.  Since </w:t>
      </w:r>
      <w:r w:rsidR="0044567E">
        <w:rPr>
          <w:rFonts w:ascii="Arial" w:hAnsi="Arial" w:cs="Arial"/>
          <w:sz w:val="24"/>
          <w:szCs w:val="24"/>
        </w:rPr>
        <w:t>FGD</w:t>
      </w:r>
      <w:r w:rsidR="00E138BA" w:rsidRPr="00DB7156">
        <w:rPr>
          <w:rFonts w:ascii="Arial" w:hAnsi="Arial" w:cs="Arial"/>
          <w:sz w:val="24"/>
          <w:szCs w:val="24"/>
        </w:rPr>
        <w:t>s are effective at removing both HCl and SO</w:t>
      </w:r>
      <w:r w:rsidR="005E5F79" w:rsidRPr="00DB7156">
        <w:rPr>
          <w:rFonts w:ascii="Arial" w:hAnsi="Arial" w:cs="Arial"/>
          <w:sz w:val="24"/>
          <w:szCs w:val="24"/>
          <w:vertAlign w:val="subscript"/>
        </w:rPr>
        <w:t>2</w:t>
      </w:r>
      <w:r w:rsidR="00E138BA" w:rsidRPr="00DB7156">
        <w:rPr>
          <w:rFonts w:ascii="Arial" w:hAnsi="Arial" w:cs="Arial"/>
          <w:sz w:val="24"/>
          <w:szCs w:val="24"/>
        </w:rPr>
        <w:t xml:space="preserve">, the Company’s coal-fired units that have </w:t>
      </w:r>
      <w:r w:rsidR="0044567E">
        <w:rPr>
          <w:rFonts w:ascii="Arial" w:hAnsi="Arial" w:cs="Arial"/>
          <w:sz w:val="24"/>
          <w:szCs w:val="24"/>
        </w:rPr>
        <w:t>FGD</w:t>
      </w:r>
      <w:r w:rsidR="00E138BA" w:rsidRPr="00DB7156">
        <w:rPr>
          <w:rFonts w:ascii="Arial" w:hAnsi="Arial" w:cs="Arial"/>
          <w:sz w:val="24"/>
          <w:szCs w:val="24"/>
        </w:rPr>
        <w:t>s installed can</w:t>
      </w:r>
      <w:r w:rsidR="00B41989" w:rsidRPr="00DB7156">
        <w:rPr>
          <w:rFonts w:ascii="Arial" w:hAnsi="Arial" w:cs="Arial"/>
          <w:sz w:val="24"/>
          <w:szCs w:val="24"/>
        </w:rPr>
        <w:t>, in general,</w:t>
      </w:r>
      <w:r w:rsidR="00E138BA" w:rsidRPr="00DB7156">
        <w:rPr>
          <w:rFonts w:ascii="Arial" w:hAnsi="Arial" w:cs="Arial"/>
          <w:sz w:val="24"/>
          <w:szCs w:val="24"/>
        </w:rPr>
        <w:t xml:space="preserve"> </w:t>
      </w:r>
      <w:r w:rsidR="00B41989" w:rsidRPr="00DB7156">
        <w:rPr>
          <w:rFonts w:ascii="Arial" w:hAnsi="Arial" w:cs="Arial"/>
          <w:sz w:val="24"/>
          <w:szCs w:val="24"/>
        </w:rPr>
        <w:t xml:space="preserve">meet </w:t>
      </w:r>
      <w:r w:rsidR="00E138BA" w:rsidRPr="00DB7156">
        <w:rPr>
          <w:rFonts w:ascii="Arial" w:hAnsi="Arial" w:cs="Arial"/>
          <w:sz w:val="24"/>
          <w:szCs w:val="24"/>
        </w:rPr>
        <w:t xml:space="preserve">the MATS limit. </w:t>
      </w:r>
      <w:r w:rsidR="00525CCB" w:rsidRPr="00DB7156">
        <w:rPr>
          <w:rFonts w:ascii="Arial" w:hAnsi="Arial" w:cs="Arial"/>
          <w:color w:val="000000"/>
          <w:sz w:val="24"/>
          <w:szCs w:val="24"/>
        </w:rPr>
        <w:t xml:space="preserve">However, due to the stringency of the MATS standard and </w:t>
      </w:r>
      <w:r w:rsidR="00DA54CD" w:rsidRPr="00DB7156">
        <w:rPr>
          <w:rFonts w:ascii="Arial" w:hAnsi="Arial" w:cs="Arial"/>
          <w:color w:val="000000"/>
          <w:sz w:val="24"/>
          <w:szCs w:val="24"/>
        </w:rPr>
        <w:t xml:space="preserve">limited operational flexibility relative to the </w:t>
      </w:r>
      <w:r w:rsidR="00552E66">
        <w:rPr>
          <w:rFonts w:ascii="Arial" w:hAnsi="Arial" w:cs="Arial"/>
          <w:color w:val="000000"/>
          <w:sz w:val="24"/>
          <w:szCs w:val="24"/>
        </w:rPr>
        <w:t xml:space="preserve">Georgia </w:t>
      </w:r>
      <w:r w:rsidR="00DA54CD" w:rsidRPr="00DB7156">
        <w:rPr>
          <w:rFonts w:ascii="Arial" w:hAnsi="Arial" w:cs="Arial"/>
          <w:color w:val="000000"/>
          <w:sz w:val="24"/>
          <w:szCs w:val="24"/>
        </w:rPr>
        <w:t>Multipollutant Rule and SO</w:t>
      </w:r>
      <w:r w:rsidR="00DA54CD" w:rsidRPr="00DB7156">
        <w:rPr>
          <w:rFonts w:ascii="Arial" w:hAnsi="Arial" w:cs="Arial"/>
          <w:color w:val="000000"/>
          <w:sz w:val="24"/>
          <w:szCs w:val="24"/>
          <w:vertAlign w:val="subscript"/>
        </w:rPr>
        <w:t>2</w:t>
      </w:r>
      <w:r w:rsidR="00DA54CD" w:rsidRPr="00DB7156">
        <w:rPr>
          <w:rFonts w:ascii="Arial" w:hAnsi="Arial" w:cs="Arial"/>
          <w:color w:val="000000"/>
          <w:sz w:val="24"/>
          <w:szCs w:val="24"/>
        </w:rPr>
        <w:t xml:space="preserve"> Emissions Rule</w:t>
      </w:r>
      <w:r w:rsidR="00525CCB" w:rsidRPr="00DB7156">
        <w:rPr>
          <w:rFonts w:ascii="Arial" w:hAnsi="Arial" w:cs="Arial"/>
          <w:color w:val="000000"/>
          <w:sz w:val="24"/>
          <w:szCs w:val="24"/>
        </w:rPr>
        <w:t xml:space="preserve">, the Company has performed plant-specific optimization projects on the existing </w:t>
      </w:r>
      <w:r w:rsidR="0044567E">
        <w:rPr>
          <w:rFonts w:ascii="Arial" w:hAnsi="Arial" w:cs="Arial"/>
          <w:color w:val="000000"/>
          <w:sz w:val="24"/>
          <w:szCs w:val="24"/>
        </w:rPr>
        <w:t>FGD</w:t>
      </w:r>
      <w:r w:rsidR="00525CCB" w:rsidRPr="00DB7156">
        <w:rPr>
          <w:rFonts w:ascii="Arial" w:hAnsi="Arial" w:cs="Arial"/>
          <w:color w:val="000000"/>
          <w:sz w:val="24"/>
          <w:szCs w:val="24"/>
        </w:rPr>
        <w:t xml:space="preserve">s at Plants Bowen, Hammond, and Wansley to minimize potential impacts to reliability in the future.  </w:t>
      </w:r>
      <w:r w:rsidR="00E138BA" w:rsidRPr="00DB7156">
        <w:rPr>
          <w:rFonts w:ascii="Arial" w:hAnsi="Arial" w:cs="Arial"/>
          <w:sz w:val="24"/>
          <w:szCs w:val="24"/>
        </w:rPr>
        <w:t xml:space="preserve">Coal-fired units without </w:t>
      </w:r>
      <w:r w:rsidR="0044567E">
        <w:rPr>
          <w:rFonts w:ascii="Arial" w:hAnsi="Arial" w:cs="Arial"/>
          <w:sz w:val="24"/>
          <w:szCs w:val="24"/>
        </w:rPr>
        <w:t>FGD</w:t>
      </w:r>
      <w:r w:rsidR="00E138BA" w:rsidRPr="00DB7156">
        <w:rPr>
          <w:rFonts w:ascii="Arial" w:hAnsi="Arial" w:cs="Arial"/>
          <w:sz w:val="24"/>
          <w:szCs w:val="24"/>
        </w:rPr>
        <w:t xml:space="preserve">s </w:t>
      </w:r>
      <w:r w:rsidR="006D6050" w:rsidRPr="00DB7156">
        <w:rPr>
          <w:rFonts w:ascii="Arial" w:hAnsi="Arial" w:cs="Arial"/>
          <w:sz w:val="24"/>
          <w:szCs w:val="24"/>
        </w:rPr>
        <w:t xml:space="preserve">use </w:t>
      </w:r>
      <w:r w:rsidR="00E138BA" w:rsidRPr="00DB7156">
        <w:rPr>
          <w:rFonts w:ascii="Arial" w:hAnsi="Arial" w:cs="Arial"/>
          <w:sz w:val="24"/>
          <w:szCs w:val="24"/>
        </w:rPr>
        <w:t>a low chlorine/low SO</w:t>
      </w:r>
      <w:r w:rsidR="005E5F79" w:rsidRPr="00DB7156">
        <w:rPr>
          <w:rFonts w:ascii="Arial" w:hAnsi="Arial" w:cs="Arial"/>
          <w:sz w:val="24"/>
          <w:szCs w:val="24"/>
          <w:vertAlign w:val="subscript"/>
        </w:rPr>
        <w:t>2</w:t>
      </w:r>
      <w:r w:rsidR="00E138BA" w:rsidRPr="00DB7156">
        <w:rPr>
          <w:rFonts w:ascii="Arial" w:hAnsi="Arial" w:cs="Arial"/>
          <w:sz w:val="24"/>
          <w:szCs w:val="24"/>
        </w:rPr>
        <w:t xml:space="preserve"> fuel (e.g. P</w:t>
      </w:r>
      <w:r>
        <w:rPr>
          <w:rFonts w:ascii="Arial" w:hAnsi="Arial" w:cs="Arial"/>
          <w:sz w:val="24"/>
          <w:szCs w:val="24"/>
        </w:rPr>
        <w:t xml:space="preserve">owder </w:t>
      </w:r>
      <w:r w:rsidR="00E138BA" w:rsidRPr="00DB7156">
        <w:rPr>
          <w:rFonts w:ascii="Arial" w:hAnsi="Arial" w:cs="Arial"/>
          <w:sz w:val="24"/>
          <w:szCs w:val="24"/>
        </w:rPr>
        <w:t>R</w:t>
      </w:r>
      <w:r>
        <w:rPr>
          <w:rFonts w:ascii="Arial" w:hAnsi="Arial" w:cs="Arial"/>
          <w:sz w:val="24"/>
          <w:szCs w:val="24"/>
        </w:rPr>
        <w:t xml:space="preserve">iver </w:t>
      </w:r>
      <w:r w:rsidR="00E138BA" w:rsidRPr="00DB7156">
        <w:rPr>
          <w:rFonts w:ascii="Arial" w:hAnsi="Arial" w:cs="Arial"/>
          <w:sz w:val="24"/>
          <w:szCs w:val="24"/>
        </w:rPr>
        <w:t>B</w:t>
      </w:r>
      <w:r>
        <w:rPr>
          <w:rFonts w:ascii="Arial" w:hAnsi="Arial" w:cs="Arial"/>
          <w:sz w:val="24"/>
          <w:szCs w:val="24"/>
        </w:rPr>
        <w:t xml:space="preserve">asin </w:t>
      </w:r>
      <w:r w:rsidR="00552E66" w:rsidRPr="00DB7156">
        <w:rPr>
          <w:rFonts w:ascii="Arial" w:hAnsi="Arial" w:cs="Arial"/>
          <w:sz w:val="24"/>
          <w:szCs w:val="24"/>
        </w:rPr>
        <w:t>coal</w:t>
      </w:r>
      <w:r w:rsidR="00552E66">
        <w:rPr>
          <w:rFonts w:ascii="Arial" w:hAnsi="Arial" w:cs="Arial"/>
          <w:sz w:val="24"/>
          <w:szCs w:val="24"/>
        </w:rPr>
        <w:t xml:space="preserve"> </w:t>
      </w:r>
      <w:r>
        <w:rPr>
          <w:rFonts w:ascii="Arial" w:hAnsi="Arial" w:cs="Arial"/>
          <w:sz w:val="24"/>
          <w:szCs w:val="24"/>
        </w:rPr>
        <w:t>(</w:t>
      </w:r>
      <w:r w:rsidR="00552E66">
        <w:rPr>
          <w:rFonts w:ascii="Arial" w:hAnsi="Arial" w:cs="Arial"/>
          <w:sz w:val="24"/>
          <w:szCs w:val="24"/>
        </w:rPr>
        <w:t>“</w:t>
      </w:r>
      <w:r>
        <w:rPr>
          <w:rFonts w:ascii="Arial" w:hAnsi="Arial" w:cs="Arial"/>
          <w:sz w:val="24"/>
          <w:szCs w:val="24"/>
        </w:rPr>
        <w:t>PRB</w:t>
      </w:r>
      <w:r w:rsidR="00552E66">
        <w:rPr>
          <w:rFonts w:ascii="Arial" w:hAnsi="Arial" w:cs="Arial"/>
          <w:sz w:val="24"/>
          <w:szCs w:val="24"/>
        </w:rPr>
        <w:t>”</w:t>
      </w:r>
      <w:r>
        <w:rPr>
          <w:rFonts w:ascii="Arial" w:hAnsi="Arial" w:cs="Arial"/>
          <w:sz w:val="24"/>
          <w:szCs w:val="24"/>
        </w:rPr>
        <w:t>)</w:t>
      </w:r>
      <w:r w:rsidR="00E138BA" w:rsidRPr="00DB7156">
        <w:rPr>
          <w:rFonts w:ascii="Arial" w:hAnsi="Arial" w:cs="Arial"/>
          <w:sz w:val="24"/>
          <w:szCs w:val="24"/>
        </w:rPr>
        <w:t xml:space="preserve">) and employ </w:t>
      </w:r>
      <w:r>
        <w:rPr>
          <w:rFonts w:ascii="Arial" w:hAnsi="Arial" w:cs="Arial"/>
          <w:sz w:val="24"/>
          <w:szCs w:val="24"/>
        </w:rPr>
        <w:t>Dry Sorbent Injection (</w:t>
      </w:r>
      <w:r w:rsidR="00F4257C">
        <w:rPr>
          <w:rFonts w:ascii="Arial" w:hAnsi="Arial" w:cs="Arial"/>
          <w:sz w:val="24"/>
          <w:szCs w:val="24"/>
        </w:rPr>
        <w:t>“</w:t>
      </w:r>
      <w:r w:rsidR="00B378AC" w:rsidRPr="00DB7156">
        <w:rPr>
          <w:rFonts w:ascii="Arial" w:hAnsi="Arial" w:cs="Arial"/>
          <w:sz w:val="24"/>
          <w:szCs w:val="24"/>
        </w:rPr>
        <w:t>DSI</w:t>
      </w:r>
      <w:r w:rsidR="00F4257C">
        <w:rPr>
          <w:rFonts w:ascii="Arial" w:hAnsi="Arial" w:cs="Arial"/>
          <w:sz w:val="24"/>
          <w:szCs w:val="24"/>
        </w:rPr>
        <w:t>”</w:t>
      </w:r>
      <w:r>
        <w:rPr>
          <w:rFonts w:ascii="Arial" w:hAnsi="Arial" w:cs="Arial"/>
          <w:sz w:val="24"/>
          <w:szCs w:val="24"/>
        </w:rPr>
        <w:t>)</w:t>
      </w:r>
      <w:r w:rsidR="00FC3DD8" w:rsidRPr="00DB7156">
        <w:rPr>
          <w:rFonts w:ascii="Arial" w:hAnsi="Arial" w:cs="Arial"/>
          <w:sz w:val="24"/>
          <w:szCs w:val="24"/>
        </w:rPr>
        <w:t>, as needed,</w:t>
      </w:r>
      <w:r w:rsidR="00E138BA" w:rsidRPr="00DB7156">
        <w:rPr>
          <w:rFonts w:ascii="Arial" w:hAnsi="Arial" w:cs="Arial"/>
          <w:sz w:val="24"/>
          <w:szCs w:val="24"/>
        </w:rPr>
        <w:t xml:space="preserve"> to meet the MATS </w:t>
      </w:r>
      <w:r w:rsidR="00FC3DD8" w:rsidRPr="00DB7156">
        <w:rPr>
          <w:rFonts w:ascii="Arial" w:hAnsi="Arial" w:cs="Arial"/>
          <w:sz w:val="24"/>
          <w:szCs w:val="24"/>
        </w:rPr>
        <w:t xml:space="preserve">HCl </w:t>
      </w:r>
      <w:r w:rsidR="00E138BA" w:rsidRPr="00DB7156">
        <w:rPr>
          <w:rFonts w:ascii="Arial" w:hAnsi="Arial" w:cs="Arial"/>
          <w:sz w:val="24"/>
          <w:szCs w:val="24"/>
        </w:rPr>
        <w:t xml:space="preserve">limit.  </w:t>
      </w:r>
      <w:r w:rsidR="009940C2" w:rsidRPr="00DB7156">
        <w:rPr>
          <w:rFonts w:ascii="Arial" w:hAnsi="Arial" w:cs="Arial"/>
          <w:sz w:val="24"/>
          <w:szCs w:val="24"/>
        </w:rPr>
        <w:t>Addition</w:t>
      </w:r>
      <w:r w:rsidR="00B41989" w:rsidRPr="00DB7156">
        <w:rPr>
          <w:rFonts w:ascii="Arial" w:hAnsi="Arial" w:cs="Arial"/>
          <w:sz w:val="24"/>
          <w:szCs w:val="24"/>
        </w:rPr>
        <w:t>al</w:t>
      </w:r>
      <w:r w:rsidR="009940C2" w:rsidRPr="00DB7156">
        <w:rPr>
          <w:rFonts w:ascii="Arial" w:hAnsi="Arial" w:cs="Arial"/>
          <w:sz w:val="24"/>
          <w:szCs w:val="24"/>
        </w:rPr>
        <w:t xml:space="preserve"> detail regarding t</w:t>
      </w:r>
      <w:r w:rsidR="00E82652" w:rsidRPr="00DB7156">
        <w:rPr>
          <w:rFonts w:ascii="Arial" w:hAnsi="Arial" w:cs="Arial"/>
          <w:sz w:val="24"/>
          <w:szCs w:val="24"/>
        </w:rPr>
        <w:t>he MATS strategy for SO</w:t>
      </w:r>
      <w:r w:rsidR="00EA4B45" w:rsidRPr="00DB7156">
        <w:rPr>
          <w:rFonts w:ascii="Arial" w:hAnsi="Arial" w:cs="Arial"/>
          <w:sz w:val="24"/>
          <w:szCs w:val="24"/>
          <w:vertAlign w:val="subscript"/>
        </w:rPr>
        <w:t>2</w:t>
      </w:r>
      <w:r w:rsidR="00E82652" w:rsidRPr="00DB7156">
        <w:rPr>
          <w:rFonts w:ascii="Arial" w:hAnsi="Arial" w:cs="Arial"/>
          <w:sz w:val="24"/>
          <w:szCs w:val="24"/>
        </w:rPr>
        <w:t xml:space="preserve">/acid gases and the other MATS limits </w:t>
      </w:r>
      <w:r w:rsidR="009940C2" w:rsidRPr="00DB7156">
        <w:rPr>
          <w:rFonts w:ascii="Arial" w:hAnsi="Arial" w:cs="Arial"/>
          <w:sz w:val="24"/>
          <w:szCs w:val="24"/>
        </w:rPr>
        <w:t>is provided</w:t>
      </w:r>
      <w:r w:rsidR="00E82652" w:rsidRPr="00DB7156">
        <w:rPr>
          <w:rFonts w:ascii="Arial" w:hAnsi="Arial" w:cs="Arial"/>
          <w:sz w:val="24"/>
          <w:szCs w:val="24"/>
        </w:rPr>
        <w:t xml:space="preserve"> in Section 4.1.3.</w:t>
      </w:r>
    </w:p>
    <w:p w14:paraId="22BA51BA" w14:textId="77777777" w:rsidR="0044093E" w:rsidRPr="00DB7156" w:rsidRDefault="0044093E" w:rsidP="00DB7156">
      <w:pPr>
        <w:keepNext/>
        <w:autoSpaceDE w:val="0"/>
        <w:autoSpaceDN w:val="0"/>
        <w:adjustRightInd w:val="0"/>
        <w:spacing w:after="0" w:line="240" w:lineRule="auto"/>
        <w:jc w:val="both"/>
        <w:rPr>
          <w:rFonts w:ascii="Arial" w:hAnsi="Arial" w:cs="Arial"/>
          <w:b/>
          <w:bCs/>
          <w:color w:val="000080"/>
          <w:sz w:val="24"/>
          <w:szCs w:val="24"/>
        </w:rPr>
      </w:pPr>
    </w:p>
    <w:p w14:paraId="22BA51BB" w14:textId="77777777" w:rsidR="00396F58" w:rsidRPr="00DB7156" w:rsidRDefault="00396F58"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Future Rules SO</w:t>
      </w:r>
      <w:r w:rsidR="005E5F79" w:rsidRPr="00DB7156">
        <w:rPr>
          <w:rFonts w:ascii="Arial" w:hAnsi="Arial" w:cs="Arial"/>
          <w:sz w:val="24"/>
          <w:szCs w:val="24"/>
          <w:vertAlign w:val="subscript"/>
        </w:rPr>
        <w:t>2</w:t>
      </w:r>
      <w:r w:rsidRPr="00DB7156">
        <w:rPr>
          <w:rFonts w:ascii="Arial" w:hAnsi="Arial" w:cs="Arial"/>
          <w:b/>
          <w:bCs/>
          <w:color w:val="000080"/>
          <w:sz w:val="24"/>
          <w:szCs w:val="24"/>
        </w:rPr>
        <w:t xml:space="preserve"> Compliance Review </w:t>
      </w:r>
    </w:p>
    <w:p w14:paraId="22BA51BC" w14:textId="4BA1C5D4" w:rsidR="000C46C6" w:rsidRPr="00DB7156" w:rsidRDefault="001959D0"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r w:rsidRPr="00DB7156">
        <w:rPr>
          <w:rFonts w:ascii="Arial" w:hAnsi="Arial" w:cs="Arial"/>
          <w:sz w:val="24"/>
          <w:szCs w:val="20"/>
        </w:rPr>
        <w:t>Future</w:t>
      </w:r>
      <w:r w:rsidR="00396F58" w:rsidRPr="00DB7156">
        <w:rPr>
          <w:rFonts w:ascii="Arial" w:hAnsi="Arial" w:cs="Arial"/>
          <w:sz w:val="24"/>
          <w:szCs w:val="20"/>
        </w:rPr>
        <w:t xml:space="preserve"> regulations related to the </w:t>
      </w:r>
      <w:r w:rsidR="00EB0AB0" w:rsidRPr="00DB7156">
        <w:rPr>
          <w:rFonts w:ascii="Arial" w:hAnsi="Arial" w:cs="Arial"/>
          <w:sz w:val="24"/>
          <w:szCs w:val="20"/>
        </w:rPr>
        <w:t>NAAQS</w:t>
      </w:r>
      <w:r w:rsidR="00396F58" w:rsidRPr="00DB7156">
        <w:rPr>
          <w:rFonts w:ascii="Arial" w:hAnsi="Arial" w:cs="Arial"/>
          <w:sz w:val="24"/>
          <w:szCs w:val="20"/>
        </w:rPr>
        <w:t xml:space="preserve"> for SO</w:t>
      </w:r>
      <w:r w:rsidR="005E5F79" w:rsidRPr="00DB7156">
        <w:rPr>
          <w:rFonts w:ascii="Arial" w:hAnsi="Arial" w:cs="Arial"/>
          <w:sz w:val="24"/>
          <w:szCs w:val="24"/>
          <w:vertAlign w:val="subscript"/>
        </w:rPr>
        <w:t>2</w:t>
      </w:r>
      <w:r w:rsidR="00396F58" w:rsidRPr="00DB7156">
        <w:rPr>
          <w:rFonts w:ascii="Arial" w:hAnsi="Arial" w:cs="Arial"/>
          <w:sz w:val="24"/>
          <w:szCs w:val="20"/>
        </w:rPr>
        <w:t xml:space="preserve"> and PM</w:t>
      </w:r>
      <w:r w:rsidR="00396F58" w:rsidRPr="00F4257C">
        <w:rPr>
          <w:rFonts w:ascii="Arial" w:hAnsi="Arial" w:cs="Arial"/>
          <w:sz w:val="24"/>
          <w:szCs w:val="20"/>
          <w:vertAlign w:val="subscript"/>
        </w:rPr>
        <w:t>2.5</w:t>
      </w:r>
      <w:r w:rsidR="00324F18" w:rsidRPr="00F4257C">
        <w:rPr>
          <w:rFonts w:ascii="Arial" w:hAnsi="Arial" w:cs="Arial"/>
          <w:sz w:val="24"/>
          <w:szCs w:val="20"/>
          <w:vertAlign w:val="subscript"/>
        </w:rPr>
        <w:t xml:space="preserve"> </w:t>
      </w:r>
      <w:r w:rsidR="00324F18" w:rsidRPr="00DB7156">
        <w:rPr>
          <w:rFonts w:ascii="Arial" w:hAnsi="Arial" w:cs="Arial"/>
          <w:sz w:val="24"/>
          <w:szCs w:val="20"/>
        </w:rPr>
        <w:t xml:space="preserve">and </w:t>
      </w:r>
      <w:r w:rsidR="00396F58" w:rsidRPr="00DB7156">
        <w:rPr>
          <w:rFonts w:ascii="Arial" w:hAnsi="Arial" w:cs="Arial"/>
          <w:sz w:val="24"/>
          <w:szCs w:val="20"/>
        </w:rPr>
        <w:t>the Clean Air Visibility Rule may drive the need for additional SO</w:t>
      </w:r>
      <w:r w:rsidR="005E5F79" w:rsidRPr="00DB7156">
        <w:rPr>
          <w:rFonts w:ascii="Arial" w:hAnsi="Arial" w:cs="Arial"/>
          <w:sz w:val="24"/>
          <w:szCs w:val="24"/>
          <w:vertAlign w:val="subscript"/>
        </w:rPr>
        <w:t>2</w:t>
      </w:r>
      <w:r w:rsidR="00396F58" w:rsidRPr="00DB7156">
        <w:rPr>
          <w:rFonts w:ascii="Arial" w:hAnsi="Arial" w:cs="Arial"/>
          <w:sz w:val="24"/>
          <w:szCs w:val="20"/>
        </w:rPr>
        <w:t xml:space="preserve"> reduction strategies in the future.  </w:t>
      </w:r>
    </w:p>
    <w:p w14:paraId="22BA51BD" w14:textId="77777777" w:rsidR="00F0720E" w:rsidRPr="00DB7156" w:rsidRDefault="00F0720E"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p>
    <w:p w14:paraId="1DF08358" w14:textId="23EFE432" w:rsidR="004F3144" w:rsidRDefault="005F4B33"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r w:rsidRPr="00AC20C4">
        <w:rPr>
          <w:rFonts w:ascii="Arial" w:hAnsi="Arial" w:cs="Arial"/>
          <w:sz w:val="24"/>
          <w:szCs w:val="20"/>
        </w:rPr>
        <w:t xml:space="preserve">While the </w:t>
      </w:r>
      <w:r w:rsidR="007A7EA3" w:rsidRPr="00AC20C4">
        <w:rPr>
          <w:rFonts w:ascii="Arial" w:hAnsi="Arial" w:cs="Arial"/>
          <w:sz w:val="24"/>
          <w:szCs w:val="20"/>
        </w:rPr>
        <w:t>outcome of</w:t>
      </w:r>
      <w:r w:rsidRPr="00AC20C4">
        <w:rPr>
          <w:rFonts w:ascii="Arial" w:hAnsi="Arial" w:cs="Arial"/>
          <w:sz w:val="24"/>
          <w:szCs w:val="20"/>
        </w:rPr>
        <w:t xml:space="preserve"> these future rules is unclear, </w:t>
      </w:r>
      <w:r w:rsidR="000403BB" w:rsidRPr="00395B08">
        <w:rPr>
          <w:rFonts w:ascii="Arial" w:hAnsi="Arial" w:cs="Arial"/>
          <w:b/>
          <w:sz w:val="24"/>
          <w:szCs w:val="24"/>
        </w:rPr>
        <w:t>REDACTED</w:t>
      </w:r>
      <w:r w:rsidR="000403BB" w:rsidRPr="00395B08">
        <w:rPr>
          <w:rFonts w:ascii="Arial" w:hAnsi="Arial" w:cs="Arial"/>
          <w:sz w:val="24"/>
          <w:szCs w:val="24"/>
        </w:rPr>
        <w:t xml:space="preserve"> </w:t>
      </w:r>
      <w:r w:rsidR="000403BB" w:rsidRPr="00395B08">
        <w:rPr>
          <w:rFonts w:ascii="Arial" w:hAnsi="Arial" w:cs="Arial"/>
          <w:b/>
          <w:sz w:val="24"/>
          <w:szCs w:val="24"/>
        </w:rPr>
        <w:t>REDACTED REDACTED</w:t>
      </w:r>
      <w:r w:rsidR="000403BB" w:rsidRPr="00395B08">
        <w:rPr>
          <w:rFonts w:ascii="Arial" w:hAnsi="Arial" w:cs="Arial"/>
          <w:sz w:val="24"/>
          <w:szCs w:val="24"/>
        </w:rPr>
        <w:t xml:space="preserve"> </w:t>
      </w:r>
      <w:r w:rsidR="000403BB" w:rsidRPr="00395B08">
        <w:rPr>
          <w:rFonts w:ascii="Arial" w:hAnsi="Arial" w:cs="Arial"/>
          <w:b/>
          <w:sz w:val="24"/>
          <w:szCs w:val="24"/>
        </w:rPr>
        <w:t>REDACTED</w:t>
      </w:r>
      <w:r w:rsidR="000403BB" w:rsidRPr="00395B08">
        <w:rPr>
          <w:rFonts w:ascii="Arial" w:hAnsi="Arial" w:cs="Arial"/>
          <w:sz w:val="24"/>
          <w:szCs w:val="24"/>
        </w:rPr>
        <w:t xml:space="preserve"> </w:t>
      </w:r>
      <w:r w:rsidR="000403BB" w:rsidRPr="00395B08">
        <w:rPr>
          <w:rFonts w:ascii="Arial" w:hAnsi="Arial" w:cs="Arial"/>
          <w:b/>
          <w:sz w:val="24"/>
          <w:szCs w:val="24"/>
        </w:rPr>
        <w:t>REDACTED REDACTED REDACTED</w:t>
      </w:r>
      <w:r w:rsidR="000403BB" w:rsidRPr="00395B08">
        <w:rPr>
          <w:rFonts w:ascii="Arial" w:hAnsi="Arial" w:cs="Arial"/>
          <w:sz w:val="24"/>
          <w:szCs w:val="24"/>
        </w:rPr>
        <w:t xml:space="preserve"> </w:t>
      </w:r>
      <w:r w:rsidR="000403BB" w:rsidRPr="00395B08">
        <w:rPr>
          <w:rFonts w:ascii="Arial" w:hAnsi="Arial" w:cs="Arial"/>
          <w:b/>
          <w:sz w:val="24"/>
          <w:szCs w:val="24"/>
        </w:rPr>
        <w:t>REDACTED REDACTED</w:t>
      </w:r>
      <w:r w:rsidR="000403BB" w:rsidRPr="00395B08">
        <w:rPr>
          <w:rFonts w:ascii="Arial" w:hAnsi="Arial" w:cs="Arial"/>
          <w:sz w:val="24"/>
          <w:szCs w:val="24"/>
        </w:rPr>
        <w:t xml:space="preserve"> </w:t>
      </w:r>
      <w:r w:rsidR="000403BB" w:rsidRPr="00395B08">
        <w:rPr>
          <w:rFonts w:ascii="Arial" w:hAnsi="Arial" w:cs="Arial"/>
          <w:b/>
          <w:sz w:val="24"/>
          <w:szCs w:val="24"/>
        </w:rPr>
        <w:t>REDACTED</w:t>
      </w:r>
      <w:r w:rsidR="000403BB" w:rsidRPr="000403BB">
        <w:rPr>
          <w:rFonts w:ascii="Arial" w:hAnsi="Arial" w:cs="Arial"/>
          <w:b/>
          <w:sz w:val="24"/>
          <w:szCs w:val="24"/>
        </w:rPr>
        <w:t xml:space="preserve"> </w:t>
      </w:r>
      <w:r w:rsidR="000403BB" w:rsidRPr="00395B08">
        <w:rPr>
          <w:rFonts w:ascii="Arial" w:hAnsi="Arial" w:cs="Arial"/>
          <w:b/>
          <w:sz w:val="24"/>
          <w:szCs w:val="24"/>
        </w:rPr>
        <w:t>REDACTED</w:t>
      </w:r>
      <w:r w:rsidR="000403BB" w:rsidRPr="00395B08">
        <w:rPr>
          <w:rFonts w:ascii="Arial" w:hAnsi="Arial" w:cs="Arial"/>
          <w:sz w:val="24"/>
          <w:szCs w:val="24"/>
        </w:rPr>
        <w:t xml:space="preserve"> </w:t>
      </w:r>
      <w:r w:rsidR="009A6011" w:rsidRPr="00395B08">
        <w:rPr>
          <w:rFonts w:ascii="Arial" w:hAnsi="Arial" w:cs="Arial"/>
          <w:b/>
          <w:sz w:val="24"/>
          <w:szCs w:val="24"/>
        </w:rPr>
        <w:t>REDACTED</w:t>
      </w:r>
      <w:r w:rsidR="009A6011" w:rsidRPr="00395B08">
        <w:rPr>
          <w:rFonts w:ascii="Arial" w:hAnsi="Arial" w:cs="Arial"/>
          <w:sz w:val="24"/>
          <w:szCs w:val="24"/>
        </w:rPr>
        <w:t xml:space="preserve"> </w:t>
      </w:r>
      <w:r w:rsidR="009A6011" w:rsidRPr="00395B08">
        <w:rPr>
          <w:rFonts w:ascii="Arial" w:hAnsi="Arial" w:cs="Arial"/>
          <w:b/>
          <w:sz w:val="24"/>
          <w:szCs w:val="24"/>
        </w:rPr>
        <w:t>REDACTED</w:t>
      </w:r>
      <w:r w:rsidR="009A6011" w:rsidRPr="00395B08">
        <w:rPr>
          <w:rFonts w:ascii="Arial" w:hAnsi="Arial" w:cs="Arial"/>
          <w:sz w:val="24"/>
          <w:szCs w:val="24"/>
        </w:rPr>
        <w:t xml:space="preserve"> </w:t>
      </w:r>
      <w:r w:rsidR="009A6011" w:rsidRPr="00395B08">
        <w:rPr>
          <w:rFonts w:ascii="Arial" w:hAnsi="Arial" w:cs="Arial"/>
          <w:b/>
          <w:sz w:val="24"/>
          <w:szCs w:val="24"/>
        </w:rPr>
        <w:t>REDACTED</w:t>
      </w:r>
      <w:r w:rsidR="009A6011" w:rsidRPr="00395B08">
        <w:rPr>
          <w:rFonts w:ascii="Arial" w:hAnsi="Arial" w:cs="Arial"/>
          <w:sz w:val="24"/>
          <w:szCs w:val="24"/>
        </w:rPr>
        <w:t xml:space="preserve"> </w:t>
      </w:r>
      <w:r w:rsidR="009A6011" w:rsidRPr="00395B08">
        <w:rPr>
          <w:rFonts w:ascii="Arial" w:hAnsi="Arial" w:cs="Arial"/>
          <w:b/>
          <w:sz w:val="24"/>
          <w:szCs w:val="24"/>
        </w:rPr>
        <w:t>REDACTED</w:t>
      </w:r>
      <w:r w:rsidR="009A6011">
        <w:rPr>
          <w:rFonts w:ascii="Arial" w:hAnsi="Arial" w:cs="Arial"/>
          <w:b/>
          <w:sz w:val="24"/>
          <w:szCs w:val="24"/>
        </w:rPr>
        <w:t>.</w:t>
      </w:r>
      <w:r w:rsidR="009A6011" w:rsidRPr="00395B08">
        <w:rPr>
          <w:rFonts w:ascii="Arial" w:hAnsi="Arial" w:cs="Arial"/>
          <w:sz w:val="24"/>
          <w:szCs w:val="24"/>
        </w:rPr>
        <w:t xml:space="preserve"> </w:t>
      </w:r>
      <w:r w:rsidR="00D93EED" w:rsidRPr="00764BCA">
        <w:rPr>
          <w:rFonts w:ascii="Arial" w:hAnsi="Arial" w:cs="Arial"/>
          <w:sz w:val="24"/>
          <w:szCs w:val="20"/>
        </w:rPr>
        <w:t>C</w:t>
      </w:r>
      <w:r w:rsidR="00E138BA" w:rsidRPr="00764BCA">
        <w:rPr>
          <w:rFonts w:ascii="Arial" w:hAnsi="Arial" w:cs="Arial"/>
          <w:sz w:val="24"/>
          <w:szCs w:val="20"/>
        </w:rPr>
        <w:t xml:space="preserve">oal-fired units may </w:t>
      </w:r>
      <w:r w:rsidR="0045291D" w:rsidRPr="00764BCA">
        <w:rPr>
          <w:rFonts w:ascii="Arial" w:hAnsi="Arial" w:cs="Arial"/>
          <w:sz w:val="24"/>
          <w:szCs w:val="20"/>
        </w:rPr>
        <w:t>be subject to more stringent SO</w:t>
      </w:r>
      <w:r w:rsidR="0045291D" w:rsidRPr="00764BCA">
        <w:rPr>
          <w:rFonts w:ascii="Arial" w:hAnsi="Arial" w:cs="Arial"/>
          <w:sz w:val="24"/>
          <w:szCs w:val="20"/>
          <w:vertAlign w:val="subscript"/>
        </w:rPr>
        <w:t>2</w:t>
      </w:r>
      <w:r w:rsidR="0045291D" w:rsidRPr="00764BCA">
        <w:rPr>
          <w:rFonts w:ascii="Arial" w:hAnsi="Arial" w:cs="Arial"/>
          <w:sz w:val="24"/>
          <w:szCs w:val="20"/>
        </w:rPr>
        <w:t xml:space="preserve"> limits in the future.</w:t>
      </w:r>
    </w:p>
    <w:p w14:paraId="6BECED7A" w14:textId="7B5F5DA0" w:rsidR="003B1375" w:rsidRDefault="003B1375"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p>
    <w:p w14:paraId="06E10556" w14:textId="53884160" w:rsidR="009A6011" w:rsidRDefault="003B1375" w:rsidP="009A6011">
      <w:pPr>
        <w:spacing w:after="0" w:line="240" w:lineRule="auto"/>
        <w:jc w:val="both"/>
        <w:rPr>
          <w:rFonts w:ascii="Arial" w:hAnsi="Arial" w:cs="Arial"/>
          <w:b/>
          <w:sz w:val="24"/>
          <w:szCs w:val="24"/>
        </w:rPr>
      </w:pPr>
      <w:r>
        <w:rPr>
          <w:rFonts w:ascii="Arial" w:hAnsi="Arial" w:cs="Arial"/>
          <w:sz w:val="24"/>
          <w:szCs w:val="24"/>
        </w:rPr>
        <w:t>I</w:t>
      </w:r>
      <w:r w:rsidRPr="00DB7156">
        <w:rPr>
          <w:rFonts w:ascii="Arial" w:hAnsi="Arial" w:cs="Arial"/>
          <w:sz w:val="24"/>
          <w:szCs w:val="24"/>
        </w:rPr>
        <w:t xml:space="preserve">n this IRP, Georgia Power is requesting decertification of Plant Hammond Units 1-4 and Plant McIntosh Unit 1. If the Georgia PSC approves the request for decertification, </w:t>
      </w:r>
      <w:r w:rsidR="009A6011" w:rsidRPr="009A6011">
        <w:rPr>
          <w:rFonts w:ascii="Arial" w:hAnsi="Arial" w:cs="Arial"/>
          <w:b/>
          <w:sz w:val="14"/>
          <w:szCs w:val="24"/>
        </w:rPr>
        <w:t>REDACTED</w:t>
      </w:r>
      <w:r w:rsidR="009A6011" w:rsidRPr="009A6011">
        <w:rPr>
          <w:rFonts w:ascii="Arial" w:hAnsi="Arial" w:cs="Arial"/>
          <w:sz w:val="14"/>
          <w:szCs w:val="24"/>
        </w:rPr>
        <w:t xml:space="preserve"> </w:t>
      </w:r>
      <w:r w:rsidR="009A6011" w:rsidRPr="00395B08">
        <w:rPr>
          <w:rFonts w:ascii="Arial" w:hAnsi="Arial" w:cs="Arial"/>
          <w:b/>
          <w:sz w:val="24"/>
          <w:szCs w:val="24"/>
        </w:rPr>
        <w:t>REDACTED</w:t>
      </w:r>
      <w:r w:rsidR="009A6011" w:rsidRPr="009A6011">
        <w:rPr>
          <w:rFonts w:ascii="Arial" w:hAnsi="Arial" w:cs="Arial"/>
          <w:b/>
          <w:sz w:val="24"/>
          <w:szCs w:val="24"/>
        </w:rPr>
        <w:t xml:space="preserve"> </w:t>
      </w:r>
      <w:r w:rsidR="009A6011" w:rsidRPr="00395B08">
        <w:rPr>
          <w:rFonts w:ascii="Arial" w:hAnsi="Arial" w:cs="Arial"/>
          <w:b/>
          <w:sz w:val="24"/>
          <w:szCs w:val="24"/>
        </w:rPr>
        <w:t>REDACTED</w:t>
      </w:r>
      <w:r w:rsidR="009A6011">
        <w:rPr>
          <w:rFonts w:ascii="Arial" w:hAnsi="Arial" w:cs="Arial"/>
          <w:b/>
          <w:sz w:val="24"/>
          <w:szCs w:val="24"/>
        </w:rPr>
        <w:t xml:space="preserve"> </w:t>
      </w:r>
      <w:r w:rsidR="009A6011" w:rsidRPr="00395B08">
        <w:rPr>
          <w:rFonts w:ascii="Arial" w:hAnsi="Arial" w:cs="Arial"/>
          <w:b/>
          <w:sz w:val="24"/>
          <w:szCs w:val="24"/>
        </w:rPr>
        <w:t>REDACTED</w:t>
      </w:r>
      <w:r w:rsidR="009A6011" w:rsidRPr="009A6011">
        <w:rPr>
          <w:rFonts w:ascii="Arial" w:hAnsi="Arial" w:cs="Arial"/>
          <w:b/>
          <w:sz w:val="24"/>
          <w:szCs w:val="24"/>
        </w:rPr>
        <w:t xml:space="preserve"> </w:t>
      </w:r>
      <w:r w:rsidR="009A6011" w:rsidRPr="00395B08">
        <w:rPr>
          <w:rFonts w:ascii="Arial" w:hAnsi="Arial" w:cs="Arial"/>
          <w:b/>
          <w:sz w:val="24"/>
          <w:szCs w:val="24"/>
        </w:rPr>
        <w:t>REDACTED</w:t>
      </w:r>
      <w:r w:rsidR="009A6011" w:rsidRPr="009A6011">
        <w:rPr>
          <w:rFonts w:ascii="Arial" w:hAnsi="Arial" w:cs="Arial"/>
          <w:b/>
          <w:sz w:val="24"/>
          <w:szCs w:val="24"/>
        </w:rPr>
        <w:t xml:space="preserve"> </w:t>
      </w:r>
      <w:r w:rsidR="009A6011" w:rsidRPr="00395B08">
        <w:rPr>
          <w:rFonts w:ascii="Arial" w:hAnsi="Arial" w:cs="Arial"/>
          <w:b/>
          <w:sz w:val="24"/>
          <w:szCs w:val="24"/>
        </w:rPr>
        <w:t>REDACTED</w:t>
      </w:r>
      <w:r w:rsidR="009A6011" w:rsidRPr="009A6011">
        <w:rPr>
          <w:rFonts w:ascii="Arial" w:hAnsi="Arial" w:cs="Arial"/>
          <w:b/>
          <w:sz w:val="24"/>
          <w:szCs w:val="24"/>
        </w:rPr>
        <w:t xml:space="preserve"> </w:t>
      </w:r>
      <w:r w:rsidR="009A6011" w:rsidRPr="00395B08">
        <w:rPr>
          <w:rFonts w:ascii="Arial" w:hAnsi="Arial" w:cs="Arial"/>
          <w:b/>
          <w:sz w:val="24"/>
          <w:szCs w:val="24"/>
        </w:rPr>
        <w:t>REDACTED</w:t>
      </w:r>
      <w:r w:rsidR="009A6011" w:rsidRPr="009A6011">
        <w:rPr>
          <w:rFonts w:ascii="Arial" w:hAnsi="Arial" w:cs="Arial"/>
          <w:b/>
          <w:sz w:val="24"/>
          <w:szCs w:val="24"/>
        </w:rPr>
        <w:t xml:space="preserve"> </w:t>
      </w:r>
      <w:r w:rsidR="009A6011" w:rsidRPr="009A6011">
        <w:rPr>
          <w:rFonts w:ascii="Arial" w:hAnsi="Arial" w:cs="Arial"/>
          <w:b/>
          <w:sz w:val="20"/>
          <w:szCs w:val="24"/>
        </w:rPr>
        <w:t>REDACTED</w:t>
      </w:r>
    </w:p>
    <w:p w14:paraId="22BA51BE" w14:textId="24C3CECB" w:rsidR="00752263" w:rsidRPr="009A6011" w:rsidRDefault="00E138BA" w:rsidP="009A6011">
      <w:pPr>
        <w:spacing w:after="0" w:line="240" w:lineRule="auto"/>
        <w:jc w:val="both"/>
        <w:rPr>
          <w:rFonts w:ascii="Arial" w:hAnsi="Arial" w:cs="Arial"/>
          <w:sz w:val="28"/>
          <w:szCs w:val="24"/>
        </w:rPr>
      </w:pPr>
      <w:r w:rsidRPr="00DB7156">
        <w:rPr>
          <w:rFonts w:ascii="Arial" w:hAnsi="Arial" w:cs="Arial"/>
          <w:sz w:val="24"/>
          <w:szCs w:val="20"/>
        </w:rPr>
        <w:t xml:space="preserve">  </w:t>
      </w:r>
    </w:p>
    <w:p w14:paraId="22BA51BF" w14:textId="19B9ADC8" w:rsidR="00752263" w:rsidRPr="00DB7156" w:rsidRDefault="004F3144" w:rsidP="00DB7156">
      <w:pPr>
        <w:spacing w:after="0" w:line="240" w:lineRule="auto"/>
        <w:jc w:val="both"/>
        <w:outlineLvl w:val="2"/>
        <w:rPr>
          <w:rFonts w:ascii="Arial" w:hAnsi="Arial" w:cs="Arial"/>
          <w:b/>
          <w:bCs/>
          <w:color w:val="000080"/>
          <w:sz w:val="24"/>
          <w:szCs w:val="24"/>
        </w:rPr>
      </w:pPr>
      <w:bookmarkStart w:id="182" w:name="_Toc496107761"/>
      <w:bookmarkStart w:id="183" w:name="_Toc527987353"/>
      <w:bookmarkStart w:id="184" w:name="_Toc527983900"/>
      <w:bookmarkStart w:id="185" w:name="_Toc530487284"/>
      <w:bookmarkStart w:id="186" w:name="_Toc535908152"/>
      <w:r w:rsidRPr="00DB7156">
        <w:rPr>
          <w:rFonts w:ascii="Arial" w:hAnsi="Arial" w:cs="Arial"/>
          <w:b/>
          <w:bCs/>
          <w:color w:val="000080"/>
          <w:sz w:val="24"/>
          <w:szCs w:val="24"/>
        </w:rPr>
        <w:t>4.1.2</w:t>
      </w:r>
      <w:r w:rsidRPr="00DB7156">
        <w:rPr>
          <w:rFonts w:ascii="Arial" w:hAnsi="Arial" w:cs="Arial"/>
          <w:b/>
          <w:bCs/>
          <w:color w:val="000080"/>
          <w:sz w:val="24"/>
          <w:szCs w:val="24"/>
        </w:rPr>
        <w:tab/>
        <w:t>NO</w:t>
      </w:r>
      <w:r w:rsidRPr="00DB7156">
        <w:rPr>
          <w:rFonts w:ascii="Arial" w:hAnsi="Arial" w:cs="Arial"/>
          <w:b/>
          <w:bCs/>
          <w:color w:val="000080"/>
          <w:sz w:val="24"/>
          <w:szCs w:val="24"/>
          <w:vertAlign w:val="subscript"/>
        </w:rPr>
        <w:t>X</w:t>
      </w:r>
      <w:r w:rsidRPr="00DB7156">
        <w:rPr>
          <w:rFonts w:ascii="Arial" w:hAnsi="Arial" w:cs="Arial"/>
          <w:b/>
          <w:bCs/>
          <w:color w:val="000080"/>
          <w:sz w:val="24"/>
          <w:szCs w:val="24"/>
        </w:rPr>
        <w:t xml:space="preserve"> Compliance</w:t>
      </w:r>
      <w:bookmarkEnd w:id="182"/>
      <w:bookmarkEnd w:id="183"/>
      <w:bookmarkEnd w:id="184"/>
      <w:bookmarkEnd w:id="185"/>
      <w:bookmarkEnd w:id="186"/>
    </w:p>
    <w:p w14:paraId="22BA51C1" w14:textId="22376EEA" w:rsidR="00A850FB" w:rsidRPr="00DB7156" w:rsidRDefault="00A850FB"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bookmarkStart w:id="187" w:name="_Toc345263814"/>
      <w:bookmarkEnd w:id="187"/>
    </w:p>
    <w:p w14:paraId="4D3F7EFF" w14:textId="45AA44DB" w:rsidR="004F3144" w:rsidRPr="00DB7156" w:rsidRDefault="00A850FB"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Since 2007,</w:t>
      </w:r>
      <w:r w:rsidR="00163B2D" w:rsidRPr="00DB7156">
        <w:rPr>
          <w:rFonts w:ascii="Arial" w:hAnsi="Arial" w:cs="Arial"/>
          <w:sz w:val="24"/>
          <w:szCs w:val="24"/>
        </w:rPr>
        <w:t xml:space="preserve"> like SO</w:t>
      </w:r>
      <w:r w:rsidR="00163B2D" w:rsidRPr="00DB7156">
        <w:rPr>
          <w:rFonts w:ascii="Arial" w:hAnsi="Arial" w:cs="Arial"/>
          <w:sz w:val="24"/>
          <w:szCs w:val="24"/>
        </w:rPr>
        <w:softHyphen/>
      </w:r>
      <w:r w:rsidR="00163B2D" w:rsidRPr="00DB7156">
        <w:rPr>
          <w:rFonts w:ascii="Arial" w:hAnsi="Arial" w:cs="Arial"/>
          <w:sz w:val="24"/>
          <w:szCs w:val="24"/>
          <w:vertAlign w:val="subscript"/>
        </w:rPr>
        <w:t>2</w:t>
      </w:r>
      <w:r w:rsidR="00163B2D" w:rsidRPr="00DB7156">
        <w:rPr>
          <w:rFonts w:ascii="Arial" w:hAnsi="Arial" w:cs="Arial"/>
          <w:sz w:val="24"/>
          <w:szCs w:val="24"/>
        </w:rPr>
        <w:t>,</w:t>
      </w:r>
      <w:r w:rsidRPr="00DB7156">
        <w:rPr>
          <w:rFonts w:ascii="Arial" w:hAnsi="Arial" w:cs="Arial"/>
          <w:sz w:val="24"/>
          <w:szCs w:val="24"/>
        </w:rPr>
        <w:t xml:space="preserve"> the NOx controls strategy and schedule for Georgia Power have also been largely mapped out by the requirements in the </w:t>
      </w:r>
      <w:r w:rsidR="006D6050" w:rsidRPr="00DB7156">
        <w:rPr>
          <w:rFonts w:ascii="Arial" w:hAnsi="Arial" w:cs="Arial"/>
          <w:sz w:val="24"/>
          <w:szCs w:val="24"/>
        </w:rPr>
        <w:t xml:space="preserve">Georgia </w:t>
      </w:r>
      <w:r w:rsidRPr="00DB7156">
        <w:rPr>
          <w:rFonts w:ascii="Arial" w:hAnsi="Arial" w:cs="Arial"/>
          <w:sz w:val="24"/>
          <w:szCs w:val="24"/>
        </w:rPr>
        <w:t>Multipollutant Rule.  The sections below review the historical, ongoing, and expected potential impacts of other rules on the NOx compliance strategy.</w:t>
      </w:r>
    </w:p>
    <w:p w14:paraId="22BA51C2" w14:textId="1B0FEE8E" w:rsidR="00A850FB" w:rsidRPr="00DB7156" w:rsidRDefault="00A850FB" w:rsidP="00DB7156">
      <w:pPr>
        <w:tabs>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 xml:space="preserve">  </w:t>
      </w:r>
    </w:p>
    <w:p w14:paraId="22BA51C3" w14:textId="4CA9302A" w:rsidR="003C720F" w:rsidRPr="00DB7156" w:rsidRDefault="004F3144" w:rsidP="00DB7156">
      <w:pPr>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Acid Rain NOx Compliance Review</w:t>
      </w:r>
    </w:p>
    <w:p w14:paraId="22BA51C5" w14:textId="797B3D18" w:rsidR="006D33C2" w:rsidRPr="00DB7156" w:rsidRDefault="00EE778B" w:rsidP="00DB7156">
      <w:pPr>
        <w:widowControl w:val="0"/>
        <w:tabs>
          <w:tab w:val="left" w:pos="360"/>
        </w:tabs>
        <w:spacing w:after="0" w:line="240" w:lineRule="auto"/>
        <w:jc w:val="both"/>
        <w:rPr>
          <w:rFonts w:ascii="Arial" w:hAnsi="Arial" w:cs="Arial"/>
          <w:sz w:val="24"/>
          <w:szCs w:val="24"/>
        </w:rPr>
      </w:pPr>
      <w:r w:rsidRPr="00DB7156">
        <w:rPr>
          <w:rFonts w:ascii="Arial" w:hAnsi="Arial" w:cs="Arial"/>
          <w:sz w:val="24"/>
          <w:szCs w:val="24"/>
        </w:rPr>
        <w:t>Instead of a cap and trade based system, the Acid Rain Program for NO</w:t>
      </w:r>
      <w:r w:rsidRPr="00DB7156">
        <w:rPr>
          <w:rFonts w:ascii="Arial" w:hAnsi="Arial" w:cs="Arial"/>
          <w:sz w:val="24"/>
          <w:szCs w:val="24"/>
          <w:vertAlign w:val="subscript"/>
        </w:rPr>
        <w:t>X</w:t>
      </w:r>
      <w:r w:rsidRPr="00DB7156">
        <w:rPr>
          <w:rFonts w:ascii="Arial" w:hAnsi="Arial" w:cs="Arial"/>
          <w:sz w:val="24"/>
          <w:szCs w:val="24"/>
        </w:rPr>
        <w:t xml:space="preserve"> established emissions limitations for certain coal-fired boilers, or groups of boilers in an averaging plan. </w:t>
      </w:r>
      <w:r w:rsidR="00752263" w:rsidRPr="00DB7156">
        <w:rPr>
          <w:rFonts w:ascii="Arial" w:hAnsi="Arial" w:cs="Arial"/>
          <w:sz w:val="24"/>
          <w:szCs w:val="24"/>
        </w:rPr>
        <w:t>The G</w:t>
      </w:r>
      <w:r w:rsidR="003C720F" w:rsidRPr="00DB7156">
        <w:rPr>
          <w:rFonts w:ascii="Arial" w:hAnsi="Arial" w:cs="Arial"/>
          <w:sz w:val="24"/>
          <w:szCs w:val="24"/>
        </w:rPr>
        <w:t>eorgia Power</w:t>
      </w:r>
      <w:r w:rsidR="00752263" w:rsidRPr="00DB7156">
        <w:rPr>
          <w:rFonts w:ascii="Arial" w:hAnsi="Arial" w:cs="Arial"/>
          <w:sz w:val="24"/>
          <w:szCs w:val="24"/>
        </w:rPr>
        <w:t xml:space="preserve"> 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compliance strategy for Acid Rain compliance </w:t>
      </w:r>
      <w:r w:rsidR="002F2289" w:rsidRPr="00DB7156">
        <w:rPr>
          <w:rFonts w:ascii="Arial" w:hAnsi="Arial" w:cs="Arial"/>
          <w:sz w:val="24"/>
          <w:szCs w:val="24"/>
        </w:rPr>
        <w:t xml:space="preserve">historically </w:t>
      </w:r>
      <w:r w:rsidR="00752263" w:rsidRPr="00DB7156">
        <w:rPr>
          <w:rFonts w:ascii="Arial" w:hAnsi="Arial" w:cs="Arial"/>
          <w:sz w:val="24"/>
          <w:szCs w:val="24"/>
        </w:rPr>
        <w:t xml:space="preserve">consisted of installing </w:t>
      </w:r>
      <w:bookmarkStart w:id="188" w:name="_Hlk528738821"/>
      <w:r w:rsidR="00752263" w:rsidRPr="00DB7156">
        <w:rPr>
          <w:rFonts w:ascii="Arial" w:hAnsi="Arial" w:cs="Arial"/>
          <w:sz w:val="24"/>
          <w:szCs w:val="24"/>
        </w:rPr>
        <w:t>low-NO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burners</w:t>
      </w:r>
      <w:bookmarkEnd w:id="188"/>
      <w:r w:rsidR="00752263" w:rsidRPr="00DB7156">
        <w:rPr>
          <w:rFonts w:ascii="Arial" w:hAnsi="Arial" w:cs="Arial"/>
          <w:sz w:val="24"/>
          <w:szCs w:val="24"/>
        </w:rPr>
        <w:t xml:space="preserve">, OFA systems, burner tips, and associated controls. </w:t>
      </w:r>
      <w:r w:rsidR="006D33C2" w:rsidRPr="00DB7156">
        <w:rPr>
          <w:rFonts w:ascii="Arial" w:hAnsi="Arial" w:cs="Arial"/>
          <w:sz w:val="24"/>
          <w:szCs w:val="24"/>
        </w:rPr>
        <w:t>Georgia Power complies with the NOx requirements under the Acid Rain Program through a NOx Averaging Plan. Under the plan, affected units covered by the regulation must achieve an annual-average NOx emission rate below the specified limit.</w:t>
      </w:r>
    </w:p>
    <w:p w14:paraId="22BA51C6" w14:textId="77777777" w:rsidR="00EB0AB0" w:rsidRPr="00DB7156" w:rsidRDefault="00EB0AB0" w:rsidP="00DB7156">
      <w:pPr>
        <w:widowControl w:val="0"/>
        <w:tabs>
          <w:tab w:val="left" w:pos="360"/>
        </w:tabs>
        <w:spacing w:after="0" w:line="240" w:lineRule="auto"/>
        <w:jc w:val="both"/>
        <w:rPr>
          <w:rFonts w:ascii="Arial" w:hAnsi="Arial" w:cs="Arial"/>
          <w:sz w:val="24"/>
          <w:szCs w:val="24"/>
        </w:rPr>
      </w:pPr>
    </w:p>
    <w:p w14:paraId="22BA51C7" w14:textId="61B3561A" w:rsidR="001832A5" w:rsidRPr="00DB7156" w:rsidRDefault="006D33C2" w:rsidP="00DB7156">
      <w:pPr>
        <w:tabs>
          <w:tab w:val="left" w:pos="720"/>
        </w:tabs>
        <w:spacing w:after="0" w:line="240" w:lineRule="auto"/>
        <w:jc w:val="both"/>
        <w:rPr>
          <w:rFonts w:ascii="Arial" w:hAnsi="Arial" w:cs="Arial"/>
          <w:sz w:val="24"/>
          <w:szCs w:val="24"/>
        </w:rPr>
      </w:pPr>
      <w:r w:rsidRPr="00DB7156">
        <w:rPr>
          <w:rFonts w:ascii="Arial" w:hAnsi="Arial" w:cs="Arial"/>
          <w:sz w:val="24"/>
          <w:szCs w:val="24"/>
        </w:rPr>
        <w:t xml:space="preserve">The </w:t>
      </w:r>
      <w:r w:rsidR="00752263" w:rsidRPr="00DB7156">
        <w:rPr>
          <w:rFonts w:ascii="Arial" w:hAnsi="Arial" w:cs="Arial"/>
          <w:sz w:val="24"/>
          <w:szCs w:val="24"/>
        </w:rPr>
        <w:t>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w:t>
      </w:r>
      <w:r w:rsidR="008D0FA7" w:rsidRPr="00DB7156">
        <w:rPr>
          <w:rFonts w:ascii="Arial" w:hAnsi="Arial" w:cs="Arial"/>
          <w:sz w:val="24"/>
          <w:szCs w:val="24"/>
        </w:rPr>
        <w:t>A</w:t>
      </w:r>
      <w:r w:rsidR="00752263" w:rsidRPr="00DB7156">
        <w:rPr>
          <w:rFonts w:ascii="Arial" w:hAnsi="Arial" w:cs="Arial"/>
          <w:sz w:val="24"/>
          <w:szCs w:val="24"/>
        </w:rPr>
        <w:t xml:space="preserve">veraging </w:t>
      </w:r>
      <w:r w:rsidR="008D0FA7" w:rsidRPr="00DB7156">
        <w:rPr>
          <w:rFonts w:ascii="Arial" w:hAnsi="Arial" w:cs="Arial"/>
          <w:sz w:val="24"/>
          <w:szCs w:val="24"/>
        </w:rPr>
        <w:t>P</w:t>
      </w:r>
      <w:r w:rsidR="00752263" w:rsidRPr="00DB7156">
        <w:rPr>
          <w:rFonts w:ascii="Arial" w:hAnsi="Arial" w:cs="Arial"/>
          <w:sz w:val="24"/>
          <w:szCs w:val="24"/>
        </w:rPr>
        <w:t>lan</w:t>
      </w:r>
      <w:r w:rsidR="00752263" w:rsidRPr="00DB7156" w:rsidDel="008D0FA7">
        <w:rPr>
          <w:rFonts w:ascii="Arial" w:hAnsi="Arial" w:cs="Arial"/>
          <w:sz w:val="24"/>
          <w:szCs w:val="24"/>
        </w:rPr>
        <w:t xml:space="preserve"> </w:t>
      </w:r>
      <w:r w:rsidR="00EB0AB0" w:rsidRPr="00DB7156">
        <w:rPr>
          <w:rFonts w:ascii="Arial" w:hAnsi="Arial" w:cs="Arial"/>
          <w:sz w:val="24"/>
          <w:szCs w:val="24"/>
        </w:rPr>
        <w:t xml:space="preserve">is </w:t>
      </w:r>
      <w:r w:rsidR="00752263" w:rsidRPr="00DB7156">
        <w:rPr>
          <w:rFonts w:ascii="Arial" w:hAnsi="Arial" w:cs="Arial"/>
          <w:sz w:val="24"/>
          <w:szCs w:val="24"/>
        </w:rPr>
        <w:t xml:space="preserve">filed with each </w:t>
      </w:r>
      <w:r w:rsidR="0096325D" w:rsidRPr="00DB7156">
        <w:rPr>
          <w:rFonts w:ascii="Arial" w:hAnsi="Arial" w:cs="Arial"/>
          <w:sz w:val="24"/>
          <w:szCs w:val="24"/>
        </w:rPr>
        <w:t>s</w:t>
      </w:r>
      <w:r w:rsidR="00752263" w:rsidRPr="00DB7156">
        <w:rPr>
          <w:rFonts w:ascii="Arial" w:hAnsi="Arial" w:cs="Arial"/>
          <w:sz w:val="24"/>
          <w:szCs w:val="24"/>
        </w:rPr>
        <w:t xml:space="preserve">tate </w:t>
      </w:r>
      <w:r w:rsidR="00163B2D" w:rsidRPr="00DB7156">
        <w:rPr>
          <w:rFonts w:ascii="Arial" w:hAnsi="Arial" w:cs="Arial"/>
          <w:sz w:val="24"/>
          <w:szCs w:val="24"/>
        </w:rPr>
        <w:t xml:space="preserve">environmental </w:t>
      </w:r>
      <w:r w:rsidR="00752263" w:rsidRPr="00DB7156">
        <w:rPr>
          <w:rFonts w:ascii="Arial" w:hAnsi="Arial" w:cs="Arial"/>
          <w:sz w:val="24"/>
          <w:szCs w:val="24"/>
        </w:rPr>
        <w:t xml:space="preserve">agency and EPA.  </w:t>
      </w:r>
      <w:r w:rsidR="008D0FA7" w:rsidRPr="00DB7156">
        <w:rPr>
          <w:rFonts w:ascii="Arial" w:hAnsi="Arial" w:cs="Arial"/>
          <w:sz w:val="24"/>
          <w:szCs w:val="24"/>
        </w:rPr>
        <w:t>A</w:t>
      </w:r>
      <w:r w:rsidR="00752263" w:rsidRPr="00DB7156">
        <w:rPr>
          <w:rFonts w:ascii="Arial" w:hAnsi="Arial" w:cs="Arial"/>
          <w:sz w:val="24"/>
          <w:szCs w:val="24"/>
        </w:rPr>
        <w:t>veraging of 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emissions lowers system cost and further ensures compliance with Acid Rain regulations. </w:t>
      </w:r>
      <w:r w:rsidR="003C720F" w:rsidRPr="00DB7156">
        <w:rPr>
          <w:rFonts w:ascii="Arial" w:hAnsi="Arial" w:cs="Arial"/>
          <w:sz w:val="24"/>
          <w:szCs w:val="24"/>
        </w:rPr>
        <w:t>S</w:t>
      </w:r>
      <w:r w:rsidR="00752263" w:rsidRPr="00DB7156">
        <w:rPr>
          <w:rFonts w:ascii="Arial" w:hAnsi="Arial" w:cs="Arial"/>
          <w:sz w:val="24"/>
          <w:szCs w:val="24"/>
        </w:rPr>
        <w:t>ubsequent regulations, including ozone nonattainment area requirements,</w:t>
      </w:r>
      <w:r w:rsidR="00046917" w:rsidRPr="00DB7156">
        <w:rPr>
          <w:rFonts w:ascii="Arial" w:hAnsi="Arial" w:cs="Arial"/>
          <w:sz w:val="24"/>
          <w:szCs w:val="24"/>
        </w:rPr>
        <w:t xml:space="preserve"> </w:t>
      </w:r>
      <w:r w:rsidR="0045616E" w:rsidRPr="00DB7156">
        <w:rPr>
          <w:rFonts w:ascii="Arial" w:hAnsi="Arial" w:cs="Arial"/>
          <w:sz w:val="24"/>
          <w:szCs w:val="24"/>
        </w:rPr>
        <w:t>CSAPR</w:t>
      </w:r>
      <w:r w:rsidR="00752263" w:rsidRPr="00DB7156">
        <w:rPr>
          <w:rFonts w:ascii="Arial" w:hAnsi="Arial" w:cs="Arial"/>
          <w:sz w:val="24"/>
          <w:szCs w:val="24"/>
        </w:rPr>
        <w:t xml:space="preserve">, and the Georgia Multipollutant Rule, have required further NOx reductions which provide </w:t>
      </w:r>
      <w:r w:rsidR="002A0E2A">
        <w:rPr>
          <w:rFonts w:ascii="Arial" w:hAnsi="Arial" w:cs="Arial"/>
          <w:sz w:val="24"/>
          <w:szCs w:val="24"/>
        </w:rPr>
        <w:t>adequate control</w:t>
      </w:r>
      <w:r w:rsidR="00752263" w:rsidRPr="00DB7156">
        <w:rPr>
          <w:rFonts w:ascii="Arial" w:hAnsi="Arial" w:cs="Arial"/>
          <w:sz w:val="24"/>
          <w:szCs w:val="24"/>
        </w:rPr>
        <w:t xml:space="preserve"> for Acid Rain Program 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compliance. Controls installed under these regulations, as discussed below, reduce NO</w:t>
      </w:r>
      <w:r w:rsidR="00752263" w:rsidRPr="00DB7156">
        <w:rPr>
          <w:rFonts w:ascii="Arial" w:hAnsi="Arial" w:cs="Arial"/>
          <w:sz w:val="24"/>
          <w:szCs w:val="24"/>
          <w:vertAlign w:val="subscript"/>
        </w:rPr>
        <w:t>X</w:t>
      </w:r>
      <w:r w:rsidR="00752263" w:rsidRPr="00DB7156">
        <w:rPr>
          <w:rFonts w:ascii="Arial" w:hAnsi="Arial" w:cs="Arial"/>
          <w:sz w:val="24"/>
          <w:szCs w:val="24"/>
        </w:rPr>
        <w:t xml:space="preserve"> emissions well below Acid Rain Program requirements.</w:t>
      </w:r>
    </w:p>
    <w:p w14:paraId="22BA51C8" w14:textId="77777777" w:rsidR="001832A5" w:rsidRPr="00DB7156" w:rsidRDefault="001832A5" w:rsidP="00DB7156">
      <w:pPr>
        <w:tabs>
          <w:tab w:val="left" w:pos="720"/>
        </w:tabs>
        <w:spacing w:after="0" w:line="240" w:lineRule="auto"/>
        <w:jc w:val="both"/>
        <w:rPr>
          <w:rFonts w:ascii="Arial" w:hAnsi="Arial" w:cs="Arial"/>
          <w:b/>
          <w:bCs/>
          <w:color w:val="000080"/>
          <w:sz w:val="24"/>
          <w:szCs w:val="24"/>
        </w:rPr>
      </w:pPr>
    </w:p>
    <w:p w14:paraId="22BA51C9" w14:textId="77777777" w:rsidR="001832A5" w:rsidRPr="00DB7156" w:rsidRDefault="001832A5" w:rsidP="00DB7156">
      <w:pPr>
        <w:tabs>
          <w:tab w:val="left" w:pos="720"/>
        </w:tabs>
        <w:spacing w:after="0" w:line="240" w:lineRule="auto"/>
        <w:jc w:val="both"/>
        <w:rPr>
          <w:rFonts w:ascii="Arial" w:hAnsi="Arial" w:cs="Arial"/>
          <w:color w:val="000080"/>
          <w:sz w:val="23"/>
          <w:szCs w:val="24"/>
          <w:u w:val="single"/>
        </w:rPr>
      </w:pPr>
      <w:r w:rsidRPr="00DB7156">
        <w:rPr>
          <w:rFonts w:ascii="Arial" w:hAnsi="Arial" w:cs="Arial"/>
          <w:b/>
          <w:bCs/>
          <w:color w:val="000080"/>
          <w:sz w:val="24"/>
          <w:szCs w:val="24"/>
        </w:rPr>
        <w:t xml:space="preserve">Ozone Nonattainment Compliance Review </w:t>
      </w:r>
    </w:p>
    <w:p w14:paraId="3CB8AD13" w14:textId="49FECEA1" w:rsidR="00FA0CFF" w:rsidRPr="00DB7156" w:rsidRDefault="001832A5" w:rsidP="00DB7156">
      <w:pPr>
        <w:keepNext/>
        <w:tabs>
          <w:tab w:val="left" w:pos="720"/>
        </w:tabs>
        <w:spacing w:after="0" w:line="240" w:lineRule="auto"/>
        <w:jc w:val="both"/>
        <w:rPr>
          <w:rFonts w:ascii="Arial" w:hAnsi="Arial" w:cs="Arial"/>
          <w:sz w:val="24"/>
          <w:szCs w:val="24"/>
        </w:rPr>
      </w:pPr>
      <w:r w:rsidRPr="00DB7156">
        <w:rPr>
          <w:rFonts w:ascii="Arial" w:hAnsi="Arial" w:cs="Arial"/>
          <w:sz w:val="24"/>
          <w:szCs w:val="24"/>
        </w:rPr>
        <w:t>To meet the NO</w:t>
      </w:r>
      <w:r w:rsidRPr="00DB7156">
        <w:rPr>
          <w:rFonts w:ascii="Arial" w:hAnsi="Arial" w:cs="Arial"/>
          <w:sz w:val="24"/>
          <w:szCs w:val="24"/>
          <w:vertAlign w:val="subscript"/>
        </w:rPr>
        <w:t>X</w:t>
      </w:r>
      <w:r w:rsidRPr="00DB7156">
        <w:rPr>
          <w:rFonts w:ascii="Arial" w:hAnsi="Arial" w:cs="Arial"/>
          <w:sz w:val="24"/>
          <w:szCs w:val="24"/>
        </w:rPr>
        <w:t xml:space="preserve"> reduction requirements for the 1-hour and 1997 8-hour ozone standards, additional controls bey</w:t>
      </w:r>
      <w:bookmarkStart w:id="189" w:name="trc"/>
      <w:bookmarkEnd w:id="189"/>
      <w:r w:rsidRPr="00DB7156">
        <w:rPr>
          <w:rFonts w:ascii="Arial" w:hAnsi="Arial" w:cs="Arial"/>
          <w:sz w:val="24"/>
          <w:szCs w:val="24"/>
        </w:rPr>
        <w:t xml:space="preserve">ond those necessary for the Acid Rain Program were required. </w:t>
      </w:r>
      <w:r w:rsidR="009C3851" w:rsidRPr="00DB7156">
        <w:rPr>
          <w:rFonts w:ascii="Arial" w:hAnsi="Arial" w:cs="Arial"/>
          <w:sz w:val="24"/>
          <w:szCs w:val="24"/>
        </w:rPr>
        <w:t>Various a</w:t>
      </w:r>
      <w:r w:rsidR="00752263" w:rsidRPr="00DB7156">
        <w:rPr>
          <w:rFonts w:ascii="Arial" w:hAnsi="Arial" w:cs="Arial"/>
          <w:sz w:val="24"/>
          <w:szCs w:val="24"/>
        </w:rPr>
        <w:t xml:space="preserve">lternatives </w:t>
      </w:r>
      <w:r w:rsidR="009C3851" w:rsidRPr="00DB7156">
        <w:rPr>
          <w:rFonts w:ascii="Arial" w:hAnsi="Arial" w:cs="Arial"/>
          <w:sz w:val="24"/>
          <w:szCs w:val="24"/>
        </w:rPr>
        <w:t xml:space="preserve">were </w:t>
      </w:r>
      <w:r w:rsidR="00752263" w:rsidRPr="00DB7156">
        <w:rPr>
          <w:rFonts w:ascii="Arial" w:hAnsi="Arial" w:cs="Arial"/>
          <w:sz w:val="24"/>
          <w:szCs w:val="24"/>
        </w:rPr>
        <w:t xml:space="preserve">considered </w:t>
      </w:r>
      <w:r w:rsidR="009C3851" w:rsidRPr="00DB7156">
        <w:rPr>
          <w:rFonts w:ascii="Arial" w:hAnsi="Arial" w:cs="Arial"/>
          <w:sz w:val="24"/>
          <w:szCs w:val="24"/>
        </w:rPr>
        <w:t xml:space="preserve">and evaluated on a </w:t>
      </w:r>
      <w:r w:rsidR="00752263" w:rsidRPr="00DB7156">
        <w:rPr>
          <w:rFonts w:ascii="Arial" w:hAnsi="Arial" w:cs="Arial"/>
          <w:sz w:val="24"/>
          <w:szCs w:val="24"/>
        </w:rPr>
        <w:t xml:space="preserve">technological, operational, and economical </w:t>
      </w:r>
      <w:r w:rsidR="009C3851" w:rsidRPr="00DB7156">
        <w:rPr>
          <w:rFonts w:ascii="Arial" w:hAnsi="Arial" w:cs="Arial"/>
          <w:sz w:val="24"/>
          <w:szCs w:val="24"/>
        </w:rPr>
        <w:t>basis, including SCR, overfire air</w:t>
      </w:r>
      <w:r w:rsidR="0058601B" w:rsidRPr="00DB7156">
        <w:rPr>
          <w:rFonts w:ascii="Arial" w:hAnsi="Arial" w:cs="Arial"/>
          <w:sz w:val="24"/>
          <w:szCs w:val="24"/>
        </w:rPr>
        <w:t xml:space="preserve"> (</w:t>
      </w:r>
      <w:r w:rsidR="00F4257C">
        <w:rPr>
          <w:rFonts w:ascii="Arial" w:hAnsi="Arial" w:cs="Arial"/>
          <w:sz w:val="24"/>
          <w:szCs w:val="24"/>
        </w:rPr>
        <w:t>“</w:t>
      </w:r>
      <w:r w:rsidR="0058601B" w:rsidRPr="00DB7156">
        <w:rPr>
          <w:rFonts w:ascii="Arial" w:hAnsi="Arial" w:cs="Arial"/>
          <w:sz w:val="24"/>
          <w:szCs w:val="24"/>
        </w:rPr>
        <w:t>OFA</w:t>
      </w:r>
      <w:r w:rsidR="00F4257C">
        <w:rPr>
          <w:rFonts w:ascii="Arial" w:hAnsi="Arial" w:cs="Arial"/>
          <w:sz w:val="24"/>
          <w:szCs w:val="24"/>
        </w:rPr>
        <w:t>”</w:t>
      </w:r>
      <w:r w:rsidR="0058601B" w:rsidRPr="00DB7156">
        <w:rPr>
          <w:rFonts w:ascii="Arial" w:hAnsi="Arial" w:cs="Arial"/>
          <w:sz w:val="24"/>
          <w:szCs w:val="24"/>
        </w:rPr>
        <w:t>)</w:t>
      </w:r>
      <w:r w:rsidR="009C3851" w:rsidRPr="00DB7156">
        <w:rPr>
          <w:rFonts w:ascii="Arial" w:hAnsi="Arial" w:cs="Arial"/>
          <w:sz w:val="24"/>
          <w:szCs w:val="24"/>
        </w:rPr>
        <w:t xml:space="preserve">, low NOx burners, use of natural gas, </w:t>
      </w:r>
      <w:r w:rsidR="00DE08B5" w:rsidRPr="00DB7156">
        <w:rPr>
          <w:rFonts w:ascii="Arial" w:hAnsi="Arial" w:cs="Arial"/>
          <w:sz w:val="24"/>
          <w:szCs w:val="24"/>
        </w:rPr>
        <w:t xml:space="preserve">PRB coal, </w:t>
      </w:r>
      <w:r w:rsidR="009C3851" w:rsidRPr="00DB7156">
        <w:rPr>
          <w:rFonts w:ascii="Arial" w:hAnsi="Arial" w:cs="Arial"/>
          <w:sz w:val="24"/>
          <w:szCs w:val="24"/>
        </w:rPr>
        <w:t xml:space="preserve">and various other low NOx technologies. </w:t>
      </w:r>
      <w:r w:rsidR="00752263" w:rsidRPr="00DB7156">
        <w:rPr>
          <w:rFonts w:ascii="Arial" w:hAnsi="Arial" w:cs="Arial"/>
          <w:sz w:val="24"/>
          <w:szCs w:val="24"/>
        </w:rPr>
        <w:t xml:space="preserve">Analysis of the best solution for </w:t>
      </w:r>
      <w:r w:rsidR="00752263" w:rsidRPr="00DB7156">
        <w:rPr>
          <w:rFonts w:ascii="Arial" w:hAnsi="Arial" w:cs="Arial"/>
          <w:sz w:val="24"/>
          <w:szCs w:val="20"/>
        </w:rPr>
        <w:t>NO</w:t>
      </w:r>
      <w:r w:rsidR="00752263" w:rsidRPr="00DB7156">
        <w:rPr>
          <w:rFonts w:ascii="Arial" w:hAnsi="Arial" w:cs="Arial"/>
          <w:sz w:val="24"/>
          <w:szCs w:val="20"/>
          <w:vertAlign w:val="subscript"/>
        </w:rPr>
        <w:t>X</w:t>
      </w:r>
      <w:r w:rsidR="00752263" w:rsidRPr="00DB7156">
        <w:rPr>
          <w:rFonts w:ascii="Arial" w:hAnsi="Arial" w:cs="Arial"/>
          <w:sz w:val="24"/>
          <w:szCs w:val="24"/>
        </w:rPr>
        <w:t xml:space="preserve"> reduction at affected units consider</w:t>
      </w:r>
      <w:r w:rsidR="009C3851" w:rsidRPr="00DB7156">
        <w:rPr>
          <w:rFonts w:ascii="Arial" w:hAnsi="Arial" w:cs="Arial"/>
          <w:sz w:val="24"/>
          <w:szCs w:val="24"/>
        </w:rPr>
        <w:t>ed</w:t>
      </w:r>
      <w:r w:rsidR="00752263" w:rsidRPr="00DB7156">
        <w:rPr>
          <w:rFonts w:ascii="Arial" w:hAnsi="Arial" w:cs="Arial"/>
          <w:sz w:val="24"/>
          <w:szCs w:val="24"/>
        </w:rPr>
        <w:t xml:space="preserve"> the capital and operating cost of the controls, as well as their performance and resulting production cost savings. </w:t>
      </w:r>
      <w:r w:rsidR="009C3851" w:rsidRPr="00DB7156">
        <w:rPr>
          <w:rFonts w:ascii="Arial" w:hAnsi="Arial" w:cs="Arial"/>
          <w:sz w:val="24"/>
          <w:szCs w:val="24"/>
        </w:rPr>
        <w:t>Actual compliance implementation decisions were made based on a technical review of the compliance alternatives, equipment-vendor price quotes, specific unit issues, and performance guarantees.</w:t>
      </w:r>
      <w:r w:rsidR="00752263" w:rsidRPr="00DB7156">
        <w:rPr>
          <w:rFonts w:ascii="Arial" w:hAnsi="Arial" w:cs="Arial"/>
          <w:sz w:val="24"/>
          <w:szCs w:val="24"/>
        </w:rPr>
        <w:t xml:space="preserve"> In addition to controls required to comply with ozone nonattainment area requirements, the Georgia Multipollutant Rule require</w:t>
      </w:r>
      <w:r w:rsidR="0081770C">
        <w:rPr>
          <w:rFonts w:ascii="Arial" w:hAnsi="Arial" w:cs="Arial"/>
          <w:sz w:val="24"/>
          <w:szCs w:val="24"/>
        </w:rPr>
        <w:t>d</w:t>
      </w:r>
      <w:r w:rsidR="00752263" w:rsidRPr="00DB7156">
        <w:rPr>
          <w:rFonts w:ascii="Arial" w:hAnsi="Arial" w:cs="Arial"/>
          <w:sz w:val="24"/>
          <w:szCs w:val="24"/>
        </w:rPr>
        <w:t xml:space="preserve"> the installation and operation of SCR systems at certain additional units by specified dates between 2008 and 2015.</w:t>
      </w:r>
      <w:r w:rsidR="0081770C">
        <w:rPr>
          <w:rFonts w:ascii="Arial" w:hAnsi="Arial" w:cs="Arial"/>
          <w:sz w:val="24"/>
          <w:szCs w:val="24"/>
        </w:rPr>
        <w:t xml:space="preserve"> The Company expects to continue to </w:t>
      </w:r>
      <w:r w:rsidR="00DD63D2">
        <w:rPr>
          <w:rFonts w:ascii="Arial" w:hAnsi="Arial" w:cs="Arial"/>
          <w:sz w:val="24"/>
          <w:szCs w:val="24"/>
        </w:rPr>
        <w:t>operate and maintain</w:t>
      </w:r>
      <w:r w:rsidR="0081770C">
        <w:rPr>
          <w:rFonts w:ascii="Arial" w:hAnsi="Arial" w:cs="Arial"/>
          <w:sz w:val="24"/>
          <w:szCs w:val="24"/>
        </w:rPr>
        <w:t xml:space="preserve"> these </w:t>
      </w:r>
      <w:r w:rsidR="001E5BE6">
        <w:rPr>
          <w:rFonts w:ascii="Arial" w:hAnsi="Arial" w:cs="Arial"/>
          <w:sz w:val="24"/>
          <w:szCs w:val="24"/>
        </w:rPr>
        <w:t>controls to comply with the ozone season NOx emission limits applicable to each unit, or each group of units when using emissions averaging, as applicable</w:t>
      </w:r>
      <w:r w:rsidR="0081770C">
        <w:rPr>
          <w:rFonts w:ascii="Arial" w:hAnsi="Arial" w:cs="Arial"/>
          <w:sz w:val="24"/>
          <w:szCs w:val="24"/>
        </w:rPr>
        <w:t>.</w:t>
      </w:r>
    </w:p>
    <w:p w14:paraId="128571E5" w14:textId="77777777" w:rsidR="00E1301C" w:rsidRPr="00DB7156" w:rsidRDefault="00E1301C" w:rsidP="00DB7156">
      <w:pPr>
        <w:keepNext/>
        <w:tabs>
          <w:tab w:val="left" w:pos="720"/>
        </w:tabs>
        <w:spacing w:after="0" w:line="240" w:lineRule="auto"/>
        <w:jc w:val="both"/>
        <w:rPr>
          <w:rFonts w:ascii="Arial" w:hAnsi="Arial" w:cs="Arial"/>
          <w:sz w:val="24"/>
          <w:szCs w:val="24"/>
        </w:rPr>
      </w:pPr>
    </w:p>
    <w:p w14:paraId="22BA51D1" w14:textId="073BDBCB" w:rsidR="00752263" w:rsidRPr="00DB7156" w:rsidRDefault="00DC0580" w:rsidP="00DB7156">
      <w:pPr>
        <w:tabs>
          <w:tab w:val="left" w:pos="720"/>
        </w:tabs>
        <w:spacing w:after="0" w:line="240" w:lineRule="auto"/>
        <w:jc w:val="both"/>
        <w:rPr>
          <w:rFonts w:ascii="Arial" w:hAnsi="Arial" w:cs="Arial"/>
          <w:bCs/>
          <w:sz w:val="24"/>
          <w:szCs w:val="24"/>
          <w:u w:val="single"/>
        </w:rPr>
      </w:pPr>
      <w:r w:rsidRPr="00DB7156">
        <w:rPr>
          <w:rFonts w:ascii="Arial" w:hAnsi="Arial" w:cs="Arial"/>
          <w:sz w:val="24"/>
          <w:szCs w:val="24"/>
        </w:rPr>
        <w:t xml:space="preserve">After </w:t>
      </w:r>
      <w:r w:rsidR="007B31C9">
        <w:rPr>
          <w:rFonts w:ascii="Arial" w:hAnsi="Arial" w:cs="Arial"/>
          <w:sz w:val="24"/>
          <w:szCs w:val="24"/>
        </w:rPr>
        <w:t xml:space="preserve">EPA </w:t>
      </w:r>
      <w:r w:rsidRPr="00DB7156">
        <w:rPr>
          <w:rFonts w:ascii="Arial" w:hAnsi="Arial" w:cs="Arial"/>
          <w:sz w:val="24"/>
          <w:szCs w:val="24"/>
        </w:rPr>
        <w:t xml:space="preserve">redesignation of 15 counties in the Atlanta </w:t>
      </w:r>
      <w:r w:rsidR="00F3202F" w:rsidRPr="00DB7156">
        <w:rPr>
          <w:rFonts w:ascii="Arial" w:hAnsi="Arial" w:cs="Arial"/>
          <w:sz w:val="24"/>
          <w:szCs w:val="24"/>
        </w:rPr>
        <w:t xml:space="preserve">metropolitan </w:t>
      </w:r>
      <w:r w:rsidRPr="00DB7156">
        <w:rPr>
          <w:rFonts w:ascii="Arial" w:hAnsi="Arial" w:cs="Arial"/>
          <w:sz w:val="24"/>
          <w:szCs w:val="24"/>
        </w:rPr>
        <w:t xml:space="preserve">area to attainment with the 2008 ozone NAAQS in June 2017, a </w:t>
      </w:r>
      <w:r w:rsidR="00F3202F" w:rsidRPr="00DB7156">
        <w:rPr>
          <w:rFonts w:ascii="Arial" w:hAnsi="Arial" w:cs="Arial"/>
          <w:sz w:val="24"/>
          <w:szCs w:val="24"/>
        </w:rPr>
        <w:t xml:space="preserve">smaller, </w:t>
      </w:r>
      <w:r w:rsidRPr="00DB7156">
        <w:rPr>
          <w:rFonts w:ascii="Arial" w:hAnsi="Arial" w:cs="Arial"/>
          <w:sz w:val="24"/>
          <w:szCs w:val="24"/>
        </w:rPr>
        <w:t>seven county area was designated as nonattainment with the 2015 ozone NAAQS</w:t>
      </w:r>
      <w:r w:rsidR="00233DA6" w:rsidRPr="00DB7156">
        <w:rPr>
          <w:rFonts w:ascii="Arial" w:hAnsi="Arial" w:cs="Arial"/>
          <w:sz w:val="24"/>
          <w:szCs w:val="24"/>
        </w:rPr>
        <w:t xml:space="preserve"> in April 2018</w:t>
      </w:r>
      <w:r w:rsidRPr="00DB7156">
        <w:rPr>
          <w:rFonts w:ascii="Arial" w:hAnsi="Arial" w:cs="Arial"/>
          <w:sz w:val="24"/>
          <w:szCs w:val="24"/>
        </w:rPr>
        <w:t>. However,</w:t>
      </w:r>
      <w:r w:rsidR="00233DA6" w:rsidRPr="00DB7156">
        <w:rPr>
          <w:rFonts w:ascii="Arial" w:hAnsi="Arial" w:cs="Arial"/>
          <w:sz w:val="24"/>
          <w:szCs w:val="24"/>
        </w:rPr>
        <w:t xml:space="preserve"> the area was classified as “marginal” nonattainment, meaning that adoption of addition</w:t>
      </w:r>
      <w:r w:rsidR="002C3367">
        <w:rPr>
          <w:rFonts w:ascii="Arial" w:hAnsi="Arial" w:cs="Arial"/>
          <w:sz w:val="24"/>
          <w:szCs w:val="24"/>
        </w:rPr>
        <w:t>al</w:t>
      </w:r>
      <w:r w:rsidR="00233DA6" w:rsidRPr="00DB7156">
        <w:rPr>
          <w:rFonts w:ascii="Arial" w:hAnsi="Arial" w:cs="Arial"/>
          <w:sz w:val="24"/>
          <w:szCs w:val="24"/>
        </w:rPr>
        <w:t xml:space="preserve"> controls is not required to achieve attainment in a timely manner. Therefore, Georgia Power currently does not expect that additional NO</w:t>
      </w:r>
      <w:r w:rsidR="00233DA6" w:rsidRPr="00DB7156">
        <w:rPr>
          <w:rFonts w:ascii="Arial" w:hAnsi="Arial" w:cs="Arial"/>
          <w:sz w:val="24"/>
          <w:szCs w:val="24"/>
          <w:vertAlign w:val="subscript"/>
        </w:rPr>
        <w:t>X</w:t>
      </w:r>
      <w:r w:rsidR="00233DA6" w:rsidRPr="00DB7156">
        <w:rPr>
          <w:rFonts w:ascii="Arial" w:hAnsi="Arial" w:cs="Arial"/>
          <w:sz w:val="24"/>
          <w:szCs w:val="24"/>
        </w:rPr>
        <w:t xml:space="preserve"> reductions will be required as a result of the 2015 ozone NAAQS.</w:t>
      </w:r>
    </w:p>
    <w:p w14:paraId="4BBA4747" w14:textId="77777777" w:rsidR="00447187" w:rsidRPr="00DB7156" w:rsidRDefault="00447187" w:rsidP="00DB7156">
      <w:pPr>
        <w:keepNext/>
        <w:autoSpaceDE w:val="0"/>
        <w:autoSpaceDN w:val="0"/>
        <w:adjustRightInd w:val="0"/>
        <w:spacing w:after="0" w:line="240" w:lineRule="auto"/>
        <w:jc w:val="both"/>
        <w:rPr>
          <w:rFonts w:ascii="Arial" w:hAnsi="Arial" w:cs="Arial"/>
          <w:b/>
          <w:bCs/>
          <w:color w:val="000080"/>
          <w:sz w:val="24"/>
          <w:szCs w:val="24"/>
        </w:rPr>
      </w:pPr>
    </w:p>
    <w:p w14:paraId="22BA51D2" w14:textId="04D71E83" w:rsidR="00752263" w:rsidRPr="00DB7156" w:rsidRDefault="00046917"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 xml:space="preserve">CSAPR </w:t>
      </w:r>
      <w:r w:rsidR="00752263" w:rsidRPr="00DB7156">
        <w:rPr>
          <w:rFonts w:ascii="Arial" w:hAnsi="Arial" w:cs="Arial"/>
          <w:b/>
          <w:bCs/>
          <w:color w:val="000080"/>
          <w:sz w:val="24"/>
          <w:szCs w:val="24"/>
        </w:rPr>
        <w:t>Annual NO</w:t>
      </w:r>
      <w:r w:rsidR="00752263" w:rsidRPr="00DB7156">
        <w:rPr>
          <w:rFonts w:ascii="Arial" w:hAnsi="Arial" w:cs="Arial"/>
          <w:b/>
          <w:bCs/>
          <w:color w:val="000080"/>
          <w:sz w:val="24"/>
          <w:szCs w:val="24"/>
          <w:vertAlign w:val="subscript"/>
        </w:rPr>
        <w:t>X</w:t>
      </w:r>
      <w:r w:rsidR="00752263" w:rsidRPr="00DB7156">
        <w:rPr>
          <w:rFonts w:ascii="Arial" w:hAnsi="Arial" w:cs="Arial"/>
          <w:b/>
          <w:bCs/>
          <w:color w:val="000080"/>
          <w:sz w:val="24"/>
          <w:szCs w:val="24"/>
        </w:rPr>
        <w:t xml:space="preserve"> Compliance</w:t>
      </w:r>
      <w:r w:rsidR="000767A6" w:rsidRPr="00DB7156">
        <w:rPr>
          <w:rFonts w:ascii="Arial" w:hAnsi="Arial" w:cs="Arial"/>
          <w:b/>
          <w:bCs/>
          <w:color w:val="000080"/>
          <w:sz w:val="24"/>
          <w:szCs w:val="24"/>
        </w:rPr>
        <w:t xml:space="preserve"> Review</w:t>
      </w:r>
    </w:p>
    <w:p w14:paraId="02B65F17" w14:textId="6CF33E12" w:rsidR="009A6011" w:rsidRDefault="00553CED" w:rsidP="009A6011">
      <w:pPr>
        <w:tabs>
          <w:tab w:val="left" w:pos="720"/>
          <w:tab w:val="left" w:pos="1428"/>
          <w:tab w:val="left" w:pos="4716"/>
          <w:tab w:val="left" w:pos="4896"/>
          <w:tab w:val="left" w:pos="6718"/>
        </w:tabs>
        <w:suppressAutoHyphens/>
        <w:spacing w:after="0" w:line="240" w:lineRule="auto"/>
        <w:jc w:val="both"/>
        <w:rPr>
          <w:rFonts w:ascii="Arial" w:hAnsi="Arial" w:cs="Arial"/>
          <w:b/>
          <w:szCs w:val="24"/>
        </w:rPr>
      </w:pPr>
      <w:r w:rsidRPr="00DB7156">
        <w:rPr>
          <w:rFonts w:ascii="Arial" w:hAnsi="Arial" w:cs="Arial"/>
          <w:sz w:val="24"/>
          <w:szCs w:val="24"/>
        </w:rPr>
        <w:t xml:space="preserve">The CSAPR </w:t>
      </w:r>
      <w:r w:rsidR="009326FC" w:rsidRPr="00DB7156">
        <w:rPr>
          <w:rFonts w:ascii="Arial" w:hAnsi="Arial" w:cs="Arial"/>
          <w:sz w:val="24"/>
          <w:szCs w:val="24"/>
        </w:rPr>
        <w:t>Annual NO</w:t>
      </w:r>
      <w:r w:rsidR="009326FC" w:rsidRPr="00DB7156">
        <w:rPr>
          <w:rFonts w:ascii="Arial" w:hAnsi="Arial" w:cs="Arial"/>
          <w:sz w:val="24"/>
          <w:szCs w:val="24"/>
          <w:vertAlign w:val="subscript"/>
        </w:rPr>
        <w:t>X</w:t>
      </w:r>
      <w:r w:rsidR="009326FC" w:rsidRPr="00DB7156">
        <w:rPr>
          <w:rFonts w:ascii="Arial" w:hAnsi="Arial" w:cs="Arial"/>
          <w:sz w:val="24"/>
          <w:szCs w:val="24"/>
        </w:rPr>
        <w:t xml:space="preserve"> trading program functions in a manner very similar to that of the SO</w:t>
      </w:r>
      <w:r w:rsidR="009326FC" w:rsidRPr="00DB7156">
        <w:rPr>
          <w:rFonts w:ascii="Arial" w:hAnsi="Arial" w:cs="Arial"/>
          <w:sz w:val="24"/>
          <w:szCs w:val="24"/>
          <w:vertAlign w:val="subscript"/>
        </w:rPr>
        <w:t>2</w:t>
      </w:r>
      <w:r w:rsidR="009326FC" w:rsidRPr="00DB7156">
        <w:rPr>
          <w:rFonts w:ascii="Arial" w:hAnsi="Arial" w:cs="Arial"/>
          <w:sz w:val="24"/>
          <w:szCs w:val="24"/>
        </w:rPr>
        <w:t xml:space="preserve"> trading program, except that participating states are not prevented from trading with one another. </w:t>
      </w:r>
      <w:r w:rsidR="00254CD2" w:rsidRPr="00DB7156">
        <w:rPr>
          <w:rFonts w:ascii="Arial" w:hAnsi="Arial" w:cs="Arial"/>
          <w:sz w:val="24"/>
          <w:szCs w:val="24"/>
        </w:rPr>
        <w:t>The compliance strategy for Phase II of the CSAPR Annual NO</w:t>
      </w:r>
      <w:r w:rsidR="00254CD2" w:rsidRPr="00DB7156">
        <w:rPr>
          <w:rFonts w:ascii="Arial" w:hAnsi="Arial" w:cs="Arial"/>
          <w:sz w:val="24"/>
          <w:szCs w:val="24"/>
          <w:vertAlign w:val="subscript"/>
        </w:rPr>
        <w:t>X</w:t>
      </w:r>
      <w:r w:rsidR="00254CD2" w:rsidRPr="00DB7156">
        <w:rPr>
          <w:rFonts w:ascii="Arial" w:hAnsi="Arial" w:cs="Arial"/>
          <w:sz w:val="24"/>
          <w:szCs w:val="24"/>
        </w:rPr>
        <w:t xml:space="preserve"> program</w:t>
      </w:r>
      <w:r w:rsidR="00E5234A" w:rsidRPr="00DB7156">
        <w:rPr>
          <w:rFonts w:ascii="Arial" w:hAnsi="Arial" w:cs="Arial"/>
          <w:sz w:val="24"/>
          <w:szCs w:val="24"/>
        </w:rPr>
        <w:t xml:space="preserve"> primarily relies on SCR</w:t>
      </w:r>
      <w:r w:rsidR="00E94DBF" w:rsidRPr="00DB7156">
        <w:rPr>
          <w:rFonts w:ascii="Arial" w:hAnsi="Arial" w:cs="Arial"/>
          <w:sz w:val="24"/>
          <w:szCs w:val="24"/>
        </w:rPr>
        <w:t>s</w:t>
      </w:r>
      <w:r w:rsidR="00E5234A" w:rsidRPr="00DB7156">
        <w:rPr>
          <w:rFonts w:ascii="Arial" w:hAnsi="Arial" w:cs="Arial"/>
          <w:sz w:val="24"/>
          <w:szCs w:val="24"/>
        </w:rPr>
        <w:t xml:space="preserve"> for NO</w:t>
      </w:r>
      <w:r w:rsidR="00E5234A" w:rsidRPr="00DB7156">
        <w:rPr>
          <w:rFonts w:ascii="Arial" w:hAnsi="Arial" w:cs="Arial"/>
          <w:sz w:val="24"/>
          <w:szCs w:val="24"/>
          <w:vertAlign w:val="subscript"/>
        </w:rPr>
        <w:t>X</w:t>
      </w:r>
      <w:r w:rsidR="00E5234A" w:rsidRPr="00DB7156">
        <w:rPr>
          <w:rFonts w:ascii="Arial" w:hAnsi="Arial" w:cs="Arial"/>
          <w:sz w:val="24"/>
          <w:szCs w:val="24"/>
        </w:rPr>
        <w:t xml:space="preserve"> control at the larger coal-fired units</w:t>
      </w:r>
      <w:r w:rsidR="00CC3FBE" w:rsidRPr="00DB7156">
        <w:rPr>
          <w:rFonts w:ascii="Arial" w:hAnsi="Arial" w:cs="Arial"/>
          <w:sz w:val="24"/>
          <w:szCs w:val="24"/>
        </w:rPr>
        <w:t xml:space="preserve">. </w:t>
      </w:r>
      <w:r w:rsidR="00ED2968" w:rsidRPr="00AC20C4">
        <w:rPr>
          <w:rFonts w:ascii="Arial" w:hAnsi="Arial" w:cs="Arial"/>
          <w:sz w:val="24"/>
          <w:szCs w:val="24"/>
        </w:rPr>
        <w:t xml:space="preserve">For purposes of </w:t>
      </w:r>
      <w:r w:rsidR="00CE561C" w:rsidRPr="00AC20C4">
        <w:rPr>
          <w:rFonts w:ascii="Arial" w:hAnsi="Arial" w:cs="Arial"/>
          <w:sz w:val="24"/>
          <w:szCs w:val="24"/>
        </w:rPr>
        <w:t xml:space="preserve">Phase II </w:t>
      </w:r>
      <w:r w:rsidR="00046917" w:rsidRPr="00AC20C4">
        <w:rPr>
          <w:rFonts w:ascii="Arial" w:hAnsi="Arial" w:cs="Arial"/>
          <w:sz w:val="24"/>
          <w:szCs w:val="24"/>
        </w:rPr>
        <w:t xml:space="preserve">CSAPR </w:t>
      </w:r>
      <w:r w:rsidR="00ED2968" w:rsidRPr="00AC20C4">
        <w:rPr>
          <w:rFonts w:ascii="Arial" w:hAnsi="Arial" w:cs="Arial"/>
          <w:sz w:val="24"/>
          <w:szCs w:val="24"/>
        </w:rPr>
        <w:t xml:space="preserve">compliance, Georgia Power currently expects </w:t>
      </w:r>
      <w:r w:rsidR="009A6011" w:rsidRPr="009A6011">
        <w:rPr>
          <w:rFonts w:ascii="Arial" w:hAnsi="Arial" w:cs="Arial"/>
          <w:b/>
          <w:sz w:val="24"/>
          <w:szCs w:val="24"/>
        </w:rPr>
        <w:t>REDACTED</w:t>
      </w:r>
      <w:r w:rsidR="009A6011" w:rsidRPr="009A6011">
        <w:rPr>
          <w:rFonts w:ascii="Arial" w:hAnsi="Arial" w:cs="Arial"/>
          <w:sz w:val="24"/>
          <w:szCs w:val="24"/>
        </w:rPr>
        <w:t xml:space="preserve"> </w:t>
      </w:r>
      <w:r w:rsidR="009A6011" w:rsidRPr="009A6011">
        <w:rPr>
          <w:rFonts w:ascii="Arial" w:hAnsi="Arial" w:cs="Arial"/>
          <w:b/>
          <w:sz w:val="24"/>
          <w:szCs w:val="24"/>
        </w:rPr>
        <w:t>REDACTED</w:t>
      </w:r>
      <w:r w:rsidR="009A6011" w:rsidRPr="009A6011">
        <w:rPr>
          <w:rFonts w:ascii="Arial" w:hAnsi="Arial" w:cs="Arial"/>
          <w:sz w:val="24"/>
          <w:szCs w:val="24"/>
        </w:rPr>
        <w:t xml:space="preserve"> </w:t>
      </w:r>
      <w:r w:rsidR="009A6011" w:rsidRPr="009A6011">
        <w:rPr>
          <w:rFonts w:ascii="Arial" w:hAnsi="Arial" w:cs="Arial"/>
          <w:b/>
          <w:szCs w:val="24"/>
        </w:rPr>
        <w:t>REDACTED</w:t>
      </w:r>
      <w:r w:rsidR="009A6011" w:rsidRPr="009A6011">
        <w:rPr>
          <w:rFonts w:ascii="Arial" w:hAnsi="Arial" w:cs="Arial"/>
          <w:szCs w:val="24"/>
        </w:rPr>
        <w:t xml:space="preserve"> </w:t>
      </w:r>
      <w:r w:rsidR="009A6011" w:rsidRPr="009A6011">
        <w:rPr>
          <w:rFonts w:ascii="Arial" w:hAnsi="Arial" w:cs="Arial"/>
          <w:b/>
          <w:szCs w:val="24"/>
        </w:rPr>
        <w:t>REDACTED</w:t>
      </w:r>
      <w:r w:rsidR="009A6011" w:rsidRPr="009A6011">
        <w:rPr>
          <w:rFonts w:ascii="Arial" w:hAnsi="Arial" w:cs="Arial"/>
          <w:szCs w:val="24"/>
        </w:rPr>
        <w:t xml:space="preserve"> </w:t>
      </w:r>
      <w:r w:rsidR="009A6011" w:rsidRPr="009A6011">
        <w:rPr>
          <w:rFonts w:ascii="Arial" w:hAnsi="Arial" w:cs="Arial"/>
          <w:b/>
          <w:szCs w:val="24"/>
        </w:rPr>
        <w:t>REDACTED</w:t>
      </w:r>
      <w:r w:rsidR="009A6011" w:rsidRPr="009A6011">
        <w:rPr>
          <w:rFonts w:ascii="Arial" w:hAnsi="Arial" w:cs="Arial"/>
          <w:szCs w:val="24"/>
        </w:rPr>
        <w:t xml:space="preserve"> </w:t>
      </w:r>
      <w:r w:rsidR="009A6011" w:rsidRPr="009A6011">
        <w:rPr>
          <w:rFonts w:ascii="Arial" w:hAnsi="Arial" w:cs="Arial"/>
          <w:b/>
          <w:szCs w:val="24"/>
        </w:rPr>
        <w:t>REDACTED</w:t>
      </w:r>
      <w:r w:rsidR="009A6011" w:rsidRPr="009A6011">
        <w:rPr>
          <w:rFonts w:ascii="Arial" w:hAnsi="Arial" w:cs="Arial"/>
          <w:szCs w:val="24"/>
        </w:rPr>
        <w:t xml:space="preserve"> </w:t>
      </w:r>
      <w:r w:rsidR="009A6011" w:rsidRPr="009A6011">
        <w:rPr>
          <w:rFonts w:ascii="Arial" w:hAnsi="Arial" w:cs="Arial"/>
          <w:b/>
          <w:szCs w:val="24"/>
        </w:rPr>
        <w:t>REDACTED</w:t>
      </w:r>
      <w:r w:rsidR="009A6011" w:rsidRPr="009A6011">
        <w:rPr>
          <w:rFonts w:ascii="Arial" w:hAnsi="Arial" w:cs="Arial"/>
          <w:szCs w:val="24"/>
        </w:rPr>
        <w:t xml:space="preserve"> </w:t>
      </w:r>
      <w:r w:rsidR="009A6011" w:rsidRPr="009A6011">
        <w:rPr>
          <w:rFonts w:ascii="Arial" w:hAnsi="Arial" w:cs="Arial"/>
          <w:b/>
          <w:szCs w:val="24"/>
        </w:rPr>
        <w:t>REDACTED</w:t>
      </w:r>
      <w:r w:rsidR="009A6011" w:rsidRPr="009A6011">
        <w:rPr>
          <w:rFonts w:ascii="Arial" w:hAnsi="Arial" w:cs="Arial"/>
          <w:szCs w:val="24"/>
        </w:rPr>
        <w:t xml:space="preserve"> </w:t>
      </w:r>
      <w:r w:rsidR="009A6011" w:rsidRPr="009A6011">
        <w:rPr>
          <w:rFonts w:ascii="Arial" w:hAnsi="Arial" w:cs="Arial"/>
          <w:b/>
          <w:szCs w:val="24"/>
        </w:rPr>
        <w:t>REDACTED</w:t>
      </w:r>
      <w:r w:rsidR="009A6011" w:rsidRPr="009A6011">
        <w:rPr>
          <w:rFonts w:ascii="Arial" w:hAnsi="Arial" w:cs="Arial"/>
          <w:szCs w:val="24"/>
        </w:rPr>
        <w:t xml:space="preserve"> </w:t>
      </w:r>
      <w:r w:rsidR="00F31281" w:rsidRPr="00AC20C4">
        <w:rPr>
          <w:rFonts w:ascii="Arial" w:hAnsi="Arial" w:cs="Arial"/>
          <w:sz w:val="24"/>
          <w:szCs w:val="24"/>
        </w:rPr>
        <w:t>Under current regulations for the CSAPR NO</w:t>
      </w:r>
      <w:r w:rsidR="00F31281" w:rsidRPr="00AC20C4">
        <w:rPr>
          <w:rFonts w:ascii="Arial" w:hAnsi="Arial" w:cs="Arial"/>
          <w:sz w:val="24"/>
          <w:szCs w:val="24"/>
          <w:vertAlign w:val="subscript"/>
        </w:rPr>
        <w:t>X</w:t>
      </w:r>
      <w:r w:rsidR="00F31281" w:rsidRPr="00AC20C4">
        <w:rPr>
          <w:rFonts w:ascii="Arial" w:hAnsi="Arial" w:cs="Arial"/>
          <w:sz w:val="24"/>
          <w:szCs w:val="24"/>
        </w:rPr>
        <w:t xml:space="preserve"> trading program, projections show that</w:t>
      </w:r>
      <w:r w:rsidR="009A6011">
        <w:rPr>
          <w:rFonts w:ascii="Arial" w:hAnsi="Arial" w:cs="Arial"/>
          <w:sz w:val="24"/>
          <w:szCs w:val="24"/>
        </w:rPr>
        <w:t xml:space="preserve">    </w:t>
      </w:r>
      <w:r w:rsidR="00F31281" w:rsidRPr="00DB7156">
        <w:rPr>
          <w:rFonts w:ascii="Arial" w:hAnsi="Arial" w:cs="Arial"/>
          <w:sz w:val="24"/>
          <w:szCs w:val="24"/>
          <w:highlight w:val="yellow"/>
        </w:rPr>
        <w:t xml:space="preserve"> </w:t>
      </w:r>
      <w:r w:rsidR="009A6011" w:rsidRPr="009A6011">
        <w:rPr>
          <w:rFonts w:ascii="Arial" w:hAnsi="Arial" w:cs="Arial"/>
          <w:b/>
          <w:sz w:val="24"/>
          <w:szCs w:val="24"/>
        </w:rPr>
        <w:t xml:space="preserve">REDACTED REDACTED REDACTED REDACTED REDACTED REDACTED REDACTED REDACTED REDACTED REDACTED REDACTED REDACTED REDACTED </w:t>
      </w:r>
      <w:r w:rsidR="009A6011">
        <w:rPr>
          <w:rFonts w:ascii="Arial" w:hAnsi="Arial" w:cs="Arial"/>
          <w:b/>
          <w:sz w:val="24"/>
          <w:szCs w:val="24"/>
        </w:rPr>
        <w:t xml:space="preserve">   </w:t>
      </w:r>
      <w:r w:rsidR="009A6011" w:rsidRPr="009A6011">
        <w:rPr>
          <w:rFonts w:ascii="Arial" w:hAnsi="Arial" w:cs="Arial"/>
          <w:b/>
          <w:sz w:val="24"/>
          <w:szCs w:val="24"/>
        </w:rPr>
        <w:t xml:space="preserve">REDACTED </w:t>
      </w:r>
      <w:r w:rsidR="009A6011">
        <w:rPr>
          <w:rFonts w:ascii="Arial" w:hAnsi="Arial" w:cs="Arial"/>
          <w:b/>
          <w:sz w:val="24"/>
          <w:szCs w:val="24"/>
        </w:rPr>
        <w:t xml:space="preserve">   </w:t>
      </w:r>
    </w:p>
    <w:p w14:paraId="2EFCCA16" w14:textId="44BC3126" w:rsidR="00030EA3" w:rsidRPr="00DB7156" w:rsidRDefault="00030EA3" w:rsidP="009A6011">
      <w:pPr>
        <w:tabs>
          <w:tab w:val="left" w:pos="720"/>
          <w:tab w:val="left" w:pos="1428"/>
          <w:tab w:val="left" w:pos="4716"/>
          <w:tab w:val="left" w:pos="4896"/>
          <w:tab w:val="left" w:pos="6718"/>
        </w:tabs>
        <w:suppressAutoHyphens/>
        <w:spacing w:after="0" w:line="240" w:lineRule="auto"/>
        <w:jc w:val="both"/>
        <w:rPr>
          <w:rFonts w:ascii="Arial" w:hAnsi="Arial" w:cs="Arial"/>
          <w:color w:val="000080"/>
          <w:sz w:val="24"/>
          <w:szCs w:val="24"/>
          <w:u w:val="single"/>
        </w:rPr>
      </w:pPr>
      <w:r w:rsidRPr="00DB7156">
        <w:rPr>
          <w:rFonts w:ascii="Arial" w:hAnsi="Arial" w:cs="Arial"/>
          <w:sz w:val="24"/>
          <w:szCs w:val="24"/>
        </w:rPr>
        <w:t xml:space="preserve">  </w:t>
      </w:r>
    </w:p>
    <w:p w14:paraId="22BA51DC" w14:textId="4F480D8B" w:rsidR="00752263" w:rsidRPr="00DB7156" w:rsidRDefault="00046917"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 xml:space="preserve">CSAPR </w:t>
      </w:r>
      <w:r w:rsidR="00752263" w:rsidRPr="00DB7156">
        <w:rPr>
          <w:rFonts w:ascii="Arial" w:hAnsi="Arial" w:cs="Arial"/>
          <w:b/>
          <w:bCs/>
          <w:color w:val="000080"/>
          <w:sz w:val="24"/>
          <w:szCs w:val="24"/>
        </w:rPr>
        <w:t>Seasonal NO</w:t>
      </w:r>
      <w:r w:rsidR="00752263" w:rsidRPr="00DB7156">
        <w:rPr>
          <w:rFonts w:ascii="Arial" w:hAnsi="Arial" w:cs="Arial"/>
          <w:b/>
          <w:bCs/>
          <w:color w:val="000080"/>
          <w:sz w:val="24"/>
          <w:szCs w:val="24"/>
          <w:vertAlign w:val="subscript"/>
        </w:rPr>
        <w:t>X</w:t>
      </w:r>
      <w:r w:rsidR="00752263" w:rsidRPr="00DB7156">
        <w:rPr>
          <w:rFonts w:ascii="Arial" w:hAnsi="Arial" w:cs="Arial"/>
          <w:b/>
          <w:bCs/>
          <w:color w:val="000080"/>
          <w:sz w:val="24"/>
          <w:szCs w:val="24"/>
        </w:rPr>
        <w:t xml:space="preserve"> Compliance</w:t>
      </w:r>
    </w:p>
    <w:p w14:paraId="22BA51E6" w14:textId="0B523373" w:rsidR="003444CA" w:rsidRPr="00DB7156" w:rsidRDefault="00057901"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r w:rsidRPr="00DB7156">
        <w:rPr>
          <w:rFonts w:ascii="Arial" w:hAnsi="Arial" w:cs="Arial"/>
          <w:sz w:val="24"/>
          <w:szCs w:val="24"/>
        </w:rPr>
        <w:t>The compliance strategy for Phase II of the CSAPR Seasonal NO</w:t>
      </w:r>
      <w:r w:rsidRPr="00DB7156">
        <w:rPr>
          <w:rFonts w:ascii="Arial" w:hAnsi="Arial" w:cs="Arial"/>
          <w:sz w:val="24"/>
          <w:szCs w:val="24"/>
          <w:vertAlign w:val="subscript"/>
        </w:rPr>
        <w:t>X</w:t>
      </w:r>
      <w:r w:rsidRPr="00DB7156">
        <w:rPr>
          <w:rFonts w:ascii="Arial" w:hAnsi="Arial" w:cs="Arial"/>
          <w:sz w:val="24"/>
          <w:szCs w:val="24"/>
        </w:rPr>
        <w:t xml:space="preserve"> program is functionally identical to that of the CSAPR Annual NO</w:t>
      </w:r>
      <w:r w:rsidRPr="00DB7156">
        <w:rPr>
          <w:rFonts w:ascii="Arial" w:hAnsi="Arial" w:cs="Arial"/>
          <w:sz w:val="24"/>
          <w:szCs w:val="24"/>
          <w:vertAlign w:val="subscript"/>
        </w:rPr>
        <w:t>X</w:t>
      </w:r>
      <w:r w:rsidRPr="00DB7156">
        <w:rPr>
          <w:rFonts w:ascii="Arial" w:hAnsi="Arial" w:cs="Arial"/>
          <w:sz w:val="24"/>
          <w:szCs w:val="24"/>
        </w:rPr>
        <w:t xml:space="preserve"> program.</w:t>
      </w:r>
      <w:r w:rsidR="00E94DBF" w:rsidRPr="00DB7156">
        <w:rPr>
          <w:rFonts w:ascii="Arial" w:hAnsi="Arial" w:cs="Arial"/>
          <w:sz w:val="24"/>
          <w:szCs w:val="24"/>
        </w:rPr>
        <w:t xml:space="preserve"> </w:t>
      </w:r>
      <w:r w:rsidRPr="00DB7156">
        <w:rPr>
          <w:rFonts w:ascii="Arial" w:hAnsi="Arial" w:cs="Arial"/>
          <w:sz w:val="24"/>
          <w:szCs w:val="24"/>
        </w:rPr>
        <w:t xml:space="preserve">Beginning in 2017, the CSAPR </w:t>
      </w:r>
      <w:r w:rsidR="006116F7" w:rsidRPr="00DB7156">
        <w:rPr>
          <w:rFonts w:ascii="Arial" w:hAnsi="Arial" w:cs="Arial"/>
          <w:sz w:val="24"/>
          <w:szCs w:val="24"/>
        </w:rPr>
        <w:t>prevents</w:t>
      </w:r>
      <w:r w:rsidRPr="00DB7156">
        <w:rPr>
          <w:rFonts w:ascii="Arial" w:hAnsi="Arial" w:cs="Arial"/>
          <w:sz w:val="24"/>
          <w:szCs w:val="24"/>
        </w:rPr>
        <w:t xml:space="preserve"> interstate trading of seasonal allowances between </w:t>
      </w:r>
      <w:r w:rsidRPr="00DB7156">
        <w:rPr>
          <w:rFonts w:ascii="Arial" w:hAnsi="Arial" w:cs="Arial"/>
          <w:sz w:val="24"/>
          <w:szCs w:val="20"/>
        </w:rPr>
        <w:t>two exclusive trading groups – Group 1 and Group 2 – similar to the CSAPR SO</w:t>
      </w:r>
      <w:r w:rsidRPr="00DB7156">
        <w:rPr>
          <w:rFonts w:ascii="Arial" w:hAnsi="Arial" w:cs="Arial"/>
          <w:sz w:val="24"/>
          <w:szCs w:val="20"/>
          <w:vertAlign w:val="subscript"/>
        </w:rPr>
        <w:t>2</w:t>
      </w:r>
      <w:r w:rsidRPr="00DB7156">
        <w:rPr>
          <w:rFonts w:ascii="Arial" w:hAnsi="Arial" w:cs="Arial"/>
          <w:sz w:val="24"/>
          <w:szCs w:val="20"/>
        </w:rPr>
        <w:t xml:space="preserve"> program. Currently, Georg</w:t>
      </w:r>
      <w:r w:rsidR="00636336" w:rsidRPr="00DB7156">
        <w:rPr>
          <w:rFonts w:ascii="Arial" w:hAnsi="Arial" w:cs="Arial"/>
          <w:sz w:val="24"/>
          <w:szCs w:val="20"/>
        </w:rPr>
        <w:t>ia is the only state in Group 1</w:t>
      </w:r>
      <w:r w:rsidRPr="00DB7156">
        <w:rPr>
          <w:rFonts w:ascii="Arial" w:hAnsi="Arial" w:cs="Arial"/>
          <w:sz w:val="24"/>
          <w:szCs w:val="20"/>
        </w:rPr>
        <w:t xml:space="preserve">. </w:t>
      </w:r>
      <w:r w:rsidR="00636336" w:rsidRPr="00AC20C4">
        <w:rPr>
          <w:rFonts w:ascii="Arial" w:hAnsi="Arial" w:cs="Arial"/>
          <w:sz w:val="24"/>
          <w:szCs w:val="20"/>
        </w:rPr>
        <w:t>U</w:t>
      </w:r>
      <w:r w:rsidRPr="00AC20C4">
        <w:rPr>
          <w:rFonts w:ascii="Arial" w:hAnsi="Arial" w:cs="Arial"/>
          <w:sz w:val="24"/>
          <w:szCs w:val="20"/>
        </w:rPr>
        <w:t xml:space="preserve">nder current regulations for the CSAPR Seasonal </w:t>
      </w:r>
      <w:r w:rsidRPr="00AC20C4">
        <w:rPr>
          <w:rFonts w:ascii="Arial" w:hAnsi="Arial" w:cs="Arial"/>
          <w:sz w:val="24"/>
          <w:szCs w:val="24"/>
        </w:rPr>
        <w:t>NO</w:t>
      </w:r>
      <w:r w:rsidRPr="00AC20C4">
        <w:rPr>
          <w:rFonts w:ascii="Arial" w:hAnsi="Arial" w:cs="Arial"/>
          <w:sz w:val="24"/>
          <w:szCs w:val="24"/>
          <w:vertAlign w:val="subscript"/>
        </w:rPr>
        <w:t>X</w:t>
      </w:r>
      <w:r w:rsidRPr="00AC20C4">
        <w:rPr>
          <w:rFonts w:ascii="Arial" w:hAnsi="Arial" w:cs="Arial"/>
          <w:sz w:val="24"/>
          <w:szCs w:val="24"/>
        </w:rPr>
        <w:t xml:space="preserve"> program, projections show that </w:t>
      </w:r>
      <w:r w:rsidR="009A6011" w:rsidRPr="009A6011">
        <w:rPr>
          <w:rFonts w:ascii="Arial" w:hAnsi="Arial" w:cs="Arial"/>
          <w:b/>
          <w:sz w:val="24"/>
          <w:szCs w:val="24"/>
        </w:rPr>
        <w:t>REDACTED REDACTED REDACTED REDACTED REDACTED REDACTED REDACTED REDACTED REDACTED REDACTED REDACTED REDACTED REDACTED REDACTED REDACTED</w:t>
      </w:r>
    </w:p>
    <w:p w14:paraId="702E6FD5" w14:textId="77777777" w:rsidR="00534052" w:rsidRPr="00DB7156" w:rsidRDefault="00534052"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p>
    <w:p w14:paraId="22BA51E7" w14:textId="287B399F" w:rsidR="003444CA" w:rsidRPr="00DB7156" w:rsidRDefault="003444CA"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 xml:space="preserve">Future Rules NOx Compliance Review </w:t>
      </w:r>
    </w:p>
    <w:p w14:paraId="22BA51EA" w14:textId="75BC09C9" w:rsidR="003444CA" w:rsidRPr="00DB7156" w:rsidRDefault="003444CA"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0"/>
        </w:rPr>
      </w:pPr>
      <w:r w:rsidRPr="00DB7156">
        <w:rPr>
          <w:rFonts w:ascii="Arial" w:hAnsi="Arial" w:cs="Arial"/>
          <w:sz w:val="24"/>
          <w:szCs w:val="20"/>
        </w:rPr>
        <w:t>Expected regulations related to the NAAQS for ozone</w:t>
      </w:r>
      <w:r w:rsidR="006B521A" w:rsidRPr="00DB7156">
        <w:rPr>
          <w:rFonts w:ascii="Arial" w:hAnsi="Arial" w:cs="Arial"/>
          <w:sz w:val="24"/>
          <w:szCs w:val="20"/>
        </w:rPr>
        <w:t xml:space="preserve"> and</w:t>
      </w:r>
      <w:r w:rsidRPr="00DB7156">
        <w:rPr>
          <w:rFonts w:ascii="Arial" w:hAnsi="Arial" w:cs="Arial"/>
          <w:sz w:val="24"/>
          <w:szCs w:val="20"/>
        </w:rPr>
        <w:t xml:space="preserve"> </w:t>
      </w:r>
      <w:r w:rsidR="000F44B9" w:rsidRPr="00DB7156">
        <w:rPr>
          <w:rFonts w:ascii="Arial" w:hAnsi="Arial" w:cs="Arial"/>
          <w:sz w:val="24"/>
          <w:szCs w:val="20"/>
        </w:rPr>
        <w:t>CAVR</w:t>
      </w:r>
      <w:r w:rsidR="006B521A" w:rsidRPr="00DB7156">
        <w:rPr>
          <w:rFonts w:ascii="Arial" w:hAnsi="Arial" w:cs="Arial"/>
          <w:sz w:val="24"/>
          <w:szCs w:val="20"/>
        </w:rPr>
        <w:t xml:space="preserve"> </w:t>
      </w:r>
      <w:r w:rsidRPr="00DB7156">
        <w:rPr>
          <w:rFonts w:ascii="Arial" w:hAnsi="Arial" w:cs="Arial"/>
          <w:sz w:val="24"/>
          <w:szCs w:val="20"/>
        </w:rPr>
        <w:t>may drive the need for additional NOx reductions strategies in the future.</w:t>
      </w:r>
      <w:r w:rsidR="006B521A" w:rsidRPr="00DB7156">
        <w:rPr>
          <w:rFonts w:ascii="Arial" w:hAnsi="Arial" w:cs="Arial"/>
          <w:sz w:val="24"/>
          <w:szCs w:val="20"/>
        </w:rPr>
        <w:t xml:space="preserve"> </w:t>
      </w:r>
      <w:r w:rsidRPr="00AC20C4">
        <w:rPr>
          <w:rFonts w:ascii="Arial" w:hAnsi="Arial" w:cs="Arial"/>
          <w:sz w:val="24"/>
          <w:szCs w:val="20"/>
        </w:rPr>
        <w:t xml:space="preserve">While the </w:t>
      </w:r>
      <w:r w:rsidR="00DA2292" w:rsidRPr="00AC20C4">
        <w:rPr>
          <w:rFonts w:ascii="Arial" w:hAnsi="Arial" w:cs="Arial"/>
          <w:sz w:val="24"/>
          <w:szCs w:val="20"/>
        </w:rPr>
        <w:t>outcome of</w:t>
      </w:r>
      <w:r w:rsidRPr="00AC20C4">
        <w:rPr>
          <w:rFonts w:ascii="Arial" w:hAnsi="Arial" w:cs="Arial"/>
          <w:sz w:val="24"/>
          <w:szCs w:val="20"/>
        </w:rPr>
        <w:t xml:space="preserve"> these future rules is </w:t>
      </w:r>
      <w:r w:rsidR="00EC6D0C" w:rsidRPr="00AC20C4">
        <w:rPr>
          <w:rFonts w:ascii="Arial" w:hAnsi="Arial" w:cs="Arial"/>
          <w:sz w:val="24"/>
          <w:szCs w:val="20"/>
        </w:rPr>
        <w:t>unknown</w:t>
      </w:r>
      <w:r w:rsidRPr="00AC20C4">
        <w:rPr>
          <w:rFonts w:ascii="Arial" w:hAnsi="Arial" w:cs="Arial"/>
          <w:sz w:val="24"/>
          <w:szCs w:val="20"/>
        </w:rPr>
        <w:t xml:space="preserve">, </w:t>
      </w:r>
      <w:r w:rsidR="009A6011" w:rsidRPr="009A6011">
        <w:rPr>
          <w:rFonts w:ascii="Arial" w:hAnsi="Arial" w:cs="Arial"/>
          <w:b/>
          <w:sz w:val="24"/>
          <w:szCs w:val="24"/>
        </w:rPr>
        <w:t xml:space="preserve">REDACTED REDACTED REDACTED REDACTED REDACTED REDACTED REDACTED REDACTED REDACTED REDACTED </w:t>
      </w:r>
    </w:p>
    <w:p w14:paraId="22BA51EB" w14:textId="77777777" w:rsidR="003444CA" w:rsidRPr="00DB7156" w:rsidRDefault="003444CA" w:rsidP="00DB7156">
      <w:pPr>
        <w:spacing w:after="0" w:line="240" w:lineRule="auto"/>
        <w:jc w:val="both"/>
        <w:rPr>
          <w:rFonts w:ascii="Arial" w:hAnsi="Arial" w:cs="Arial"/>
          <w:b/>
          <w:bCs/>
          <w:color w:val="000080"/>
          <w:sz w:val="24"/>
          <w:szCs w:val="24"/>
        </w:rPr>
      </w:pPr>
    </w:p>
    <w:p w14:paraId="714DB777" w14:textId="085B14C8" w:rsidR="00673FD0" w:rsidRPr="00DB7156" w:rsidRDefault="004F3144" w:rsidP="00DB7156">
      <w:pPr>
        <w:spacing w:after="0" w:line="240" w:lineRule="auto"/>
        <w:jc w:val="both"/>
        <w:outlineLvl w:val="2"/>
        <w:rPr>
          <w:rFonts w:ascii="Arial" w:hAnsi="Arial" w:cs="Arial"/>
          <w:b/>
          <w:bCs/>
          <w:color w:val="000080"/>
          <w:sz w:val="24"/>
          <w:szCs w:val="24"/>
        </w:rPr>
      </w:pPr>
      <w:bookmarkStart w:id="190" w:name="_Toc496107762"/>
      <w:bookmarkStart w:id="191" w:name="_Toc527987354"/>
      <w:bookmarkStart w:id="192" w:name="_Toc527983901"/>
      <w:bookmarkStart w:id="193" w:name="_Toc530487285"/>
      <w:bookmarkStart w:id="194" w:name="_Toc535908153"/>
      <w:r w:rsidRPr="00DB7156">
        <w:rPr>
          <w:rFonts w:ascii="Arial" w:hAnsi="Arial" w:cs="Arial"/>
          <w:b/>
          <w:bCs/>
          <w:color w:val="000080"/>
          <w:sz w:val="24"/>
          <w:szCs w:val="24"/>
        </w:rPr>
        <w:t>4.1.3</w:t>
      </w:r>
      <w:r w:rsidRPr="00DB7156">
        <w:rPr>
          <w:rFonts w:ascii="Arial" w:hAnsi="Arial" w:cs="Arial"/>
          <w:b/>
          <w:bCs/>
          <w:color w:val="000080"/>
          <w:sz w:val="24"/>
          <w:szCs w:val="24"/>
        </w:rPr>
        <w:tab/>
        <w:t>Mercury and Air Toxics Standards</w:t>
      </w:r>
      <w:bookmarkEnd w:id="190"/>
      <w:bookmarkEnd w:id="191"/>
      <w:bookmarkEnd w:id="192"/>
      <w:bookmarkEnd w:id="193"/>
      <w:bookmarkEnd w:id="194"/>
    </w:p>
    <w:p w14:paraId="4D4206F8" w14:textId="77777777" w:rsidR="000F44B9" w:rsidRPr="00DB7156" w:rsidRDefault="000F44B9"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p>
    <w:p w14:paraId="0754482D" w14:textId="6F169013" w:rsidR="000F44B9" w:rsidRPr="00DB7156" w:rsidRDefault="000F44B9"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 xml:space="preserve">Georgia Power and Southern Company have long been uniquely positioned to understand and implement mercury control technology appropriately across the operating fleet in large part due to the wealth of research and demonstration experience. Southern Company has collaborated with the U.S. Department of Energy, EPRI, equipment suppliers, and other utilities on mercury research.  Building off of its previous experience, the Company’s research and testing program has enabled it to make individualized, targeted decisions for each unit that optimizes the available technology while minimizing costs to the customer.  </w:t>
      </w:r>
    </w:p>
    <w:p w14:paraId="0194EDC9" w14:textId="170A96BC" w:rsidR="004F3144" w:rsidRPr="00DB7156" w:rsidRDefault="004F3144" w:rsidP="00DB7156">
      <w:pPr>
        <w:pStyle w:val="BBBodyTextFlush"/>
        <w:spacing w:after="0"/>
        <w:rPr>
          <w:rFonts w:ascii="Arial" w:hAnsi="Arial" w:cs="Arial"/>
          <w:szCs w:val="20"/>
        </w:rPr>
      </w:pPr>
    </w:p>
    <w:p w14:paraId="356998DE" w14:textId="1318A2B6" w:rsidR="004F3144" w:rsidRPr="00DB7156" w:rsidRDefault="00C56DF9" w:rsidP="00DB7156">
      <w:pPr>
        <w:pStyle w:val="BBBodyTextFlush"/>
        <w:spacing w:after="0"/>
        <w:rPr>
          <w:rFonts w:ascii="Arial" w:hAnsi="Arial" w:cs="Arial"/>
          <w:szCs w:val="20"/>
        </w:rPr>
      </w:pPr>
      <w:r w:rsidRPr="00DB7156">
        <w:rPr>
          <w:rFonts w:ascii="Arial" w:hAnsi="Arial" w:cs="Arial"/>
          <w:szCs w:val="20"/>
        </w:rPr>
        <w:t>On April 16, 2016, Georgia Power began comp</w:t>
      </w:r>
      <w:r w:rsidR="00834EFD">
        <w:rPr>
          <w:rFonts w:ascii="Arial" w:hAnsi="Arial" w:cs="Arial"/>
          <w:szCs w:val="20"/>
        </w:rPr>
        <w:t>lying with the MATS R</w:t>
      </w:r>
      <w:r w:rsidRPr="00DB7156">
        <w:rPr>
          <w:rFonts w:ascii="Arial" w:hAnsi="Arial" w:cs="Arial"/>
          <w:szCs w:val="20"/>
        </w:rPr>
        <w:t>ule</w:t>
      </w:r>
      <w:r w:rsidR="000B750E" w:rsidRPr="00DB7156">
        <w:rPr>
          <w:rFonts w:ascii="Arial" w:hAnsi="Arial" w:cs="Arial"/>
          <w:szCs w:val="20"/>
        </w:rPr>
        <w:t xml:space="preserve">, which established </w:t>
      </w:r>
      <w:r w:rsidR="00A427C5" w:rsidRPr="00DB7156">
        <w:rPr>
          <w:rFonts w:ascii="Arial" w:hAnsi="Arial" w:cs="Arial"/>
          <w:szCs w:val="20"/>
        </w:rPr>
        <w:t xml:space="preserve">stringent </w:t>
      </w:r>
      <w:r w:rsidR="000B750E" w:rsidRPr="00DB7156">
        <w:rPr>
          <w:rFonts w:ascii="Arial" w:hAnsi="Arial" w:cs="Arial"/>
          <w:szCs w:val="20"/>
        </w:rPr>
        <w:t xml:space="preserve">emission limits for </w:t>
      </w:r>
      <w:r w:rsidR="000B750E" w:rsidRPr="00DB7156">
        <w:rPr>
          <w:rFonts w:ascii="Arial" w:hAnsi="Arial" w:cs="Arial"/>
        </w:rPr>
        <w:t>mercury, particulate matter (as a surrogate for certain metals), and acid gases</w:t>
      </w:r>
      <w:r w:rsidR="00541B36" w:rsidRPr="00DB7156">
        <w:rPr>
          <w:rFonts w:ascii="Arial" w:hAnsi="Arial" w:cs="Arial"/>
        </w:rPr>
        <w:t>.</w:t>
      </w:r>
      <w:r w:rsidR="00DF0E05" w:rsidRPr="00DB7156">
        <w:rPr>
          <w:rFonts w:ascii="Arial" w:hAnsi="Arial" w:cs="Arial"/>
          <w:szCs w:val="20"/>
        </w:rPr>
        <w:t xml:space="preserve"> Th</w:t>
      </w:r>
      <w:r w:rsidR="00F02F32" w:rsidRPr="00DB7156">
        <w:rPr>
          <w:rFonts w:ascii="Arial" w:hAnsi="Arial" w:cs="Arial"/>
          <w:szCs w:val="20"/>
        </w:rPr>
        <w:t xml:space="preserve">e compliance strategy </w:t>
      </w:r>
      <w:r w:rsidR="00834EFD">
        <w:rPr>
          <w:rFonts w:ascii="Arial" w:hAnsi="Arial" w:cs="Arial"/>
          <w:szCs w:val="20"/>
        </w:rPr>
        <w:t>for the MATS R</w:t>
      </w:r>
      <w:r w:rsidR="00E819F4" w:rsidRPr="00DB7156">
        <w:rPr>
          <w:rFonts w:ascii="Arial" w:hAnsi="Arial" w:cs="Arial"/>
          <w:szCs w:val="20"/>
        </w:rPr>
        <w:t xml:space="preserve">ule </w:t>
      </w:r>
      <w:r w:rsidR="00F02F32" w:rsidRPr="00DB7156">
        <w:rPr>
          <w:rFonts w:ascii="Arial" w:hAnsi="Arial" w:cs="Arial"/>
          <w:szCs w:val="20"/>
        </w:rPr>
        <w:t>is unit-specific</w:t>
      </w:r>
      <w:r w:rsidR="00944654" w:rsidRPr="00DB7156">
        <w:rPr>
          <w:rFonts w:ascii="Arial" w:hAnsi="Arial" w:cs="Arial"/>
          <w:szCs w:val="20"/>
        </w:rPr>
        <w:t xml:space="preserve">. </w:t>
      </w:r>
      <w:r w:rsidR="00890379">
        <w:rPr>
          <w:rFonts w:ascii="Arial" w:hAnsi="Arial" w:cs="Arial"/>
          <w:szCs w:val="20"/>
        </w:rPr>
        <w:t xml:space="preserve">While not yet final, </w:t>
      </w:r>
      <w:r w:rsidR="005027EC">
        <w:rPr>
          <w:rFonts w:ascii="Arial" w:hAnsi="Arial" w:cs="Arial"/>
          <w:szCs w:val="20"/>
        </w:rPr>
        <w:t>EPA’s MATS RTR proposal does not propose any changes to the MATS standards</w:t>
      </w:r>
      <w:r w:rsidR="00E97FBF">
        <w:rPr>
          <w:rFonts w:ascii="Arial" w:hAnsi="Arial" w:cs="Arial"/>
          <w:szCs w:val="20"/>
        </w:rPr>
        <w:t xml:space="preserve"> applicable to the Company</w:t>
      </w:r>
      <w:r w:rsidR="00EE412B">
        <w:rPr>
          <w:rFonts w:ascii="Arial" w:hAnsi="Arial" w:cs="Arial"/>
          <w:szCs w:val="20"/>
        </w:rPr>
        <w:t>’s units</w:t>
      </w:r>
      <w:r w:rsidR="005027EC">
        <w:rPr>
          <w:rFonts w:ascii="Arial" w:hAnsi="Arial" w:cs="Arial"/>
          <w:szCs w:val="20"/>
        </w:rPr>
        <w:t xml:space="preserve">. Therefore, </w:t>
      </w:r>
      <w:r w:rsidR="00944654" w:rsidRPr="00DB7156">
        <w:rPr>
          <w:rFonts w:ascii="Arial" w:hAnsi="Arial" w:cs="Arial"/>
          <w:szCs w:val="20"/>
        </w:rPr>
        <w:t>Georgia Power expects to continue to use the following MATS compliance strategies for each scrubbed and unscrubbed unit.</w:t>
      </w:r>
      <w:r w:rsidR="000670F3" w:rsidRPr="00DB7156">
        <w:rPr>
          <w:rFonts w:ascii="Arial" w:hAnsi="Arial" w:cs="Arial"/>
          <w:szCs w:val="20"/>
        </w:rPr>
        <w:t xml:space="preserve"> </w:t>
      </w:r>
    </w:p>
    <w:p w14:paraId="2F1A512B" w14:textId="77777777" w:rsidR="004F3144" w:rsidRPr="00DB7156" w:rsidRDefault="004F3144" w:rsidP="00DB7156">
      <w:pPr>
        <w:pStyle w:val="BBBodyTextFlush"/>
        <w:spacing w:after="0"/>
        <w:rPr>
          <w:rFonts w:ascii="Arial" w:hAnsi="Arial" w:cs="Arial"/>
          <w:szCs w:val="20"/>
        </w:rPr>
      </w:pPr>
    </w:p>
    <w:p w14:paraId="1FA8B444" w14:textId="10B2FB26" w:rsidR="004F3144" w:rsidRPr="00DB7156" w:rsidRDefault="004F3144" w:rsidP="00DB7156">
      <w:pPr>
        <w:keepNext/>
        <w:autoSpaceDE w:val="0"/>
        <w:autoSpaceDN w:val="0"/>
        <w:adjustRightInd w:val="0"/>
        <w:spacing w:after="0" w:line="240" w:lineRule="auto"/>
        <w:jc w:val="both"/>
        <w:rPr>
          <w:rFonts w:ascii="Arial" w:hAnsi="Arial" w:cs="Arial"/>
          <w:b/>
          <w:bCs/>
          <w:color w:val="000080"/>
          <w:sz w:val="24"/>
          <w:szCs w:val="24"/>
        </w:rPr>
      </w:pPr>
      <w:bookmarkStart w:id="195" w:name="_Hlk529869506"/>
      <w:r w:rsidRPr="00DB7156">
        <w:rPr>
          <w:rFonts w:ascii="Arial" w:hAnsi="Arial" w:cs="Arial"/>
          <w:b/>
          <w:bCs/>
          <w:color w:val="000080"/>
          <w:sz w:val="24"/>
          <w:szCs w:val="24"/>
        </w:rPr>
        <w:t xml:space="preserve">MATS Compliance </w:t>
      </w:r>
      <w:r w:rsidR="000F44B9" w:rsidRPr="00DB7156">
        <w:rPr>
          <w:rFonts w:ascii="Arial" w:hAnsi="Arial" w:cs="Arial"/>
          <w:b/>
          <w:bCs/>
          <w:color w:val="000080"/>
          <w:sz w:val="24"/>
          <w:szCs w:val="24"/>
        </w:rPr>
        <w:t>Strategy</w:t>
      </w:r>
      <w:r w:rsidRPr="00DB7156">
        <w:rPr>
          <w:rFonts w:ascii="Arial" w:hAnsi="Arial" w:cs="Arial"/>
          <w:b/>
          <w:bCs/>
          <w:color w:val="000080"/>
          <w:sz w:val="24"/>
          <w:szCs w:val="24"/>
        </w:rPr>
        <w:t xml:space="preserve"> for Units with FGD </w:t>
      </w:r>
    </w:p>
    <w:p w14:paraId="4857A614" w14:textId="71EBBCAA" w:rsidR="0052478D" w:rsidRPr="00DB7156" w:rsidRDefault="004F3144" w:rsidP="00DB7156">
      <w:pPr>
        <w:pStyle w:val="BBBodyTextFlush"/>
        <w:spacing w:after="0"/>
        <w:rPr>
          <w:rFonts w:ascii="Arial" w:hAnsi="Arial" w:cs="Arial"/>
          <w:szCs w:val="20"/>
        </w:rPr>
      </w:pPr>
      <w:r w:rsidRPr="00DB7156">
        <w:rPr>
          <w:rFonts w:ascii="Arial" w:hAnsi="Arial" w:cs="Arial"/>
          <w:szCs w:val="20"/>
        </w:rPr>
        <w:t xml:space="preserve">Coal-fired units with </w:t>
      </w:r>
      <w:r w:rsidR="004B09E4">
        <w:rPr>
          <w:rFonts w:ascii="Arial" w:hAnsi="Arial" w:cs="Arial"/>
          <w:szCs w:val="20"/>
        </w:rPr>
        <w:t>FGD</w:t>
      </w:r>
      <w:r w:rsidR="0044567E">
        <w:rPr>
          <w:rFonts w:ascii="Arial" w:hAnsi="Arial" w:cs="Arial"/>
          <w:szCs w:val="20"/>
        </w:rPr>
        <w:t>s</w:t>
      </w:r>
      <w:r w:rsidR="004B09E4">
        <w:rPr>
          <w:rFonts w:ascii="Arial" w:hAnsi="Arial" w:cs="Arial"/>
          <w:szCs w:val="20"/>
        </w:rPr>
        <w:t xml:space="preserve"> </w:t>
      </w:r>
      <w:r w:rsidR="009D2872" w:rsidRPr="00DB7156">
        <w:rPr>
          <w:rFonts w:ascii="Arial" w:hAnsi="Arial" w:cs="Arial"/>
          <w:szCs w:val="20"/>
        </w:rPr>
        <w:t>have the option to comply with</w:t>
      </w:r>
      <w:r w:rsidRPr="00DB7156">
        <w:rPr>
          <w:rFonts w:ascii="Arial" w:hAnsi="Arial" w:cs="Arial"/>
          <w:szCs w:val="20"/>
        </w:rPr>
        <w:t xml:space="preserve"> either the MATS HCl or alternate SO</w:t>
      </w:r>
      <w:r w:rsidRPr="00DB7156">
        <w:rPr>
          <w:rFonts w:ascii="Arial" w:hAnsi="Arial" w:cs="Arial"/>
          <w:szCs w:val="20"/>
          <w:vertAlign w:val="subscript"/>
        </w:rPr>
        <w:t>2</w:t>
      </w:r>
      <w:r w:rsidRPr="00DB7156">
        <w:rPr>
          <w:rFonts w:ascii="Arial" w:hAnsi="Arial" w:cs="Arial"/>
          <w:szCs w:val="20"/>
        </w:rPr>
        <w:t xml:space="preserve"> emissions limit. </w:t>
      </w:r>
      <w:r w:rsidR="009D2872" w:rsidRPr="00DB7156">
        <w:rPr>
          <w:rFonts w:ascii="Arial" w:hAnsi="Arial" w:cs="Arial"/>
          <w:szCs w:val="20"/>
        </w:rPr>
        <w:t xml:space="preserve">For mercury, significant reductions are achieved on bituminous coal-fired units through the mercury reduction and capture co-benefits of the SCR and </w:t>
      </w:r>
      <w:r w:rsidR="0044567E">
        <w:rPr>
          <w:rFonts w:ascii="Arial" w:hAnsi="Arial" w:cs="Arial"/>
          <w:szCs w:val="20"/>
        </w:rPr>
        <w:t>FGD</w:t>
      </w:r>
      <w:r w:rsidR="009D2872" w:rsidRPr="00DB7156">
        <w:rPr>
          <w:rFonts w:ascii="Arial" w:hAnsi="Arial" w:cs="Arial"/>
          <w:szCs w:val="20"/>
        </w:rPr>
        <w:t>.</w:t>
      </w:r>
      <w:r w:rsidR="00D72FC3" w:rsidRPr="00DB7156">
        <w:rPr>
          <w:rFonts w:ascii="Arial" w:hAnsi="Arial" w:cs="Arial"/>
          <w:szCs w:val="20"/>
        </w:rPr>
        <w:t xml:space="preserve"> However, additional incremental mercury reductions </w:t>
      </w:r>
      <w:r w:rsidR="00C26B53" w:rsidRPr="00DB7156">
        <w:rPr>
          <w:rFonts w:ascii="Arial" w:hAnsi="Arial" w:cs="Arial"/>
          <w:szCs w:val="20"/>
        </w:rPr>
        <w:t>were</w:t>
      </w:r>
      <w:r w:rsidR="00D72FC3" w:rsidRPr="00DB7156">
        <w:rPr>
          <w:rFonts w:ascii="Arial" w:hAnsi="Arial" w:cs="Arial"/>
          <w:szCs w:val="20"/>
        </w:rPr>
        <w:t xml:space="preserve"> required to comply with the MATS mercury limit on a continuous basis. Therefore, GPC installed </w:t>
      </w:r>
      <w:r w:rsidR="0067730E" w:rsidRPr="00DB7156">
        <w:rPr>
          <w:rFonts w:ascii="Arial" w:hAnsi="Arial" w:cs="Arial"/>
          <w:szCs w:val="20"/>
        </w:rPr>
        <w:t>activated</w:t>
      </w:r>
      <w:r w:rsidR="00D72FC3" w:rsidRPr="00DB7156">
        <w:rPr>
          <w:rFonts w:ascii="Arial" w:hAnsi="Arial" w:cs="Arial"/>
          <w:szCs w:val="20"/>
        </w:rPr>
        <w:t xml:space="preserve"> carbon and </w:t>
      </w:r>
      <w:r w:rsidR="0067730E" w:rsidRPr="00DB7156">
        <w:rPr>
          <w:rFonts w:ascii="Arial" w:hAnsi="Arial" w:cs="Arial"/>
          <w:szCs w:val="20"/>
        </w:rPr>
        <w:t>alkali</w:t>
      </w:r>
      <w:r w:rsidR="00ED4DB1" w:rsidRPr="00DB7156">
        <w:rPr>
          <w:rFonts w:ascii="Arial" w:hAnsi="Arial" w:cs="Arial"/>
          <w:szCs w:val="20"/>
        </w:rPr>
        <w:t xml:space="preserve"> sorbent (e.g., hydrated lime) injections systems on all units at Plants Bowen, Hammond, and Wansley. In addition, </w:t>
      </w:r>
      <w:r w:rsidR="002019DF" w:rsidRPr="00DB7156">
        <w:rPr>
          <w:rFonts w:ascii="Arial" w:hAnsi="Arial" w:cs="Arial"/>
          <w:szCs w:val="20"/>
        </w:rPr>
        <w:t xml:space="preserve">to minimize operational costs associated with the injection systems, </w:t>
      </w:r>
      <w:r w:rsidR="008B1BB4" w:rsidRPr="00DB7156">
        <w:rPr>
          <w:rFonts w:ascii="Arial" w:hAnsi="Arial" w:cs="Arial"/>
          <w:szCs w:val="20"/>
        </w:rPr>
        <w:t>Mercury Re-emission Control Systems (</w:t>
      </w:r>
      <w:r w:rsidR="00F4257C">
        <w:rPr>
          <w:rFonts w:ascii="Arial" w:hAnsi="Arial" w:cs="Arial"/>
          <w:szCs w:val="20"/>
        </w:rPr>
        <w:t>“</w:t>
      </w:r>
      <w:r w:rsidR="009D2872" w:rsidRPr="00DB7156">
        <w:rPr>
          <w:rFonts w:ascii="Arial" w:hAnsi="Arial" w:cs="Arial"/>
          <w:szCs w:val="20"/>
        </w:rPr>
        <w:t>MRCSs</w:t>
      </w:r>
      <w:r w:rsidR="00F4257C">
        <w:rPr>
          <w:rFonts w:ascii="Arial" w:hAnsi="Arial" w:cs="Arial"/>
          <w:szCs w:val="20"/>
        </w:rPr>
        <w:t>”</w:t>
      </w:r>
      <w:r w:rsidR="008B1BB4" w:rsidRPr="00DB7156">
        <w:rPr>
          <w:rFonts w:ascii="Arial" w:hAnsi="Arial" w:cs="Arial"/>
          <w:szCs w:val="20"/>
        </w:rPr>
        <w:t>)</w:t>
      </w:r>
      <w:r w:rsidR="009D2872" w:rsidRPr="00DB7156">
        <w:rPr>
          <w:rFonts w:ascii="Arial" w:hAnsi="Arial" w:cs="Arial"/>
          <w:szCs w:val="20"/>
        </w:rPr>
        <w:t xml:space="preserve"> were also installed</w:t>
      </w:r>
      <w:r w:rsidR="00ED4DB1" w:rsidRPr="00DB7156">
        <w:rPr>
          <w:rFonts w:ascii="Arial" w:hAnsi="Arial" w:cs="Arial"/>
          <w:szCs w:val="20"/>
        </w:rPr>
        <w:t xml:space="preserve"> at Plant Bowen Units 1-2 and at Plant Wansley </w:t>
      </w:r>
      <w:r w:rsidR="002019DF" w:rsidRPr="00DB7156">
        <w:rPr>
          <w:rFonts w:ascii="Arial" w:hAnsi="Arial" w:cs="Arial"/>
          <w:szCs w:val="20"/>
        </w:rPr>
        <w:t xml:space="preserve">Units 1-2 </w:t>
      </w:r>
      <w:r w:rsidR="00ED4DB1" w:rsidRPr="00DB7156">
        <w:rPr>
          <w:rFonts w:ascii="Arial" w:hAnsi="Arial" w:cs="Arial"/>
          <w:szCs w:val="20"/>
        </w:rPr>
        <w:t xml:space="preserve">to </w:t>
      </w:r>
      <w:r w:rsidR="002019DF" w:rsidRPr="00DB7156">
        <w:rPr>
          <w:rFonts w:ascii="Arial" w:hAnsi="Arial" w:cs="Arial"/>
          <w:szCs w:val="20"/>
        </w:rPr>
        <w:t xml:space="preserve">prevent re-emission of mercury once it is captured in the </w:t>
      </w:r>
      <w:r w:rsidR="0044567E">
        <w:rPr>
          <w:rFonts w:ascii="Arial" w:hAnsi="Arial" w:cs="Arial"/>
          <w:szCs w:val="20"/>
        </w:rPr>
        <w:t>FGD</w:t>
      </w:r>
      <w:r w:rsidR="002019DF" w:rsidRPr="00DB7156">
        <w:rPr>
          <w:rFonts w:ascii="Arial" w:hAnsi="Arial" w:cs="Arial"/>
          <w:szCs w:val="20"/>
        </w:rPr>
        <w:t>.</w:t>
      </w:r>
      <w:r w:rsidR="00C26B53" w:rsidRPr="00DB7156">
        <w:rPr>
          <w:rFonts w:ascii="Arial" w:hAnsi="Arial" w:cs="Arial"/>
          <w:szCs w:val="20"/>
        </w:rPr>
        <w:t xml:space="preserve">  </w:t>
      </w:r>
      <w:r w:rsidR="009D2872" w:rsidRPr="00DB7156">
        <w:rPr>
          <w:rFonts w:ascii="Arial" w:hAnsi="Arial" w:cs="Arial"/>
          <w:szCs w:val="20"/>
        </w:rPr>
        <w:t>T</w:t>
      </w:r>
      <w:r w:rsidR="00C26B53" w:rsidRPr="00DB7156">
        <w:rPr>
          <w:rFonts w:ascii="Arial" w:hAnsi="Arial" w:cs="Arial"/>
          <w:szCs w:val="20"/>
        </w:rPr>
        <w:t>o ensure compliance with the MATS particulate matter limits, optimization of the</w:t>
      </w:r>
      <w:r w:rsidR="00365F31" w:rsidRPr="00DB7156">
        <w:rPr>
          <w:rFonts w:ascii="Arial" w:hAnsi="Arial" w:cs="Arial"/>
          <w:szCs w:val="20"/>
        </w:rPr>
        <w:t xml:space="preserve"> existing electrostatic pre</w:t>
      </w:r>
      <w:r w:rsidR="00C26B53" w:rsidRPr="00DB7156">
        <w:rPr>
          <w:rFonts w:ascii="Arial" w:hAnsi="Arial" w:cs="Arial"/>
          <w:szCs w:val="20"/>
        </w:rPr>
        <w:t>c</w:t>
      </w:r>
      <w:r w:rsidR="00365F31" w:rsidRPr="00DB7156">
        <w:rPr>
          <w:rFonts w:ascii="Arial" w:hAnsi="Arial" w:cs="Arial"/>
          <w:szCs w:val="20"/>
        </w:rPr>
        <w:t>i</w:t>
      </w:r>
      <w:r w:rsidR="00C26B53" w:rsidRPr="00DB7156">
        <w:rPr>
          <w:rFonts w:ascii="Arial" w:hAnsi="Arial" w:cs="Arial"/>
          <w:szCs w:val="20"/>
        </w:rPr>
        <w:t>pitators</w:t>
      </w:r>
      <w:r w:rsidR="00365F31" w:rsidRPr="00DB7156">
        <w:rPr>
          <w:rFonts w:ascii="Arial" w:hAnsi="Arial" w:cs="Arial"/>
          <w:szCs w:val="20"/>
        </w:rPr>
        <w:t xml:space="preserve"> (</w:t>
      </w:r>
      <w:r w:rsidR="00A37007">
        <w:rPr>
          <w:rFonts w:ascii="Arial" w:hAnsi="Arial" w:cs="Arial"/>
          <w:szCs w:val="20"/>
        </w:rPr>
        <w:t>“</w:t>
      </w:r>
      <w:r w:rsidR="00365F31" w:rsidRPr="00DB7156">
        <w:rPr>
          <w:rFonts w:ascii="Arial" w:hAnsi="Arial" w:cs="Arial"/>
          <w:szCs w:val="20"/>
        </w:rPr>
        <w:t>ESPs</w:t>
      </w:r>
      <w:r w:rsidR="00A37007">
        <w:rPr>
          <w:rFonts w:ascii="Arial" w:hAnsi="Arial" w:cs="Arial"/>
          <w:szCs w:val="20"/>
        </w:rPr>
        <w:t>”</w:t>
      </w:r>
      <w:r w:rsidR="00365F31" w:rsidRPr="00DB7156">
        <w:rPr>
          <w:rFonts w:ascii="Arial" w:hAnsi="Arial" w:cs="Arial"/>
          <w:szCs w:val="20"/>
        </w:rPr>
        <w:t>)</w:t>
      </w:r>
      <w:r w:rsidR="00C26B53" w:rsidRPr="00DB7156">
        <w:rPr>
          <w:rFonts w:ascii="Arial" w:hAnsi="Arial" w:cs="Arial"/>
          <w:szCs w:val="20"/>
        </w:rPr>
        <w:t xml:space="preserve"> was performed at Plant Bowen Units 1-2, Plant Hammond </w:t>
      </w:r>
      <w:r w:rsidR="009D2872" w:rsidRPr="00DB7156">
        <w:rPr>
          <w:rFonts w:ascii="Arial" w:hAnsi="Arial" w:cs="Arial"/>
          <w:szCs w:val="20"/>
        </w:rPr>
        <w:t xml:space="preserve">Units 1-4, </w:t>
      </w:r>
      <w:r w:rsidR="00C26B53" w:rsidRPr="00DB7156">
        <w:rPr>
          <w:rFonts w:ascii="Arial" w:hAnsi="Arial" w:cs="Arial"/>
          <w:szCs w:val="20"/>
        </w:rPr>
        <w:t xml:space="preserve">and </w:t>
      </w:r>
      <w:r w:rsidR="009D2872" w:rsidRPr="00DB7156">
        <w:rPr>
          <w:rFonts w:ascii="Arial" w:hAnsi="Arial" w:cs="Arial"/>
          <w:szCs w:val="20"/>
        </w:rPr>
        <w:t xml:space="preserve">Plant </w:t>
      </w:r>
      <w:r w:rsidR="00C26B53" w:rsidRPr="00DB7156">
        <w:rPr>
          <w:rFonts w:ascii="Arial" w:hAnsi="Arial" w:cs="Arial"/>
          <w:szCs w:val="20"/>
        </w:rPr>
        <w:t>Wansley</w:t>
      </w:r>
      <w:r w:rsidR="009D2872" w:rsidRPr="00DB7156">
        <w:rPr>
          <w:rFonts w:ascii="Arial" w:hAnsi="Arial" w:cs="Arial"/>
          <w:szCs w:val="20"/>
        </w:rPr>
        <w:t xml:space="preserve"> Units 1-2</w:t>
      </w:r>
      <w:r w:rsidR="00C26B53" w:rsidRPr="00DB7156">
        <w:rPr>
          <w:rFonts w:ascii="Arial" w:hAnsi="Arial" w:cs="Arial"/>
          <w:szCs w:val="20"/>
        </w:rPr>
        <w:t xml:space="preserve">, </w:t>
      </w:r>
      <w:r w:rsidR="00E819F4" w:rsidRPr="00DB7156">
        <w:rPr>
          <w:rFonts w:ascii="Arial" w:hAnsi="Arial" w:cs="Arial"/>
          <w:szCs w:val="20"/>
        </w:rPr>
        <w:t>while b</w:t>
      </w:r>
      <w:r w:rsidR="00C26B53" w:rsidRPr="00DB7156">
        <w:rPr>
          <w:rFonts w:ascii="Arial" w:hAnsi="Arial" w:cs="Arial"/>
          <w:szCs w:val="20"/>
        </w:rPr>
        <w:t xml:space="preserve">aghouse retrofits were </w:t>
      </w:r>
      <w:r w:rsidR="006B3A7E" w:rsidRPr="00DB7156">
        <w:rPr>
          <w:rFonts w:ascii="Arial" w:hAnsi="Arial" w:cs="Arial"/>
          <w:szCs w:val="20"/>
        </w:rPr>
        <w:t>necessary</w:t>
      </w:r>
      <w:r w:rsidR="00C26B53" w:rsidRPr="00DB7156">
        <w:rPr>
          <w:rFonts w:ascii="Arial" w:hAnsi="Arial" w:cs="Arial"/>
          <w:szCs w:val="20"/>
        </w:rPr>
        <w:t xml:space="preserve"> at Plant Bowen Units 3-4</w:t>
      </w:r>
      <w:r w:rsidR="00A427C5" w:rsidRPr="00DB7156">
        <w:rPr>
          <w:rFonts w:ascii="Arial" w:hAnsi="Arial" w:cs="Arial"/>
          <w:szCs w:val="20"/>
        </w:rPr>
        <w:t xml:space="preserve"> to capture additional particulate in the flue gases</w:t>
      </w:r>
      <w:r w:rsidR="008543F8">
        <w:rPr>
          <w:rFonts w:ascii="Arial" w:hAnsi="Arial" w:cs="Arial"/>
          <w:szCs w:val="20"/>
        </w:rPr>
        <w:t xml:space="preserve"> in order to comply</w:t>
      </w:r>
      <w:r w:rsidR="0052478D" w:rsidRPr="00DB7156">
        <w:rPr>
          <w:rFonts w:ascii="Arial" w:hAnsi="Arial" w:cs="Arial"/>
          <w:szCs w:val="20"/>
        </w:rPr>
        <w:t>.</w:t>
      </w:r>
    </w:p>
    <w:p w14:paraId="452ED226" w14:textId="77777777" w:rsidR="0052478D" w:rsidRPr="00DB7156" w:rsidRDefault="0052478D" w:rsidP="00DB7156">
      <w:pPr>
        <w:pStyle w:val="BBBodyTextFlush"/>
        <w:spacing w:after="0"/>
        <w:rPr>
          <w:rFonts w:ascii="Arial" w:hAnsi="Arial" w:cs="Arial"/>
          <w:szCs w:val="20"/>
        </w:rPr>
      </w:pPr>
    </w:p>
    <w:p w14:paraId="0C456EC9" w14:textId="7EBAD312" w:rsidR="004F3144" w:rsidRPr="00DB7156" w:rsidRDefault="002F317A" w:rsidP="00DB7156">
      <w:pPr>
        <w:pStyle w:val="BBBodyTextFlush"/>
        <w:spacing w:after="0"/>
        <w:rPr>
          <w:rFonts w:ascii="Arial" w:hAnsi="Arial" w:cs="Arial"/>
          <w:szCs w:val="20"/>
        </w:rPr>
      </w:pPr>
      <w:r w:rsidRPr="00DB7156">
        <w:rPr>
          <w:rFonts w:ascii="Arial" w:hAnsi="Arial" w:cs="Arial"/>
          <w:szCs w:val="20"/>
        </w:rPr>
        <w:t xml:space="preserve">For the subbituminous coal-fired units at Plant Scherer, </w:t>
      </w:r>
      <w:r w:rsidR="00AB10F6" w:rsidRPr="00DB7156">
        <w:rPr>
          <w:rFonts w:ascii="Arial" w:hAnsi="Arial" w:cs="Arial"/>
          <w:szCs w:val="20"/>
        </w:rPr>
        <w:t xml:space="preserve">existing controls installed to comply with the </w:t>
      </w:r>
      <w:r w:rsidR="00A37007">
        <w:rPr>
          <w:rFonts w:ascii="Arial" w:hAnsi="Arial" w:cs="Arial"/>
          <w:szCs w:val="20"/>
        </w:rPr>
        <w:t xml:space="preserve">Georgia </w:t>
      </w:r>
      <w:r w:rsidR="0067730E" w:rsidRPr="00DB7156">
        <w:rPr>
          <w:rFonts w:ascii="Arial" w:hAnsi="Arial" w:cs="Arial"/>
          <w:szCs w:val="20"/>
        </w:rPr>
        <w:t>Multipollutant</w:t>
      </w:r>
      <w:r w:rsidR="00AB10F6" w:rsidRPr="00DB7156">
        <w:rPr>
          <w:rFonts w:ascii="Arial" w:hAnsi="Arial" w:cs="Arial"/>
          <w:szCs w:val="20"/>
        </w:rPr>
        <w:t xml:space="preserve"> Rule </w:t>
      </w:r>
      <w:r w:rsidR="009D2872" w:rsidRPr="00DB7156">
        <w:rPr>
          <w:rFonts w:ascii="Arial" w:hAnsi="Arial" w:cs="Arial"/>
          <w:szCs w:val="20"/>
        </w:rPr>
        <w:t xml:space="preserve">(i.e. FGD, SCR, and baghouse with </w:t>
      </w:r>
      <w:r w:rsidR="00A37007">
        <w:rPr>
          <w:rFonts w:ascii="Arial" w:hAnsi="Arial" w:cs="Arial"/>
          <w:szCs w:val="20"/>
        </w:rPr>
        <w:t>a</w:t>
      </w:r>
      <w:r w:rsidR="00834EFD">
        <w:rPr>
          <w:rFonts w:ascii="Arial" w:hAnsi="Arial" w:cs="Arial"/>
          <w:szCs w:val="20"/>
        </w:rPr>
        <w:t xml:space="preserve">ctivated </w:t>
      </w:r>
      <w:r w:rsidR="00A37007">
        <w:rPr>
          <w:rFonts w:ascii="Arial" w:hAnsi="Arial" w:cs="Arial"/>
          <w:szCs w:val="20"/>
        </w:rPr>
        <w:t>c</w:t>
      </w:r>
      <w:r w:rsidR="00834EFD">
        <w:rPr>
          <w:rFonts w:ascii="Arial" w:hAnsi="Arial" w:cs="Arial"/>
          <w:szCs w:val="20"/>
        </w:rPr>
        <w:t xml:space="preserve">arbon </w:t>
      </w:r>
      <w:r w:rsidR="00A37007">
        <w:rPr>
          <w:rFonts w:ascii="Arial" w:hAnsi="Arial" w:cs="Arial"/>
          <w:szCs w:val="20"/>
        </w:rPr>
        <w:t>i</w:t>
      </w:r>
      <w:r w:rsidR="00834EFD">
        <w:rPr>
          <w:rFonts w:ascii="Arial" w:hAnsi="Arial" w:cs="Arial"/>
          <w:szCs w:val="20"/>
        </w:rPr>
        <w:t>njection (</w:t>
      </w:r>
      <w:r w:rsidR="00A37007">
        <w:rPr>
          <w:rFonts w:ascii="Arial" w:hAnsi="Arial" w:cs="Arial"/>
          <w:szCs w:val="20"/>
        </w:rPr>
        <w:t>“</w:t>
      </w:r>
      <w:r w:rsidR="009D2872" w:rsidRPr="00DB7156">
        <w:rPr>
          <w:rFonts w:ascii="Arial" w:hAnsi="Arial" w:cs="Arial"/>
          <w:szCs w:val="20"/>
        </w:rPr>
        <w:t>ACI</w:t>
      </w:r>
      <w:r w:rsidR="00A37007">
        <w:rPr>
          <w:rFonts w:ascii="Arial" w:hAnsi="Arial" w:cs="Arial"/>
          <w:szCs w:val="20"/>
        </w:rPr>
        <w:t>”</w:t>
      </w:r>
      <w:r w:rsidR="00834EFD">
        <w:rPr>
          <w:rFonts w:ascii="Arial" w:hAnsi="Arial" w:cs="Arial"/>
          <w:szCs w:val="20"/>
        </w:rPr>
        <w:t>)</w:t>
      </w:r>
      <w:r w:rsidR="009D2872" w:rsidRPr="00DB7156">
        <w:rPr>
          <w:rFonts w:ascii="Arial" w:hAnsi="Arial" w:cs="Arial"/>
          <w:szCs w:val="20"/>
        </w:rPr>
        <w:t xml:space="preserve">) </w:t>
      </w:r>
      <w:r w:rsidR="00AB10F6" w:rsidRPr="00DB7156">
        <w:rPr>
          <w:rFonts w:ascii="Arial" w:hAnsi="Arial" w:cs="Arial"/>
          <w:szCs w:val="20"/>
        </w:rPr>
        <w:t>are use</w:t>
      </w:r>
      <w:r w:rsidR="00E819F4" w:rsidRPr="00DB7156">
        <w:rPr>
          <w:rFonts w:ascii="Arial" w:hAnsi="Arial" w:cs="Arial"/>
          <w:szCs w:val="20"/>
        </w:rPr>
        <w:t>d</w:t>
      </w:r>
      <w:r w:rsidR="00AB10F6" w:rsidRPr="00DB7156">
        <w:rPr>
          <w:rFonts w:ascii="Arial" w:hAnsi="Arial" w:cs="Arial"/>
          <w:szCs w:val="20"/>
        </w:rPr>
        <w:t xml:space="preserve"> to comply with the MATS limits.  </w:t>
      </w:r>
    </w:p>
    <w:p w14:paraId="28D33288" w14:textId="18000E57" w:rsidR="004F3144" w:rsidRPr="00DB7156" w:rsidRDefault="004F3144" w:rsidP="00DB7156">
      <w:pPr>
        <w:pStyle w:val="BBBodyTextFlush"/>
        <w:spacing w:after="0"/>
        <w:rPr>
          <w:rFonts w:ascii="Arial" w:hAnsi="Arial" w:cs="Arial"/>
          <w:szCs w:val="20"/>
        </w:rPr>
      </w:pPr>
    </w:p>
    <w:p w14:paraId="5532EFA1" w14:textId="41427E16" w:rsidR="005D38C4" w:rsidRPr="00DB7156" w:rsidRDefault="005D38C4" w:rsidP="00DB7156">
      <w:pPr>
        <w:pStyle w:val="BBBodyTextFlush"/>
        <w:spacing w:after="0"/>
        <w:rPr>
          <w:rFonts w:ascii="Arial" w:hAnsi="Arial" w:cs="Arial"/>
          <w:szCs w:val="20"/>
        </w:rPr>
      </w:pPr>
      <w:r w:rsidRPr="00DB7156">
        <w:rPr>
          <w:rFonts w:ascii="Arial" w:hAnsi="Arial" w:cs="Arial"/>
          <w:szCs w:val="20"/>
        </w:rPr>
        <w:t>Additionally, given the stringency of the MATS requirements and the resulting reduction in operational flexibility, additional measure</w:t>
      </w:r>
      <w:r w:rsidR="005256EA" w:rsidRPr="00DB7156">
        <w:rPr>
          <w:rFonts w:ascii="Arial" w:hAnsi="Arial" w:cs="Arial"/>
          <w:szCs w:val="20"/>
        </w:rPr>
        <w:t>s</w:t>
      </w:r>
      <w:r w:rsidRPr="00DB7156">
        <w:rPr>
          <w:rFonts w:ascii="Arial" w:hAnsi="Arial" w:cs="Arial"/>
          <w:szCs w:val="20"/>
        </w:rPr>
        <w:t xml:space="preserve"> were implemented </w:t>
      </w:r>
      <w:r w:rsidR="00D6612F" w:rsidRPr="00DB7156">
        <w:rPr>
          <w:rFonts w:ascii="Arial" w:hAnsi="Arial" w:cs="Arial"/>
          <w:szCs w:val="20"/>
        </w:rPr>
        <w:t>at Plants Bowen, Hammond, and Wansley to optimize balance of plant performance and ensure rel</w:t>
      </w:r>
      <w:r w:rsidR="002972FF" w:rsidRPr="00DB7156">
        <w:rPr>
          <w:rFonts w:ascii="Arial" w:hAnsi="Arial" w:cs="Arial"/>
          <w:szCs w:val="20"/>
        </w:rPr>
        <w:t>i</w:t>
      </w:r>
      <w:r w:rsidR="00D6612F" w:rsidRPr="00DB7156">
        <w:rPr>
          <w:rFonts w:ascii="Arial" w:hAnsi="Arial" w:cs="Arial"/>
          <w:szCs w:val="20"/>
        </w:rPr>
        <w:t>ability of mercury, acid gas, and particulate matter controls.</w:t>
      </w:r>
    </w:p>
    <w:bookmarkEnd w:id="195"/>
    <w:p w14:paraId="113BD31C" w14:textId="77777777" w:rsidR="005D38C4" w:rsidRPr="00DB7156" w:rsidRDefault="005D38C4" w:rsidP="00DB7156">
      <w:pPr>
        <w:pStyle w:val="BBBodyTextFlush"/>
        <w:spacing w:after="0"/>
        <w:rPr>
          <w:rFonts w:ascii="Arial" w:hAnsi="Arial" w:cs="Arial"/>
          <w:szCs w:val="20"/>
        </w:rPr>
      </w:pPr>
    </w:p>
    <w:p w14:paraId="53041F2B" w14:textId="71C577A9" w:rsidR="004F3144" w:rsidRPr="00DB7156" w:rsidRDefault="004F3144" w:rsidP="00DB7156">
      <w:pPr>
        <w:keepNext/>
        <w:autoSpaceDE w:val="0"/>
        <w:autoSpaceDN w:val="0"/>
        <w:adjustRightInd w:val="0"/>
        <w:spacing w:after="0" w:line="240" w:lineRule="auto"/>
        <w:jc w:val="both"/>
        <w:rPr>
          <w:rFonts w:ascii="Arial" w:hAnsi="Arial" w:cs="Arial"/>
          <w:b/>
          <w:bCs/>
          <w:color w:val="000080"/>
          <w:sz w:val="24"/>
          <w:szCs w:val="24"/>
        </w:rPr>
      </w:pPr>
      <w:r w:rsidRPr="00DB7156">
        <w:rPr>
          <w:rFonts w:ascii="Arial" w:hAnsi="Arial" w:cs="Arial"/>
          <w:b/>
          <w:bCs/>
          <w:color w:val="000080"/>
          <w:sz w:val="24"/>
          <w:szCs w:val="24"/>
        </w:rPr>
        <w:t xml:space="preserve">MATS Compliance Review for Units without FGD </w:t>
      </w:r>
    </w:p>
    <w:p w14:paraId="4D5C4798" w14:textId="31D45AAA" w:rsidR="00EA0778" w:rsidRPr="00DB7156" w:rsidRDefault="00EA0778" w:rsidP="00DB7156">
      <w:pPr>
        <w:pStyle w:val="BBBodyTextFlush"/>
        <w:spacing w:after="0"/>
        <w:rPr>
          <w:rFonts w:ascii="Arial" w:hAnsi="Arial" w:cs="Arial"/>
          <w:szCs w:val="20"/>
        </w:rPr>
      </w:pPr>
      <w:r w:rsidRPr="00DB7156">
        <w:rPr>
          <w:rFonts w:ascii="Arial" w:hAnsi="Arial" w:cs="Arial"/>
          <w:szCs w:val="20"/>
        </w:rPr>
        <w:t xml:space="preserve">For units that do </w:t>
      </w:r>
      <w:r w:rsidR="00A427C5" w:rsidRPr="00DB7156">
        <w:rPr>
          <w:rFonts w:ascii="Arial" w:hAnsi="Arial" w:cs="Arial"/>
          <w:szCs w:val="20"/>
        </w:rPr>
        <w:t xml:space="preserve">not </w:t>
      </w:r>
      <w:r w:rsidRPr="00DB7156">
        <w:rPr>
          <w:rFonts w:ascii="Arial" w:hAnsi="Arial" w:cs="Arial"/>
          <w:szCs w:val="20"/>
        </w:rPr>
        <w:t xml:space="preserve">have </w:t>
      </w:r>
      <w:r w:rsidR="0044567E">
        <w:rPr>
          <w:rFonts w:ascii="Arial" w:hAnsi="Arial" w:cs="Arial"/>
          <w:szCs w:val="20"/>
        </w:rPr>
        <w:t>FGD</w:t>
      </w:r>
      <w:r w:rsidRPr="00DB7156">
        <w:rPr>
          <w:rFonts w:ascii="Arial" w:hAnsi="Arial" w:cs="Arial"/>
          <w:szCs w:val="20"/>
        </w:rPr>
        <w:t>s, the compliance strategy is based on site-specific factors and evaluations. The strategies for these units are discussed below.</w:t>
      </w:r>
    </w:p>
    <w:p w14:paraId="1883595F" w14:textId="77777777" w:rsidR="00EA0778" w:rsidRPr="00DB7156" w:rsidRDefault="00EA0778" w:rsidP="00DB7156">
      <w:pPr>
        <w:pStyle w:val="BBBodyTextFlush"/>
        <w:spacing w:after="0"/>
        <w:rPr>
          <w:rFonts w:ascii="Arial" w:hAnsi="Arial" w:cs="Arial"/>
          <w:szCs w:val="20"/>
        </w:rPr>
      </w:pPr>
    </w:p>
    <w:p w14:paraId="1B548421" w14:textId="5B785108" w:rsidR="00EA0778" w:rsidRPr="00DB7156" w:rsidRDefault="00EA0778" w:rsidP="00DB7156">
      <w:pPr>
        <w:pStyle w:val="BBBodyTextFlush"/>
        <w:spacing w:after="0"/>
        <w:rPr>
          <w:rFonts w:ascii="Arial" w:hAnsi="Arial" w:cs="Arial"/>
          <w:szCs w:val="20"/>
        </w:rPr>
      </w:pPr>
      <w:r w:rsidRPr="00DB7156">
        <w:rPr>
          <w:rFonts w:ascii="Arial" w:hAnsi="Arial" w:cs="Arial"/>
          <w:szCs w:val="20"/>
        </w:rPr>
        <w:t xml:space="preserve">Plant McIntosh Unit 1, which switched to subbituminous PRB coal in 2014, is able to comply with MATS using alternatives to </w:t>
      </w:r>
      <w:r w:rsidR="0044567E">
        <w:rPr>
          <w:rFonts w:ascii="Arial" w:hAnsi="Arial" w:cs="Arial"/>
          <w:szCs w:val="20"/>
        </w:rPr>
        <w:t>FGD</w:t>
      </w:r>
      <w:r w:rsidRPr="00DB7156">
        <w:rPr>
          <w:rFonts w:ascii="Arial" w:hAnsi="Arial" w:cs="Arial"/>
          <w:szCs w:val="20"/>
        </w:rPr>
        <w:t xml:space="preserve"> and baghouse technology. Use of PRB, which is a low-chlorine and low-sulfur coal, </w:t>
      </w:r>
      <w:r w:rsidR="009D2872" w:rsidRPr="00DB7156">
        <w:rPr>
          <w:rFonts w:ascii="Arial" w:hAnsi="Arial" w:cs="Arial"/>
          <w:szCs w:val="20"/>
        </w:rPr>
        <w:t>enables</w:t>
      </w:r>
      <w:r w:rsidR="009D2872" w:rsidRPr="00DB7156" w:rsidDel="009D2872">
        <w:rPr>
          <w:rFonts w:ascii="Arial" w:hAnsi="Arial" w:cs="Arial"/>
          <w:szCs w:val="20"/>
        </w:rPr>
        <w:t xml:space="preserve"> </w:t>
      </w:r>
      <w:r w:rsidRPr="00DB7156">
        <w:rPr>
          <w:rFonts w:ascii="Arial" w:hAnsi="Arial" w:cs="Arial"/>
          <w:szCs w:val="20"/>
        </w:rPr>
        <w:t xml:space="preserve">compliance with the MATS limits, and </w:t>
      </w:r>
      <w:r w:rsidR="00B378AC" w:rsidRPr="00DB7156">
        <w:rPr>
          <w:rFonts w:ascii="Arial" w:hAnsi="Arial" w:cs="Arial"/>
          <w:szCs w:val="20"/>
        </w:rPr>
        <w:t>DSI</w:t>
      </w:r>
      <w:r w:rsidR="00A427C5" w:rsidRPr="00DB7156">
        <w:rPr>
          <w:rFonts w:ascii="Arial" w:hAnsi="Arial" w:cs="Arial"/>
          <w:szCs w:val="20"/>
        </w:rPr>
        <w:t xml:space="preserve"> </w:t>
      </w:r>
      <w:r w:rsidRPr="00DB7156">
        <w:rPr>
          <w:rFonts w:ascii="Arial" w:hAnsi="Arial" w:cs="Arial"/>
          <w:szCs w:val="20"/>
        </w:rPr>
        <w:t xml:space="preserve">was installed to ensure compliance under all operating scenarios. </w:t>
      </w:r>
      <w:r w:rsidR="00F4257C">
        <w:rPr>
          <w:rFonts w:ascii="Arial" w:hAnsi="Arial" w:cs="Arial"/>
          <w:szCs w:val="20"/>
        </w:rPr>
        <w:t xml:space="preserve">Plant </w:t>
      </w:r>
      <w:r w:rsidRPr="00DB7156">
        <w:rPr>
          <w:rFonts w:ascii="Arial" w:hAnsi="Arial" w:cs="Arial"/>
          <w:szCs w:val="20"/>
        </w:rPr>
        <w:t>McIntosh Unit 1 use</w:t>
      </w:r>
      <w:r w:rsidR="009D2872" w:rsidRPr="00DB7156">
        <w:rPr>
          <w:rFonts w:ascii="Arial" w:hAnsi="Arial" w:cs="Arial"/>
          <w:szCs w:val="20"/>
        </w:rPr>
        <w:t>s</w:t>
      </w:r>
      <w:r w:rsidRPr="00DB7156">
        <w:rPr>
          <w:rFonts w:ascii="Arial" w:hAnsi="Arial" w:cs="Arial"/>
          <w:szCs w:val="20"/>
        </w:rPr>
        <w:t xml:space="preserve"> </w:t>
      </w:r>
      <w:r w:rsidR="009D2872" w:rsidRPr="00DB7156">
        <w:rPr>
          <w:rFonts w:ascii="Arial" w:hAnsi="Arial" w:cs="Arial"/>
          <w:szCs w:val="20"/>
        </w:rPr>
        <w:t>ACI</w:t>
      </w:r>
      <w:r w:rsidR="002C2AE8" w:rsidRPr="00DB7156">
        <w:rPr>
          <w:rFonts w:ascii="Arial" w:hAnsi="Arial" w:cs="Arial"/>
          <w:szCs w:val="20"/>
        </w:rPr>
        <w:t xml:space="preserve"> </w:t>
      </w:r>
      <w:r w:rsidRPr="00DB7156">
        <w:rPr>
          <w:rFonts w:ascii="Arial" w:hAnsi="Arial" w:cs="Arial"/>
          <w:szCs w:val="20"/>
        </w:rPr>
        <w:t>for mercury control</w:t>
      </w:r>
      <w:r w:rsidR="009D2872" w:rsidRPr="00DB7156">
        <w:rPr>
          <w:rFonts w:ascii="Arial" w:hAnsi="Arial" w:cs="Arial"/>
          <w:szCs w:val="20"/>
        </w:rPr>
        <w:t xml:space="preserve"> and DSI for acid gas control</w:t>
      </w:r>
      <w:r w:rsidRPr="00DB7156">
        <w:rPr>
          <w:rFonts w:ascii="Arial" w:hAnsi="Arial" w:cs="Arial"/>
          <w:szCs w:val="20"/>
        </w:rPr>
        <w:t xml:space="preserve">. </w:t>
      </w:r>
      <w:r w:rsidR="002C2AE8" w:rsidRPr="00DB7156">
        <w:rPr>
          <w:rFonts w:ascii="Arial" w:hAnsi="Arial" w:cs="Arial"/>
          <w:szCs w:val="20"/>
        </w:rPr>
        <w:t xml:space="preserve">The existing </w:t>
      </w:r>
      <w:r w:rsidR="002972FF" w:rsidRPr="00DB7156">
        <w:rPr>
          <w:rFonts w:ascii="Arial" w:hAnsi="Arial" w:cs="Arial"/>
          <w:szCs w:val="20"/>
        </w:rPr>
        <w:t>ESP</w:t>
      </w:r>
      <w:r w:rsidR="002C2AE8" w:rsidRPr="00DB7156">
        <w:rPr>
          <w:rFonts w:ascii="Arial" w:hAnsi="Arial" w:cs="Arial"/>
          <w:szCs w:val="20"/>
        </w:rPr>
        <w:t xml:space="preserve"> for this unit was also optimized to </w:t>
      </w:r>
      <w:r w:rsidR="00E0606D" w:rsidRPr="00DB7156">
        <w:rPr>
          <w:rFonts w:ascii="Arial" w:hAnsi="Arial" w:cs="Arial"/>
          <w:szCs w:val="20"/>
        </w:rPr>
        <w:t>maintain emissions performance with the additional particulate loading from the injection systems.</w:t>
      </w:r>
    </w:p>
    <w:p w14:paraId="616AAC97" w14:textId="473179A0" w:rsidR="00EA0778" w:rsidRPr="00DB7156" w:rsidRDefault="00EA0778" w:rsidP="00DB7156">
      <w:pPr>
        <w:pStyle w:val="BBBodyTextFlush"/>
        <w:spacing w:after="0"/>
        <w:rPr>
          <w:rFonts w:ascii="Arial" w:hAnsi="Arial" w:cs="Arial"/>
          <w:szCs w:val="20"/>
        </w:rPr>
      </w:pPr>
    </w:p>
    <w:p w14:paraId="4B7A383C" w14:textId="2B2C54E3" w:rsidR="00EA0778" w:rsidRPr="00DB7156" w:rsidRDefault="00EA0778" w:rsidP="00DB7156">
      <w:pPr>
        <w:pStyle w:val="BBBodyTextFlush"/>
        <w:spacing w:after="0"/>
        <w:rPr>
          <w:rFonts w:ascii="Arial" w:hAnsi="Arial" w:cs="Arial"/>
          <w:szCs w:val="20"/>
        </w:rPr>
      </w:pPr>
      <w:r w:rsidRPr="00DB7156">
        <w:rPr>
          <w:rFonts w:ascii="Arial" w:hAnsi="Arial" w:cs="Arial"/>
          <w:szCs w:val="20"/>
        </w:rPr>
        <w:t xml:space="preserve">Plant Yates Units 6 and 7 and Plant Gaston Units 1-4 switched to natural gas as the primary fuel. By switching to natural gas, these units are no longer subject to MATS because MATS applies only to coal- and oil-fired units. The Company has determined that use of natural gas at these plants is the most economic choice for customers and is feasible both from a boiler technology as well as a natural gas fuel supply perspective.  </w:t>
      </w:r>
    </w:p>
    <w:p w14:paraId="22291E32" w14:textId="77777777" w:rsidR="00EA0778" w:rsidRPr="00DB7156" w:rsidRDefault="00EA0778" w:rsidP="00DB7156">
      <w:pPr>
        <w:pStyle w:val="BBBodyTextFlush"/>
        <w:spacing w:after="0"/>
        <w:rPr>
          <w:rFonts w:ascii="Arial" w:hAnsi="Arial" w:cs="Arial"/>
          <w:szCs w:val="20"/>
        </w:rPr>
      </w:pPr>
    </w:p>
    <w:p w14:paraId="49045A36" w14:textId="30C9C3D8" w:rsidR="00C97AE9" w:rsidRPr="00DB7156" w:rsidRDefault="00E0606D" w:rsidP="00DB7156">
      <w:pPr>
        <w:pStyle w:val="BBBodyTextFlush"/>
        <w:spacing w:after="0"/>
        <w:rPr>
          <w:rFonts w:ascii="Arial" w:hAnsi="Arial" w:cs="Arial"/>
          <w:szCs w:val="20"/>
        </w:rPr>
      </w:pPr>
      <w:r w:rsidRPr="00DB7156">
        <w:rPr>
          <w:rFonts w:ascii="Arial" w:hAnsi="Arial" w:cs="Arial"/>
          <w:szCs w:val="20"/>
        </w:rPr>
        <w:t>For o</w:t>
      </w:r>
      <w:r w:rsidR="00EA0778" w:rsidRPr="00DB7156">
        <w:rPr>
          <w:rFonts w:ascii="Arial" w:hAnsi="Arial" w:cs="Arial"/>
          <w:szCs w:val="20"/>
        </w:rPr>
        <w:t>ther unscrubbed coal- or oil-fired steam generating units</w:t>
      </w:r>
      <w:r w:rsidRPr="00DB7156">
        <w:rPr>
          <w:rFonts w:ascii="Arial" w:hAnsi="Arial" w:cs="Arial"/>
          <w:szCs w:val="20"/>
        </w:rPr>
        <w:t xml:space="preserve">, </w:t>
      </w:r>
      <w:r w:rsidR="00EA0778" w:rsidRPr="00DB7156">
        <w:rPr>
          <w:rFonts w:ascii="Arial" w:hAnsi="Arial" w:cs="Arial"/>
          <w:szCs w:val="20"/>
        </w:rPr>
        <w:t xml:space="preserve">options for MATS compliance </w:t>
      </w:r>
      <w:r w:rsidRPr="00DB7156">
        <w:rPr>
          <w:rFonts w:ascii="Arial" w:hAnsi="Arial" w:cs="Arial"/>
          <w:szCs w:val="20"/>
        </w:rPr>
        <w:t>was</w:t>
      </w:r>
      <w:r w:rsidR="00EA0778" w:rsidRPr="00DB7156">
        <w:rPr>
          <w:rFonts w:ascii="Arial" w:hAnsi="Arial" w:cs="Arial"/>
          <w:szCs w:val="20"/>
        </w:rPr>
        <w:t xml:space="preserve"> very limited and/or </w:t>
      </w:r>
      <w:r w:rsidR="00A913EC">
        <w:rPr>
          <w:rFonts w:ascii="Arial" w:hAnsi="Arial" w:cs="Arial"/>
          <w:szCs w:val="20"/>
        </w:rPr>
        <w:t>cost prohibitive</w:t>
      </w:r>
      <w:r w:rsidR="00EA0778" w:rsidRPr="00DB7156">
        <w:rPr>
          <w:rFonts w:ascii="Arial" w:hAnsi="Arial" w:cs="Arial"/>
          <w:szCs w:val="20"/>
        </w:rPr>
        <w:t xml:space="preserve">. Thus, these units </w:t>
      </w:r>
      <w:r w:rsidR="00A37007">
        <w:rPr>
          <w:rFonts w:ascii="Arial" w:hAnsi="Arial" w:cs="Arial"/>
          <w:szCs w:val="20"/>
        </w:rPr>
        <w:t>were</w:t>
      </w:r>
      <w:r w:rsidR="00EA0778" w:rsidRPr="00DB7156">
        <w:rPr>
          <w:rFonts w:ascii="Arial" w:hAnsi="Arial" w:cs="Arial"/>
          <w:szCs w:val="20"/>
        </w:rPr>
        <w:t xml:space="preserve"> retired.</w:t>
      </w:r>
      <w:r w:rsidR="007C1242" w:rsidRPr="00DB7156">
        <w:rPr>
          <w:rFonts w:ascii="Arial" w:hAnsi="Arial" w:cs="Arial"/>
          <w:szCs w:val="20"/>
        </w:rPr>
        <w:t xml:space="preserve">  </w:t>
      </w:r>
      <w:r w:rsidR="00C97AE9" w:rsidRPr="00DB7156">
        <w:rPr>
          <w:rFonts w:ascii="Arial" w:hAnsi="Arial" w:cs="Arial"/>
          <w:szCs w:val="20"/>
        </w:rPr>
        <w:t xml:space="preserve"> </w:t>
      </w:r>
    </w:p>
    <w:p w14:paraId="29CAA228" w14:textId="0CF59C3F" w:rsidR="00D15B03" w:rsidRPr="00DB7156" w:rsidRDefault="00D15B03" w:rsidP="00DB7156">
      <w:pPr>
        <w:pStyle w:val="BBBodyTextFlush"/>
        <w:spacing w:after="0"/>
        <w:rPr>
          <w:rFonts w:ascii="Arial" w:hAnsi="Arial" w:cs="Arial"/>
        </w:rPr>
      </w:pPr>
    </w:p>
    <w:p w14:paraId="5EE51C6C" w14:textId="2EB28611" w:rsidR="00D15B03" w:rsidRPr="00DB7156" w:rsidRDefault="00424F9B" w:rsidP="00DB7156">
      <w:pPr>
        <w:spacing w:after="0" w:line="240" w:lineRule="auto"/>
        <w:jc w:val="both"/>
        <w:outlineLvl w:val="2"/>
        <w:rPr>
          <w:rFonts w:ascii="Arial" w:hAnsi="Arial" w:cs="Arial"/>
          <w:bCs/>
          <w:color w:val="000080"/>
          <w:sz w:val="24"/>
          <w:szCs w:val="24"/>
        </w:rPr>
      </w:pPr>
      <w:bookmarkStart w:id="196" w:name="_Toc527987355"/>
      <w:bookmarkStart w:id="197" w:name="_Toc527983902"/>
      <w:bookmarkStart w:id="198" w:name="_Toc530487286"/>
      <w:bookmarkStart w:id="199" w:name="_Toc535908154"/>
      <w:r w:rsidRPr="00DB7156">
        <w:rPr>
          <w:rFonts w:ascii="Arial" w:hAnsi="Arial" w:cs="Arial"/>
          <w:b/>
          <w:bCs/>
          <w:color w:val="000080"/>
          <w:sz w:val="24"/>
          <w:szCs w:val="24"/>
        </w:rPr>
        <w:t>4.1.4</w:t>
      </w:r>
      <w:r w:rsidRPr="00DB7156">
        <w:rPr>
          <w:rFonts w:ascii="Arial" w:hAnsi="Arial" w:cs="Arial"/>
          <w:b/>
          <w:bCs/>
          <w:color w:val="000080"/>
          <w:sz w:val="24"/>
          <w:szCs w:val="24"/>
        </w:rPr>
        <w:tab/>
      </w:r>
      <w:bookmarkEnd w:id="196"/>
      <w:bookmarkEnd w:id="197"/>
      <w:bookmarkEnd w:id="198"/>
      <w:r w:rsidR="005E787C">
        <w:rPr>
          <w:rFonts w:ascii="Arial" w:hAnsi="Arial" w:cs="Arial"/>
          <w:b/>
          <w:bCs/>
          <w:color w:val="000080"/>
          <w:sz w:val="24"/>
          <w:szCs w:val="24"/>
        </w:rPr>
        <w:t>Greenh</w:t>
      </w:r>
      <w:r w:rsidR="00A855B7">
        <w:rPr>
          <w:rFonts w:ascii="Arial" w:hAnsi="Arial" w:cs="Arial"/>
          <w:b/>
          <w:bCs/>
          <w:color w:val="000080"/>
          <w:sz w:val="24"/>
          <w:szCs w:val="24"/>
        </w:rPr>
        <w:t>ouse Gas</w:t>
      </w:r>
      <w:r w:rsidR="005E787C">
        <w:rPr>
          <w:rFonts w:ascii="Arial" w:hAnsi="Arial" w:cs="Arial"/>
          <w:b/>
          <w:bCs/>
          <w:color w:val="000080"/>
          <w:sz w:val="24"/>
          <w:szCs w:val="24"/>
        </w:rPr>
        <w:t>es</w:t>
      </w:r>
      <w:bookmarkEnd w:id="199"/>
    </w:p>
    <w:p w14:paraId="181E0B3D" w14:textId="77777777" w:rsidR="00C33491" w:rsidRDefault="00C33491" w:rsidP="00DB7156">
      <w:pPr>
        <w:spacing w:after="0" w:line="240" w:lineRule="auto"/>
        <w:jc w:val="both"/>
        <w:rPr>
          <w:rFonts w:ascii="Arial" w:eastAsia="Calibri" w:hAnsi="Arial" w:cs="Arial"/>
          <w:sz w:val="24"/>
          <w:szCs w:val="20"/>
        </w:rPr>
      </w:pPr>
    </w:p>
    <w:p w14:paraId="3BC0E67F" w14:textId="347C1AD4" w:rsidR="002662E4" w:rsidRPr="00DB7156" w:rsidRDefault="00CA1C36" w:rsidP="00DB7156">
      <w:pPr>
        <w:spacing w:after="0" w:line="240" w:lineRule="auto"/>
        <w:jc w:val="both"/>
        <w:rPr>
          <w:rFonts w:ascii="Arial" w:hAnsi="Arial" w:cs="Arial"/>
          <w:bCs/>
          <w:color w:val="000080"/>
          <w:sz w:val="24"/>
          <w:szCs w:val="24"/>
        </w:rPr>
      </w:pPr>
      <w:r w:rsidRPr="00DB7156">
        <w:rPr>
          <w:rFonts w:ascii="Arial" w:eastAsia="Calibri" w:hAnsi="Arial" w:cs="Arial"/>
          <w:sz w:val="24"/>
          <w:szCs w:val="20"/>
        </w:rPr>
        <w:t xml:space="preserve">On October 23, 2015, EPA finalized the </w:t>
      </w:r>
      <w:r w:rsidR="00A37007">
        <w:rPr>
          <w:rFonts w:ascii="Arial" w:eastAsia="Calibri" w:hAnsi="Arial" w:cs="Arial"/>
          <w:sz w:val="24"/>
          <w:szCs w:val="20"/>
        </w:rPr>
        <w:t>CPP</w:t>
      </w:r>
      <w:r w:rsidRPr="00DB7156">
        <w:rPr>
          <w:rFonts w:ascii="Arial" w:eastAsia="Calibri" w:hAnsi="Arial" w:cs="Arial"/>
          <w:sz w:val="24"/>
          <w:szCs w:val="20"/>
        </w:rPr>
        <w:t xml:space="preserve">, </w:t>
      </w:r>
      <w:r w:rsidR="00955630" w:rsidRPr="00DB7156">
        <w:rPr>
          <w:rFonts w:ascii="Arial" w:eastAsia="Calibri" w:hAnsi="Arial" w:cs="Arial"/>
          <w:sz w:val="24"/>
          <w:szCs w:val="20"/>
        </w:rPr>
        <w:t>which set guidelines for CO</w:t>
      </w:r>
      <w:r w:rsidR="00955630" w:rsidRPr="00F4257C">
        <w:rPr>
          <w:rFonts w:ascii="Arial" w:eastAsia="Calibri" w:hAnsi="Arial" w:cs="Arial"/>
          <w:sz w:val="24"/>
          <w:szCs w:val="20"/>
          <w:vertAlign w:val="subscript"/>
        </w:rPr>
        <w:t>2</w:t>
      </w:r>
      <w:r w:rsidR="00955630" w:rsidRPr="00DB7156">
        <w:rPr>
          <w:rFonts w:ascii="Arial" w:eastAsia="Calibri" w:hAnsi="Arial" w:cs="Arial"/>
          <w:sz w:val="24"/>
          <w:szCs w:val="20"/>
        </w:rPr>
        <w:t xml:space="preserve"> emission reductions from </w:t>
      </w:r>
      <w:r w:rsidR="00B76536" w:rsidRPr="00DB7156">
        <w:rPr>
          <w:rFonts w:ascii="Arial" w:eastAsia="Calibri" w:hAnsi="Arial" w:cs="Arial"/>
          <w:sz w:val="24"/>
          <w:szCs w:val="20"/>
        </w:rPr>
        <w:t xml:space="preserve">existing </w:t>
      </w:r>
      <w:r w:rsidR="00955630" w:rsidRPr="00DB7156">
        <w:rPr>
          <w:rFonts w:ascii="Arial" w:eastAsia="Calibri" w:hAnsi="Arial" w:cs="Arial"/>
          <w:sz w:val="24"/>
          <w:szCs w:val="20"/>
        </w:rPr>
        <w:t>coal-, oil-, and natural gas-fi</w:t>
      </w:r>
      <w:r w:rsidR="00A913EC">
        <w:rPr>
          <w:rFonts w:ascii="Arial" w:eastAsia="Calibri" w:hAnsi="Arial" w:cs="Arial"/>
          <w:sz w:val="24"/>
          <w:szCs w:val="20"/>
        </w:rPr>
        <w:t xml:space="preserve">red electric generating units. </w:t>
      </w:r>
      <w:r w:rsidR="00955630" w:rsidRPr="00DB7156">
        <w:rPr>
          <w:rFonts w:ascii="Arial" w:eastAsia="Calibri" w:hAnsi="Arial" w:cs="Arial"/>
          <w:sz w:val="24"/>
          <w:szCs w:val="20"/>
        </w:rPr>
        <w:t>The CPP is not directly applicable to individual sources</w:t>
      </w:r>
      <w:r w:rsidR="006B3A7E" w:rsidRPr="00DB7156">
        <w:rPr>
          <w:rFonts w:ascii="Arial" w:eastAsia="Calibri" w:hAnsi="Arial" w:cs="Arial"/>
          <w:sz w:val="24"/>
          <w:szCs w:val="20"/>
        </w:rPr>
        <w:t xml:space="preserve">, but required </w:t>
      </w:r>
      <w:r w:rsidR="00955630" w:rsidRPr="00DB7156">
        <w:rPr>
          <w:rFonts w:ascii="Arial" w:eastAsia="Calibri" w:hAnsi="Arial" w:cs="Arial"/>
          <w:sz w:val="24"/>
          <w:szCs w:val="20"/>
        </w:rPr>
        <w:t xml:space="preserve">states to develop </w:t>
      </w:r>
      <w:r w:rsidR="006B3A7E" w:rsidRPr="00DB7156">
        <w:rPr>
          <w:rFonts w:ascii="Arial" w:eastAsia="Calibri" w:hAnsi="Arial" w:cs="Arial"/>
          <w:sz w:val="24"/>
          <w:szCs w:val="20"/>
        </w:rPr>
        <w:t xml:space="preserve">a </w:t>
      </w:r>
      <w:r w:rsidR="00955630" w:rsidRPr="00DB7156">
        <w:rPr>
          <w:rFonts w:ascii="Arial" w:eastAsia="Calibri" w:hAnsi="Arial" w:cs="Arial"/>
          <w:sz w:val="24"/>
          <w:szCs w:val="20"/>
        </w:rPr>
        <w:t>state-specific compliance plan</w:t>
      </w:r>
      <w:r w:rsidR="00E94DBF" w:rsidRPr="00DB7156">
        <w:rPr>
          <w:rFonts w:ascii="Arial" w:eastAsia="Calibri" w:hAnsi="Arial" w:cs="Arial"/>
          <w:sz w:val="24"/>
          <w:szCs w:val="20"/>
        </w:rPr>
        <w:t>.</w:t>
      </w:r>
    </w:p>
    <w:p w14:paraId="21470649" w14:textId="77777777" w:rsidR="002662E4" w:rsidRPr="00DB7156" w:rsidRDefault="002662E4" w:rsidP="00DB7156">
      <w:pPr>
        <w:spacing w:after="0" w:line="240" w:lineRule="auto"/>
        <w:jc w:val="both"/>
        <w:rPr>
          <w:rFonts w:ascii="Arial" w:hAnsi="Arial" w:cs="Arial"/>
          <w:bCs/>
          <w:color w:val="000080"/>
          <w:sz w:val="24"/>
          <w:szCs w:val="24"/>
        </w:rPr>
      </w:pPr>
    </w:p>
    <w:p w14:paraId="0C5E1E37" w14:textId="2349FDE5" w:rsidR="00D15B03" w:rsidRPr="00DB7156" w:rsidRDefault="005675FC" w:rsidP="00DB7156">
      <w:pPr>
        <w:spacing w:after="0" w:line="240" w:lineRule="auto"/>
        <w:jc w:val="both"/>
        <w:rPr>
          <w:rFonts w:ascii="Arial" w:eastAsia="Calibri" w:hAnsi="Arial" w:cs="Arial"/>
          <w:sz w:val="24"/>
          <w:szCs w:val="20"/>
        </w:rPr>
      </w:pPr>
      <w:r w:rsidRPr="00DB7156">
        <w:rPr>
          <w:rFonts w:ascii="Arial" w:eastAsia="Calibri" w:hAnsi="Arial" w:cs="Arial"/>
          <w:sz w:val="24"/>
          <w:szCs w:val="20"/>
        </w:rPr>
        <w:t>N</w:t>
      </w:r>
      <w:r w:rsidR="00955630" w:rsidRPr="00DB7156">
        <w:rPr>
          <w:rFonts w:ascii="Arial" w:eastAsia="Calibri" w:hAnsi="Arial" w:cs="Arial"/>
          <w:sz w:val="24"/>
          <w:szCs w:val="20"/>
        </w:rPr>
        <w:t>umerous parties filed petitions for review and accompanying motions to stay the rule pending resolution of the litigation</w:t>
      </w:r>
      <w:r w:rsidRPr="00DB7156">
        <w:rPr>
          <w:rFonts w:ascii="Arial" w:eastAsia="Calibri" w:hAnsi="Arial" w:cs="Arial"/>
          <w:sz w:val="24"/>
          <w:szCs w:val="20"/>
        </w:rPr>
        <w:t xml:space="preserve"> with the D.C. Circuit</w:t>
      </w:r>
      <w:r w:rsidR="003652A6">
        <w:rPr>
          <w:rFonts w:ascii="Arial" w:eastAsia="Calibri" w:hAnsi="Arial" w:cs="Arial"/>
          <w:sz w:val="24"/>
          <w:szCs w:val="20"/>
        </w:rPr>
        <w:t xml:space="preserve"> Court</w:t>
      </w:r>
      <w:r w:rsidR="00955630" w:rsidRPr="00DB7156">
        <w:rPr>
          <w:rFonts w:ascii="Arial" w:eastAsia="Calibri" w:hAnsi="Arial" w:cs="Arial"/>
          <w:sz w:val="24"/>
          <w:szCs w:val="20"/>
        </w:rPr>
        <w:t xml:space="preserve">. </w:t>
      </w:r>
      <w:r w:rsidR="006B3A7E" w:rsidRPr="00DB7156">
        <w:rPr>
          <w:rFonts w:ascii="Arial" w:eastAsia="Calibri" w:hAnsi="Arial" w:cs="Arial"/>
          <w:sz w:val="24"/>
          <w:szCs w:val="20"/>
        </w:rPr>
        <w:t>O</w:t>
      </w:r>
      <w:r w:rsidR="00E046ED" w:rsidRPr="00DB7156">
        <w:rPr>
          <w:rFonts w:ascii="Arial" w:eastAsia="Calibri" w:hAnsi="Arial" w:cs="Arial"/>
          <w:sz w:val="24"/>
          <w:szCs w:val="20"/>
        </w:rPr>
        <w:t>n February 9, 2016, the U.S. Supreme Court granted a stay of the CPP</w:t>
      </w:r>
      <w:r w:rsidR="00B76536" w:rsidRPr="00DB7156">
        <w:rPr>
          <w:rFonts w:ascii="Arial" w:eastAsia="Calibri" w:hAnsi="Arial" w:cs="Arial"/>
          <w:sz w:val="24"/>
          <w:szCs w:val="20"/>
        </w:rPr>
        <w:t>,</w:t>
      </w:r>
      <w:r w:rsidR="00505175" w:rsidRPr="00DB7156">
        <w:rPr>
          <w:rFonts w:ascii="Arial" w:eastAsia="Calibri" w:hAnsi="Arial" w:cs="Arial"/>
          <w:sz w:val="24"/>
          <w:szCs w:val="20"/>
        </w:rPr>
        <w:t xml:space="preserve"> which </w:t>
      </w:r>
      <w:r w:rsidR="008174B7" w:rsidRPr="00DB7156">
        <w:rPr>
          <w:rFonts w:ascii="Arial" w:eastAsia="Calibri" w:hAnsi="Arial" w:cs="Arial"/>
          <w:sz w:val="24"/>
          <w:szCs w:val="20"/>
        </w:rPr>
        <w:t>put</w:t>
      </w:r>
      <w:r w:rsidR="00E046ED" w:rsidRPr="00DB7156">
        <w:rPr>
          <w:rFonts w:ascii="Arial" w:eastAsia="Calibri" w:hAnsi="Arial" w:cs="Arial"/>
          <w:sz w:val="24"/>
          <w:szCs w:val="20"/>
        </w:rPr>
        <w:t xml:space="preserve"> the rule on hold while the legal challenge proceeds through the courts. </w:t>
      </w:r>
      <w:r w:rsidR="00505175" w:rsidRPr="00DB7156">
        <w:rPr>
          <w:rFonts w:ascii="Arial" w:eastAsia="Calibri" w:hAnsi="Arial" w:cs="Arial"/>
          <w:sz w:val="24"/>
          <w:szCs w:val="20"/>
        </w:rPr>
        <w:t>While the case was argued before the D.C. Circuit Court in September 2016,</w:t>
      </w:r>
      <w:r w:rsidR="00ED23DE" w:rsidRPr="00DB7156">
        <w:rPr>
          <w:rFonts w:ascii="Arial" w:eastAsia="Calibri" w:hAnsi="Arial" w:cs="Arial"/>
          <w:sz w:val="24"/>
          <w:szCs w:val="20"/>
        </w:rPr>
        <w:t xml:space="preserve"> the court is </w:t>
      </w:r>
      <w:r w:rsidR="00505175" w:rsidRPr="00DB7156">
        <w:rPr>
          <w:rFonts w:ascii="Arial" w:eastAsia="Calibri" w:hAnsi="Arial" w:cs="Arial"/>
          <w:sz w:val="24"/>
          <w:szCs w:val="20"/>
        </w:rPr>
        <w:t xml:space="preserve">currently </w:t>
      </w:r>
      <w:r w:rsidR="00ED23DE" w:rsidRPr="00DB7156">
        <w:rPr>
          <w:rFonts w:ascii="Arial" w:eastAsia="Calibri" w:hAnsi="Arial" w:cs="Arial"/>
          <w:sz w:val="24"/>
          <w:szCs w:val="20"/>
        </w:rPr>
        <w:t xml:space="preserve">holding the litigation </w:t>
      </w:r>
      <w:r w:rsidR="00505175" w:rsidRPr="00DB7156">
        <w:rPr>
          <w:rFonts w:ascii="Arial" w:eastAsia="Calibri" w:hAnsi="Arial" w:cs="Arial"/>
          <w:sz w:val="24"/>
          <w:szCs w:val="20"/>
        </w:rPr>
        <w:t>in abeyance.</w:t>
      </w:r>
      <w:r w:rsidR="006161C4" w:rsidRPr="00DB7156">
        <w:rPr>
          <w:rFonts w:ascii="Arial" w:eastAsia="Calibri" w:hAnsi="Arial" w:cs="Arial"/>
          <w:sz w:val="24"/>
          <w:szCs w:val="20"/>
        </w:rPr>
        <w:t xml:space="preserve"> </w:t>
      </w:r>
      <w:r w:rsidR="00B76536" w:rsidRPr="00DB7156">
        <w:rPr>
          <w:rFonts w:ascii="Arial" w:eastAsia="Calibri" w:hAnsi="Arial" w:cs="Arial"/>
          <w:sz w:val="24"/>
          <w:szCs w:val="20"/>
        </w:rPr>
        <w:t xml:space="preserve"> </w:t>
      </w:r>
    </w:p>
    <w:p w14:paraId="42A921B4" w14:textId="66B67D19" w:rsidR="006B3A7E" w:rsidRPr="00DB7156" w:rsidRDefault="006B3A7E" w:rsidP="00DB7156">
      <w:pPr>
        <w:spacing w:after="0" w:line="240" w:lineRule="auto"/>
        <w:jc w:val="both"/>
        <w:rPr>
          <w:rFonts w:ascii="Arial" w:eastAsia="Calibri" w:hAnsi="Arial" w:cs="Arial"/>
          <w:sz w:val="24"/>
          <w:szCs w:val="20"/>
        </w:rPr>
      </w:pPr>
    </w:p>
    <w:p w14:paraId="5C24BA3A" w14:textId="335CEAE8" w:rsidR="00701F89" w:rsidRDefault="00C75DD2" w:rsidP="00701F89">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In October 2017, EPA began an effort to repeal and replace the CPP</w:t>
      </w:r>
      <w:r w:rsidR="000F42CB" w:rsidRPr="00DB7156">
        <w:rPr>
          <w:rFonts w:ascii="Arial" w:hAnsi="Arial" w:cs="Arial"/>
          <w:sz w:val="24"/>
          <w:szCs w:val="24"/>
        </w:rPr>
        <w:t xml:space="preserve"> starting first with the CPP repeal proposal. </w:t>
      </w:r>
      <w:r w:rsidR="006E4394" w:rsidRPr="00DB7156">
        <w:rPr>
          <w:rFonts w:ascii="Arial" w:hAnsi="Arial" w:cs="Arial"/>
          <w:sz w:val="24"/>
          <w:szCs w:val="24"/>
        </w:rPr>
        <w:t xml:space="preserve">On August </w:t>
      </w:r>
      <w:r w:rsidR="00834EFD">
        <w:rPr>
          <w:rFonts w:ascii="Arial" w:hAnsi="Arial" w:cs="Arial"/>
          <w:sz w:val="24"/>
          <w:szCs w:val="24"/>
        </w:rPr>
        <w:t>21, 2018, EPA proposed the ACE R</w:t>
      </w:r>
      <w:r w:rsidR="006E4394" w:rsidRPr="00DB7156">
        <w:rPr>
          <w:rFonts w:ascii="Arial" w:hAnsi="Arial" w:cs="Arial"/>
          <w:sz w:val="24"/>
          <w:szCs w:val="24"/>
        </w:rPr>
        <w:t xml:space="preserve">ule which would replace the CPP and establish procedures for states to develop plans to address carbon emissions from existing power plants. </w:t>
      </w:r>
      <w:r w:rsidR="00673B68">
        <w:rPr>
          <w:rFonts w:ascii="Arial" w:hAnsi="Arial" w:cs="Arial"/>
          <w:sz w:val="24"/>
          <w:szCs w:val="24"/>
        </w:rPr>
        <w:t xml:space="preserve">EPA plans to finalize </w:t>
      </w:r>
      <w:r w:rsidR="00F4257C">
        <w:rPr>
          <w:rFonts w:ascii="Arial" w:hAnsi="Arial" w:cs="Arial"/>
          <w:sz w:val="24"/>
          <w:szCs w:val="24"/>
        </w:rPr>
        <w:t xml:space="preserve">the </w:t>
      </w:r>
      <w:r w:rsidR="00673B68">
        <w:rPr>
          <w:rFonts w:ascii="Arial" w:hAnsi="Arial" w:cs="Arial"/>
          <w:sz w:val="24"/>
          <w:szCs w:val="24"/>
        </w:rPr>
        <w:t>ACE</w:t>
      </w:r>
      <w:r w:rsidR="00F4257C">
        <w:rPr>
          <w:rFonts w:ascii="Arial" w:hAnsi="Arial" w:cs="Arial"/>
          <w:sz w:val="24"/>
          <w:szCs w:val="24"/>
        </w:rPr>
        <w:t xml:space="preserve"> Rule</w:t>
      </w:r>
      <w:r w:rsidR="00673B68">
        <w:rPr>
          <w:rFonts w:ascii="Arial" w:hAnsi="Arial" w:cs="Arial"/>
          <w:sz w:val="24"/>
          <w:szCs w:val="24"/>
        </w:rPr>
        <w:t xml:space="preserve"> in the first part of 2019.</w:t>
      </w:r>
      <w:r w:rsidR="006E4394" w:rsidRPr="00DB7156">
        <w:rPr>
          <w:rFonts w:ascii="Arial" w:hAnsi="Arial" w:cs="Arial"/>
          <w:sz w:val="24"/>
          <w:szCs w:val="24"/>
        </w:rPr>
        <w:t xml:space="preserve"> </w:t>
      </w:r>
      <w:r w:rsidR="00701F89" w:rsidRPr="00E542AF">
        <w:rPr>
          <w:rFonts w:ascii="Arial" w:hAnsi="Arial" w:cs="Arial"/>
          <w:sz w:val="24"/>
          <w:szCs w:val="24"/>
        </w:rPr>
        <w:t>At this time, there is still significant uncertainty regarding the future of the CPP and ACE</w:t>
      </w:r>
      <w:r w:rsidR="00701F89">
        <w:rPr>
          <w:rFonts w:ascii="Arial" w:hAnsi="Arial" w:cs="Arial"/>
          <w:sz w:val="24"/>
          <w:szCs w:val="24"/>
        </w:rPr>
        <w:t xml:space="preserve"> due to both EPA and court activity</w:t>
      </w:r>
      <w:r w:rsidR="00701F89" w:rsidRPr="00E542AF">
        <w:rPr>
          <w:rFonts w:ascii="Arial" w:hAnsi="Arial" w:cs="Arial"/>
          <w:sz w:val="24"/>
          <w:szCs w:val="24"/>
        </w:rPr>
        <w:t xml:space="preserve">. Developing detailed analysis </w:t>
      </w:r>
      <w:r w:rsidR="00701F89">
        <w:rPr>
          <w:rFonts w:ascii="Arial" w:hAnsi="Arial" w:cs="Arial"/>
          <w:sz w:val="24"/>
          <w:szCs w:val="24"/>
        </w:rPr>
        <w:t>of the implications of the ACE R</w:t>
      </w:r>
      <w:r w:rsidR="00701F89" w:rsidRPr="00E542AF">
        <w:rPr>
          <w:rFonts w:ascii="Arial" w:hAnsi="Arial" w:cs="Arial"/>
          <w:sz w:val="24"/>
          <w:szCs w:val="24"/>
        </w:rPr>
        <w:t xml:space="preserve">ule would be premature and speculative </w:t>
      </w:r>
      <w:r w:rsidR="00701F89">
        <w:rPr>
          <w:rFonts w:ascii="Arial" w:hAnsi="Arial" w:cs="Arial"/>
          <w:sz w:val="24"/>
          <w:szCs w:val="24"/>
        </w:rPr>
        <w:t>for this filing</w:t>
      </w:r>
      <w:r w:rsidR="00701F89" w:rsidRPr="00E542AF">
        <w:rPr>
          <w:rFonts w:ascii="Arial" w:hAnsi="Arial" w:cs="Arial"/>
          <w:sz w:val="24"/>
          <w:szCs w:val="24"/>
        </w:rPr>
        <w:t xml:space="preserve">. The rule has yet to be finalized, state plans have yet to be developed, and potential legal proceedings have yet to occur. As clarity on the rule increases, and once state plans and any legal proceedings develop, the Company </w:t>
      </w:r>
      <w:r w:rsidR="00701F89">
        <w:rPr>
          <w:rFonts w:ascii="Arial" w:hAnsi="Arial" w:cs="Arial"/>
          <w:sz w:val="24"/>
          <w:szCs w:val="24"/>
        </w:rPr>
        <w:t xml:space="preserve">will </w:t>
      </w:r>
      <w:r w:rsidR="00701F89" w:rsidRPr="00E542AF">
        <w:rPr>
          <w:rFonts w:ascii="Arial" w:hAnsi="Arial" w:cs="Arial"/>
          <w:sz w:val="24"/>
          <w:szCs w:val="24"/>
        </w:rPr>
        <w:t xml:space="preserve">undertake analyses to determine the implications of the rule. </w:t>
      </w:r>
    </w:p>
    <w:p w14:paraId="5080EE6C" w14:textId="77777777" w:rsidR="000F42CB" w:rsidRPr="00DB7156" w:rsidRDefault="000F42CB" w:rsidP="00DB7156">
      <w:pPr>
        <w:autoSpaceDE w:val="0"/>
        <w:autoSpaceDN w:val="0"/>
        <w:adjustRightInd w:val="0"/>
        <w:spacing w:after="0" w:line="240" w:lineRule="auto"/>
        <w:jc w:val="both"/>
        <w:rPr>
          <w:rFonts w:ascii="Arial" w:hAnsi="Arial" w:cs="Arial"/>
          <w:sz w:val="24"/>
          <w:szCs w:val="24"/>
        </w:rPr>
      </w:pPr>
    </w:p>
    <w:p w14:paraId="2DB9611A" w14:textId="3AAC956C" w:rsidR="00043632" w:rsidRDefault="004214AA" w:rsidP="00834EFD">
      <w:pPr>
        <w:autoSpaceDE w:val="0"/>
        <w:autoSpaceDN w:val="0"/>
        <w:adjustRightInd w:val="0"/>
        <w:spacing w:after="0" w:line="240" w:lineRule="auto"/>
        <w:jc w:val="both"/>
        <w:rPr>
          <w:rFonts w:ascii="Arial" w:hAnsi="Arial" w:cs="Arial"/>
          <w:sz w:val="24"/>
          <w:szCs w:val="24"/>
        </w:rPr>
      </w:pPr>
      <w:bookmarkStart w:id="200" w:name="_Hlk535668523"/>
      <w:r>
        <w:rPr>
          <w:rFonts w:ascii="Arial" w:hAnsi="Arial" w:cs="Arial"/>
          <w:sz w:val="24"/>
          <w:szCs w:val="24"/>
        </w:rPr>
        <w:t xml:space="preserve">Additionally, Georgia Power expects that efforts by </w:t>
      </w:r>
      <w:r w:rsidR="00B27E45">
        <w:rPr>
          <w:rFonts w:ascii="Arial" w:hAnsi="Arial" w:cs="Arial"/>
          <w:sz w:val="24"/>
          <w:szCs w:val="24"/>
        </w:rPr>
        <w:t xml:space="preserve">the U.S. </w:t>
      </w:r>
      <w:r>
        <w:rPr>
          <w:rFonts w:ascii="Arial" w:hAnsi="Arial" w:cs="Arial"/>
          <w:sz w:val="24"/>
          <w:szCs w:val="24"/>
        </w:rPr>
        <w:t>Congress to regulate carbon emissions in some manner will continue</w:t>
      </w:r>
      <w:r w:rsidR="00902C98">
        <w:rPr>
          <w:rFonts w:ascii="Arial" w:hAnsi="Arial" w:cs="Arial"/>
          <w:sz w:val="24"/>
          <w:szCs w:val="24"/>
        </w:rPr>
        <w:t>. In the past, carbon-related legislation has included carbon tax and cap-and-trade program proposals</w:t>
      </w:r>
      <w:r w:rsidR="004D65AF">
        <w:rPr>
          <w:rFonts w:ascii="Arial" w:hAnsi="Arial" w:cs="Arial"/>
          <w:sz w:val="24"/>
          <w:szCs w:val="24"/>
        </w:rPr>
        <w:t>.</w:t>
      </w:r>
      <w:r w:rsidR="00902C98">
        <w:rPr>
          <w:rFonts w:ascii="Arial" w:hAnsi="Arial" w:cs="Arial"/>
          <w:sz w:val="24"/>
          <w:szCs w:val="24"/>
        </w:rPr>
        <w:t xml:space="preserve"> </w:t>
      </w:r>
      <w:r w:rsidR="004D65AF">
        <w:rPr>
          <w:rFonts w:ascii="Arial" w:hAnsi="Arial" w:cs="Arial"/>
          <w:sz w:val="24"/>
          <w:szCs w:val="24"/>
        </w:rPr>
        <w:t>B</w:t>
      </w:r>
      <w:r w:rsidR="00902C98">
        <w:rPr>
          <w:rFonts w:ascii="Arial" w:hAnsi="Arial" w:cs="Arial"/>
          <w:sz w:val="24"/>
          <w:szCs w:val="24"/>
        </w:rPr>
        <w:t>oth of which</w:t>
      </w:r>
      <w:r w:rsidR="004D65AF">
        <w:rPr>
          <w:rFonts w:ascii="Arial" w:hAnsi="Arial" w:cs="Arial"/>
          <w:sz w:val="24"/>
          <w:szCs w:val="24"/>
        </w:rPr>
        <w:t xml:space="preserve"> the Company</w:t>
      </w:r>
      <w:r w:rsidR="00902C98">
        <w:rPr>
          <w:rFonts w:ascii="Arial" w:hAnsi="Arial" w:cs="Arial"/>
          <w:sz w:val="24"/>
          <w:szCs w:val="24"/>
        </w:rPr>
        <w:t xml:space="preserve"> may utilize to analyze various compliance strategies. </w:t>
      </w:r>
    </w:p>
    <w:p w14:paraId="0B80F2EC" w14:textId="77777777" w:rsidR="00043632" w:rsidRDefault="00043632" w:rsidP="00834EFD">
      <w:pPr>
        <w:autoSpaceDE w:val="0"/>
        <w:autoSpaceDN w:val="0"/>
        <w:adjustRightInd w:val="0"/>
        <w:spacing w:after="0" w:line="240" w:lineRule="auto"/>
        <w:jc w:val="both"/>
        <w:rPr>
          <w:rFonts w:ascii="Arial" w:hAnsi="Arial" w:cs="Arial"/>
          <w:sz w:val="24"/>
          <w:szCs w:val="24"/>
        </w:rPr>
      </w:pPr>
    </w:p>
    <w:p w14:paraId="17FE7240" w14:textId="7C535AF1" w:rsidR="00673B68" w:rsidRPr="00E542AF" w:rsidRDefault="00902C98" w:rsidP="00834EFD">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While there is still significant uncertainty regarding the future </w:t>
      </w:r>
      <w:r w:rsidR="003A11B6">
        <w:rPr>
          <w:rFonts w:ascii="Arial" w:hAnsi="Arial" w:cs="Arial"/>
          <w:sz w:val="24"/>
          <w:szCs w:val="24"/>
        </w:rPr>
        <w:t xml:space="preserve">form </w:t>
      </w:r>
      <w:r>
        <w:rPr>
          <w:rFonts w:ascii="Arial" w:hAnsi="Arial" w:cs="Arial"/>
          <w:sz w:val="24"/>
          <w:szCs w:val="24"/>
        </w:rPr>
        <w:t xml:space="preserve">of carbon legislation, as well as the CPP and ACE, the Company expects </w:t>
      </w:r>
      <w:r w:rsidR="004E7C85">
        <w:rPr>
          <w:rFonts w:ascii="Arial" w:hAnsi="Arial" w:cs="Arial"/>
          <w:sz w:val="24"/>
          <w:szCs w:val="24"/>
        </w:rPr>
        <w:t xml:space="preserve">the implications to be adequately represented by the </w:t>
      </w:r>
      <w:r w:rsidR="00CA71B9">
        <w:rPr>
          <w:rFonts w:ascii="Arial" w:hAnsi="Arial" w:cs="Arial"/>
          <w:sz w:val="24"/>
          <w:szCs w:val="24"/>
        </w:rPr>
        <w:t xml:space="preserve">Company’s </w:t>
      </w:r>
      <w:r w:rsidR="004E7C85">
        <w:rPr>
          <w:rFonts w:ascii="Arial" w:hAnsi="Arial" w:cs="Arial"/>
          <w:sz w:val="24"/>
          <w:szCs w:val="24"/>
        </w:rPr>
        <w:t xml:space="preserve">approach </w:t>
      </w:r>
      <w:r w:rsidR="004E7C85" w:rsidRPr="00DE385C">
        <w:rPr>
          <w:rFonts w:ascii="Arial" w:hAnsi="Arial" w:cs="Arial"/>
          <w:sz w:val="24"/>
          <w:szCs w:val="24"/>
        </w:rPr>
        <w:t>to handling CO</w:t>
      </w:r>
      <w:r w:rsidR="004E7C85" w:rsidRPr="00DE385C">
        <w:rPr>
          <w:rFonts w:ascii="Arial" w:hAnsi="Arial" w:cs="Arial"/>
          <w:sz w:val="24"/>
          <w:szCs w:val="24"/>
          <w:vertAlign w:val="subscript"/>
        </w:rPr>
        <w:t>2</w:t>
      </w:r>
      <w:r w:rsidR="004E7C85" w:rsidRPr="00DE385C">
        <w:rPr>
          <w:rFonts w:ascii="Arial" w:hAnsi="Arial" w:cs="Arial"/>
          <w:sz w:val="24"/>
          <w:szCs w:val="24"/>
        </w:rPr>
        <w:t xml:space="preserve"> in its modeling analysis. </w:t>
      </w:r>
      <w:r w:rsidR="00CA71B9" w:rsidRPr="00DE385C">
        <w:rPr>
          <w:rFonts w:ascii="Arial" w:hAnsi="Arial" w:cs="Arial"/>
          <w:sz w:val="24"/>
          <w:szCs w:val="24"/>
        </w:rPr>
        <w:t xml:space="preserve">This approach, as </w:t>
      </w:r>
      <w:r w:rsidR="003A11B6" w:rsidRPr="00DE385C">
        <w:rPr>
          <w:rFonts w:ascii="Arial" w:hAnsi="Arial" w:cs="Arial"/>
          <w:sz w:val="24"/>
          <w:szCs w:val="24"/>
        </w:rPr>
        <w:t>discussed in section 1.0</w:t>
      </w:r>
      <w:r w:rsidR="00CA71B9" w:rsidRPr="00DE385C">
        <w:rPr>
          <w:rFonts w:ascii="Arial" w:hAnsi="Arial" w:cs="Arial"/>
          <w:sz w:val="24"/>
          <w:szCs w:val="24"/>
        </w:rPr>
        <w:t xml:space="preserve">, has resulted in both the most economic </w:t>
      </w:r>
      <w:r w:rsidR="003A11B6" w:rsidRPr="00DE385C">
        <w:rPr>
          <w:rFonts w:ascii="Arial" w:hAnsi="Arial" w:cs="Arial"/>
          <w:sz w:val="24"/>
          <w:szCs w:val="24"/>
        </w:rPr>
        <w:t>outcome</w:t>
      </w:r>
      <w:r w:rsidR="00CA71B9" w:rsidRPr="00DE385C">
        <w:rPr>
          <w:rFonts w:ascii="Arial" w:hAnsi="Arial" w:cs="Arial"/>
          <w:sz w:val="24"/>
          <w:szCs w:val="24"/>
        </w:rPr>
        <w:t xml:space="preserve"> for customers and </w:t>
      </w:r>
      <w:r w:rsidR="00CA71B9" w:rsidRPr="00DE385C">
        <w:rPr>
          <w:rStyle w:val="normaltextrun1"/>
          <w:rFonts w:ascii="Arial" w:hAnsi="Arial" w:cs="Arial"/>
          <w:sz w:val="24"/>
          <w:szCs w:val="24"/>
        </w:rPr>
        <w:t>CO</w:t>
      </w:r>
      <w:r w:rsidR="00CA71B9" w:rsidRPr="00DE385C">
        <w:rPr>
          <w:rStyle w:val="normaltextrun1"/>
          <w:rFonts w:ascii="Arial" w:hAnsi="Arial" w:cs="Arial"/>
          <w:sz w:val="24"/>
          <w:szCs w:val="24"/>
          <w:vertAlign w:val="subscript"/>
        </w:rPr>
        <w:t>2</w:t>
      </w:r>
      <w:r w:rsidR="00CA71B9" w:rsidRPr="00DE385C">
        <w:rPr>
          <w:rStyle w:val="normaltextrun1"/>
          <w:rFonts w:ascii="Arial" w:hAnsi="Arial" w:cs="Arial"/>
          <w:sz w:val="24"/>
          <w:szCs w:val="24"/>
        </w:rPr>
        <w:t xml:space="preserve"> emission reductions of more than 50 percent since 2007. </w:t>
      </w:r>
      <w:r w:rsidR="004E7C85" w:rsidRPr="00DE385C">
        <w:rPr>
          <w:rFonts w:ascii="Arial" w:hAnsi="Arial" w:cs="Arial"/>
          <w:sz w:val="24"/>
          <w:szCs w:val="24"/>
        </w:rPr>
        <w:t>Georgia</w:t>
      </w:r>
      <w:r w:rsidR="004E7C85">
        <w:rPr>
          <w:rFonts w:ascii="Arial" w:hAnsi="Arial" w:cs="Arial"/>
          <w:sz w:val="24"/>
          <w:szCs w:val="24"/>
        </w:rPr>
        <w:t xml:space="preserve"> Power will continue to monitor the CPP and ACE as well as legislative </w:t>
      </w:r>
      <w:r w:rsidR="00D06AC0">
        <w:rPr>
          <w:rFonts w:ascii="Arial" w:hAnsi="Arial" w:cs="Arial"/>
          <w:sz w:val="24"/>
          <w:szCs w:val="24"/>
        </w:rPr>
        <w:t>efforts</w:t>
      </w:r>
      <w:r w:rsidR="004E7C85">
        <w:rPr>
          <w:rFonts w:ascii="Arial" w:hAnsi="Arial" w:cs="Arial"/>
          <w:sz w:val="24"/>
          <w:szCs w:val="24"/>
        </w:rPr>
        <w:t xml:space="preserve"> to regulate carbon and develop </w:t>
      </w:r>
      <w:r w:rsidR="00CD72FC">
        <w:rPr>
          <w:rFonts w:ascii="Arial" w:hAnsi="Arial" w:cs="Arial"/>
          <w:sz w:val="24"/>
          <w:szCs w:val="24"/>
        </w:rPr>
        <w:t xml:space="preserve">additional </w:t>
      </w:r>
      <w:r w:rsidR="004E7C85">
        <w:rPr>
          <w:rFonts w:ascii="Arial" w:hAnsi="Arial" w:cs="Arial"/>
          <w:sz w:val="24"/>
          <w:szCs w:val="24"/>
        </w:rPr>
        <w:t>compliance strategies as it becomes necessary.</w:t>
      </w:r>
    </w:p>
    <w:bookmarkEnd w:id="200"/>
    <w:p w14:paraId="22BA5210" w14:textId="256087C6" w:rsidR="00961768" w:rsidRPr="00DB7156" w:rsidRDefault="00961768" w:rsidP="00673B68">
      <w:pPr>
        <w:autoSpaceDE w:val="0"/>
        <w:autoSpaceDN w:val="0"/>
        <w:adjustRightInd w:val="0"/>
        <w:spacing w:after="0" w:line="240" w:lineRule="auto"/>
        <w:jc w:val="both"/>
        <w:rPr>
          <w:rFonts w:ascii="Arial" w:hAnsi="Arial" w:cs="Arial"/>
          <w:b/>
          <w:bCs/>
          <w:color w:val="000080"/>
          <w:sz w:val="24"/>
          <w:szCs w:val="24"/>
        </w:rPr>
      </w:pPr>
    </w:p>
    <w:p w14:paraId="04A82103" w14:textId="06EFAD02" w:rsidR="00E31A3F" w:rsidRPr="00DB7156" w:rsidRDefault="00752263" w:rsidP="00DB7156">
      <w:pPr>
        <w:autoSpaceDE w:val="0"/>
        <w:autoSpaceDN w:val="0"/>
        <w:adjustRightInd w:val="0"/>
        <w:spacing w:after="0" w:line="240" w:lineRule="auto"/>
        <w:jc w:val="both"/>
        <w:outlineLvl w:val="1"/>
        <w:rPr>
          <w:rFonts w:ascii="Arial" w:hAnsi="Arial" w:cs="Arial"/>
          <w:sz w:val="24"/>
          <w:szCs w:val="24"/>
        </w:rPr>
      </w:pPr>
      <w:bookmarkStart w:id="201" w:name="_Toc496107763"/>
      <w:bookmarkStart w:id="202" w:name="_Toc527987356"/>
      <w:bookmarkStart w:id="203" w:name="_Toc527983903"/>
      <w:bookmarkStart w:id="204" w:name="_Toc530487287"/>
      <w:bookmarkStart w:id="205" w:name="_Toc535908155"/>
      <w:r w:rsidRPr="00DB7156">
        <w:rPr>
          <w:rFonts w:ascii="Arial" w:hAnsi="Arial" w:cs="Arial"/>
          <w:b/>
          <w:bCs/>
          <w:color w:val="000080"/>
          <w:sz w:val="24"/>
          <w:szCs w:val="24"/>
        </w:rPr>
        <w:t>4.2</w:t>
      </w:r>
      <w:r w:rsidRPr="00DB7156">
        <w:rPr>
          <w:rFonts w:ascii="Arial" w:hAnsi="Arial" w:cs="Arial"/>
          <w:b/>
          <w:bCs/>
          <w:color w:val="000080"/>
          <w:sz w:val="24"/>
          <w:szCs w:val="24"/>
        </w:rPr>
        <w:tab/>
        <w:t>Water</w:t>
      </w:r>
      <w:r w:rsidR="00AD00B8" w:rsidRPr="00DB7156">
        <w:rPr>
          <w:rFonts w:ascii="Arial" w:hAnsi="Arial" w:cs="Arial"/>
          <w:b/>
          <w:bCs/>
          <w:color w:val="000080"/>
          <w:sz w:val="24"/>
          <w:szCs w:val="24"/>
        </w:rPr>
        <w:t xml:space="preserve"> Compliance</w:t>
      </w:r>
      <w:r w:rsidRPr="00DB7156">
        <w:rPr>
          <w:rFonts w:ascii="Arial" w:hAnsi="Arial" w:cs="Arial"/>
          <w:b/>
          <w:bCs/>
          <w:color w:val="000080"/>
          <w:sz w:val="24"/>
          <w:szCs w:val="24"/>
        </w:rPr>
        <w:t xml:space="preserve"> Strategy Review</w:t>
      </w:r>
      <w:bookmarkEnd w:id="201"/>
      <w:bookmarkEnd w:id="202"/>
      <w:bookmarkEnd w:id="203"/>
      <w:bookmarkEnd w:id="204"/>
      <w:bookmarkEnd w:id="205"/>
    </w:p>
    <w:p w14:paraId="10B1DD63" w14:textId="77777777" w:rsidR="002F3B05" w:rsidRDefault="002F3B05" w:rsidP="00DB7156">
      <w:pPr>
        <w:spacing w:after="0" w:line="240" w:lineRule="auto"/>
        <w:jc w:val="both"/>
        <w:rPr>
          <w:rFonts w:ascii="Arial" w:hAnsi="Arial" w:cs="Arial"/>
          <w:sz w:val="24"/>
          <w:szCs w:val="24"/>
        </w:rPr>
      </w:pPr>
    </w:p>
    <w:p w14:paraId="45F6F1D3" w14:textId="6FBF15BD" w:rsidR="00704965" w:rsidRPr="00DB7156" w:rsidRDefault="002C599A" w:rsidP="00DB7156">
      <w:pPr>
        <w:spacing w:after="0" w:line="240" w:lineRule="auto"/>
        <w:jc w:val="both"/>
        <w:rPr>
          <w:rFonts w:ascii="Arial" w:hAnsi="Arial" w:cs="Arial"/>
          <w:sz w:val="24"/>
          <w:szCs w:val="24"/>
        </w:rPr>
      </w:pPr>
      <w:r w:rsidRPr="00DB7156">
        <w:rPr>
          <w:rFonts w:ascii="Arial" w:hAnsi="Arial" w:cs="Arial"/>
          <w:sz w:val="24"/>
          <w:szCs w:val="24"/>
        </w:rPr>
        <w:t xml:space="preserve">The </w:t>
      </w:r>
      <w:r w:rsidR="00E94DBF" w:rsidRPr="00DB7156">
        <w:rPr>
          <w:rFonts w:ascii="Arial" w:hAnsi="Arial" w:cs="Arial"/>
          <w:sz w:val="24"/>
          <w:szCs w:val="24"/>
        </w:rPr>
        <w:t>w</w:t>
      </w:r>
      <w:r w:rsidRPr="00DB7156">
        <w:rPr>
          <w:rFonts w:ascii="Arial" w:hAnsi="Arial" w:cs="Arial"/>
          <w:sz w:val="24"/>
          <w:szCs w:val="24"/>
        </w:rPr>
        <w:t>ater</w:t>
      </w:r>
      <w:r w:rsidR="0074787D" w:rsidRPr="00DB7156">
        <w:rPr>
          <w:rFonts w:ascii="Arial" w:hAnsi="Arial" w:cs="Arial"/>
          <w:sz w:val="24"/>
          <w:szCs w:val="24"/>
        </w:rPr>
        <w:t xml:space="preserve"> </w:t>
      </w:r>
      <w:r w:rsidR="00E94DBF" w:rsidRPr="00DB7156">
        <w:rPr>
          <w:rFonts w:ascii="Arial" w:hAnsi="Arial" w:cs="Arial"/>
          <w:sz w:val="24"/>
          <w:szCs w:val="24"/>
        </w:rPr>
        <w:t>c</w:t>
      </w:r>
      <w:r w:rsidR="0074787D" w:rsidRPr="00DB7156">
        <w:rPr>
          <w:rFonts w:ascii="Arial" w:hAnsi="Arial" w:cs="Arial"/>
          <w:sz w:val="24"/>
          <w:szCs w:val="24"/>
        </w:rPr>
        <w:t>ompliance</w:t>
      </w:r>
      <w:r w:rsidRPr="00DB7156">
        <w:rPr>
          <w:rFonts w:ascii="Arial" w:hAnsi="Arial" w:cs="Arial"/>
          <w:sz w:val="24"/>
          <w:szCs w:val="24"/>
        </w:rPr>
        <w:t xml:space="preserve"> </w:t>
      </w:r>
      <w:r w:rsidR="00E94DBF" w:rsidRPr="00DB7156">
        <w:rPr>
          <w:rFonts w:ascii="Arial" w:hAnsi="Arial" w:cs="Arial"/>
          <w:sz w:val="24"/>
          <w:szCs w:val="24"/>
        </w:rPr>
        <w:t>s</w:t>
      </w:r>
      <w:r w:rsidRPr="00DB7156">
        <w:rPr>
          <w:rFonts w:ascii="Arial" w:hAnsi="Arial" w:cs="Arial"/>
          <w:sz w:val="24"/>
          <w:szCs w:val="24"/>
        </w:rPr>
        <w:t xml:space="preserve">trategy considers a variety of regulations related to both water quality and biological </w:t>
      </w:r>
      <w:r w:rsidR="00100204" w:rsidRPr="00DB7156">
        <w:rPr>
          <w:rFonts w:ascii="Arial" w:hAnsi="Arial" w:cs="Arial"/>
          <w:sz w:val="24"/>
          <w:szCs w:val="24"/>
        </w:rPr>
        <w:t>management</w:t>
      </w:r>
      <w:r w:rsidRPr="00DB7156">
        <w:rPr>
          <w:rFonts w:ascii="Arial" w:hAnsi="Arial" w:cs="Arial"/>
          <w:sz w:val="24"/>
          <w:szCs w:val="24"/>
        </w:rPr>
        <w:t xml:space="preserve">. The strategy considers both nationwide standards as well as state requirements developed for specific water bodies.  The </w:t>
      </w:r>
      <w:r w:rsidR="00241BAC">
        <w:rPr>
          <w:rFonts w:ascii="Arial" w:hAnsi="Arial" w:cs="Arial"/>
          <w:sz w:val="24"/>
          <w:szCs w:val="24"/>
        </w:rPr>
        <w:t xml:space="preserve">strategy and actions required to meet these regulations </w:t>
      </w:r>
      <w:r w:rsidRPr="00DB7156">
        <w:rPr>
          <w:rFonts w:ascii="Arial" w:hAnsi="Arial" w:cs="Arial"/>
          <w:sz w:val="24"/>
          <w:szCs w:val="24"/>
        </w:rPr>
        <w:t>are discussed below.</w:t>
      </w:r>
      <w:r w:rsidR="002F2289" w:rsidRPr="00DB7156">
        <w:rPr>
          <w:rFonts w:ascii="Arial" w:hAnsi="Arial" w:cs="Arial"/>
          <w:sz w:val="24"/>
          <w:szCs w:val="24"/>
        </w:rPr>
        <w:t xml:space="preserve"> </w:t>
      </w:r>
    </w:p>
    <w:p w14:paraId="011AFB9D" w14:textId="13AF06CD" w:rsidR="00704965" w:rsidRPr="00DB7156" w:rsidRDefault="00704965" w:rsidP="00DB7156">
      <w:pPr>
        <w:spacing w:after="0" w:line="240" w:lineRule="auto"/>
        <w:jc w:val="both"/>
        <w:rPr>
          <w:rFonts w:ascii="Arial" w:hAnsi="Arial" w:cs="Arial"/>
          <w:sz w:val="24"/>
          <w:szCs w:val="24"/>
        </w:rPr>
      </w:pPr>
    </w:p>
    <w:p w14:paraId="6243E919" w14:textId="19D83541" w:rsidR="00704965" w:rsidRDefault="00704965" w:rsidP="00DB7156">
      <w:pPr>
        <w:spacing w:after="0" w:line="240" w:lineRule="auto"/>
        <w:jc w:val="both"/>
        <w:outlineLvl w:val="2"/>
        <w:rPr>
          <w:rFonts w:ascii="Arial" w:hAnsi="Arial" w:cs="Arial"/>
          <w:b/>
          <w:bCs/>
          <w:color w:val="000080"/>
          <w:sz w:val="24"/>
          <w:szCs w:val="24"/>
        </w:rPr>
      </w:pPr>
      <w:bookmarkStart w:id="206" w:name="_Toc530487288"/>
      <w:bookmarkStart w:id="207" w:name="_Toc535908156"/>
      <w:r w:rsidRPr="00DB7156">
        <w:rPr>
          <w:rFonts w:ascii="Arial" w:hAnsi="Arial" w:cs="Arial"/>
          <w:b/>
          <w:bCs/>
          <w:color w:val="000080"/>
          <w:sz w:val="24"/>
          <w:szCs w:val="24"/>
        </w:rPr>
        <w:t>4.2.1</w:t>
      </w:r>
      <w:r w:rsidRPr="00DB7156">
        <w:rPr>
          <w:rFonts w:ascii="Arial" w:hAnsi="Arial" w:cs="Arial"/>
          <w:b/>
          <w:bCs/>
          <w:color w:val="000080"/>
          <w:sz w:val="24"/>
          <w:szCs w:val="24"/>
        </w:rPr>
        <w:tab/>
        <w:t>Cooling Water Intake Structures</w:t>
      </w:r>
      <w:bookmarkStart w:id="208" w:name="_Hlk529217197"/>
      <w:bookmarkEnd w:id="206"/>
      <w:bookmarkEnd w:id="207"/>
    </w:p>
    <w:p w14:paraId="167FBF47" w14:textId="77777777" w:rsidR="00A913EC" w:rsidRPr="00DB7156" w:rsidRDefault="00A913EC" w:rsidP="00DB7156">
      <w:pPr>
        <w:spacing w:after="0" w:line="240" w:lineRule="auto"/>
        <w:jc w:val="both"/>
        <w:outlineLvl w:val="2"/>
        <w:rPr>
          <w:rFonts w:ascii="Arial" w:hAnsi="Arial" w:cs="Arial"/>
          <w:sz w:val="24"/>
          <w:szCs w:val="24"/>
        </w:rPr>
      </w:pPr>
    </w:p>
    <w:bookmarkEnd w:id="208"/>
    <w:p w14:paraId="5C6FBBC5" w14:textId="69DF9A73" w:rsidR="009E1770" w:rsidRDefault="009A6011" w:rsidP="00DB7156">
      <w:pPr>
        <w:keepNext/>
        <w:autoSpaceDE w:val="0"/>
        <w:autoSpaceDN w:val="0"/>
        <w:adjustRightInd w:val="0"/>
        <w:spacing w:after="0" w:line="240" w:lineRule="auto"/>
        <w:jc w:val="both"/>
        <w:rPr>
          <w:rFonts w:ascii="Arial" w:hAnsi="Arial" w:cs="Arial"/>
          <w:sz w:val="24"/>
          <w:szCs w:val="24"/>
          <w:highlight w:val="yellow"/>
        </w:rPr>
      </w:pPr>
      <w:r w:rsidRPr="009A6011">
        <w:rPr>
          <w:rFonts w:ascii="Arial" w:hAnsi="Arial" w:cs="Arial"/>
          <w:b/>
          <w:sz w:val="24"/>
          <w:szCs w:val="24"/>
        </w:rPr>
        <w:t xml:space="preserve">REDACTED REDACTED REDACTED REDACTED REDACTED REDACTED REDACTED REDACTED REDACTED REDACTED REDACTED REDACTED REDACTED REDACTED REDACTED </w:t>
      </w:r>
      <w:r w:rsidR="00BE6146" w:rsidRPr="00DB7156">
        <w:rPr>
          <w:rFonts w:ascii="Arial" w:hAnsi="Arial" w:cs="Arial"/>
          <w:sz w:val="24"/>
          <w:szCs w:val="24"/>
        </w:rPr>
        <w:t>Georgia Power is continuing to evaluate compliance alternatives for the Section 316(b) rule with the current strategy based on plant-specific evaluations.</w:t>
      </w:r>
      <w:r w:rsidRPr="009A6011">
        <w:rPr>
          <w:rFonts w:ascii="Arial" w:hAnsi="Arial" w:cs="Arial"/>
          <w:b/>
          <w:sz w:val="24"/>
          <w:szCs w:val="24"/>
        </w:rPr>
        <w:t xml:space="preserve">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w:t>
      </w:r>
      <w:r w:rsidR="00E35BBB" w:rsidRPr="004F7DA0">
        <w:rPr>
          <w:rFonts w:ascii="Arial" w:hAnsi="Arial" w:cs="Arial"/>
          <w:sz w:val="24"/>
          <w:szCs w:val="24"/>
        </w:rPr>
        <w:t>A summary of the cooling types</w:t>
      </w:r>
      <w:r w:rsidR="005B64D9" w:rsidRPr="004F7DA0">
        <w:rPr>
          <w:rFonts w:ascii="Arial" w:hAnsi="Arial" w:cs="Arial"/>
          <w:sz w:val="24"/>
          <w:szCs w:val="24"/>
        </w:rPr>
        <w:t xml:space="preserve"> and associated controls included in the Company’s strategy</w:t>
      </w:r>
      <w:r w:rsidR="00E35BBB" w:rsidRPr="004F7DA0">
        <w:rPr>
          <w:rFonts w:ascii="Arial" w:hAnsi="Arial" w:cs="Arial"/>
          <w:sz w:val="24"/>
          <w:szCs w:val="24"/>
        </w:rPr>
        <w:t xml:space="preserve"> for each unit are included in </w:t>
      </w:r>
      <w:r w:rsidR="00200DE0">
        <w:rPr>
          <w:rFonts w:ascii="Arial" w:hAnsi="Arial" w:cs="Arial"/>
          <w:sz w:val="24"/>
          <w:szCs w:val="24"/>
        </w:rPr>
        <w:t>Table 4.2.2-1</w:t>
      </w:r>
      <w:r w:rsidR="00E35BBB" w:rsidRPr="004F7DA0">
        <w:rPr>
          <w:rFonts w:ascii="Arial" w:hAnsi="Arial" w:cs="Arial"/>
          <w:sz w:val="24"/>
          <w:szCs w:val="24"/>
        </w:rPr>
        <w:t>.</w:t>
      </w:r>
    </w:p>
    <w:p w14:paraId="392E4CEF" w14:textId="77777777" w:rsidR="00743DB8" w:rsidRDefault="00743DB8" w:rsidP="001F500F">
      <w:pPr>
        <w:spacing w:after="0" w:line="240" w:lineRule="auto"/>
        <w:jc w:val="both"/>
        <w:rPr>
          <w:rFonts w:ascii="Arial" w:hAnsi="Arial" w:cs="Arial"/>
          <w:sz w:val="24"/>
          <w:szCs w:val="24"/>
        </w:rPr>
      </w:pPr>
    </w:p>
    <w:p w14:paraId="0E5DCFAE" w14:textId="5875378A" w:rsidR="00BC6F93" w:rsidRDefault="00743DB8" w:rsidP="009A6011">
      <w:pPr>
        <w:spacing w:after="0" w:line="240" w:lineRule="auto"/>
        <w:jc w:val="both"/>
        <w:rPr>
          <w:rFonts w:ascii="Arial" w:hAnsi="Arial" w:cs="Arial"/>
          <w:b/>
          <w:sz w:val="24"/>
          <w:szCs w:val="24"/>
        </w:rPr>
      </w:pPr>
      <w:r>
        <w:rPr>
          <w:rFonts w:ascii="Arial" w:hAnsi="Arial" w:cs="Arial"/>
          <w:sz w:val="24"/>
          <w:szCs w:val="24"/>
        </w:rPr>
        <w:t>I</w:t>
      </w:r>
      <w:r w:rsidR="0065442B" w:rsidRPr="00DB7156">
        <w:rPr>
          <w:rFonts w:ascii="Arial" w:hAnsi="Arial" w:cs="Arial"/>
          <w:sz w:val="24"/>
          <w:szCs w:val="24"/>
        </w:rPr>
        <w:t>n this IRP, Georgia Power is requesting decertification of Plant Hammond Units 1-4 and Plant McIntosh Unit 1. If the Georgia PSC approves the request for decertification,</w:t>
      </w:r>
      <w:r w:rsidR="009A6011" w:rsidRPr="009A6011">
        <w:rPr>
          <w:rFonts w:ascii="Arial" w:hAnsi="Arial" w:cs="Arial"/>
          <w:b/>
          <w:sz w:val="24"/>
          <w:szCs w:val="24"/>
        </w:rPr>
        <w:t xml:space="preserve"> </w:t>
      </w:r>
      <w:r w:rsidR="009A6011" w:rsidRPr="009A6011">
        <w:rPr>
          <w:rFonts w:ascii="Arial" w:hAnsi="Arial" w:cs="Arial"/>
          <w:b/>
          <w:sz w:val="14"/>
          <w:szCs w:val="24"/>
        </w:rPr>
        <w:t>REDACTED</w:t>
      </w:r>
      <w:r w:rsidR="0065442B" w:rsidRPr="009A6011">
        <w:rPr>
          <w:rFonts w:ascii="Arial" w:hAnsi="Arial" w:cs="Arial"/>
          <w:sz w:val="14"/>
          <w:szCs w:val="24"/>
        </w:rPr>
        <w:t xml:space="preserve"> </w:t>
      </w:r>
      <w:r w:rsidR="009A6011" w:rsidRPr="009A6011">
        <w:rPr>
          <w:rFonts w:ascii="Arial" w:hAnsi="Arial" w:cs="Arial"/>
          <w:b/>
          <w:sz w:val="24"/>
          <w:szCs w:val="24"/>
        </w:rPr>
        <w:t xml:space="preserve">REDACTED REDACTED REDACTED REDACTED REDACTED REDACTED REDACTED REDACTED REDACTED REDACTED REDACTED REDACTED REDACTED REDACTED REDACTED REDACTED REDACTED REDACTED </w:t>
      </w:r>
      <w:r w:rsidR="009A6011" w:rsidRPr="009A6011">
        <w:rPr>
          <w:rFonts w:ascii="Arial" w:hAnsi="Arial" w:cs="Arial"/>
          <w:b/>
          <w:szCs w:val="24"/>
        </w:rPr>
        <w:t>REDACTED REDACTED REDACTED</w:t>
      </w:r>
      <w:r w:rsidR="0065442B" w:rsidRPr="009A6011">
        <w:rPr>
          <w:rFonts w:ascii="Arial" w:hAnsi="Arial" w:cs="Arial"/>
          <w:szCs w:val="24"/>
        </w:rPr>
        <w:t xml:space="preserve"> </w:t>
      </w:r>
      <w:r w:rsidR="005B301F" w:rsidRPr="00DB7156">
        <w:rPr>
          <w:rFonts w:ascii="Arial" w:hAnsi="Arial" w:cs="Arial"/>
          <w:sz w:val="24"/>
          <w:szCs w:val="24"/>
        </w:rPr>
        <w:t>If decertification is not approved for Plant</w:t>
      </w:r>
      <w:r w:rsidR="00BF4BE5">
        <w:rPr>
          <w:rFonts w:ascii="Arial" w:hAnsi="Arial" w:cs="Arial"/>
          <w:sz w:val="24"/>
          <w:szCs w:val="24"/>
        </w:rPr>
        <w:t>s</w:t>
      </w:r>
      <w:r w:rsidR="005B301F" w:rsidRPr="00DB7156">
        <w:rPr>
          <w:rFonts w:ascii="Arial" w:hAnsi="Arial" w:cs="Arial"/>
          <w:sz w:val="24"/>
          <w:szCs w:val="24"/>
        </w:rPr>
        <w:t xml:space="preserve"> Hammond and McIntosh Unit 1</w:t>
      </w:r>
      <w:r w:rsidR="009A6011">
        <w:rPr>
          <w:rFonts w:ascii="Arial" w:hAnsi="Arial" w:cs="Arial"/>
          <w:sz w:val="24"/>
          <w:szCs w:val="24"/>
        </w:rPr>
        <w:t xml:space="preserve"> </w:t>
      </w:r>
      <w:bookmarkStart w:id="209" w:name="_Toc530487289"/>
      <w:r w:rsidR="009A6011" w:rsidRPr="009A6011">
        <w:rPr>
          <w:rFonts w:ascii="Arial" w:hAnsi="Arial" w:cs="Arial"/>
          <w:b/>
          <w:sz w:val="24"/>
          <w:szCs w:val="24"/>
        </w:rPr>
        <w:t>REDACTED REDACTED REDACTED REDACTED REDACTED REDACTED REDACTED REDACTED REDACTED REDACTED REDACTED</w:t>
      </w:r>
    </w:p>
    <w:p w14:paraId="7A2C8038" w14:textId="77777777" w:rsidR="009A6011" w:rsidRDefault="009A6011" w:rsidP="009A6011">
      <w:pPr>
        <w:spacing w:after="0" w:line="240" w:lineRule="auto"/>
        <w:jc w:val="both"/>
        <w:rPr>
          <w:rFonts w:ascii="Arial" w:hAnsi="Arial" w:cs="Arial"/>
          <w:b/>
          <w:bCs/>
          <w:color w:val="000080"/>
          <w:sz w:val="24"/>
          <w:szCs w:val="24"/>
        </w:rPr>
      </w:pPr>
    </w:p>
    <w:p w14:paraId="22BA521A" w14:textId="214CB7D5" w:rsidR="00752263" w:rsidRDefault="00704965" w:rsidP="00DB7156">
      <w:pPr>
        <w:spacing w:after="0" w:line="240" w:lineRule="auto"/>
        <w:jc w:val="both"/>
        <w:outlineLvl w:val="2"/>
        <w:rPr>
          <w:rFonts w:ascii="Arial" w:hAnsi="Arial" w:cs="Arial"/>
          <w:b/>
          <w:bCs/>
          <w:color w:val="000080"/>
          <w:sz w:val="24"/>
          <w:szCs w:val="24"/>
        </w:rPr>
      </w:pPr>
      <w:bookmarkStart w:id="210" w:name="_Toc535908157"/>
      <w:r w:rsidRPr="00DB7156">
        <w:rPr>
          <w:rFonts w:ascii="Arial" w:hAnsi="Arial" w:cs="Arial"/>
          <w:b/>
          <w:bCs/>
          <w:color w:val="000080"/>
          <w:sz w:val="24"/>
          <w:szCs w:val="24"/>
        </w:rPr>
        <w:t>4.2.2</w:t>
      </w:r>
      <w:r w:rsidRPr="00DB7156">
        <w:rPr>
          <w:rFonts w:ascii="Arial" w:hAnsi="Arial" w:cs="Arial"/>
          <w:b/>
          <w:bCs/>
          <w:color w:val="000080"/>
          <w:sz w:val="24"/>
          <w:szCs w:val="24"/>
        </w:rPr>
        <w:tab/>
        <w:t>Wastewater Treatment Facilities</w:t>
      </w:r>
      <w:bookmarkEnd w:id="209"/>
      <w:bookmarkEnd w:id="210"/>
      <w:r w:rsidRPr="00DB7156">
        <w:rPr>
          <w:rFonts w:ascii="Arial" w:hAnsi="Arial" w:cs="Arial"/>
          <w:b/>
          <w:bCs/>
          <w:color w:val="000080"/>
          <w:sz w:val="24"/>
          <w:szCs w:val="24"/>
        </w:rPr>
        <w:t xml:space="preserve"> </w:t>
      </w:r>
    </w:p>
    <w:p w14:paraId="173537AE" w14:textId="77777777" w:rsidR="00A913EC" w:rsidRPr="00DB7156" w:rsidRDefault="00A913EC" w:rsidP="00DB7156">
      <w:pPr>
        <w:spacing w:after="0" w:line="240" w:lineRule="auto"/>
        <w:jc w:val="both"/>
        <w:outlineLvl w:val="2"/>
        <w:rPr>
          <w:rFonts w:ascii="Arial" w:hAnsi="Arial" w:cs="Arial"/>
          <w:b/>
          <w:bCs/>
          <w:color w:val="000080"/>
          <w:sz w:val="24"/>
          <w:szCs w:val="24"/>
        </w:rPr>
      </w:pPr>
    </w:p>
    <w:p w14:paraId="6A66E7C5" w14:textId="3FB590CE" w:rsidR="001B379E" w:rsidRDefault="00CA546E" w:rsidP="001B379E">
      <w:pPr>
        <w:tabs>
          <w:tab w:val="center" w:pos="4392"/>
        </w:tabs>
        <w:suppressAutoHyphens/>
        <w:spacing w:after="0" w:line="240" w:lineRule="auto"/>
        <w:jc w:val="both"/>
        <w:rPr>
          <w:rFonts w:ascii="Arial" w:hAnsi="Arial" w:cs="Arial"/>
          <w:sz w:val="24"/>
        </w:rPr>
      </w:pPr>
      <w:r w:rsidRPr="00DB7156">
        <w:rPr>
          <w:rFonts w:ascii="Arial" w:hAnsi="Arial" w:cs="Arial"/>
          <w:sz w:val="24"/>
          <w:szCs w:val="24"/>
        </w:rPr>
        <w:t xml:space="preserve">There are several drivers that </w:t>
      </w:r>
      <w:r w:rsidR="008166F6" w:rsidRPr="00DB7156">
        <w:rPr>
          <w:rFonts w:ascii="Arial" w:hAnsi="Arial" w:cs="Arial"/>
          <w:sz w:val="24"/>
          <w:szCs w:val="24"/>
        </w:rPr>
        <w:t xml:space="preserve">require new or supplemental </w:t>
      </w:r>
      <w:r w:rsidRPr="00DB7156">
        <w:rPr>
          <w:rFonts w:ascii="Arial" w:hAnsi="Arial" w:cs="Arial"/>
          <w:sz w:val="24"/>
          <w:szCs w:val="24"/>
        </w:rPr>
        <w:t xml:space="preserve">wastewater treatment on multiple waste streams </w:t>
      </w:r>
      <w:r w:rsidR="00DA59AE" w:rsidRPr="00DB7156">
        <w:rPr>
          <w:rFonts w:ascii="Arial" w:hAnsi="Arial" w:cs="Arial"/>
          <w:sz w:val="24"/>
          <w:szCs w:val="24"/>
        </w:rPr>
        <w:t xml:space="preserve">at </w:t>
      </w:r>
      <w:r w:rsidR="00EC3E67" w:rsidRPr="00DB7156">
        <w:rPr>
          <w:rFonts w:ascii="Arial" w:hAnsi="Arial" w:cs="Arial"/>
          <w:sz w:val="24"/>
          <w:szCs w:val="24"/>
        </w:rPr>
        <w:t>G</w:t>
      </w:r>
      <w:r w:rsidR="00FA2C9C" w:rsidRPr="00DB7156">
        <w:rPr>
          <w:rFonts w:ascii="Arial" w:hAnsi="Arial" w:cs="Arial"/>
          <w:sz w:val="24"/>
          <w:szCs w:val="24"/>
        </w:rPr>
        <w:t>eorgia Power</w:t>
      </w:r>
      <w:r w:rsidR="00EC3E67" w:rsidRPr="00DB7156">
        <w:rPr>
          <w:rFonts w:ascii="Arial" w:hAnsi="Arial" w:cs="Arial"/>
          <w:sz w:val="24"/>
          <w:szCs w:val="24"/>
        </w:rPr>
        <w:t xml:space="preserve"> plants</w:t>
      </w:r>
      <w:r w:rsidRPr="00DB7156">
        <w:rPr>
          <w:rFonts w:ascii="Arial" w:hAnsi="Arial" w:cs="Arial"/>
          <w:sz w:val="24"/>
          <w:szCs w:val="24"/>
        </w:rPr>
        <w:t xml:space="preserve">. </w:t>
      </w:r>
      <w:r w:rsidR="00936869" w:rsidRPr="00DB7156">
        <w:rPr>
          <w:rFonts w:ascii="Arial" w:hAnsi="Arial" w:cs="Arial"/>
          <w:sz w:val="24"/>
          <w:szCs w:val="24"/>
        </w:rPr>
        <w:t>The final</w:t>
      </w:r>
      <w:r w:rsidR="0097720D" w:rsidRPr="00DB7156">
        <w:rPr>
          <w:rFonts w:ascii="Arial" w:hAnsi="Arial" w:cs="Arial"/>
          <w:sz w:val="24"/>
          <w:szCs w:val="24"/>
        </w:rPr>
        <w:t xml:space="preserve"> </w:t>
      </w:r>
      <w:r w:rsidR="000E1909" w:rsidRPr="00DB7156">
        <w:rPr>
          <w:rFonts w:ascii="Arial" w:hAnsi="Arial" w:cs="Arial"/>
          <w:sz w:val="24"/>
          <w:szCs w:val="24"/>
        </w:rPr>
        <w:t>ELG</w:t>
      </w:r>
      <w:r w:rsidR="001C14B2" w:rsidRPr="00DB7156">
        <w:rPr>
          <w:rFonts w:ascii="Arial" w:hAnsi="Arial" w:cs="Arial"/>
          <w:sz w:val="24"/>
          <w:szCs w:val="24"/>
        </w:rPr>
        <w:t xml:space="preserve"> </w:t>
      </w:r>
      <w:r w:rsidR="006474FB">
        <w:rPr>
          <w:rFonts w:ascii="Arial" w:hAnsi="Arial" w:cs="Arial"/>
          <w:sz w:val="24"/>
          <w:szCs w:val="24"/>
        </w:rPr>
        <w:t>R</w:t>
      </w:r>
      <w:r w:rsidR="00286EFF" w:rsidRPr="00DB7156">
        <w:rPr>
          <w:rFonts w:ascii="Arial" w:hAnsi="Arial" w:cs="Arial"/>
          <w:sz w:val="24"/>
          <w:szCs w:val="24"/>
        </w:rPr>
        <w:t xml:space="preserve">ule </w:t>
      </w:r>
      <w:r w:rsidR="001C14B2" w:rsidRPr="00DB7156">
        <w:rPr>
          <w:rFonts w:ascii="Arial" w:hAnsi="Arial" w:cs="Arial"/>
          <w:sz w:val="24"/>
          <w:szCs w:val="24"/>
        </w:rPr>
        <w:t>include</w:t>
      </w:r>
      <w:r w:rsidR="00286EFF" w:rsidRPr="00DB7156">
        <w:rPr>
          <w:rFonts w:ascii="Arial" w:hAnsi="Arial" w:cs="Arial"/>
          <w:sz w:val="24"/>
          <w:szCs w:val="24"/>
        </w:rPr>
        <w:t>s</w:t>
      </w:r>
      <w:r w:rsidR="001C14B2" w:rsidRPr="00DB7156">
        <w:rPr>
          <w:rFonts w:ascii="Arial" w:hAnsi="Arial" w:cs="Arial"/>
          <w:sz w:val="24"/>
          <w:szCs w:val="24"/>
        </w:rPr>
        <w:t xml:space="preserve"> stringent </w:t>
      </w:r>
      <w:r w:rsidR="009E13D5">
        <w:rPr>
          <w:rFonts w:ascii="Arial" w:hAnsi="Arial" w:cs="Arial"/>
          <w:sz w:val="24"/>
          <w:szCs w:val="24"/>
        </w:rPr>
        <w:t>requirements</w:t>
      </w:r>
      <w:r w:rsidR="00284F32">
        <w:rPr>
          <w:rFonts w:ascii="Arial" w:hAnsi="Arial" w:cs="Arial"/>
          <w:sz w:val="24"/>
          <w:szCs w:val="24"/>
        </w:rPr>
        <w:t xml:space="preserve"> for</w:t>
      </w:r>
      <w:r w:rsidR="00284F32" w:rsidRPr="00DB7156">
        <w:rPr>
          <w:rFonts w:ascii="Arial" w:hAnsi="Arial" w:cs="Arial"/>
          <w:sz w:val="24"/>
          <w:szCs w:val="24"/>
        </w:rPr>
        <w:t xml:space="preserve"> handling of fly ash, bottom ash, and landfill leachate. </w:t>
      </w:r>
      <w:r w:rsidR="00284F32">
        <w:rPr>
          <w:rFonts w:ascii="Arial" w:hAnsi="Arial" w:cs="Arial"/>
          <w:sz w:val="24"/>
          <w:szCs w:val="24"/>
        </w:rPr>
        <w:t xml:space="preserve">In addition, the rule includes </w:t>
      </w:r>
      <w:r w:rsidR="001C14B2" w:rsidRPr="00DB7156">
        <w:rPr>
          <w:rFonts w:ascii="Arial" w:hAnsi="Arial" w:cs="Arial"/>
          <w:sz w:val="24"/>
          <w:szCs w:val="24"/>
        </w:rPr>
        <w:t>wastewater treatment limits</w:t>
      </w:r>
      <w:r w:rsidR="00B94DF7" w:rsidRPr="00DB7156">
        <w:rPr>
          <w:rFonts w:ascii="Arial" w:hAnsi="Arial" w:cs="Arial"/>
          <w:sz w:val="24"/>
          <w:szCs w:val="24"/>
        </w:rPr>
        <w:t xml:space="preserve"> for </w:t>
      </w:r>
      <w:r w:rsidR="00E35BBB">
        <w:rPr>
          <w:rFonts w:ascii="Arial" w:hAnsi="Arial" w:cs="Arial"/>
          <w:sz w:val="24"/>
          <w:szCs w:val="24"/>
        </w:rPr>
        <w:t xml:space="preserve">installed and operational </w:t>
      </w:r>
      <w:r w:rsidR="0044567E">
        <w:rPr>
          <w:rFonts w:ascii="Arial" w:hAnsi="Arial" w:cs="Arial"/>
          <w:sz w:val="24"/>
          <w:szCs w:val="24"/>
        </w:rPr>
        <w:t>FGD</w:t>
      </w:r>
      <w:r w:rsidR="00100204" w:rsidRPr="00DB7156">
        <w:rPr>
          <w:rFonts w:ascii="Arial" w:hAnsi="Arial" w:cs="Arial"/>
          <w:sz w:val="24"/>
          <w:szCs w:val="24"/>
        </w:rPr>
        <w:t>s</w:t>
      </w:r>
      <w:r w:rsidR="00B94DF7" w:rsidRPr="00DB7156">
        <w:rPr>
          <w:rFonts w:ascii="Arial" w:hAnsi="Arial" w:cs="Arial"/>
          <w:sz w:val="24"/>
          <w:szCs w:val="24"/>
        </w:rPr>
        <w:t xml:space="preserve"> across the Georgia Power system</w:t>
      </w:r>
      <w:r w:rsidR="0097720D" w:rsidRPr="00DB7156">
        <w:rPr>
          <w:rFonts w:ascii="Arial" w:hAnsi="Arial" w:cs="Arial"/>
          <w:sz w:val="24"/>
          <w:szCs w:val="24"/>
        </w:rPr>
        <w:t>.</w:t>
      </w:r>
      <w:r w:rsidR="00C04B03" w:rsidRPr="00DB7156">
        <w:rPr>
          <w:rFonts w:ascii="Arial" w:hAnsi="Arial" w:cs="Arial"/>
          <w:sz w:val="24"/>
          <w:szCs w:val="24"/>
        </w:rPr>
        <w:t xml:space="preserve"> </w:t>
      </w:r>
      <w:r w:rsidR="001B379E">
        <w:rPr>
          <w:rFonts w:ascii="Arial" w:hAnsi="Arial" w:cs="Arial"/>
          <w:sz w:val="24"/>
        </w:rPr>
        <w:t xml:space="preserve">The Company’s compliance strategy for the ELG and CCR </w:t>
      </w:r>
      <w:r w:rsidR="00B27E45">
        <w:rPr>
          <w:rFonts w:ascii="Arial" w:hAnsi="Arial" w:cs="Arial"/>
          <w:sz w:val="24"/>
        </w:rPr>
        <w:t>R</w:t>
      </w:r>
      <w:r w:rsidR="001B379E">
        <w:rPr>
          <w:rFonts w:ascii="Arial" w:hAnsi="Arial" w:cs="Arial"/>
          <w:sz w:val="24"/>
        </w:rPr>
        <w:t>ules builds on and refines the Commission</w:t>
      </w:r>
      <w:r w:rsidR="00824F6A">
        <w:rPr>
          <w:rFonts w:ascii="Arial" w:hAnsi="Arial" w:cs="Arial"/>
          <w:sz w:val="24"/>
        </w:rPr>
        <w:t>-</w:t>
      </w:r>
      <w:r w:rsidR="001B379E">
        <w:rPr>
          <w:rFonts w:ascii="Arial" w:hAnsi="Arial" w:cs="Arial"/>
          <w:sz w:val="24"/>
        </w:rPr>
        <w:t xml:space="preserve">approved ECS in the 2016 IRP filing (Docket No. 40161) as well as the Company’s 2017 ECS filing with the Commission. </w:t>
      </w:r>
      <w:r w:rsidR="001B379E" w:rsidRPr="00DB7156">
        <w:rPr>
          <w:rFonts w:ascii="Arial" w:hAnsi="Arial" w:cs="Arial"/>
          <w:sz w:val="24"/>
        </w:rPr>
        <w:t xml:space="preserve">These requirements are being incorporated in Georgia Power’s NPDES permits </w:t>
      </w:r>
      <w:r w:rsidR="00E41C00">
        <w:rPr>
          <w:rFonts w:ascii="Arial" w:hAnsi="Arial" w:cs="Arial"/>
          <w:sz w:val="24"/>
        </w:rPr>
        <w:t xml:space="preserve">by </w:t>
      </w:r>
      <w:r w:rsidR="001B379E" w:rsidRPr="00DB7156">
        <w:rPr>
          <w:rFonts w:ascii="Arial" w:hAnsi="Arial" w:cs="Arial"/>
          <w:sz w:val="24"/>
        </w:rPr>
        <w:t xml:space="preserve">state regulators </w:t>
      </w:r>
      <w:r w:rsidR="00824F6A">
        <w:rPr>
          <w:rFonts w:ascii="Arial" w:hAnsi="Arial" w:cs="Arial"/>
          <w:sz w:val="24"/>
        </w:rPr>
        <w:t>with</w:t>
      </w:r>
      <w:r w:rsidR="00824F6A" w:rsidRPr="00DB7156">
        <w:rPr>
          <w:rFonts w:ascii="Arial" w:hAnsi="Arial" w:cs="Arial"/>
          <w:sz w:val="24"/>
        </w:rPr>
        <w:t xml:space="preserve"> </w:t>
      </w:r>
      <w:r w:rsidR="001B379E" w:rsidRPr="00DB7156">
        <w:rPr>
          <w:rFonts w:ascii="Arial" w:hAnsi="Arial" w:cs="Arial"/>
          <w:sz w:val="24"/>
        </w:rPr>
        <w:t>allow</w:t>
      </w:r>
      <w:r w:rsidR="00824F6A">
        <w:rPr>
          <w:rFonts w:ascii="Arial" w:hAnsi="Arial" w:cs="Arial"/>
          <w:sz w:val="24"/>
        </w:rPr>
        <w:t>ance</w:t>
      </w:r>
      <w:r w:rsidR="001B379E" w:rsidRPr="00DB7156">
        <w:rPr>
          <w:rFonts w:ascii="Arial" w:hAnsi="Arial" w:cs="Arial"/>
          <w:sz w:val="24"/>
        </w:rPr>
        <w:t xml:space="preserve"> for changes necessitated by the ELG </w:t>
      </w:r>
      <w:r w:rsidR="001B379E" w:rsidRPr="00DB7156">
        <w:rPr>
          <w:rFonts w:ascii="Arial" w:eastAsia="Calibri" w:hAnsi="Arial" w:cs="Arial"/>
          <w:sz w:val="24"/>
        </w:rPr>
        <w:t>Postponement Rule</w:t>
      </w:r>
      <w:r w:rsidR="001B379E" w:rsidRPr="00DB7156">
        <w:rPr>
          <w:rFonts w:ascii="Arial" w:hAnsi="Arial" w:cs="Arial"/>
          <w:sz w:val="24"/>
        </w:rPr>
        <w:t xml:space="preserve">. </w:t>
      </w:r>
    </w:p>
    <w:p w14:paraId="2604637D" w14:textId="77777777" w:rsidR="001B379E" w:rsidRPr="00DB7156" w:rsidRDefault="001B379E" w:rsidP="001B379E">
      <w:pPr>
        <w:tabs>
          <w:tab w:val="center" w:pos="4392"/>
        </w:tabs>
        <w:suppressAutoHyphens/>
        <w:spacing w:after="0" w:line="240" w:lineRule="auto"/>
        <w:jc w:val="both"/>
        <w:rPr>
          <w:rFonts w:ascii="Arial" w:hAnsi="Arial" w:cs="Arial"/>
          <w:sz w:val="24"/>
        </w:rPr>
      </w:pPr>
    </w:p>
    <w:p w14:paraId="51B94741" w14:textId="2AF1129A" w:rsidR="00522684" w:rsidRDefault="00284F32" w:rsidP="00284F32">
      <w:pPr>
        <w:tabs>
          <w:tab w:val="center" w:pos="4392"/>
        </w:tabs>
        <w:suppressAutoHyphens/>
        <w:spacing w:after="0" w:line="240" w:lineRule="auto"/>
        <w:jc w:val="both"/>
        <w:rPr>
          <w:rFonts w:ascii="Arial" w:hAnsi="Arial" w:cs="Arial"/>
          <w:sz w:val="28"/>
        </w:rPr>
      </w:pPr>
      <w:r>
        <w:rPr>
          <w:rFonts w:ascii="Arial" w:hAnsi="Arial" w:cs="Arial"/>
          <w:sz w:val="24"/>
        </w:rPr>
        <w:t xml:space="preserve">As discussed in Section 2.15, the ELG Rule requires zero discharge of ash transport water, which requires ash handling conversions be implemented. These conversions can be either ‘wet’ or ‘dry’ but must meet the zero discharge standard. The Company’s strategy for compliance for fly ash includes conversions to pneumatic (dry handling) systems that convey ash via vacuum/blowers to collection hoppers and silos for </w:t>
      </w:r>
      <w:r w:rsidR="00B1460F">
        <w:rPr>
          <w:rFonts w:ascii="Arial" w:hAnsi="Arial" w:cs="Arial"/>
          <w:sz w:val="24"/>
        </w:rPr>
        <w:t xml:space="preserve">reuse or </w:t>
      </w:r>
      <w:r>
        <w:rPr>
          <w:rFonts w:ascii="Arial" w:hAnsi="Arial" w:cs="Arial"/>
          <w:sz w:val="24"/>
        </w:rPr>
        <w:t>disposal at Plants Bowen, Scherer, a</w:t>
      </w:r>
      <w:r w:rsidR="00EB7E25">
        <w:rPr>
          <w:rFonts w:ascii="Arial" w:hAnsi="Arial" w:cs="Arial"/>
          <w:sz w:val="24"/>
        </w:rPr>
        <w:t>nd Wansley. Similarly, the ELG R</w:t>
      </w:r>
      <w:r>
        <w:rPr>
          <w:rFonts w:ascii="Arial" w:hAnsi="Arial" w:cs="Arial"/>
          <w:sz w:val="24"/>
        </w:rPr>
        <w:t>ule requires zero discharge of bottom ash and compliance options include conversions that are more complex and require significant site-specific analysis related to coal type, water volumes, space availability and boiler lay-out. Based upon these considerations, the conversions may be ‘wet’ or ‘dry’</w:t>
      </w:r>
      <w:r w:rsidR="000C09E9">
        <w:rPr>
          <w:rFonts w:ascii="Arial" w:hAnsi="Arial" w:cs="Arial"/>
          <w:sz w:val="24"/>
        </w:rPr>
        <w:t>, but must result in zero discharge</w:t>
      </w:r>
      <w:r>
        <w:rPr>
          <w:rFonts w:ascii="Arial" w:hAnsi="Arial" w:cs="Arial"/>
          <w:sz w:val="24"/>
        </w:rPr>
        <w:t>. The two primary technology options for bottom ash handling are either an under</w:t>
      </w:r>
      <w:r w:rsidR="000C09E9">
        <w:rPr>
          <w:rFonts w:ascii="Arial" w:hAnsi="Arial" w:cs="Arial"/>
          <w:sz w:val="24"/>
        </w:rPr>
        <w:t>-</w:t>
      </w:r>
      <w:r>
        <w:rPr>
          <w:rFonts w:ascii="Arial" w:hAnsi="Arial" w:cs="Arial"/>
          <w:sz w:val="24"/>
        </w:rPr>
        <w:t xml:space="preserve">boiler or remote system, which will primarily be determined by space availability and headroom constraints under the boiler. The Company’s strategy for bottom ash transport water compliance is </w:t>
      </w:r>
      <w:r w:rsidR="00F90AAD" w:rsidRPr="00F90AAD">
        <w:rPr>
          <w:rFonts w:ascii="Arial" w:hAnsi="Arial" w:cs="Arial"/>
          <w:b/>
          <w:sz w:val="18"/>
          <w:szCs w:val="24"/>
        </w:rPr>
        <w:t xml:space="preserve">REDACTED REDACTED </w:t>
      </w:r>
      <w:r w:rsidR="00F90AAD" w:rsidRPr="00F90AAD">
        <w:rPr>
          <w:rFonts w:ascii="Arial" w:hAnsi="Arial" w:cs="Arial"/>
          <w:b/>
          <w:szCs w:val="24"/>
        </w:rPr>
        <w:t xml:space="preserve">REDACTED REDACTED REDACTED REDACTED REDACTED REDACTED REDACTED </w:t>
      </w:r>
      <w:r w:rsidR="00F90AAD" w:rsidRPr="00747301">
        <w:rPr>
          <w:rFonts w:ascii="Arial" w:hAnsi="Arial" w:cs="Arial"/>
          <w:b/>
          <w:sz w:val="20"/>
          <w:szCs w:val="24"/>
        </w:rPr>
        <w:t>REDACTED REDACTED REDACTED REDACTED</w:t>
      </w:r>
      <w:r w:rsidR="00F90AAD" w:rsidRPr="00747301">
        <w:rPr>
          <w:rFonts w:ascii="Arial" w:hAnsi="Arial" w:cs="Arial"/>
        </w:rPr>
        <w:t xml:space="preserve"> </w:t>
      </w:r>
      <w:r w:rsidR="00F90AAD" w:rsidRPr="00747301">
        <w:rPr>
          <w:rFonts w:ascii="Arial" w:hAnsi="Arial" w:cs="Arial"/>
          <w:b/>
          <w:sz w:val="20"/>
          <w:szCs w:val="24"/>
        </w:rPr>
        <w:t>REDACTED</w:t>
      </w:r>
      <w:r w:rsidR="00F90AAD" w:rsidRPr="00747301">
        <w:rPr>
          <w:rFonts w:ascii="Arial" w:hAnsi="Arial" w:cs="Arial"/>
        </w:rPr>
        <w:t xml:space="preserve"> </w:t>
      </w:r>
      <w:r w:rsidRPr="00FC3BBB">
        <w:rPr>
          <w:rFonts w:ascii="Arial" w:hAnsi="Arial" w:cs="Arial"/>
          <w:sz w:val="24"/>
        </w:rPr>
        <w:t>If the Georgia PSC approves the request for decertification</w:t>
      </w:r>
      <w:r w:rsidR="00F90AAD" w:rsidRPr="00F90AAD">
        <w:rPr>
          <w:rFonts w:ascii="Arial" w:hAnsi="Arial" w:cs="Arial"/>
          <w:b/>
          <w:szCs w:val="24"/>
        </w:rPr>
        <w:t xml:space="preserve"> REDACTED REDACTED REDACTED</w:t>
      </w:r>
      <w:r w:rsidR="00F90AAD" w:rsidRPr="00F90AAD">
        <w:rPr>
          <w:rFonts w:ascii="Arial" w:hAnsi="Arial" w:cs="Arial"/>
          <w:sz w:val="24"/>
        </w:rPr>
        <w:t xml:space="preserve"> </w:t>
      </w:r>
      <w:r w:rsidR="00F90AAD" w:rsidRPr="00F90AAD">
        <w:rPr>
          <w:rFonts w:ascii="Arial" w:hAnsi="Arial" w:cs="Arial"/>
          <w:b/>
          <w:szCs w:val="24"/>
        </w:rPr>
        <w:t>REDACTED</w:t>
      </w:r>
      <w:r w:rsidR="00F90AAD" w:rsidRPr="00F90AAD">
        <w:rPr>
          <w:rFonts w:ascii="Arial" w:hAnsi="Arial" w:cs="Arial"/>
          <w:sz w:val="24"/>
        </w:rPr>
        <w:t xml:space="preserve"> </w:t>
      </w:r>
      <w:r w:rsidR="00F90AAD" w:rsidRPr="00F90AAD">
        <w:rPr>
          <w:rFonts w:ascii="Arial" w:hAnsi="Arial" w:cs="Arial"/>
          <w:b/>
          <w:szCs w:val="24"/>
        </w:rPr>
        <w:t>REDACTED</w:t>
      </w:r>
      <w:r w:rsidR="00F90AAD" w:rsidRPr="00F90AAD">
        <w:rPr>
          <w:rFonts w:ascii="Arial" w:hAnsi="Arial" w:cs="Arial"/>
          <w:sz w:val="24"/>
        </w:rPr>
        <w:t xml:space="preserve"> </w:t>
      </w:r>
      <w:r w:rsidR="00F90AAD" w:rsidRPr="00F90AAD">
        <w:rPr>
          <w:rFonts w:ascii="Arial" w:hAnsi="Arial" w:cs="Arial"/>
          <w:b/>
          <w:szCs w:val="24"/>
        </w:rPr>
        <w:t>REDACTED</w:t>
      </w:r>
      <w:r w:rsidR="00F90AAD" w:rsidRPr="00F90AAD">
        <w:rPr>
          <w:rFonts w:ascii="Arial" w:hAnsi="Arial" w:cs="Arial"/>
          <w:sz w:val="24"/>
        </w:rPr>
        <w:t xml:space="preserve"> </w:t>
      </w:r>
      <w:r w:rsidR="00F90AAD" w:rsidRPr="00F90AAD">
        <w:rPr>
          <w:rFonts w:ascii="Arial" w:hAnsi="Arial" w:cs="Arial"/>
          <w:b/>
          <w:szCs w:val="24"/>
        </w:rPr>
        <w:t>REDACTED</w:t>
      </w:r>
      <w:r w:rsidR="00F90AAD" w:rsidRPr="00F90AAD">
        <w:rPr>
          <w:rFonts w:ascii="Arial" w:hAnsi="Arial" w:cs="Arial"/>
          <w:sz w:val="24"/>
        </w:rPr>
        <w:t xml:space="preserve"> </w:t>
      </w:r>
      <w:r w:rsidR="00F90AAD" w:rsidRPr="00F90AAD">
        <w:rPr>
          <w:rFonts w:ascii="Arial" w:hAnsi="Arial" w:cs="Arial"/>
          <w:b/>
          <w:szCs w:val="24"/>
        </w:rPr>
        <w:t>REDACTED</w:t>
      </w:r>
      <w:r w:rsidR="00F90AAD" w:rsidRPr="00F90AAD">
        <w:rPr>
          <w:rFonts w:ascii="Arial" w:hAnsi="Arial" w:cs="Arial"/>
          <w:sz w:val="24"/>
        </w:rPr>
        <w:t xml:space="preserve"> </w:t>
      </w:r>
      <w:r w:rsidR="00747301">
        <w:rPr>
          <w:rFonts w:ascii="Arial" w:hAnsi="Arial" w:cs="Arial"/>
          <w:b/>
        </w:rPr>
        <w:t xml:space="preserve">REDACTED </w:t>
      </w:r>
      <w:r w:rsidRPr="00FC3BBB">
        <w:rPr>
          <w:rFonts w:ascii="Arial" w:hAnsi="Arial" w:cs="Arial"/>
          <w:sz w:val="24"/>
        </w:rPr>
        <w:t>If decertification is not approved for Plant</w:t>
      </w:r>
      <w:r w:rsidR="00B27E45">
        <w:rPr>
          <w:rFonts w:ascii="Arial" w:hAnsi="Arial" w:cs="Arial"/>
          <w:sz w:val="24"/>
        </w:rPr>
        <w:t>s</w:t>
      </w:r>
      <w:r w:rsidRPr="00FC3BBB">
        <w:rPr>
          <w:rFonts w:ascii="Arial" w:hAnsi="Arial" w:cs="Arial"/>
          <w:sz w:val="24"/>
        </w:rPr>
        <w:t xml:space="preserve"> Hammond and McIntosh Unit 1</w:t>
      </w:r>
      <w:r w:rsidR="00522684" w:rsidRPr="00F90AAD">
        <w:rPr>
          <w:rFonts w:ascii="Arial" w:hAnsi="Arial" w:cs="Arial"/>
          <w:sz w:val="24"/>
        </w:rPr>
        <w:t xml:space="preserve"> </w:t>
      </w:r>
      <w:r w:rsidR="00522684" w:rsidRPr="00522684">
        <w:rPr>
          <w:rFonts w:ascii="Arial" w:hAnsi="Arial" w:cs="Arial"/>
          <w:b/>
          <w:szCs w:val="24"/>
        </w:rPr>
        <w:t>REDACTED</w:t>
      </w:r>
      <w:r w:rsidR="00522684" w:rsidRPr="00522684">
        <w:rPr>
          <w:rFonts w:ascii="Arial" w:hAnsi="Arial" w:cs="Arial"/>
          <w:sz w:val="24"/>
        </w:rPr>
        <w:t xml:space="preserve"> </w:t>
      </w:r>
      <w:r w:rsidR="00522684" w:rsidRPr="00522684">
        <w:rPr>
          <w:rFonts w:ascii="Arial" w:hAnsi="Arial" w:cs="Arial"/>
          <w:b/>
          <w:szCs w:val="24"/>
        </w:rPr>
        <w:t>REDACTED</w:t>
      </w:r>
      <w:r w:rsidR="00522684" w:rsidRPr="00522684">
        <w:rPr>
          <w:rFonts w:ascii="Arial" w:hAnsi="Arial" w:cs="Arial"/>
          <w:sz w:val="24"/>
        </w:rPr>
        <w:t xml:space="preserve"> </w:t>
      </w:r>
      <w:r w:rsidR="00522684" w:rsidRPr="00522684">
        <w:rPr>
          <w:rFonts w:ascii="Arial" w:hAnsi="Arial" w:cs="Arial"/>
          <w:b/>
          <w:szCs w:val="24"/>
        </w:rPr>
        <w:t>REDACTED</w:t>
      </w:r>
      <w:r w:rsidR="00522684" w:rsidRPr="00522684">
        <w:rPr>
          <w:rFonts w:ascii="Arial" w:hAnsi="Arial" w:cs="Arial"/>
          <w:b/>
          <w:sz w:val="24"/>
          <w:szCs w:val="24"/>
        </w:rPr>
        <w:t xml:space="preserve"> </w:t>
      </w:r>
      <w:r w:rsidR="00522684" w:rsidRPr="00522684">
        <w:rPr>
          <w:rFonts w:ascii="Arial" w:hAnsi="Arial" w:cs="Arial"/>
          <w:b/>
          <w:szCs w:val="24"/>
        </w:rPr>
        <w:t>REDACTED</w:t>
      </w:r>
      <w:r w:rsidR="00522684" w:rsidRPr="00522684">
        <w:rPr>
          <w:rFonts w:ascii="Arial" w:hAnsi="Arial" w:cs="Arial"/>
          <w:b/>
          <w:sz w:val="24"/>
          <w:szCs w:val="24"/>
        </w:rPr>
        <w:t xml:space="preserve"> 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r w:rsidR="00522684" w:rsidRPr="00522684">
        <w:rPr>
          <w:rFonts w:ascii="Arial" w:hAnsi="Arial" w:cs="Arial"/>
          <w:b/>
          <w:sz w:val="24"/>
          <w:szCs w:val="24"/>
        </w:rPr>
        <w:t>REDACTED</w:t>
      </w:r>
      <w:r w:rsidR="00522684" w:rsidRPr="00522684">
        <w:rPr>
          <w:rFonts w:ascii="Arial" w:hAnsi="Arial" w:cs="Arial"/>
          <w:sz w:val="28"/>
        </w:rPr>
        <w:t xml:space="preserve"> </w:t>
      </w:r>
    </w:p>
    <w:p w14:paraId="2205F514" w14:textId="77777777" w:rsidR="00522684" w:rsidRDefault="00522684" w:rsidP="00284F32">
      <w:pPr>
        <w:tabs>
          <w:tab w:val="center" w:pos="4392"/>
        </w:tabs>
        <w:suppressAutoHyphens/>
        <w:spacing w:after="0" w:line="240" w:lineRule="auto"/>
        <w:jc w:val="both"/>
        <w:rPr>
          <w:rFonts w:ascii="Arial" w:hAnsi="Arial" w:cs="Arial"/>
          <w:sz w:val="24"/>
        </w:rPr>
      </w:pPr>
    </w:p>
    <w:p w14:paraId="79AE695B" w14:textId="22BB5177" w:rsidR="001F500F" w:rsidRDefault="00522684" w:rsidP="00DB7156">
      <w:pPr>
        <w:tabs>
          <w:tab w:val="center" w:pos="4392"/>
        </w:tabs>
        <w:suppressAutoHyphens/>
        <w:spacing w:after="0" w:line="240" w:lineRule="auto"/>
        <w:jc w:val="both"/>
        <w:rPr>
          <w:rFonts w:ascii="Arial" w:hAnsi="Arial" w:cs="Arial"/>
          <w:sz w:val="24"/>
        </w:rPr>
      </w:pP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Cs w:val="24"/>
        </w:rPr>
        <w:t>REDACTED</w:t>
      </w:r>
      <w:r w:rsidRPr="00522684">
        <w:rPr>
          <w:rFonts w:ascii="Arial" w:hAnsi="Arial" w:cs="Arial"/>
        </w:rPr>
        <w:t xml:space="preserve"> </w:t>
      </w:r>
      <w:r w:rsidRPr="00522684">
        <w:rPr>
          <w:rFonts w:ascii="Arial" w:hAnsi="Arial" w:cs="Arial"/>
          <w:b/>
          <w:szCs w:val="24"/>
        </w:rPr>
        <w:t>REDACTED</w:t>
      </w:r>
      <w:r w:rsidRPr="00522684">
        <w:rPr>
          <w:rFonts w:ascii="Arial" w:hAnsi="Arial" w:cs="Arial"/>
        </w:rPr>
        <w:t xml:space="preserve"> </w:t>
      </w:r>
      <w:r w:rsidRPr="00522684">
        <w:rPr>
          <w:rFonts w:ascii="Arial" w:hAnsi="Arial" w:cs="Arial"/>
          <w:b/>
          <w:szCs w:val="24"/>
        </w:rPr>
        <w:t>REDACTED</w:t>
      </w:r>
      <w:r w:rsidRPr="00522684">
        <w:rPr>
          <w:rFonts w:ascii="Arial" w:hAnsi="Arial" w:cs="Arial"/>
        </w:rPr>
        <w:t xml:space="preserve"> </w:t>
      </w:r>
      <w:r w:rsidR="00283333">
        <w:rPr>
          <w:rFonts w:ascii="Arial" w:hAnsi="Arial" w:cs="Arial"/>
          <w:sz w:val="24"/>
        </w:rPr>
        <w:t xml:space="preserve">Because </w:t>
      </w:r>
      <w:r w:rsidR="00283333">
        <w:rPr>
          <w:rFonts w:ascii="Arial" w:hAnsi="Arial" w:cs="Arial"/>
          <w:sz w:val="24"/>
          <w:szCs w:val="24"/>
          <w:lang w:val="en"/>
        </w:rPr>
        <w:t>th</w:t>
      </w:r>
      <w:r w:rsidR="00EB7E25">
        <w:rPr>
          <w:rFonts w:ascii="Arial" w:hAnsi="Arial" w:cs="Arial"/>
          <w:sz w:val="24"/>
          <w:szCs w:val="24"/>
          <w:lang w:val="en"/>
        </w:rPr>
        <w:t>e ELG R</w:t>
      </w:r>
      <w:r w:rsidR="00283333">
        <w:rPr>
          <w:rFonts w:ascii="Arial" w:hAnsi="Arial" w:cs="Arial"/>
          <w:sz w:val="24"/>
          <w:szCs w:val="24"/>
          <w:lang w:val="en"/>
        </w:rPr>
        <w:t>ule regulates other wastewater streams from coal-fired plants to include low volume wastewater</w:t>
      </w:r>
      <w:r w:rsidR="00E30677">
        <w:rPr>
          <w:rFonts w:ascii="Arial" w:hAnsi="Arial" w:cs="Arial"/>
          <w:sz w:val="24"/>
          <w:szCs w:val="24"/>
          <w:lang w:val="en"/>
        </w:rPr>
        <w:t xml:space="preserve"> (“LVW”)</w:t>
      </w:r>
      <w:r w:rsidR="00283333">
        <w:rPr>
          <w:rFonts w:ascii="Arial" w:hAnsi="Arial" w:cs="Arial"/>
          <w:sz w:val="24"/>
          <w:szCs w:val="24"/>
          <w:lang w:val="en"/>
        </w:rPr>
        <w:t>, combustion residual lechate, and coal pile runoff</w:t>
      </w:r>
      <w:r w:rsidRPr="00522684">
        <w:rPr>
          <w:rFonts w:ascii="Arial" w:hAnsi="Arial" w:cs="Arial"/>
          <w:b/>
          <w:sz w:val="24"/>
          <w:szCs w:val="24"/>
        </w:rPr>
        <w:t xml:space="preserve">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 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r>
        <w:rPr>
          <w:rFonts w:ascii="Arial" w:hAnsi="Arial" w:cs="Arial"/>
          <w:sz w:val="24"/>
        </w:rPr>
        <w:t xml:space="preserve"> </w:t>
      </w:r>
      <w:r w:rsidRPr="00522684">
        <w:rPr>
          <w:rFonts w:ascii="Arial" w:hAnsi="Arial" w:cs="Arial"/>
          <w:b/>
          <w:sz w:val="24"/>
          <w:szCs w:val="24"/>
        </w:rPr>
        <w:t>REDACTED</w:t>
      </w:r>
    </w:p>
    <w:p w14:paraId="0730FE07" w14:textId="77777777" w:rsidR="00522684" w:rsidRDefault="00522684" w:rsidP="00DB7156">
      <w:pPr>
        <w:tabs>
          <w:tab w:val="center" w:pos="4392"/>
        </w:tabs>
        <w:suppressAutoHyphens/>
        <w:spacing w:after="0" w:line="240" w:lineRule="auto"/>
        <w:jc w:val="both"/>
        <w:rPr>
          <w:rFonts w:ascii="Arial" w:hAnsi="Arial" w:cs="Arial"/>
          <w:sz w:val="24"/>
        </w:rPr>
      </w:pPr>
    </w:p>
    <w:p w14:paraId="35145197" w14:textId="72A15BF9" w:rsidR="001F500F" w:rsidRDefault="001F500F" w:rsidP="00DB7156">
      <w:pPr>
        <w:tabs>
          <w:tab w:val="center" w:pos="4392"/>
        </w:tabs>
        <w:suppressAutoHyphens/>
        <w:spacing w:after="0" w:line="240" w:lineRule="auto"/>
        <w:jc w:val="both"/>
        <w:rPr>
          <w:rFonts w:ascii="Arial" w:hAnsi="Arial" w:cs="Arial"/>
          <w:sz w:val="24"/>
          <w:szCs w:val="24"/>
        </w:rPr>
      </w:pPr>
      <w:bookmarkStart w:id="211" w:name="_Hlk534541301"/>
      <w:r w:rsidRPr="00AC20C4">
        <w:rPr>
          <w:rFonts w:ascii="Arial" w:hAnsi="Arial" w:cs="Arial"/>
          <w:sz w:val="24"/>
          <w:szCs w:val="24"/>
        </w:rPr>
        <w:t>If the Georgia PSC approves the request for decertification</w:t>
      </w:r>
      <w:r w:rsidR="00522684" w:rsidRPr="00522684">
        <w:rPr>
          <w:rFonts w:ascii="Arial" w:hAnsi="Arial" w:cs="Arial"/>
          <w:b/>
          <w:sz w:val="24"/>
          <w:szCs w:val="24"/>
        </w:rPr>
        <w:t xml:space="preserve"> REDACTED</w:t>
      </w:r>
      <w:r w:rsidR="00522684">
        <w:rPr>
          <w:rFonts w:ascii="Arial" w:hAnsi="Arial" w:cs="Arial"/>
          <w:sz w:val="24"/>
        </w:rPr>
        <w:t xml:space="preserve"> </w:t>
      </w:r>
      <w:r w:rsidR="00522684" w:rsidRPr="00522684">
        <w:rPr>
          <w:rFonts w:ascii="Arial" w:hAnsi="Arial" w:cs="Arial"/>
          <w:b/>
          <w:sz w:val="24"/>
          <w:szCs w:val="24"/>
        </w:rPr>
        <w:t>REDACTED 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 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 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 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 xml:space="preserve">REDACTED </w:t>
      </w:r>
      <w:r w:rsidR="00522684" w:rsidRPr="00522684">
        <w:rPr>
          <w:rFonts w:ascii="Arial" w:hAnsi="Arial" w:cs="Arial"/>
          <w:b/>
          <w:szCs w:val="24"/>
        </w:rPr>
        <w:t>REDACTED</w:t>
      </w:r>
      <w:r w:rsidR="00522684" w:rsidRPr="00522684">
        <w:rPr>
          <w:rFonts w:ascii="Arial" w:hAnsi="Arial" w:cs="Arial"/>
        </w:rPr>
        <w:t xml:space="preserve"> </w:t>
      </w:r>
      <w:r w:rsidR="00522684" w:rsidRPr="00522684">
        <w:rPr>
          <w:rFonts w:ascii="Arial" w:hAnsi="Arial" w:cs="Arial"/>
          <w:b/>
          <w:szCs w:val="24"/>
        </w:rPr>
        <w:t>REDACTED</w:t>
      </w:r>
      <w:r w:rsidR="00522684" w:rsidRPr="00522684">
        <w:rPr>
          <w:rFonts w:ascii="Arial" w:hAnsi="Arial" w:cs="Arial"/>
        </w:rPr>
        <w:t xml:space="preserve"> </w:t>
      </w:r>
      <w:r w:rsidR="00522684" w:rsidRPr="00522684">
        <w:rPr>
          <w:rFonts w:ascii="Arial" w:hAnsi="Arial" w:cs="Arial"/>
          <w:b/>
          <w:szCs w:val="24"/>
        </w:rPr>
        <w:t xml:space="preserve">REDACTED </w:t>
      </w:r>
      <w:r w:rsidR="00714CBF" w:rsidRPr="00AC20C4">
        <w:rPr>
          <w:rFonts w:ascii="Arial" w:hAnsi="Arial" w:cs="Arial"/>
          <w:sz w:val="24"/>
          <w:szCs w:val="24"/>
        </w:rPr>
        <w:t>If decertification is not approved for Plant</w:t>
      </w:r>
      <w:r w:rsidR="00B27E45">
        <w:rPr>
          <w:rFonts w:ascii="Arial" w:hAnsi="Arial" w:cs="Arial"/>
          <w:sz w:val="24"/>
          <w:szCs w:val="24"/>
        </w:rPr>
        <w:t>s</w:t>
      </w:r>
      <w:r w:rsidR="00714CBF" w:rsidRPr="00AC20C4">
        <w:rPr>
          <w:rFonts w:ascii="Arial" w:hAnsi="Arial" w:cs="Arial"/>
          <w:sz w:val="24"/>
          <w:szCs w:val="24"/>
        </w:rPr>
        <w:t xml:space="preserve"> Hammond and McIntosh Unit 1</w:t>
      </w:r>
      <w:r w:rsidR="00522684" w:rsidRPr="00522684">
        <w:rPr>
          <w:rFonts w:ascii="Arial" w:hAnsi="Arial" w:cs="Arial"/>
          <w:b/>
          <w:sz w:val="24"/>
          <w:szCs w:val="24"/>
        </w:rPr>
        <w:t xml:space="preserve"> REDACTED</w:t>
      </w:r>
      <w:r w:rsidR="00522684">
        <w:rPr>
          <w:rFonts w:ascii="Arial" w:hAnsi="Arial" w:cs="Arial"/>
          <w:sz w:val="24"/>
        </w:rPr>
        <w:t xml:space="preserve"> </w:t>
      </w:r>
      <w:r w:rsidR="00522684" w:rsidRPr="00522684">
        <w:rPr>
          <w:rFonts w:ascii="Arial" w:hAnsi="Arial" w:cs="Arial"/>
          <w:b/>
          <w:sz w:val="24"/>
          <w:szCs w:val="24"/>
        </w:rPr>
        <w:t>REDACTED 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 REDACTED</w:t>
      </w:r>
      <w:r w:rsidR="00522684">
        <w:rPr>
          <w:rFonts w:ascii="Arial" w:hAnsi="Arial" w:cs="Arial"/>
          <w:sz w:val="24"/>
        </w:rPr>
        <w:t xml:space="preserve"> </w:t>
      </w:r>
    </w:p>
    <w:bookmarkEnd w:id="211"/>
    <w:p w14:paraId="3658BB99" w14:textId="77777777" w:rsidR="001F500F" w:rsidRDefault="001F500F" w:rsidP="00DB7156">
      <w:pPr>
        <w:tabs>
          <w:tab w:val="center" w:pos="4392"/>
        </w:tabs>
        <w:suppressAutoHyphens/>
        <w:spacing w:after="0" w:line="240" w:lineRule="auto"/>
        <w:jc w:val="both"/>
        <w:rPr>
          <w:rFonts w:ascii="Arial" w:hAnsi="Arial" w:cs="Arial"/>
          <w:sz w:val="24"/>
        </w:rPr>
      </w:pPr>
    </w:p>
    <w:p w14:paraId="0597040F" w14:textId="24CB76F5" w:rsidR="004161FD" w:rsidRDefault="00B2106B" w:rsidP="00C647A3">
      <w:pPr>
        <w:tabs>
          <w:tab w:val="center" w:pos="4392"/>
        </w:tabs>
        <w:suppressAutoHyphens/>
        <w:spacing w:after="0" w:line="240" w:lineRule="auto"/>
        <w:jc w:val="both"/>
        <w:rPr>
          <w:rFonts w:ascii="Arial" w:hAnsi="Arial" w:cs="Arial"/>
          <w:b/>
          <w:sz w:val="24"/>
          <w:szCs w:val="24"/>
        </w:rPr>
      </w:pPr>
      <w:bookmarkStart w:id="212" w:name="_Hlk530496560"/>
      <w:r>
        <w:rPr>
          <w:rFonts w:ascii="Arial" w:hAnsi="Arial" w:cs="Arial"/>
          <w:sz w:val="24"/>
        </w:rPr>
        <w:t>Finally, d</w:t>
      </w:r>
      <w:r w:rsidR="00601452" w:rsidRPr="00B70385">
        <w:rPr>
          <w:rFonts w:ascii="Arial" w:hAnsi="Arial" w:cs="Arial"/>
          <w:sz w:val="24"/>
        </w:rPr>
        <w:t xml:space="preserve">ue to </w:t>
      </w:r>
      <w:r w:rsidR="00601452">
        <w:rPr>
          <w:rFonts w:ascii="Arial" w:hAnsi="Arial" w:cs="Arial"/>
          <w:sz w:val="24"/>
        </w:rPr>
        <w:t xml:space="preserve">the stringent ELG requirements for FGD wastewater, </w:t>
      </w:r>
      <w:r w:rsidR="00601452" w:rsidRPr="00C67F52">
        <w:rPr>
          <w:rFonts w:ascii="Arial" w:hAnsi="Arial" w:cs="Arial"/>
          <w:sz w:val="24"/>
        </w:rPr>
        <w:t xml:space="preserve">the strategy includes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b/>
          <w:sz w:val="24"/>
          <w:szCs w:val="24"/>
        </w:rPr>
        <w:br/>
      </w:r>
      <w:r w:rsidR="00522684" w:rsidRPr="00522684">
        <w:rPr>
          <w:rFonts w:ascii="Arial" w:hAnsi="Arial" w:cs="Arial"/>
          <w:b/>
          <w:sz w:val="20"/>
          <w:szCs w:val="24"/>
        </w:rPr>
        <w:t>REDACTED</w:t>
      </w:r>
      <w:r w:rsidR="00522684" w:rsidRPr="00522684">
        <w:rPr>
          <w:rFonts w:ascii="Arial" w:hAnsi="Arial" w:cs="Arial"/>
          <w:sz w:val="20"/>
        </w:rPr>
        <w:t xml:space="preserve"> </w:t>
      </w:r>
      <w:r w:rsidR="00522684" w:rsidRPr="00522684">
        <w:rPr>
          <w:rFonts w:ascii="Arial" w:hAnsi="Arial" w:cs="Arial"/>
          <w:b/>
          <w:sz w:val="20"/>
          <w:szCs w:val="24"/>
        </w:rPr>
        <w:t>REDACTED</w:t>
      </w:r>
      <w:r w:rsidR="00522684" w:rsidRPr="00522684">
        <w:rPr>
          <w:rFonts w:ascii="Arial" w:hAnsi="Arial" w:cs="Arial"/>
          <w:sz w:val="20"/>
        </w:rPr>
        <w:t xml:space="preserve"> </w:t>
      </w:r>
      <w:r w:rsidR="00522684" w:rsidRPr="00522684">
        <w:rPr>
          <w:rFonts w:ascii="Arial" w:hAnsi="Arial" w:cs="Arial"/>
          <w:b/>
          <w:sz w:val="20"/>
          <w:szCs w:val="24"/>
        </w:rPr>
        <w:t>REDACTED</w:t>
      </w:r>
      <w:r w:rsidR="00522684" w:rsidRPr="00522684">
        <w:rPr>
          <w:rFonts w:ascii="Arial" w:hAnsi="Arial" w:cs="Arial"/>
          <w:sz w:val="20"/>
        </w:rPr>
        <w:t xml:space="preserve"> </w:t>
      </w:r>
      <w:r w:rsidR="0064397F" w:rsidRPr="00DB7156">
        <w:rPr>
          <w:rFonts w:ascii="Arial" w:hAnsi="Arial" w:cs="Arial"/>
          <w:sz w:val="24"/>
        </w:rPr>
        <w:t>Complia</w:t>
      </w:r>
      <w:r w:rsidR="00EE108E" w:rsidRPr="00DB7156">
        <w:rPr>
          <w:rFonts w:ascii="Arial" w:hAnsi="Arial" w:cs="Arial"/>
          <w:sz w:val="24"/>
        </w:rPr>
        <w:t>nce with the</w:t>
      </w:r>
      <w:r w:rsidR="0064397F" w:rsidRPr="00DB7156">
        <w:rPr>
          <w:rFonts w:ascii="Arial" w:hAnsi="Arial" w:cs="Arial"/>
          <w:sz w:val="24"/>
        </w:rPr>
        <w:t xml:space="preserve"> ELG</w:t>
      </w:r>
      <w:r w:rsidR="00C92750">
        <w:rPr>
          <w:rFonts w:ascii="Arial" w:hAnsi="Arial" w:cs="Arial"/>
          <w:sz w:val="24"/>
        </w:rPr>
        <w:t xml:space="preserve"> </w:t>
      </w:r>
      <w:r w:rsidR="008611EE">
        <w:rPr>
          <w:rFonts w:ascii="Arial" w:hAnsi="Arial" w:cs="Arial"/>
          <w:sz w:val="24"/>
        </w:rPr>
        <w:t>R</w:t>
      </w:r>
      <w:r w:rsidR="00C92750">
        <w:rPr>
          <w:rFonts w:ascii="Arial" w:hAnsi="Arial" w:cs="Arial"/>
          <w:sz w:val="24"/>
        </w:rPr>
        <w:t>ule</w:t>
      </w:r>
      <w:r w:rsidR="0064397F" w:rsidRPr="00DB7156">
        <w:rPr>
          <w:rFonts w:ascii="Arial" w:hAnsi="Arial" w:cs="Arial"/>
          <w:sz w:val="24"/>
        </w:rPr>
        <w:t xml:space="preserve"> for FGD wastewater is </w:t>
      </w:r>
      <w:r w:rsidR="00C746D5">
        <w:rPr>
          <w:rFonts w:ascii="Arial" w:hAnsi="Arial" w:cs="Arial"/>
          <w:sz w:val="24"/>
        </w:rPr>
        <w:t>unique</w:t>
      </w:r>
      <w:r w:rsidR="00F46B80">
        <w:rPr>
          <w:rFonts w:ascii="Arial" w:hAnsi="Arial" w:cs="Arial"/>
          <w:sz w:val="24"/>
        </w:rPr>
        <w:t>,</w:t>
      </w:r>
      <w:r w:rsidR="00C746D5">
        <w:rPr>
          <w:rFonts w:ascii="Arial" w:hAnsi="Arial" w:cs="Arial"/>
          <w:sz w:val="24"/>
        </w:rPr>
        <w:t xml:space="preserve"> site-specific</w:t>
      </w:r>
      <w:r w:rsidR="00F46B80">
        <w:rPr>
          <w:rFonts w:ascii="Arial" w:hAnsi="Arial" w:cs="Arial"/>
          <w:sz w:val="24"/>
        </w:rPr>
        <w:t>, and</w:t>
      </w:r>
      <w:r w:rsidR="00C746D5">
        <w:rPr>
          <w:rFonts w:ascii="Arial" w:hAnsi="Arial" w:cs="Arial"/>
          <w:sz w:val="24"/>
        </w:rPr>
        <w:t xml:space="preserve"> requires detailed analysis and planning</w:t>
      </w:r>
      <w:r w:rsidR="00EB274A" w:rsidRPr="00DB7156">
        <w:rPr>
          <w:rFonts w:ascii="Arial" w:hAnsi="Arial" w:cs="Arial"/>
          <w:sz w:val="24"/>
        </w:rPr>
        <w:t>.</w:t>
      </w:r>
      <w:r w:rsidR="00EE108E" w:rsidRPr="00DB7156">
        <w:rPr>
          <w:rFonts w:ascii="Arial" w:hAnsi="Arial" w:cs="Arial"/>
          <w:sz w:val="24"/>
        </w:rPr>
        <w:t xml:space="preserve"> </w:t>
      </w:r>
      <w:r w:rsidR="00EB274A" w:rsidRPr="00DB7156">
        <w:rPr>
          <w:rFonts w:ascii="Arial" w:hAnsi="Arial" w:cs="Arial"/>
          <w:sz w:val="24"/>
        </w:rPr>
        <w:t xml:space="preserve">Many factors will influence the ultimate technology </w:t>
      </w:r>
      <w:r w:rsidR="009163FA">
        <w:rPr>
          <w:rFonts w:ascii="Arial" w:hAnsi="Arial" w:cs="Arial"/>
          <w:sz w:val="24"/>
        </w:rPr>
        <w:t>installation</w:t>
      </w:r>
      <w:r w:rsidR="009163FA" w:rsidRPr="00DB7156">
        <w:rPr>
          <w:rFonts w:ascii="Arial" w:hAnsi="Arial" w:cs="Arial"/>
          <w:sz w:val="24"/>
        </w:rPr>
        <w:t xml:space="preserve"> </w:t>
      </w:r>
      <w:r w:rsidR="00EB274A" w:rsidRPr="00DB7156">
        <w:rPr>
          <w:rFonts w:ascii="Arial" w:hAnsi="Arial" w:cs="Arial"/>
          <w:sz w:val="24"/>
        </w:rPr>
        <w:t xml:space="preserve">for a power plant, </w:t>
      </w:r>
      <w:r w:rsidR="00FD6088">
        <w:rPr>
          <w:rFonts w:ascii="Arial" w:hAnsi="Arial" w:cs="Arial"/>
          <w:sz w:val="24"/>
        </w:rPr>
        <w:t>such as</w:t>
      </w:r>
      <w:r w:rsidR="00EB274A" w:rsidRPr="00DB7156">
        <w:rPr>
          <w:rFonts w:ascii="Arial" w:hAnsi="Arial" w:cs="Arial"/>
          <w:sz w:val="24"/>
        </w:rPr>
        <w:t>: fuel type</w:t>
      </w:r>
      <w:r w:rsidR="00C746D5">
        <w:rPr>
          <w:rFonts w:ascii="Arial" w:hAnsi="Arial" w:cs="Arial"/>
          <w:sz w:val="24"/>
        </w:rPr>
        <w:t>,</w:t>
      </w:r>
      <w:r w:rsidR="00EB274A" w:rsidRPr="00DB7156">
        <w:rPr>
          <w:rFonts w:ascii="Arial" w:hAnsi="Arial" w:cs="Arial"/>
          <w:sz w:val="24"/>
        </w:rPr>
        <w:t xml:space="preserve"> </w:t>
      </w:r>
      <w:r w:rsidR="0044567E">
        <w:rPr>
          <w:rFonts w:ascii="Arial" w:hAnsi="Arial" w:cs="Arial"/>
          <w:sz w:val="24"/>
        </w:rPr>
        <w:t>FGD</w:t>
      </w:r>
      <w:r w:rsidR="005A4DB9" w:rsidRPr="00DB7156">
        <w:rPr>
          <w:rFonts w:ascii="Arial" w:hAnsi="Arial" w:cs="Arial"/>
          <w:sz w:val="24"/>
        </w:rPr>
        <w:t xml:space="preserve"> type</w:t>
      </w:r>
      <w:r w:rsidR="00C746D5">
        <w:rPr>
          <w:rFonts w:ascii="Arial" w:hAnsi="Arial" w:cs="Arial"/>
          <w:sz w:val="24"/>
        </w:rPr>
        <w:t>,</w:t>
      </w:r>
      <w:r w:rsidR="00EB274A" w:rsidRPr="00DB7156">
        <w:rPr>
          <w:rFonts w:ascii="Arial" w:hAnsi="Arial" w:cs="Arial"/>
          <w:sz w:val="24"/>
        </w:rPr>
        <w:t xml:space="preserve"> capacity factors</w:t>
      </w:r>
      <w:r w:rsidR="00C746D5">
        <w:rPr>
          <w:rFonts w:ascii="Arial" w:hAnsi="Arial" w:cs="Arial"/>
          <w:sz w:val="24"/>
        </w:rPr>
        <w:t>,</w:t>
      </w:r>
      <w:r w:rsidR="00EB274A" w:rsidRPr="00DB7156">
        <w:rPr>
          <w:rFonts w:ascii="Arial" w:hAnsi="Arial" w:cs="Arial"/>
          <w:sz w:val="24"/>
        </w:rPr>
        <w:t xml:space="preserve"> sourcewater </w:t>
      </w:r>
      <w:r w:rsidR="005A4DB9" w:rsidRPr="00DB7156">
        <w:rPr>
          <w:rFonts w:ascii="Arial" w:hAnsi="Arial" w:cs="Arial"/>
          <w:sz w:val="24"/>
        </w:rPr>
        <w:t>quality</w:t>
      </w:r>
      <w:r w:rsidR="00C746D5">
        <w:rPr>
          <w:rFonts w:ascii="Arial" w:hAnsi="Arial" w:cs="Arial"/>
          <w:sz w:val="24"/>
        </w:rPr>
        <w:t>,</w:t>
      </w:r>
      <w:r w:rsidR="007D4776">
        <w:rPr>
          <w:rFonts w:ascii="Arial" w:hAnsi="Arial" w:cs="Arial"/>
          <w:sz w:val="24"/>
        </w:rPr>
        <w:t xml:space="preserve"> and</w:t>
      </w:r>
      <w:r w:rsidR="00EB274A" w:rsidRPr="00DB7156">
        <w:rPr>
          <w:rFonts w:ascii="Arial" w:hAnsi="Arial" w:cs="Arial"/>
          <w:sz w:val="24"/>
        </w:rPr>
        <w:t xml:space="preserve"> </w:t>
      </w:r>
      <w:r w:rsidR="005A4DB9" w:rsidRPr="00DB7156">
        <w:rPr>
          <w:rFonts w:ascii="Arial" w:hAnsi="Arial" w:cs="Arial"/>
          <w:sz w:val="24"/>
        </w:rPr>
        <w:t>air pollution control equipment</w:t>
      </w:r>
      <w:r w:rsidR="00EB274A" w:rsidRPr="00DB7156">
        <w:rPr>
          <w:rFonts w:ascii="Arial" w:hAnsi="Arial" w:cs="Arial"/>
          <w:sz w:val="24"/>
        </w:rPr>
        <w:t xml:space="preserve">. It should also be noted that </w:t>
      </w:r>
      <w:r w:rsidR="00D45D11" w:rsidRPr="00DB7156">
        <w:rPr>
          <w:rFonts w:ascii="Arial" w:hAnsi="Arial" w:cs="Arial"/>
          <w:sz w:val="24"/>
        </w:rPr>
        <w:t xml:space="preserve">FGD wastewater treatment systems </w:t>
      </w:r>
      <w:r w:rsidR="00E33C3B" w:rsidRPr="00DB7156">
        <w:rPr>
          <w:rFonts w:ascii="Arial" w:hAnsi="Arial" w:cs="Arial"/>
          <w:sz w:val="24"/>
        </w:rPr>
        <w:t xml:space="preserve">are not </w:t>
      </w:r>
      <w:r w:rsidR="00C746D5">
        <w:rPr>
          <w:rFonts w:ascii="Arial" w:hAnsi="Arial" w:cs="Arial"/>
          <w:sz w:val="24"/>
        </w:rPr>
        <w:t xml:space="preserve">widely </w:t>
      </w:r>
      <w:r w:rsidR="00E33C3B" w:rsidRPr="00DB7156">
        <w:rPr>
          <w:rFonts w:ascii="Arial" w:hAnsi="Arial" w:cs="Arial"/>
          <w:sz w:val="24"/>
        </w:rPr>
        <w:t>deployed</w:t>
      </w:r>
      <w:r w:rsidR="00F46B80">
        <w:rPr>
          <w:rFonts w:ascii="Arial" w:hAnsi="Arial" w:cs="Arial"/>
          <w:sz w:val="24"/>
        </w:rPr>
        <w:t xml:space="preserve"> in the U.S.</w:t>
      </w:r>
      <w:r w:rsidR="00EB274A" w:rsidRPr="00DB7156">
        <w:rPr>
          <w:rFonts w:ascii="Arial" w:hAnsi="Arial" w:cs="Arial"/>
          <w:sz w:val="24"/>
        </w:rPr>
        <w:t xml:space="preserve"> and</w:t>
      </w:r>
      <w:r w:rsidR="00F46B80">
        <w:rPr>
          <w:rFonts w:ascii="Arial" w:hAnsi="Arial" w:cs="Arial"/>
          <w:sz w:val="24"/>
        </w:rPr>
        <w:t xml:space="preserve"> therefore,</w:t>
      </w:r>
      <w:r w:rsidR="00EB274A" w:rsidRPr="00DB7156">
        <w:rPr>
          <w:rFonts w:ascii="Arial" w:hAnsi="Arial" w:cs="Arial"/>
          <w:sz w:val="24"/>
        </w:rPr>
        <w:t xml:space="preserve"> </w:t>
      </w:r>
      <w:r w:rsidR="00C746D5">
        <w:rPr>
          <w:rFonts w:ascii="Arial" w:hAnsi="Arial" w:cs="Arial"/>
          <w:sz w:val="24"/>
        </w:rPr>
        <w:t>the Company has un</w:t>
      </w:r>
      <w:r w:rsidR="009268CA">
        <w:rPr>
          <w:rFonts w:ascii="Arial" w:hAnsi="Arial" w:cs="Arial"/>
          <w:sz w:val="24"/>
        </w:rPr>
        <w:t>d</w:t>
      </w:r>
      <w:r w:rsidR="00C746D5">
        <w:rPr>
          <w:rFonts w:ascii="Arial" w:hAnsi="Arial" w:cs="Arial"/>
          <w:sz w:val="24"/>
        </w:rPr>
        <w:t xml:space="preserve">ergone </w:t>
      </w:r>
      <w:r w:rsidR="00EB274A" w:rsidRPr="00DB7156">
        <w:rPr>
          <w:rFonts w:ascii="Arial" w:hAnsi="Arial" w:cs="Arial"/>
          <w:sz w:val="24"/>
        </w:rPr>
        <w:t xml:space="preserve">significant </w:t>
      </w:r>
      <w:r w:rsidR="00C746D5">
        <w:rPr>
          <w:rFonts w:ascii="Arial" w:hAnsi="Arial" w:cs="Arial"/>
          <w:sz w:val="24"/>
        </w:rPr>
        <w:t xml:space="preserve">review and consideration to develop a strategy to ensure cost-effective </w:t>
      </w:r>
      <w:r w:rsidR="00EB274A" w:rsidRPr="00DB7156">
        <w:rPr>
          <w:rFonts w:ascii="Arial" w:hAnsi="Arial" w:cs="Arial"/>
          <w:sz w:val="24"/>
        </w:rPr>
        <w:t>technology performance</w:t>
      </w:r>
      <w:r w:rsidR="003C30C9">
        <w:rPr>
          <w:rFonts w:ascii="Arial" w:hAnsi="Arial" w:cs="Arial"/>
          <w:sz w:val="24"/>
        </w:rPr>
        <w:t>,</w:t>
      </w:r>
      <w:r w:rsidR="00C92750">
        <w:rPr>
          <w:rFonts w:ascii="Arial" w:hAnsi="Arial" w:cs="Arial"/>
          <w:sz w:val="24"/>
        </w:rPr>
        <w:t xml:space="preserve"> </w:t>
      </w:r>
      <w:r w:rsidR="00EB274A" w:rsidRPr="00DB7156">
        <w:rPr>
          <w:rFonts w:ascii="Arial" w:hAnsi="Arial" w:cs="Arial"/>
          <w:sz w:val="24"/>
        </w:rPr>
        <w:t>reliability</w:t>
      </w:r>
      <w:r w:rsidR="003C30C9">
        <w:rPr>
          <w:rFonts w:ascii="Arial" w:hAnsi="Arial" w:cs="Arial"/>
          <w:sz w:val="24"/>
        </w:rPr>
        <w:t xml:space="preserve">, and </w:t>
      </w:r>
      <w:r w:rsidR="004E2CC3">
        <w:rPr>
          <w:rFonts w:ascii="Arial" w:hAnsi="Arial" w:cs="Arial"/>
          <w:sz w:val="24"/>
        </w:rPr>
        <w:t>compliance</w:t>
      </w:r>
      <w:r w:rsidR="00EB274A" w:rsidRPr="00DB7156">
        <w:rPr>
          <w:rFonts w:ascii="Arial" w:hAnsi="Arial" w:cs="Arial"/>
          <w:sz w:val="24"/>
        </w:rPr>
        <w:t xml:space="preserve">. </w:t>
      </w:r>
      <w:r w:rsidR="00CD2D75">
        <w:rPr>
          <w:rFonts w:ascii="Arial" w:hAnsi="Arial" w:cs="Arial"/>
          <w:sz w:val="24"/>
        </w:rPr>
        <w:t>Based on the existing ELG R</w:t>
      </w:r>
      <w:r w:rsidR="003C30C9">
        <w:rPr>
          <w:rFonts w:ascii="Arial" w:hAnsi="Arial" w:cs="Arial"/>
          <w:sz w:val="24"/>
        </w:rPr>
        <w:t>ule</w:t>
      </w:r>
      <w:r w:rsidR="00913977">
        <w:rPr>
          <w:rFonts w:ascii="Arial" w:hAnsi="Arial" w:cs="Arial"/>
          <w:sz w:val="24"/>
        </w:rPr>
        <w:t xml:space="preserve">, </w:t>
      </w:r>
      <w:r w:rsidR="00913977" w:rsidRPr="0093123F">
        <w:rPr>
          <w:rFonts w:ascii="Arial" w:hAnsi="Arial" w:cs="Arial"/>
          <w:sz w:val="24"/>
        </w:rPr>
        <w:t xml:space="preserve">the Company’s FGD </w:t>
      </w:r>
      <w:r w:rsidR="008611EE" w:rsidRPr="0093123F">
        <w:rPr>
          <w:rFonts w:ascii="Arial" w:hAnsi="Arial" w:cs="Arial"/>
          <w:sz w:val="24"/>
        </w:rPr>
        <w:t>w</w:t>
      </w:r>
      <w:r w:rsidR="00913977" w:rsidRPr="0093123F">
        <w:rPr>
          <w:rFonts w:ascii="Arial" w:hAnsi="Arial" w:cs="Arial"/>
          <w:sz w:val="24"/>
        </w:rPr>
        <w:t>as</w:t>
      </w:r>
      <w:r w:rsidR="00DC18B4" w:rsidRPr="0093123F">
        <w:rPr>
          <w:rFonts w:ascii="Arial" w:hAnsi="Arial" w:cs="Arial"/>
          <w:sz w:val="24"/>
        </w:rPr>
        <w:t xml:space="preserve">tewater strategy </w:t>
      </w:r>
      <w:r w:rsidR="003C30C9" w:rsidRPr="0093123F">
        <w:rPr>
          <w:rFonts w:ascii="Arial" w:hAnsi="Arial" w:cs="Arial"/>
          <w:sz w:val="24"/>
        </w:rPr>
        <w:t>includes</w:t>
      </w:r>
      <w:r w:rsidR="00DC18B4" w:rsidRPr="0093123F">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8D6B49">
        <w:rPr>
          <w:rFonts w:ascii="Arial" w:hAnsi="Arial" w:cs="Arial"/>
          <w:sz w:val="24"/>
        </w:rPr>
        <w:t xml:space="preserve">If </w:t>
      </w:r>
      <w:r w:rsidR="008D6B49" w:rsidRPr="00FD0613">
        <w:rPr>
          <w:rFonts w:ascii="Arial" w:hAnsi="Arial" w:cs="Arial"/>
          <w:sz w:val="24"/>
        </w:rPr>
        <w:t xml:space="preserve">the Georgia PSC approves the request for decertification,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522684" w:rsidRPr="00522684">
        <w:rPr>
          <w:rFonts w:ascii="Arial" w:hAnsi="Arial" w:cs="Arial"/>
          <w:b/>
          <w:sz w:val="24"/>
          <w:szCs w:val="24"/>
        </w:rPr>
        <w:t>REDACTED</w:t>
      </w:r>
      <w:r w:rsidR="00522684">
        <w:rPr>
          <w:rFonts w:ascii="Arial" w:hAnsi="Arial" w:cs="Arial"/>
          <w:sz w:val="24"/>
        </w:rPr>
        <w:t xml:space="preserve"> </w:t>
      </w:r>
      <w:r w:rsidR="008D6B49" w:rsidRPr="008D6B49">
        <w:rPr>
          <w:rFonts w:ascii="Arial" w:hAnsi="Arial" w:cs="Arial"/>
          <w:sz w:val="24"/>
        </w:rPr>
        <w:t xml:space="preserve">If decertification is not approved for Plant Hammond, </w:t>
      </w:r>
      <w:r w:rsidR="00522684" w:rsidRPr="00522684">
        <w:rPr>
          <w:rFonts w:ascii="Arial" w:hAnsi="Arial" w:cs="Arial"/>
          <w:b/>
          <w:sz w:val="24"/>
          <w:szCs w:val="24"/>
        </w:rPr>
        <w:t>REDACTED REDACTED REDACTED REDACTED REDACTED REDACTED REDACTED REDACTED REDACTED REDACTED</w:t>
      </w:r>
    </w:p>
    <w:p w14:paraId="2C9F6B53" w14:textId="77777777" w:rsidR="00522684" w:rsidRDefault="00522684" w:rsidP="00C647A3">
      <w:pPr>
        <w:tabs>
          <w:tab w:val="center" w:pos="4392"/>
        </w:tabs>
        <w:suppressAutoHyphens/>
        <w:spacing w:after="0" w:line="240" w:lineRule="auto"/>
        <w:jc w:val="both"/>
        <w:rPr>
          <w:rFonts w:ascii="Arial" w:hAnsi="Arial" w:cs="Arial"/>
          <w:sz w:val="24"/>
        </w:rPr>
      </w:pPr>
    </w:p>
    <w:p w14:paraId="65AB1117" w14:textId="18B57D5C" w:rsidR="00C647A3" w:rsidRDefault="00C647A3" w:rsidP="00C647A3">
      <w:pPr>
        <w:tabs>
          <w:tab w:val="center" w:pos="4392"/>
        </w:tabs>
        <w:suppressAutoHyphens/>
        <w:spacing w:after="0" w:line="240" w:lineRule="auto"/>
        <w:jc w:val="both"/>
        <w:rPr>
          <w:rFonts w:ascii="Arial" w:hAnsi="Arial" w:cs="Arial"/>
          <w:sz w:val="24"/>
        </w:rPr>
      </w:pPr>
      <w:r w:rsidRPr="00DB7156">
        <w:rPr>
          <w:rFonts w:ascii="Arial" w:hAnsi="Arial" w:cs="Arial"/>
          <w:sz w:val="24"/>
        </w:rPr>
        <w:t xml:space="preserve">In addition to </w:t>
      </w:r>
      <w:r>
        <w:rPr>
          <w:rFonts w:ascii="Arial" w:hAnsi="Arial" w:cs="Arial"/>
          <w:sz w:val="24"/>
        </w:rPr>
        <w:t xml:space="preserve">FGD wastewater </w:t>
      </w:r>
      <w:r w:rsidRPr="00DB7156">
        <w:rPr>
          <w:rFonts w:ascii="Arial" w:hAnsi="Arial" w:cs="Arial"/>
          <w:sz w:val="24"/>
        </w:rPr>
        <w:t xml:space="preserve">technology choice, </w:t>
      </w:r>
      <w:r w:rsidR="001037E8">
        <w:rPr>
          <w:rFonts w:ascii="Arial" w:hAnsi="Arial" w:cs="Arial"/>
          <w:sz w:val="24"/>
        </w:rPr>
        <w:t xml:space="preserve">implementation </w:t>
      </w:r>
      <w:r w:rsidRPr="00DB7156">
        <w:rPr>
          <w:rFonts w:ascii="Arial" w:hAnsi="Arial" w:cs="Arial"/>
          <w:sz w:val="24"/>
        </w:rPr>
        <w:t xml:space="preserve">scheduling is also difficult to predict for each plant. The timing of decisions and installation is dependent on the reconsideration of the regulation, as well as the existing controls that may be in place. </w:t>
      </w:r>
      <w:r>
        <w:rPr>
          <w:rFonts w:ascii="Arial" w:hAnsi="Arial" w:cs="Arial"/>
          <w:sz w:val="24"/>
        </w:rPr>
        <w:t>Based on current requirements in the rule, the Company has developed a design, procurement, construction, and commissioning schedule that provides a strategy to be in-compliance by the latest applicability date of December 31, 2023.</w:t>
      </w:r>
      <w:r w:rsidRPr="00DB7156">
        <w:rPr>
          <w:rFonts w:ascii="Arial" w:hAnsi="Arial" w:cs="Arial"/>
          <w:sz w:val="24"/>
        </w:rPr>
        <w:t xml:space="preserve"> </w:t>
      </w:r>
    </w:p>
    <w:bookmarkEnd w:id="212"/>
    <w:p w14:paraId="2CAB0379" w14:textId="4B83B880" w:rsidR="00F46B80" w:rsidRDefault="00F46B80" w:rsidP="00DB7156">
      <w:pPr>
        <w:tabs>
          <w:tab w:val="center" w:pos="4392"/>
        </w:tabs>
        <w:suppressAutoHyphens/>
        <w:spacing w:after="0" w:line="240" w:lineRule="auto"/>
        <w:jc w:val="both"/>
        <w:rPr>
          <w:rFonts w:ascii="Arial" w:hAnsi="Arial" w:cs="Arial"/>
          <w:sz w:val="24"/>
        </w:rPr>
      </w:pPr>
    </w:p>
    <w:p w14:paraId="2005F0CC" w14:textId="1356F6D1" w:rsidR="00DC18B4" w:rsidRDefault="00DC18B4" w:rsidP="00DB7156">
      <w:pPr>
        <w:tabs>
          <w:tab w:val="center" w:pos="4392"/>
        </w:tabs>
        <w:suppressAutoHyphens/>
        <w:spacing w:after="0" w:line="240" w:lineRule="auto"/>
        <w:jc w:val="both"/>
        <w:rPr>
          <w:rFonts w:ascii="Arial" w:hAnsi="Arial" w:cs="Arial"/>
          <w:sz w:val="24"/>
          <w:szCs w:val="24"/>
          <w:lang w:val="en"/>
        </w:rPr>
      </w:pPr>
      <w:bookmarkStart w:id="213" w:name="_Hlk534759836"/>
      <w:bookmarkStart w:id="214" w:name="_Hlk530496617"/>
      <w:r>
        <w:rPr>
          <w:rFonts w:ascii="Arial" w:hAnsi="Arial" w:cs="Arial"/>
          <w:sz w:val="24"/>
          <w:szCs w:val="24"/>
          <w:lang w:val="en"/>
        </w:rPr>
        <w:t xml:space="preserve">The installation of new treatment systems for ash handling, FGD </w:t>
      </w:r>
      <w:r w:rsidR="0097210B">
        <w:rPr>
          <w:rFonts w:ascii="Arial" w:hAnsi="Arial" w:cs="Arial"/>
          <w:sz w:val="24"/>
          <w:szCs w:val="24"/>
          <w:lang w:val="en"/>
        </w:rPr>
        <w:t>w</w:t>
      </w:r>
      <w:r>
        <w:rPr>
          <w:rFonts w:ascii="Arial" w:hAnsi="Arial" w:cs="Arial"/>
          <w:sz w:val="24"/>
          <w:szCs w:val="24"/>
          <w:lang w:val="en"/>
        </w:rPr>
        <w:t xml:space="preserve">astewater and </w:t>
      </w:r>
      <w:bookmarkEnd w:id="213"/>
      <w:r w:rsidR="00B06676">
        <w:rPr>
          <w:rFonts w:ascii="Arial" w:hAnsi="Arial" w:cs="Arial"/>
          <w:sz w:val="24"/>
          <w:szCs w:val="24"/>
          <w:lang w:val="en"/>
        </w:rPr>
        <w:t xml:space="preserve">CCR wastewater </w:t>
      </w:r>
      <w:r>
        <w:rPr>
          <w:rFonts w:ascii="Arial" w:hAnsi="Arial" w:cs="Arial"/>
          <w:sz w:val="24"/>
          <w:szCs w:val="24"/>
          <w:lang w:val="en"/>
        </w:rPr>
        <w:t xml:space="preserve">will result in </w:t>
      </w:r>
      <w:r w:rsidR="007959B5">
        <w:rPr>
          <w:rFonts w:ascii="Arial" w:hAnsi="Arial" w:cs="Arial"/>
          <w:sz w:val="24"/>
          <w:szCs w:val="24"/>
          <w:lang w:val="en"/>
        </w:rPr>
        <w:t xml:space="preserve">additional operation and maintenance costs. These costs will </w:t>
      </w:r>
      <w:r w:rsidR="00F27A3A">
        <w:rPr>
          <w:rFonts w:ascii="Arial" w:hAnsi="Arial" w:cs="Arial"/>
          <w:sz w:val="24"/>
          <w:szCs w:val="24"/>
          <w:lang w:val="en"/>
        </w:rPr>
        <w:t>primarily</w:t>
      </w:r>
      <w:r w:rsidR="007959B5">
        <w:rPr>
          <w:rFonts w:ascii="Arial" w:hAnsi="Arial" w:cs="Arial"/>
          <w:sz w:val="24"/>
          <w:szCs w:val="24"/>
          <w:lang w:val="en"/>
        </w:rPr>
        <w:t xml:space="preserve"> be operat</w:t>
      </w:r>
      <w:r w:rsidR="000F3179">
        <w:rPr>
          <w:rFonts w:ascii="Arial" w:hAnsi="Arial" w:cs="Arial"/>
          <w:sz w:val="24"/>
          <w:szCs w:val="24"/>
          <w:lang w:val="en"/>
        </w:rPr>
        <w:t>ion</w:t>
      </w:r>
      <w:r w:rsidR="007959B5">
        <w:rPr>
          <w:rFonts w:ascii="Arial" w:hAnsi="Arial" w:cs="Arial"/>
          <w:sz w:val="24"/>
          <w:szCs w:val="24"/>
          <w:lang w:val="en"/>
        </w:rPr>
        <w:t xml:space="preserve"> and maint</w:t>
      </w:r>
      <w:r w:rsidR="000F3179">
        <w:rPr>
          <w:rFonts w:ascii="Arial" w:hAnsi="Arial" w:cs="Arial"/>
          <w:sz w:val="24"/>
          <w:szCs w:val="24"/>
          <w:lang w:val="en"/>
        </w:rPr>
        <w:t>enance</w:t>
      </w:r>
      <w:r w:rsidR="007959B5">
        <w:rPr>
          <w:rFonts w:ascii="Arial" w:hAnsi="Arial" w:cs="Arial"/>
          <w:sz w:val="24"/>
          <w:szCs w:val="24"/>
          <w:lang w:val="en"/>
        </w:rPr>
        <w:t xml:space="preserve"> </w:t>
      </w:r>
      <w:r w:rsidR="000F3179">
        <w:rPr>
          <w:rFonts w:ascii="Arial" w:hAnsi="Arial" w:cs="Arial"/>
          <w:sz w:val="24"/>
          <w:szCs w:val="24"/>
          <w:lang w:val="en"/>
        </w:rPr>
        <w:t>activities</w:t>
      </w:r>
      <w:r w:rsidR="007959B5">
        <w:rPr>
          <w:rFonts w:ascii="Arial" w:hAnsi="Arial" w:cs="Arial"/>
          <w:sz w:val="24"/>
          <w:szCs w:val="24"/>
          <w:lang w:val="en"/>
        </w:rPr>
        <w:t>, but will also include costs associated with chemical commodities.</w:t>
      </w:r>
    </w:p>
    <w:bookmarkEnd w:id="214"/>
    <w:p w14:paraId="4EE94D23" w14:textId="77777777" w:rsidR="00F46B80" w:rsidRDefault="00F46B80" w:rsidP="00DB7156">
      <w:pPr>
        <w:tabs>
          <w:tab w:val="center" w:pos="4392"/>
        </w:tabs>
        <w:suppressAutoHyphens/>
        <w:spacing w:after="0" w:line="240" w:lineRule="auto"/>
        <w:jc w:val="both"/>
        <w:rPr>
          <w:rFonts w:ascii="Arial" w:hAnsi="Arial" w:cs="Arial"/>
          <w:sz w:val="24"/>
          <w:szCs w:val="24"/>
          <w:lang w:val="en"/>
        </w:rPr>
      </w:pPr>
    </w:p>
    <w:p w14:paraId="41E7D56F" w14:textId="6D6864C8" w:rsidR="00520AF7" w:rsidRDefault="00372021" w:rsidP="00DB7156">
      <w:pPr>
        <w:tabs>
          <w:tab w:val="center" w:pos="4392"/>
        </w:tabs>
        <w:suppressAutoHyphens/>
        <w:spacing w:after="0" w:line="240" w:lineRule="auto"/>
        <w:jc w:val="both"/>
        <w:rPr>
          <w:rFonts w:ascii="Arial" w:hAnsi="Arial" w:cs="Arial"/>
          <w:sz w:val="24"/>
        </w:rPr>
      </w:pPr>
      <w:r>
        <w:rPr>
          <w:rFonts w:ascii="Arial" w:hAnsi="Arial" w:cs="Arial"/>
          <w:sz w:val="24"/>
        </w:rPr>
        <w:t>T</w:t>
      </w:r>
      <w:r w:rsidR="006A0AB9" w:rsidRPr="006A0AB9">
        <w:rPr>
          <w:rFonts w:ascii="Arial" w:hAnsi="Arial" w:cs="Arial"/>
          <w:sz w:val="24"/>
        </w:rPr>
        <w:t xml:space="preserve">he Company’s current </w:t>
      </w:r>
      <w:r w:rsidR="00FC4A9E">
        <w:rPr>
          <w:rFonts w:ascii="Arial" w:hAnsi="Arial" w:cs="Arial"/>
          <w:sz w:val="24"/>
        </w:rPr>
        <w:t xml:space="preserve">wastewater treatment </w:t>
      </w:r>
      <w:r w:rsidR="006A0AB9" w:rsidRPr="006A0AB9">
        <w:rPr>
          <w:rFonts w:ascii="Arial" w:hAnsi="Arial" w:cs="Arial"/>
          <w:sz w:val="24"/>
        </w:rPr>
        <w:t xml:space="preserve">strategy for compliance with the ELG </w:t>
      </w:r>
      <w:r w:rsidR="00FC4A9E">
        <w:rPr>
          <w:rFonts w:ascii="Arial" w:hAnsi="Arial" w:cs="Arial"/>
          <w:sz w:val="24"/>
        </w:rPr>
        <w:t xml:space="preserve">and CCR </w:t>
      </w:r>
      <w:r w:rsidR="006A0AB9" w:rsidRPr="006A0AB9">
        <w:rPr>
          <w:rFonts w:ascii="Arial" w:hAnsi="Arial" w:cs="Arial"/>
          <w:sz w:val="24"/>
        </w:rPr>
        <w:t>rule</w:t>
      </w:r>
      <w:r w:rsidR="00FC4A9E">
        <w:rPr>
          <w:rFonts w:ascii="Arial" w:hAnsi="Arial" w:cs="Arial"/>
          <w:sz w:val="24"/>
        </w:rPr>
        <w:t>s</w:t>
      </w:r>
      <w:r w:rsidR="006A0AB9" w:rsidRPr="006A0AB9">
        <w:rPr>
          <w:rFonts w:ascii="Arial" w:hAnsi="Arial" w:cs="Arial"/>
          <w:sz w:val="24"/>
        </w:rPr>
        <w:t xml:space="preserve"> is illustrated in Table 4.2</w:t>
      </w:r>
      <w:r w:rsidR="005B64D9">
        <w:rPr>
          <w:rFonts w:ascii="Arial" w:hAnsi="Arial" w:cs="Arial"/>
          <w:sz w:val="24"/>
        </w:rPr>
        <w:t>.2</w:t>
      </w:r>
      <w:r w:rsidR="006A0AB9" w:rsidRPr="006A0AB9">
        <w:rPr>
          <w:rFonts w:ascii="Arial" w:hAnsi="Arial" w:cs="Arial"/>
          <w:sz w:val="24"/>
        </w:rPr>
        <w:t>-1</w:t>
      </w:r>
      <w:r w:rsidR="00E35BBB">
        <w:rPr>
          <w:rFonts w:ascii="Arial" w:hAnsi="Arial" w:cs="Arial"/>
          <w:sz w:val="24"/>
        </w:rPr>
        <w:t>.</w:t>
      </w:r>
    </w:p>
    <w:p w14:paraId="51DC2404" w14:textId="055E99A7" w:rsidR="006A0AB9" w:rsidRDefault="006A0AB9" w:rsidP="00DB7156">
      <w:pPr>
        <w:tabs>
          <w:tab w:val="center" w:pos="4392"/>
        </w:tabs>
        <w:suppressAutoHyphens/>
        <w:spacing w:after="0" w:line="240" w:lineRule="auto"/>
        <w:jc w:val="both"/>
        <w:rPr>
          <w:rFonts w:ascii="Arial" w:hAnsi="Arial" w:cs="Arial"/>
          <w:sz w:val="24"/>
        </w:rPr>
      </w:pPr>
    </w:p>
    <w:p w14:paraId="56451D3F" w14:textId="0EE2C4B7" w:rsidR="00E35BBB" w:rsidRDefault="00E35BBB">
      <w:pPr>
        <w:spacing w:after="0" w:line="240" w:lineRule="auto"/>
        <w:rPr>
          <w:rFonts w:ascii="Arial" w:hAnsi="Arial" w:cs="Arial"/>
          <w:b/>
          <w:bCs/>
          <w:sz w:val="20"/>
          <w:szCs w:val="20"/>
        </w:rPr>
      </w:pPr>
    </w:p>
    <w:p w14:paraId="4078BF72" w14:textId="77777777" w:rsidR="004161FD" w:rsidRDefault="004161FD">
      <w:pPr>
        <w:spacing w:after="0" w:line="240" w:lineRule="auto"/>
        <w:rPr>
          <w:rFonts w:ascii="Arial" w:hAnsi="Arial" w:cs="Arial"/>
          <w:b/>
          <w:bCs/>
          <w:sz w:val="24"/>
          <w:szCs w:val="24"/>
        </w:rPr>
      </w:pPr>
      <w:r>
        <w:rPr>
          <w:rFonts w:ascii="Arial" w:hAnsi="Arial" w:cs="Arial"/>
          <w:b/>
          <w:bCs/>
          <w:sz w:val="24"/>
          <w:szCs w:val="24"/>
        </w:rPr>
        <w:br w:type="page"/>
      </w:r>
    </w:p>
    <w:p w14:paraId="652A657E" w14:textId="7DB737E1" w:rsidR="00520AF7" w:rsidRDefault="00A22EFD" w:rsidP="00DA7C78">
      <w:pPr>
        <w:tabs>
          <w:tab w:val="left" w:pos="450"/>
        </w:tabs>
        <w:spacing w:after="0" w:line="240" w:lineRule="auto"/>
        <w:jc w:val="both"/>
        <w:rPr>
          <w:rFonts w:ascii="Arial" w:hAnsi="Arial" w:cs="Arial"/>
          <w:sz w:val="24"/>
        </w:rPr>
      </w:pPr>
      <w:r w:rsidRPr="004161FD">
        <w:rPr>
          <w:rFonts w:ascii="Arial" w:hAnsi="Arial" w:cs="Arial"/>
          <w:b/>
          <w:bCs/>
          <w:sz w:val="24"/>
          <w:szCs w:val="24"/>
        </w:rPr>
        <w:t>Table 4.2</w:t>
      </w:r>
      <w:r w:rsidR="00D349BD" w:rsidRPr="004161FD">
        <w:rPr>
          <w:rFonts w:ascii="Arial" w:hAnsi="Arial" w:cs="Arial"/>
          <w:b/>
          <w:bCs/>
          <w:sz w:val="24"/>
          <w:szCs w:val="24"/>
        </w:rPr>
        <w:t>.2</w:t>
      </w:r>
      <w:r w:rsidRPr="004161FD">
        <w:rPr>
          <w:rFonts w:ascii="Arial" w:hAnsi="Arial" w:cs="Arial"/>
          <w:b/>
          <w:bCs/>
          <w:sz w:val="24"/>
          <w:szCs w:val="24"/>
        </w:rPr>
        <w:t xml:space="preserve">-1 </w:t>
      </w:r>
      <w:r w:rsidR="00E35BBB" w:rsidRPr="004161FD">
        <w:rPr>
          <w:rFonts w:ascii="Arial" w:hAnsi="Arial" w:cs="Arial"/>
          <w:b/>
          <w:bCs/>
          <w:sz w:val="24"/>
          <w:szCs w:val="24"/>
        </w:rPr>
        <w:t xml:space="preserve">Cooling Type / </w:t>
      </w:r>
      <w:r w:rsidRPr="004161FD">
        <w:rPr>
          <w:rFonts w:ascii="Arial" w:hAnsi="Arial" w:cs="Arial"/>
          <w:b/>
          <w:bCs/>
          <w:sz w:val="24"/>
          <w:szCs w:val="24"/>
        </w:rPr>
        <w:t>Wastewater Treatment / ELG Technologies</w:t>
      </w:r>
    </w:p>
    <w:p w14:paraId="04A1D608" w14:textId="42173A30" w:rsidR="00B419D9" w:rsidRPr="00DB7156" w:rsidRDefault="00B419D9" w:rsidP="006E6AE7">
      <w:pPr>
        <w:tabs>
          <w:tab w:val="center" w:pos="4392"/>
        </w:tabs>
        <w:suppressAutoHyphens/>
        <w:spacing w:after="0" w:line="240" w:lineRule="auto"/>
        <w:rPr>
          <w:rFonts w:ascii="Arial" w:hAnsi="Arial" w:cs="Arial"/>
          <w:sz w:val="24"/>
        </w:rPr>
      </w:pPr>
    </w:p>
    <w:tbl>
      <w:tblPr>
        <w:tblW w:w="10686" w:type="dxa"/>
        <w:jc w:val="center"/>
        <w:tblLook w:val="04A0" w:firstRow="1" w:lastRow="0" w:firstColumn="1" w:lastColumn="0" w:noHBand="0" w:noVBand="1"/>
      </w:tblPr>
      <w:tblGrid>
        <w:gridCol w:w="1345"/>
        <w:gridCol w:w="1295"/>
        <w:gridCol w:w="1023"/>
        <w:gridCol w:w="1382"/>
        <w:gridCol w:w="1217"/>
        <w:gridCol w:w="1250"/>
        <w:gridCol w:w="1845"/>
        <w:gridCol w:w="1329"/>
      </w:tblGrid>
      <w:tr w:rsidR="00DA7C78" w:rsidRPr="00DA7C78" w14:paraId="58B1A61C" w14:textId="77777777" w:rsidTr="00522684">
        <w:trPr>
          <w:trHeight w:val="580"/>
          <w:jc w:val="center"/>
        </w:trPr>
        <w:tc>
          <w:tcPr>
            <w:tcW w:w="1345" w:type="dxa"/>
            <w:tcBorders>
              <w:top w:val="single" w:sz="4" w:space="0" w:color="A6A6A6"/>
              <w:left w:val="single" w:sz="4" w:space="0" w:color="A6A6A6"/>
              <w:bottom w:val="single" w:sz="4" w:space="0" w:color="A6A6A6"/>
              <w:right w:val="single" w:sz="4" w:space="0" w:color="A6A6A6"/>
            </w:tcBorders>
            <w:shd w:val="clear" w:color="000000" w:fill="D9D9D9"/>
            <w:noWrap/>
            <w:vAlign w:val="center"/>
            <w:hideMark/>
          </w:tcPr>
          <w:p w14:paraId="3BA3A93D" w14:textId="77777777" w:rsidR="00DA7C78" w:rsidRPr="00DA7C78" w:rsidRDefault="00DA7C78" w:rsidP="00C80B5E">
            <w:pPr>
              <w:spacing w:after="0" w:line="240" w:lineRule="auto"/>
              <w:jc w:val="center"/>
              <w:rPr>
                <w:rFonts w:ascii="Arial" w:hAnsi="Arial" w:cs="Arial"/>
                <w:b/>
                <w:bCs/>
                <w:color w:val="000000"/>
                <w:sz w:val="20"/>
                <w:szCs w:val="20"/>
              </w:rPr>
            </w:pPr>
            <w:r w:rsidRPr="00DA7C78">
              <w:rPr>
                <w:rFonts w:ascii="Arial" w:hAnsi="Arial" w:cs="Arial"/>
                <w:b/>
                <w:bCs/>
                <w:color w:val="000000"/>
                <w:sz w:val="20"/>
                <w:szCs w:val="20"/>
              </w:rPr>
              <w:t>Unit</w:t>
            </w:r>
          </w:p>
        </w:tc>
        <w:tc>
          <w:tcPr>
            <w:tcW w:w="1295" w:type="dxa"/>
            <w:tcBorders>
              <w:top w:val="single" w:sz="4" w:space="0" w:color="A6A6A6"/>
              <w:left w:val="nil"/>
              <w:bottom w:val="single" w:sz="4" w:space="0" w:color="A6A6A6"/>
              <w:right w:val="single" w:sz="4" w:space="0" w:color="A6A6A6"/>
            </w:tcBorders>
            <w:shd w:val="clear" w:color="000000" w:fill="D9D9D9"/>
            <w:vAlign w:val="center"/>
            <w:hideMark/>
          </w:tcPr>
          <w:p w14:paraId="10A06866" w14:textId="77777777" w:rsidR="00DA7C78" w:rsidRPr="00DA7C78" w:rsidRDefault="00DA7C78" w:rsidP="00C80B5E">
            <w:pPr>
              <w:spacing w:after="0" w:line="240" w:lineRule="auto"/>
              <w:jc w:val="center"/>
              <w:rPr>
                <w:rFonts w:ascii="Arial" w:hAnsi="Arial" w:cs="Arial"/>
                <w:b/>
                <w:bCs/>
                <w:color w:val="000000"/>
                <w:sz w:val="20"/>
                <w:szCs w:val="20"/>
              </w:rPr>
            </w:pPr>
            <w:r w:rsidRPr="00DA7C78">
              <w:rPr>
                <w:rFonts w:ascii="Arial" w:hAnsi="Arial" w:cs="Arial"/>
                <w:b/>
                <w:bCs/>
                <w:color w:val="000000"/>
                <w:sz w:val="20"/>
                <w:szCs w:val="20"/>
              </w:rPr>
              <w:t>Unit Type</w:t>
            </w:r>
          </w:p>
        </w:tc>
        <w:tc>
          <w:tcPr>
            <w:tcW w:w="1023" w:type="dxa"/>
            <w:tcBorders>
              <w:top w:val="single" w:sz="4" w:space="0" w:color="A6A6A6"/>
              <w:left w:val="nil"/>
              <w:bottom w:val="single" w:sz="4" w:space="0" w:color="A6A6A6"/>
              <w:right w:val="single" w:sz="4" w:space="0" w:color="A6A6A6"/>
            </w:tcBorders>
            <w:shd w:val="clear" w:color="000000" w:fill="D9D9D9"/>
            <w:vAlign w:val="center"/>
            <w:hideMark/>
          </w:tcPr>
          <w:p w14:paraId="74D1BF5C" w14:textId="77777777" w:rsidR="00DA7C78" w:rsidRPr="00DA7C78" w:rsidRDefault="00DA7C78" w:rsidP="00C80B5E">
            <w:pPr>
              <w:spacing w:after="0" w:line="240" w:lineRule="auto"/>
              <w:jc w:val="center"/>
              <w:rPr>
                <w:rFonts w:ascii="Arial" w:hAnsi="Arial" w:cs="Arial"/>
                <w:b/>
                <w:bCs/>
                <w:color w:val="000000"/>
                <w:sz w:val="20"/>
                <w:szCs w:val="20"/>
              </w:rPr>
            </w:pPr>
            <w:r w:rsidRPr="00DA7C78">
              <w:rPr>
                <w:rFonts w:ascii="Arial" w:hAnsi="Arial" w:cs="Arial"/>
                <w:b/>
                <w:bCs/>
                <w:color w:val="000000"/>
                <w:sz w:val="20"/>
                <w:szCs w:val="20"/>
              </w:rPr>
              <w:t>Cooling Type</w:t>
            </w:r>
          </w:p>
        </w:tc>
        <w:tc>
          <w:tcPr>
            <w:tcW w:w="1382" w:type="dxa"/>
            <w:tcBorders>
              <w:top w:val="single" w:sz="4" w:space="0" w:color="A6A6A6"/>
              <w:left w:val="nil"/>
              <w:bottom w:val="single" w:sz="4" w:space="0" w:color="A6A6A6"/>
              <w:right w:val="single" w:sz="4" w:space="0" w:color="A6A6A6"/>
            </w:tcBorders>
            <w:shd w:val="clear" w:color="000000" w:fill="D9D9D9"/>
            <w:vAlign w:val="center"/>
            <w:hideMark/>
          </w:tcPr>
          <w:p w14:paraId="2DA71001" w14:textId="77777777" w:rsidR="00DA7C78" w:rsidRPr="00DA7C78" w:rsidRDefault="00DA7C78" w:rsidP="00C80B5E">
            <w:pPr>
              <w:spacing w:after="0" w:line="240" w:lineRule="auto"/>
              <w:jc w:val="center"/>
              <w:rPr>
                <w:rFonts w:ascii="Arial" w:hAnsi="Arial" w:cs="Arial"/>
                <w:b/>
                <w:bCs/>
                <w:color w:val="000000"/>
                <w:sz w:val="20"/>
                <w:szCs w:val="20"/>
              </w:rPr>
            </w:pPr>
            <w:r w:rsidRPr="00DA7C78">
              <w:rPr>
                <w:rFonts w:ascii="Arial" w:hAnsi="Arial" w:cs="Arial"/>
                <w:b/>
                <w:bCs/>
                <w:color w:val="000000"/>
                <w:sz w:val="20"/>
                <w:szCs w:val="20"/>
              </w:rPr>
              <w:t>Bottom Ash Transport Water</w:t>
            </w:r>
          </w:p>
        </w:tc>
        <w:tc>
          <w:tcPr>
            <w:tcW w:w="1217" w:type="dxa"/>
            <w:tcBorders>
              <w:top w:val="single" w:sz="4" w:space="0" w:color="A6A6A6"/>
              <w:left w:val="nil"/>
              <w:bottom w:val="single" w:sz="4" w:space="0" w:color="A6A6A6"/>
              <w:right w:val="single" w:sz="4" w:space="0" w:color="A6A6A6"/>
            </w:tcBorders>
            <w:shd w:val="clear" w:color="000000" w:fill="D9D9D9"/>
            <w:vAlign w:val="center"/>
            <w:hideMark/>
          </w:tcPr>
          <w:p w14:paraId="7D1DB945" w14:textId="7F2D9439" w:rsidR="00DA7C78" w:rsidRPr="00DA7C78" w:rsidRDefault="0042771D" w:rsidP="00C80B5E">
            <w:pPr>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Fly </w:t>
            </w:r>
            <w:r w:rsidR="003A3714">
              <w:rPr>
                <w:rFonts w:ascii="Arial" w:hAnsi="Arial" w:cs="Arial"/>
                <w:b/>
                <w:bCs/>
                <w:color w:val="000000"/>
                <w:sz w:val="20"/>
                <w:szCs w:val="20"/>
              </w:rPr>
              <w:t>Ash</w:t>
            </w:r>
          </w:p>
        </w:tc>
        <w:tc>
          <w:tcPr>
            <w:tcW w:w="1250" w:type="dxa"/>
            <w:tcBorders>
              <w:top w:val="single" w:sz="4" w:space="0" w:color="A6A6A6"/>
              <w:left w:val="nil"/>
              <w:bottom w:val="single" w:sz="4" w:space="0" w:color="A6A6A6"/>
              <w:right w:val="single" w:sz="4" w:space="0" w:color="A6A6A6"/>
            </w:tcBorders>
            <w:shd w:val="clear" w:color="000000" w:fill="D9D9D9"/>
            <w:vAlign w:val="center"/>
            <w:hideMark/>
          </w:tcPr>
          <w:p w14:paraId="78599422" w14:textId="4AEEA7EE" w:rsidR="00DA7C78" w:rsidRPr="00DA7C78" w:rsidRDefault="00DA7C78" w:rsidP="00C80B5E">
            <w:pPr>
              <w:spacing w:after="0" w:line="240" w:lineRule="auto"/>
              <w:jc w:val="center"/>
              <w:rPr>
                <w:rFonts w:ascii="Arial" w:hAnsi="Arial" w:cs="Arial"/>
                <w:b/>
                <w:bCs/>
                <w:color w:val="000000"/>
                <w:sz w:val="20"/>
                <w:szCs w:val="20"/>
              </w:rPr>
            </w:pPr>
            <w:r w:rsidRPr="00DA7C78">
              <w:rPr>
                <w:rFonts w:ascii="Arial" w:hAnsi="Arial" w:cs="Arial"/>
                <w:b/>
                <w:bCs/>
                <w:color w:val="000000"/>
                <w:sz w:val="20"/>
                <w:szCs w:val="20"/>
              </w:rPr>
              <w:t>FGD WW</w:t>
            </w:r>
          </w:p>
        </w:tc>
        <w:tc>
          <w:tcPr>
            <w:tcW w:w="1845" w:type="dxa"/>
            <w:tcBorders>
              <w:top w:val="single" w:sz="4" w:space="0" w:color="A6A6A6"/>
              <w:left w:val="nil"/>
              <w:bottom w:val="single" w:sz="4" w:space="0" w:color="A6A6A6"/>
              <w:right w:val="single" w:sz="4" w:space="0" w:color="A6A6A6"/>
            </w:tcBorders>
            <w:shd w:val="clear" w:color="000000" w:fill="D9D9D9"/>
            <w:vAlign w:val="center"/>
            <w:hideMark/>
          </w:tcPr>
          <w:p w14:paraId="1F94D729" w14:textId="77777777" w:rsidR="00DA7C78" w:rsidRPr="00DA7C78" w:rsidRDefault="00DA7C78" w:rsidP="00C80B5E">
            <w:pPr>
              <w:spacing w:after="0" w:line="240" w:lineRule="auto"/>
              <w:jc w:val="center"/>
              <w:rPr>
                <w:rFonts w:ascii="Arial" w:hAnsi="Arial" w:cs="Arial"/>
                <w:b/>
                <w:bCs/>
                <w:color w:val="000000"/>
                <w:sz w:val="20"/>
                <w:szCs w:val="20"/>
              </w:rPr>
            </w:pPr>
            <w:r w:rsidRPr="00DA7C78">
              <w:rPr>
                <w:rFonts w:ascii="Arial" w:hAnsi="Arial" w:cs="Arial"/>
                <w:b/>
                <w:bCs/>
                <w:color w:val="000000"/>
                <w:sz w:val="20"/>
                <w:szCs w:val="20"/>
              </w:rPr>
              <w:t>CCR WW</w:t>
            </w:r>
          </w:p>
        </w:tc>
        <w:tc>
          <w:tcPr>
            <w:tcW w:w="1329" w:type="dxa"/>
            <w:tcBorders>
              <w:top w:val="single" w:sz="4" w:space="0" w:color="A6A6A6"/>
              <w:left w:val="nil"/>
              <w:bottom w:val="single" w:sz="4" w:space="0" w:color="A6A6A6"/>
              <w:right w:val="single" w:sz="4" w:space="0" w:color="A6A6A6"/>
            </w:tcBorders>
            <w:shd w:val="clear" w:color="000000" w:fill="D9D9D9"/>
            <w:vAlign w:val="center"/>
            <w:hideMark/>
          </w:tcPr>
          <w:p w14:paraId="2C0F0EA5" w14:textId="77777777" w:rsidR="00DA7C78" w:rsidRPr="00DA7C78" w:rsidRDefault="00DA7C78" w:rsidP="00C80B5E">
            <w:pPr>
              <w:spacing w:after="0" w:line="240" w:lineRule="auto"/>
              <w:jc w:val="center"/>
              <w:rPr>
                <w:rFonts w:ascii="Arial" w:hAnsi="Arial" w:cs="Arial"/>
                <w:b/>
                <w:bCs/>
                <w:color w:val="000000"/>
                <w:sz w:val="20"/>
                <w:szCs w:val="20"/>
              </w:rPr>
            </w:pPr>
            <w:r w:rsidRPr="00DA7C78">
              <w:rPr>
                <w:rFonts w:ascii="Arial" w:hAnsi="Arial" w:cs="Arial"/>
                <w:b/>
                <w:bCs/>
                <w:color w:val="000000"/>
                <w:sz w:val="20"/>
                <w:szCs w:val="20"/>
              </w:rPr>
              <w:t>316(b)         Cooling Water</w:t>
            </w:r>
          </w:p>
        </w:tc>
      </w:tr>
      <w:tr w:rsidR="00D82F37" w:rsidRPr="00DA7C78" w14:paraId="4632D80A"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323E55AB" w14:textId="77777777" w:rsidR="00DA7C78" w:rsidRPr="00DA7C78" w:rsidRDefault="00DA7C78" w:rsidP="00A913EC">
            <w:pPr>
              <w:spacing w:after="0" w:line="240" w:lineRule="auto"/>
              <w:jc w:val="center"/>
              <w:rPr>
                <w:rFonts w:ascii="Arial" w:hAnsi="Arial" w:cs="Arial"/>
                <w:color w:val="000000"/>
                <w:sz w:val="20"/>
                <w:szCs w:val="20"/>
              </w:rPr>
            </w:pPr>
            <w:r w:rsidRPr="00DA7C78">
              <w:rPr>
                <w:rFonts w:ascii="Arial" w:hAnsi="Arial" w:cs="Arial"/>
                <w:color w:val="000000"/>
                <w:sz w:val="20"/>
                <w:szCs w:val="20"/>
              </w:rPr>
              <w:t>Bowen 1</w:t>
            </w:r>
          </w:p>
        </w:tc>
        <w:tc>
          <w:tcPr>
            <w:tcW w:w="1295" w:type="dxa"/>
            <w:tcBorders>
              <w:top w:val="nil"/>
              <w:left w:val="nil"/>
              <w:bottom w:val="single" w:sz="4" w:space="0" w:color="A6A6A6"/>
              <w:right w:val="single" w:sz="4" w:space="0" w:color="A6A6A6"/>
            </w:tcBorders>
            <w:shd w:val="clear" w:color="auto" w:fill="auto"/>
            <w:noWrap/>
            <w:vAlign w:val="center"/>
            <w:hideMark/>
          </w:tcPr>
          <w:p w14:paraId="1C693E44" w14:textId="77777777" w:rsidR="00DA7C78" w:rsidRPr="00DA7C78" w:rsidRDefault="00DA7C78" w:rsidP="00A913EC">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0C867293" w14:textId="77777777" w:rsidR="00DA7C78" w:rsidRPr="00DA7C78" w:rsidRDefault="00DA7C78" w:rsidP="00A913EC">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hideMark/>
          </w:tcPr>
          <w:p w14:paraId="1CE629E7" w14:textId="3575B47D" w:rsidR="00DA7C78" w:rsidRPr="00DA7C78" w:rsidRDefault="00522684" w:rsidP="00A913EC">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44E234BF" w14:textId="604BC971" w:rsidR="00DA7C78" w:rsidRPr="00DA7C78" w:rsidRDefault="00522684" w:rsidP="00A913EC">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350E5536" w14:textId="567BEEB5" w:rsidR="00DA7C78" w:rsidRPr="00DA7C78" w:rsidRDefault="00522684" w:rsidP="00A913EC">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01E7B996" w14:textId="6B817CDA" w:rsidR="00DA7C78" w:rsidRPr="00DA7C78" w:rsidRDefault="00522684" w:rsidP="00A913EC">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31C74F1D" w14:textId="619FB500" w:rsidR="00DA7C78" w:rsidRPr="00DA7C78" w:rsidRDefault="00522684" w:rsidP="00A913EC">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38DCBBDD"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2796D392"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Bowen 2</w:t>
            </w:r>
          </w:p>
        </w:tc>
        <w:tc>
          <w:tcPr>
            <w:tcW w:w="1295" w:type="dxa"/>
            <w:tcBorders>
              <w:top w:val="nil"/>
              <w:left w:val="nil"/>
              <w:bottom w:val="single" w:sz="4" w:space="0" w:color="A6A6A6"/>
              <w:right w:val="single" w:sz="4" w:space="0" w:color="A6A6A6"/>
            </w:tcBorders>
            <w:shd w:val="clear" w:color="auto" w:fill="auto"/>
            <w:noWrap/>
            <w:vAlign w:val="center"/>
            <w:hideMark/>
          </w:tcPr>
          <w:p w14:paraId="603F5D02"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79DFEED0"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1ED9A0A5" w14:textId="39E2903B"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1DF48FD1" w14:textId="43C3F4D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4A3E0F67" w14:textId="4F948192"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49E1D163" w14:textId="0F3B90F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772A9D2D" w14:textId="7B35F04E"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37A9E26F"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071FD226"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Bowen 3</w:t>
            </w:r>
          </w:p>
        </w:tc>
        <w:tc>
          <w:tcPr>
            <w:tcW w:w="1295" w:type="dxa"/>
            <w:tcBorders>
              <w:top w:val="nil"/>
              <w:left w:val="nil"/>
              <w:bottom w:val="single" w:sz="4" w:space="0" w:color="A6A6A6"/>
              <w:right w:val="single" w:sz="4" w:space="0" w:color="A6A6A6"/>
            </w:tcBorders>
            <w:shd w:val="clear" w:color="auto" w:fill="auto"/>
            <w:noWrap/>
            <w:vAlign w:val="center"/>
            <w:hideMark/>
          </w:tcPr>
          <w:p w14:paraId="6ACDAC81"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6F5FD39C"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4A460686" w14:textId="0FC7EF37"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7B753072" w14:textId="0430C450"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59D08996" w14:textId="5DE7D9EF"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303B2938" w14:textId="22A0961B"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68A90822" w14:textId="05AB57B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7A2E3CC9"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0B608D40"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Bowen 4</w:t>
            </w:r>
          </w:p>
        </w:tc>
        <w:tc>
          <w:tcPr>
            <w:tcW w:w="1295" w:type="dxa"/>
            <w:tcBorders>
              <w:top w:val="nil"/>
              <w:left w:val="nil"/>
              <w:bottom w:val="single" w:sz="4" w:space="0" w:color="A6A6A6"/>
              <w:right w:val="single" w:sz="4" w:space="0" w:color="A6A6A6"/>
            </w:tcBorders>
            <w:shd w:val="clear" w:color="auto" w:fill="auto"/>
            <w:noWrap/>
            <w:vAlign w:val="center"/>
            <w:hideMark/>
          </w:tcPr>
          <w:p w14:paraId="12178A53"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2C223CDD"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3885B24B" w14:textId="63886F6E"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7C15B013" w14:textId="0427B4CB"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6710B805" w14:textId="024F7D75"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0770800C" w14:textId="3E8C9D5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01ECF2E0" w14:textId="337CD00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4FE941DD"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5ADEDAD0"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Gaston 1</w:t>
            </w:r>
          </w:p>
        </w:tc>
        <w:tc>
          <w:tcPr>
            <w:tcW w:w="1295" w:type="dxa"/>
            <w:tcBorders>
              <w:top w:val="nil"/>
              <w:left w:val="nil"/>
              <w:bottom w:val="single" w:sz="4" w:space="0" w:color="A6A6A6"/>
              <w:right w:val="single" w:sz="4" w:space="0" w:color="A6A6A6"/>
            </w:tcBorders>
            <w:shd w:val="clear" w:color="auto" w:fill="auto"/>
            <w:noWrap/>
            <w:vAlign w:val="center"/>
            <w:hideMark/>
          </w:tcPr>
          <w:p w14:paraId="327D4EC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0C4413BE"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2AB625A2" w14:textId="75DF9194"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28CE87E0" w14:textId="1CE0CDDC"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163F75EB" w14:textId="77462465"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1B9B6E2C" w14:textId="58EF2EBA"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34DE517F" w14:textId="6AE06F1B"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6900D6D2"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42909520"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Gaston 2</w:t>
            </w:r>
          </w:p>
        </w:tc>
        <w:tc>
          <w:tcPr>
            <w:tcW w:w="1295" w:type="dxa"/>
            <w:tcBorders>
              <w:top w:val="nil"/>
              <w:left w:val="nil"/>
              <w:bottom w:val="single" w:sz="4" w:space="0" w:color="A6A6A6"/>
              <w:right w:val="single" w:sz="4" w:space="0" w:color="A6A6A6"/>
            </w:tcBorders>
            <w:shd w:val="clear" w:color="auto" w:fill="auto"/>
            <w:noWrap/>
            <w:vAlign w:val="center"/>
            <w:hideMark/>
          </w:tcPr>
          <w:p w14:paraId="3FB5BE4C"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3A524300"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00E1253B" w14:textId="3F13615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585DEDD2" w14:textId="6589E3E7"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267983A2" w14:textId="75F8EF94"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1EBBA3D6" w14:textId="6A0BF8B9"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1F89153F" w14:textId="6851CA10"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417A05DB"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603E1453"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Gaston 3</w:t>
            </w:r>
          </w:p>
        </w:tc>
        <w:tc>
          <w:tcPr>
            <w:tcW w:w="1295" w:type="dxa"/>
            <w:tcBorders>
              <w:top w:val="nil"/>
              <w:left w:val="nil"/>
              <w:bottom w:val="single" w:sz="4" w:space="0" w:color="A6A6A6"/>
              <w:right w:val="single" w:sz="4" w:space="0" w:color="A6A6A6"/>
            </w:tcBorders>
            <w:shd w:val="clear" w:color="auto" w:fill="auto"/>
            <w:noWrap/>
            <w:vAlign w:val="center"/>
            <w:hideMark/>
          </w:tcPr>
          <w:p w14:paraId="489E8C6B"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057DBDAA"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43E1DF9A" w14:textId="24C1C77E"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4B4BDD4D" w14:textId="390EF40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3875C251" w14:textId="0DB4A6C9"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18AC741F" w14:textId="666F1242"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2AEF82CF" w14:textId="4E1C5261"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6C40500F"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013F876B"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Gaston 4</w:t>
            </w:r>
          </w:p>
        </w:tc>
        <w:tc>
          <w:tcPr>
            <w:tcW w:w="1295" w:type="dxa"/>
            <w:tcBorders>
              <w:top w:val="nil"/>
              <w:left w:val="nil"/>
              <w:bottom w:val="single" w:sz="4" w:space="0" w:color="A6A6A6"/>
              <w:right w:val="single" w:sz="4" w:space="0" w:color="A6A6A6"/>
            </w:tcBorders>
            <w:shd w:val="clear" w:color="auto" w:fill="auto"/>
            <w:noWrap/>
            <w:vAlign w:val="center"/>
            <w:hideMark/>
          </w:tcPr>
          <w:p w14:paraId="7D3AB3B6"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500D54E3"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2A7E72F1" w14:textId="2F913C5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500C3F4C" w14:textId="71C58F8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00E525D9" w14:textId="4321174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71E9A423" w14:textId="6786A66E"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2B4AB64C" w14:textId="33ABA72C"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25BAF591"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7A4C301A"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Hammond 1</w:t>
            </w:r>
          </w:p>
        </w:tc>
        <w:tc>
          <w:tcPr>
            <w:tcW w:w="1295" w:type="dxa"/>
            <w:tcBorders>
              <w:top w:val="nil"/>
              <w:left w:val="nil"/>
              <w:bottom w:val="single" w:sz="4" w:space="0" w:color="A6A6A6"/>
              <w:right w:val="single" w:sz="4" w:space="0" w:color="A6A6A6"/>
            </w:tcBorders>
            <w:shd w:val="clear" w:color="auto" w:fill="auto"/>
            <w:noWrap/>
            <w:vAlign w:val="center"/>
            <w:hideMark/>
          </w:tcPr>
          <w:p w14:paraId="57DE61EF"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095FFDD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429A1026" w14:textId="64C28C6A"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2B6A62FD" w14:textId="1691B73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2B644DF1" w14:textId="6F2EAAB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420EDBB6" w14:textId="6C584AB4"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4F0FA1B1" w14:textId="1236D0F5"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1721D1FB"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106B959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Hammond 2</w:t>
            </w:r>
          </w:p>
        </w:tc>
        <w:tc>
          <w:tcPr>
            <w:tcW w:w="1295" w:type="dxa"/>
            <w:tcBorders>
              <w:top w:val="nil"/>
              <w:left w:val="nil"/>
              <w:bottom w:val="single" w:sz="4" w:space="0" w:color="A6A6A6"/>
              <w:right w:val="single" w:sz="4" w:space="0" w:color="A6A6A6"/>
            </w:tcBorders>
            <w:shd w:val="clear" w:color="auto" w:fill="auto"/>
            <w:noWrap/>
            <w:vAlign w:val="center"/>
            <w:hideMark/>
          </w:tcPr>
          <w:p w14:paraId="0A569A80"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3771CF6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242E9762" w14:textId="5BFAFA54"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2A7252D6" w14:textId="4662529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7EE0931C" w14:textId="450832AB"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0878A24B" w14:textId="668C979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16F6DA4F" w14:textId="3AA09B61"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0426AD33"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07815664"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Hammond 3</w:t>
            </w:r>
          </w:p>
        </w:tc>
        <w:tc>
          <w:tcPr>
            <w:tcW w:w="1295" w:type="dxa"/>
            <w:tcBorders>
              <w:top w:val="nil"/>
              <w:left w:val="nil"/>
              <w:bottom w:val="single" w:sz="4" w:space="0" w:color="A6A6A6"/>
              <w:right w:val="single" w:sz="4" w:space="0" w:color="A6A6A6"/>
            </w:tcBorders>
            <w:shd w:val="clear" w:color="auto" w:fill="auto"/>
            <w:noWrap/>
            <w:vAlign w:val="center"/>
            <w:hideMark/>
          </w:tcPr>
          <w:p w14:paraId="07DBE365"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19AF3B7D"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7289DAD0" w14:textId="3E75A710"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2D9C4471" w14:textId="4296EDF3"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5EFA65A9" w14:textId="333354A7"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471AF097" w14:textId="5343482F"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6F8CB5C8" w14:textId="573511C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1575845A"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5ACF3499"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Hammond 4</w:t>
            </w:r>
          </w:p>
        </w:tc>
        <w:tc>
          <w:tcPr>
            <w:tcW w:w="1295" w:type="dxa"/>
            <w:tcBorders>
              <w:top w:val="nil"/>
              <w:left w:val="nil"/>
              <w:bottom w:val="single" w:sz="4" w:space="0" w:color="A6A6A6"/>
              <w:right w:val="single" w:sz="4" w:space="0" w:color="A6A6A6"/>
            </w:tcBorders>
            <w:shd w:val="clear" w:color="auto" w:fill="auto"/>
            <w:noWrap/>
            <w:vAlign w:val="center"/>
            <w:hideMark/>
          </w:tcPr>
          <w:p w14:paraId="5A21BED4"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5BA29E69"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08A4025B" w14:textId="29F8164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16FB193B" w14:textId="2D7B557F"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3A039A71" w14:textId="6F8BA959"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3748A8C2" w14:textId="5BECAEB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797EEDCB" w14:textId="21F7BE8F"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39064C4E"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5863310F"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McIntosh 1</w:t>
            </w:r>
          </w:p>
        </w:tc>
        <w:tc>
          <w:tcPr>
            <w:tcW w:w="1295" w:type="dxa"/>
            <w:tcBorders>
              <w:top w:val="nil"/>
              <w:left w:val="nil"/>
              <w:bottom w:val="single" w:sz="4" w:space="0" w:color="A6A6A6"/>
              <w:right w:val="single" w:sz="4" w:space="0" w:color="A6A6A6"/>
            </w:tcBorders>
            <w:shd w:val="clear" w:color="auto" w:fill="auto"/>
            <w:noWrap/>
            <w:vAlign w:val="center"/>
            <w:hideMark/>
          </w:tcPr>
          <w:p w14:paraId="705DE769"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Wall Fired</w:t>
            </w:r>
          </w:p>
        </w:tc>
        <w:tc>
          <w:tcPr>
            <w:tcW w:w="1023" w:type="dxa"/>
            <w:tcBorders>
              <w:top w:val="nil"/>
              <w:left w:val="nil"/>
              <w:bottom w:val="single" w:sz="4" w:space="0" w:color="A6A6A6"/>
              <w:right w:val="single" w:sz="4" w:space="0" w:color="A6A6A6"/>
            </w:tcBorders>
            <w:shd w:val="clear" w:color="auto" w:fill="auto"/>
            <w:noWrap/>
            <w:vAlign w:val="center"/>
            <w:hideMark/>
          </w:tcPr>
          <w:p w14:paraId="5D83949D"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Once-Through</w:t>
            </w:r>
          </w:p>
        </w:tc>
        <w:tc>
          <w:tcPr>
            <w:tcW w:w="1382" w:type="dxa"/>
            <w:tcBorders>
              <w:top w:val="nil"/>
              <w:left w:val="nil"/>
              <w:bottom w:val="single" w:sz="4" w:space="0" w:color="A6A6A6"/>
              <w:right w:val="single" w:sz="4" w:space="0" w:color="A6A6A6"/>
            </w:tcBorders>
            <w:shd w:val="clear" w:color="auto" w:fill="auto"/>
            <w:noWrap/>
            <w:vAlign w:val="center"/>
          </w:tcPr>
          <w:p w14:paraId="1BE9336A" w14:textId="61A14E3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5C661DF5" w14:textId="044254CC"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54981F89" w14:textId="7FBBCE27"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6AFEBB4F" w14:textId="62E0A94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4964BF28" w14:textId="5FCACD0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1CC95483"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41AA1FF5"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Scherer 1</w:t>
            </w:r>
          </w:p>
        </w:tc>
        <w:tc>
          <w:tcPr>
            <w:tcW w:w="1295" w:type="dxa"/>
            <w:tcBorders>
              <w:top w:val="nil"/>
              <w:left w:val="nil"/>
              <w:bottom w:val="single" w:sz="4" w:space="0" w:color="A6A6A6"/>
              <w:right w:val="single" w:sz="4" w:space="0" w:color="A6A6A6"/>
            </w:tcBorders>
            <w:shd w:val="clear" w:color="auto" w:fill="auto"/>
            <w:noWrap/>
            <w:vAlign w:val="center"/>
            <w:hideMark/>
          </w:tcPr>
          <w:p w14:paraId="3698C8C1"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1E5A6A4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0DAC21A7" w14:textId="022957C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1F93C0D0" w14:textId="0718F790"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0258A76F" w14:textId="63DDFE5E"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1E1C05D3" w14:textId="56744FA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3418217C" w14:textId="4721943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33BB5658"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72BBDD7C"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Scherer 2</w:t>
            </w:r>
          </w:p>
        </w:tc>
        <w:tc>
          <w:tcPr>
            <w:tcW w:w="1295" w:type="dxa"/>
            <w:tcBorders>
              <w:top w:val="nil"/>
              <w:left w:val="nil"/>
              <w:bottom w:val="single" w:sz="4" w:space="0" w:color="A6A6A6"/>
              <w:right w:val="single" w:sz="4" w:space="0" w:color="A6A6A6"/>
            </w:tcBorders>
            <w:shd w:val="clear" w:color="auto" w:fill="auto"/>
            <w:noWrap/>
            <w:vAlign w:val="center"/>
            <w:hideMark/>
          </w:tcPr>
          <w:p w14:paraId="2C2CCB3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4D7CEFD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4D0A1CC4" w14:textId="6E3FB8D3"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17FE693E" w14:textId="1DA2755C"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1618216E" w14:textId="7C7D03E3"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36C72B63" w14:textId="630B27E1"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11D8582C" w14:textId="3E05CBD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38243D81"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34EC36F3"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Scherer 3</w:t>
            </w:r>
          </w:p>
        </w:tc>
        <w:tc>
          <w:tcPr>
            <w:tcW w:w="1295" w:type="dxa"/>
            <w:tcBorders>
              <w:top w:val="nil"/>
              <w:left w:val="nil"/>
              <w:bottom w:val="single" w:sz="4" w:space="0" w:color="A6A6A6"/>
              <w:right w:val="single" w:sz="4" w:space="0" w:color="A6A6A6"/>
            </w:tcBorders>
            <w:shd w:val="clear" w:color="auto" w:fill="auto"/>
            <w:noWrap/>
            <w:vAlign w:val="center"/>
            <w:hideMark/>
          </w:tcPr>
          <w:p w14:paraId="6504DEF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06EAB001"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746EDD05" w14:textId="7F6AB10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5C21EDAB" w14:textId="3B1742C6"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1CA7A5D8" w14:textId="066973EF"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66921872" w14:textId="16914EA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0DC0CA79" w14:textId="5F83F4D3"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1D480063"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61584485"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Wansley 1</w:t>
            </w:r>
          </w:p>
        </w:tc>
        <w:tc>
          <w:tcPr>
            <w:tcW w:w="1295" w:type="dxa"/>
            <w:tcBorders>
              <w:top w:val="nil"/>
              <w:left w:val="nil"/>
              <w:bottom w:val="single" w:sz="4" w:space="0" w:color="A6A6A6"/>
              <w:right w:val="single" w:sz="4" w:space="0" w:color="A6A6A6"/>
            </w:tcBorders>
            <w:shd w:val="clear" w:color="auto" w:fill="auto"/>
            <w:noWrap/>
            <w:vAlign w:val="center"/>
            <w:hideMark/>
          </w:tcPr>
          <w:p w14:paraId="1249872C"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29D36932"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2E775E35" w14:textId="0AD8B9CB"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3465F630" w14:textId="375C6322"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46A26E99" w14:textId="6E53E6A4"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6079B148" w14:textId="23C412DF"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3792FEDC" w14:textId="3414C111"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524242B7"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6E438DDC"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Wansley 2</w:t>
            </w:r>
          </w:p>
        </w:tc>
        <w:tc>
          <w:tcPr>
            <w:tcW w:w="1295" w:type="dxa"/>
            <w:tcBorders>
              <w:top w:val="nil"/>
              <w:left w:val="nil"/>
              <w:bottom w:val="single" w:sz="4" w:space="0" w:color="A6A6A6"/>
              <w:right w:val="single" w:sz="4" w:space="0" w:color="A6A6A6"/>
            </w:tcBorders>
            <w:shd w:val="clear" w:color="auto" w:fill="auto"/>
            <w:noWrap/>
            <w:vAlign w:val="center"/>
            <w:hideMark/>
          </w:tcPr>
          <w:p w14:paraId="30A61E1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6FDD4B3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179B8EA5" w14:textId="1B3F6AAA"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45BC079D" w14:textId="6AEBCC27"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597CEA4D" w14:textId="7303F08C"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283564C4" w14:textId="793018C7"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2367700C" w14:textId="4533761D"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05E607FA" w14:textId="77777777" w:rsidTr="00522684">
        <w:trPr>
          <w:trHeight w:val="366"/>
          <w:jc w:val="center"/>
        </w:trPr>
        <w:tc>
          <w:tcPr>
            <w:tcW w:w="1345" w:type="dxa"/>
            <w:tcBorders>
              <w:top w:val="nil"/>
              <w:left w:val="single" w:sz="4" w:space="0" w:color="A6A6A6"/>
              <w:bottom w:val="single" w:sz="4" w:space="0" w:color="A6A6A6"/>
              <w:right w:val="single" w:sz="4" w:space="0" w:color="A6A6A6"/>
            </w:tcBorders>
            <w:shd w:val="clear" w:color="auto" w:fill="auto"/>
            <w:noWrap/>
            <w:vAlign w:val="center"/>
            <w:hideMark/>
          </w:tcPr>
          <w:p w14:paraId="530655D3"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Yates 6</w:t>
            </w:r>
          </w:p>
        </w:tc>
        <w:tc>
          <w:tcPr>
            <w:tcW w:w="1295" w:type="dxa"/>
            <w:tcBorders>
              <w:top w:val="nil"/>
              <w:left w:val="nil"/>
              <w:bottom w:val="single" w:sz="4" w:space="0" w:color="A6A6A6"/>
              <w:right w:val="single" w:sz="4" w:space="0" w:color="A6A6A6"/>
            </w:tcBorders>
            <w:shd w:val="clear" w:color="auto" w:fill="auto"/>
            <w:noWrap/>
            <w:vAlign w:val="center"/>
            <w:hideMark/>
          </w:tcPr>
          <w:p w14:paraId="3517565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6A6A6"/>
              <w:right w:val="single" w:sz="4" w:space="0" w:color="A6A6A6"/>
            </w:tcBorders>
            <w:shd w:val="clear" w:color="auto" w:fill="auto"/>
            <w:noWrap/>
            <w:vAlign w:val="center"/>
            <w:hideMark/>
          </w:tcPr>
          <w:p w14:paraId="5B584DE0"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6A6A6"/>
              <w:right w:val="single" w:sz="4" w:space="0" w:color="A6A6A6"/>
            </w:tcBorders>
            <w:shd w:val="clear" w:color="auto" w:fill="auto"/>
            <w:noWrap/>
            <w:vAlign w:val="center"/>
          </w:tcPr>
          <w:p w14:paraId="65B07765" w14:textId="62471F0F"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6A6A6"/>
              <w:right w:val="single" w:sz="4" w:space="0" w:color="A6A6A6"/>
            </w:tcBorders>
            <w:shd w:val="clear" w:color="auto" w:fill="auto"/>
            <w:noWrap/>
            <w:vAlign w:val="center"/>
          </w:tcPr>
          <w:p w14:paraId="3DE1428C" w14:textId="5D7F6B33"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6A6A6"/>
              <w:right w:val="single" w:sz="4" w:space="0" w:color="A6A6A6"/>
            </w:tcBorders>
            <w:shd w:val="clear" w:color="auto" w:fill="auto"/>
            <w:noWrap/>
            <w:vAlign w:val="center"/>
          </w:tcPr>
          <w:p w14:paraId="05C2BB12" w14:textId="7C405AD1"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6A6A6"/>
              <w:right w:val="single" w:sz="4" w:space="0" w:color="A6A6A6"/>
            </w:tcBorders>
            <w:shd w:val="clear" w:color="auto" w:fill="auto"/>
            <w:noWrap/>
            <w:vAlign w:val="center"/>
          </w:tcPr>
          <w:p w14:paraId="1A8F5C96" w14:textId="4BE8F53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6A6A6"/>
              <w:right w:val="single" w:sz="4" w:space="0" w:color="A6A6A6"/>
            </w:tcBorders>
            <w:shd w:val="clear" w:color="auto" w:fill="auto"/>
            <w:noWrap/>
            <w:vAlign w:val="center"/>
          </w:tcPr>
          <w:p w14:paraId="08DF9F11" w14:textId="43143165"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5C637DF9" w14:textId="77777777" w:rsidTr="00522684">
        <w:trPr>
          <w:trHeight w:val="366"/>
          <w:jc w:val="center"/>
        </w:trPr>
        <w:tc>
          <w:tcPr>
            <w:tcW w:w="1345" w:type="dxa"/>
            <w:tcBorders>
              <w:top w:val="nil"/>
              <w:left w:val="single" w:sz="4" w:space="0" w:color="A6A6A6"/>
              <w:bottom w:val="single" w:sz="4" w:space="0" w:color="auto"/>
              <w:right w:val="single" w:sz="4" w:space="0" w:color="A6A6A6"/>
            </w:tcBorders>
            <w:shd w:val="clear" w:color="auto" w:fill="auto"/>
            <w:noWrap/>
            <w:vAlign w:val="center"/>
            <w:hideMark/>
          </w:tcPr>
          <w:p w14:paraId="64CCA928"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Yates 7</w:t>
            </w:r>
          </w:p>
        </w:tc>
        <w:tc>
          <w:tcPr>
            <w:tcW w:w="1295" w:type="dxa"/>
            <w:tcBorders>
              <w:top w:val="nil"/>
              <w:left w:val="nil"/>
              <w:bottom w:val="single" w:sz="4" w:space="0" w:color="auto"/>
              <w:right w:val="single" w:sz="4" w:space="0" w:color="A6A6A6"/>
            </w:tcBorders>
            <w:shd w:val="clear" w:color="auto" w:fill="auto"/>
            <w:noWrap/>
            <w:vAlign w:val="center"/>
            <w:hideMark/>
          </w:tcPr>
          <w:p w14:paraId="1A824B3C"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Tangentially Fired</w:t>
            </w:r>
          </w:p>
        </w:tc>
        <w:tc>
          <w:tcPr>
            <w:tcW w:w="1023" w:type="dxa"/>
            <w:tcBorders>
              <w:top w:val="nil"/>
              <w:left w:val="nil"/>
              <w:bottom w:val="single" w:sz="4" w:space="0" w:color="auto"/>
              <w:right w:val="single" w:sz="4" w:space="0" w:color="A6A6A6"/>
            </w:tcBorders>
            <w:shd w:val="clear" w:color="auto" w:fill="auto"/>
            <w:noWrap/>
            <w:vAlign w:val="center"/>
            <w:hideMark/>
          </w:tcPr>
          <w:p w14:paraId="138CFF43" w14:textId="77777777" w:rsidR="00522684" w:rsidRPr="00DA7C78" w:rsidRDefault="00522684" w:rsidP="00522684">
            <w:pPr>
              <w:spacing w:after="0" w:line="240" w:lineRule="auto"/>
              <w:jc w:val="center"/>
              <w:rPr>
                <w:rFonts w:ascii="Arial" w:hAnsi="Arial" w:cs="Arial"/>
                <w:color w:val="000000"/>
                <w:sz w:val="20"/>
                <w:szCs w:val="20"/>
              </w:rPr>
            </w:pPr>
            <w:r w:rsidRPr="00DA7C78">
              <w:rPr>
                <w:rFonts w:ascii="Arial" w:hAnsi="Arial" w:cs="Arial"/>
                <w:color w:val="000000"/>
                <w:sz w:val="20"/>
                <w:szCs w:val="20"/>
              </w:rPr>
              <w:t>Closed-Cycle</w:t>
            </w:r>
          </w:p>
        </w:tc>
        <w:tc>
          <w:tcPr>
            <w:tcW w:w="1382" w:type="dxa"/>
            <w:tcBorders>
              <w:top w:val="nil"/>
              <w:left w:val="nil"/>
              <w:bottom w:val="single" w:sz="4" w:space="0" w:color="auto"/>
              <w:right w:val="single" w:sz="4" w:space="0" w:color="A6A6A6"/>
            </w:tcBorders>
            <w:shd w:val="clear" w:color="auto" w:fill="auto"/>
            <w:noWrap/>
            <w:vAlign w:val="center"/>
          </w:tcPr>
          <w:p w14:paraId="2329653D" w14:textId="78B7D78A"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17" w:type="dxa"/>
            <w:tcBorders>
              <w:top w:val="nil"/>
              <w:left w:val="nil"/>
              <w:bottom w:val="single" w:sz="4" w:space="0" w:color="auto"/>
              <w:right w:val="single" w:sz="4" w:space="0" w:color="A6A6A6"/>
            </w:tcBorders>
            <w:shd w:val="clear" w:color="auto" w:fill="auto"/>
            <w:noWrap/>
            <w:vAlign w:val="center"/>
          </w:tcPr>
          <w:p w14:paraId="061D9BF9" w14:textId="3FD4BFE5"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250" w:type="dxa"/>
            <w:tcBorders>
              <w:top w:val="nil"/>
              <w:left w:val="nil"/>
              <w:bottom w:val="single" w:sz="4" w:space="0" w:color="auto"/>
              <w:right w:val="single" w:sz="4" w:space="0" w:color="A6A6A6"/>
            </w:tcBorders>
            <w:shd w:val="clear" w:color="auto" w:fill="auto"/>
            <w:noWrap/>
            <w:vAlign w:val="center"/>
          </w:tcPr>
          <w:p w14:paraId="38F54585" w14:textId="5FD28A48"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845" w:type="dxa"/>
            <w:tcBorders>
              <w:top w:val="nil"/>
              <w:left w:val="nil"/>
              <w:bottom w:val="single" w:sz="4" w:space="0" w:color="auto"/>
              <w:right w:val="single" w:sz="4" w:space="0" w:color="A6A6A6"/>
            </w:tcBorders>
            <w:shd w:val="clear" w:color="auto" w:fill="auto"/>
            <w:noWrap/>
            <w:vAlign w:val="center"/>
          </w:tcPr>
          <w:p w14:paraId="3478E3A5" w14:textId="2B0FE10C"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c>
          <w:tcPr>
            <w:tcW w:w="1329" w:type="dxa"/>
            <w:tcBorders>
              <w:top w:val="nil"/>
              <w:left w:val="nil"/>
              <w:bottom w:val="single" w:sz="4" w:space="0" w:color="auto"/>
              <w:right w:val="single" w:sz="4" w:space="0" w:color="A6A6A6"/>
            </w:tcBorders>
            <w:shd w:val="clear" w:color="auto" w:fill="auto"/>
            <w:noWrap/>
            <w:vAlign w:val="center"/>
          </w:tcPr>
          <w:p w14:paraId="1CC2131A" w14:textId="1B394AA0" w:rsidR="00522684" w:rsidRPr="00DA7C78" w:rsidRDefault="00522684" w:rsidP="00522684">
            <w:pPr>
              <w:spacing w:after="0" w:line="240" w:lineRule="auto"/>
              <w:jc w:val="center"/>
              <w:rPr>
                <w:rFonts w:ascii="Arial" w:hAnsi="Arial" w:cs="Arial"/>
                <w:color w:val="000000"/>
                <w:sz w:val="20"/>
                <w:szCs w:val="20"/>
              </w:rPr>
            </w:pPr>
            <w:r w:rsidRPr="00522684">
              <w:rPr>
                <w:rFonts w:ascii="Arial" w:hAnsi="Arial" w:cs="Arial"/>
                <w:b/>
                <w:sz w:val="18"/>
                <w:szCs w:val="24"/>
              </w:rPr>
              <w:t>REDACTED</w:t>
            </w:r>
          </w:p>
        </w:tc>
      </w:tr>
      <w:tr w:rsidR="00522684" w:rsidRPr="00DA7C78" w14:paraId="09D2F604" w14:textId="77777777" w:rsidTr="00522684">
        <w:trPr>
          <w:trHeight w:val="290"/>
          <w:jc w:val="center"/>
        </w:trPr>
        <w:tc>
          <w:tcPr>
            <w:tcW w:w="9357" w:type="dxa"/>
            <w:gridSpan w:val="7"/>
            <w:tcBorders>
              <w:top w:val="single" w:sz="4" w:space="0" w:color="auto"/>
              <w:bottom w:val="nil"/>
              <w:right w:val="nil"/>
            </w:tcBorders>
            <w:shd w:val="clear" w:color="auto" w:fill="auto"/>
            <w:noWrap/>
            <w:vAlign w:val="bottom"/>
            <w:hideMark/>
          </w:tcPr>
          <w:p w14:paraId="6FE495C4" w14:textId="77777777" w:rsidR="00522684" w:rsidRPr="00DA7C78" w:rsidRDefault="00522684" w:rsidP="00522684">
            <w:pPr>
              <w:spacing w:after="0" w:line="240" w:lineRule="auto"/>
              <w:rPr>
                <w:rFonts w:ascii="Arial" w:hAnsi="Arial" w:cs="Arial"/>
                <w:i/>
                <w:iCs/>
                <w:color w:val="000000"/>
                <w:sz w:val="20"/>
                <w:szCs w:val="20"/>
              </w:rPr>
            </w:pPr>
            <w:r w:rsidRPr="00DA7C78">
              <w:rPr>
                <w:rFonts w:ascii="Arial" w:hAnsi="Arial" w:cs="Arial"/>
                <w:i/>
                <w:iCs/>
                <w:color w:val="000000"/>
                <w:sz w:val="20"/>
                <w:szCs w:val="20"/>
              </w:rPr>
              <w:t>No footnote for In-Service projects. (1) Projects Under Construction, (2) ECS Strategy Projects</w:t>
            </w:r>
          </w:p>
        </w:tc>
        <w:tc>
          <w:tcPr>
            <w:tcW w:w="1329" w:type="dxa"/>
            <w:tcBorders>
              <w:top w:val="single" w:sz="4" w:space="0" w:color="auto"/>
              <w:left w:val="nil"/>
              <w:bottom w:val="nil"/>
              <w:right w:val="nil"/>
            </w:tcBorders>
            <w:shd w:val="clear" w:color="auto" w:fill="auto"/>
            <w:noWrap/>
            <w:vAlign w:val="bottom"/>
            <w:hideMark/>
          </w:tcPr>
          <w:p w14:paraId="2F527804" w14:textId="77777777" w:rsidR="00522684" w:rsidRPr="00DA7C78" w:rsidRDefault="00522684" w:rsidP="00522684">
            <w:pPr>
              <w:spacing w:after="0" w:line="240" w:lineRule="auto"/>
              <w:rPr>
                <w:rFonts w:ascii="Arial" w:hAnsi="Arial" w:cs="Arial"/>
                <w:i/>
                <w:iCs/>
                <w:color w:val="000000"/>
                <w:sz w:val="20"/>
                <w:szCs w:val="20"/>
              </w:rPr>
            </w:pPr>
          </w:p>
        </w:tc>
      </w:tr>
    </w:tbl>
    <w:p w14:paraId="22BA5222" w14:textId="2E69A8EA" w:rsidR="00752263" w:rsidRPr="00DB7156" w:rsidRDefault="00752263" w:rsidP="00DB7156">
      <w:pPr>
        <w:tabs>
          <w:tab w:val="center" w:pos="4392"/>
        </w:tabs>
        <w:suppressAutoHyphens/>
        <w:spacing w:after="0" w:line="240" w:lineRule="auto"/>
        <w:jc w:val="both"/>
        <w:rPr>
          <w:rFonts w:ascii="Arial" w:hAnsi="Arial" w:cs="Arial"/>
          <w:sz w:val="24"/>
          <w:szCs w:val="24"/>
        </w:rPr>
      </w:pPr>
    </w:p>
    <w:p w14:paraId="650F5B66" w14:textId="77777777" w:rsidR="00A37463" w:rsidRDefault="00A37463">
      <w:pPr>
        <w:spacing w:after="0" w:line="240" w:lineRule="auto"/>
        <w:rPr>
          <w:rFonts w:ascii="Arial" w:hAnsi="Arial" w:cs="Arial"/>
          <w:b/>
          <w:bCs/>
          <w:color w:val="000080"/>
          <w:sz w:val="24"/>
          <w:szCs w:val="24"/>
        </w:rPr>
      </w:pPr>
      <w:bookmarkStart w:id="215" w:name="_Toc496107764"/>
      <w:bookmarkStart w:id="216" w:name="_Toc527987357"/>
      <w:bookmarkStart w:id="217" w:name="_Toc527983904"/>
      <w:bookmarkStart w:id="218" w:name="_Toc530487290"/>
      <w:bookmarkStart w:id="219" w:name="_Hlk535259935"/>
      <w:bookmarkStart w:id="220" w:name="_Hlk496018898"/>
      <w:r>
        <w:rPr>
          <w:rFonts w:ascii="Arial" w:hAnsi="Arial" w:cs="Arial"/>
          <w:b/>
          <w:bCs/>
          <w:color w:val="000080"/>
          <w:sz w:val="24"/>
          <w:szCs w:val="24"/>
        </w:rPr>
        <w:br w:type="page"/>
      </w:r>
    </w:p>
    <w:p w14:paraId="22BA5224" w14:textId="5F5899C1" w:rsidR="00752263" w:rsidRPr="00DB7156" w:rsidRDefault="00954B34" w:rsidP="00DB7156">
      <w:pPr>
        <w:keepNext/>
        <w:autoSpaceDE w:val="0"/>
        <w:autoSpaceDN w:val="0"/>
        <w:adjustRightInd w:val="0"/>
        <w:spacing w:after="0" w:line="240" w:lineRule="auto"/>
        <w:jc w:val="both"/>
        <w:outlineLvl w:val="1"/>
        <w:rPr>
          <w:rFonts w:ascii="Arial" w:hAnsi="Arial" w:cs="Arial"/>
          <w:b/>
          <w:color w:val="000080"/>
          <w:sz w:val="24"/>
          <w:szCs w:val="24"/>
        </w:rPr>
      </w:pPr>
      <w:bookmarkStart w:id="221" w:name="_Toc535908158"/>
      <w:r w:rsidRPr="00DB7156">
        <w:rPr>
          <w:rFonts w:ascii="Arial" w:hAnsi="Arial" w:cs="Arial"/>
          <w:b/>
          <w:bCs/>
          <w:color w:val="000080"/>
          <w:sz w:val="24"/>
          <w:szCs w:val="24"/>
        </w:rPr>
        <w:t>4.3</w:t>
      </w:r>
      <w:r w:rsidRPr="00DB7156">
        <w:rPr>
          <w:rFonts w:ascii="Arial" w:hAnsi="Arial" w:cs="Arial"/>
          <w:b/>
          <w:bCs/>
          <w:color w:val="000080"/>
          <w:sz w:val="24"/>
          <w:szCs w:val="24"/>
        </w:rPr>
        <w:tab/>
        <w:t>Solid Waste Mana</w:t>
      </w:r>
      <w:r w:rsidR="00752263" w:rsidRPr="00DB7156">
        <w:rPr>
          <w:rFonts w:ascii="Arial" w:hAnsi="Arial" w:cs="Arial"/>
          <w:b/>
          <w:bCs/>
          <w:color w:val="000080"/>
          <w:sz w:val="24"/>
          <w:szCs w:val="24"/>
        </w:rPr>
        <w:t>gement</w:t>
      </w:r>
      <w:bookmarkEnd w:id="215"/>
      <w:bookmarkEnd w:id="216"/>
      <w:bookmarkEnd w:id="217"/>
      <w:r w:rsidR="00752263" w:rsidRPr="00DB7156">
        <w:rPr>
          <w:rFonts w:ascii="Arial" w:hAnsi="Arial" w:cs="Arial"/>
          <w:b/>
          <w:bCs/>
          <w:color w:val="000080"/>
          <w:sz w:val="24"/>
          <w:szCs w:val="24"/>
        </w:rPr>
        <w:t xml:space="preserve"> </w:t>
      </w:r>
      <w:r w:rsidR="004F6BBB" w:rsidRPr="00DB7156">
        <w:rPr>
          <w:rFonts w:ascii="Arial" w:hAnsi="Arial" w:cs="Arial"/>
          <w:b/>
          <w:bCs/>
          <w:color w:val="000080"/>
          <w:sz w:val="24"/>
          <w:szCs w:val="24"/>
        </w:rPr>
        <w:t>Compliance Strategy Review</w:t>
      </w:r>
      <w:bookmarkEnd w:id="218"/>
      <w:bookmarkEnd w:id="221"/>
    </w:p>
    <w:bookmarkEnd w:id="219"/>
    <w:p w14:paraId="39D81DAD" w14:textId="77777777" w:rsidR="00A913EC" w:rsidRDefault="00A913EC" w:rsidP="00550D4D">
      <w:pPr>
        <w:spacing w:after="0" w:line="240" w:lineRule="auto"/>
        <w:jc w:val="both"/>
        <w:rPr>
          <w:rFonts w:ascii="Arial" w:hAnsi="Arial" w:cs="Arial"/>
          <w:sz w:val="24"/>
          <w:szCs w:val="24"/>
        </w:rPr>
      </w:pPr>
    </w:p>
    <w:p w14:paraId="17A5572C" w14:textId="218282C5" w:rsidR="00550D4D" w:rsidRDefault="00A37463" w:rsidP="00550D4D">
      <w:pPr>
        <w:spacing w:after="0" w:line="240" w:lineRule="auto"/>
        <w:jc w:val="both"/>
        <w:rPr>
          <w:rFonts w:ascii="Arial" w:hAnsi="Arial" w:cs="Arial"/>
          <w:sz w:val="24"/>
          <w:szCs w:val="24"/>
        </w:rPr>
      </w:pPr>
      <w:r>
        <w:rPr>
          <w:rFonts w:ascii="Arial" w:hAnsi="Arial" w:cs="Arial"/>
          <w:sz w:val="24"/>
          <w:szCs w:val="24"/>
        </w:rPr>
        <w:t xml:space="preserve">The </w:t>
      </w:r>
      <w:r w:rsidR="005A3585">
        <w:rPr>
          <w:rFonts w:ascii="Arial" w:hAnsi="Arial" w:cs="Arial"/>
          <w:sz w:val="24"/>
          <w:szCs w:val="24"/>
        </w:rPr>
        <w:t>f</w:t>
      </w:r>
      <w:r w:rsidR="00550D4D">
        <w:rPr>
          <w:rFonts w:ascii="Arial" w:hAnsi="Arial" w:cs="Arial"/>
          <w:sz w:val="24"/>
          <w:szCs w:val="24"/>
        </w:rPr>
        <w:t xml:space="preserve">ederal and </w:t>
      </w:r>
      <w:r w:rsidR="005A3585">
        <w:rPr>
          <w:rFonts w:ascii="Arial" w:hAnsi="Arial" w:cs="Arial"/>
          <w:sz w:val="24"/>
          <w:szCs w:val="24"/>
        </w:rPr>
        <w:t>s</w:t>
      </w:r>
      <w:r w:rsidR="00550D4D">
        <w:rPr>
          <w:rFonts w:ascii="Arial" w:hAnsi="Arial" w:cs="Arial"/>
          <w:sz w:val="24"/>
          <w:szCs w:val="24"/>
        </w:rPr>
        <w:t xml:space="preserve">tate CCR rules regulate storage and disposal of CCR and apply to </w:t>
      </w:r>
      <w:r w:rsidR="00550D4D" w:rsidRPr="00DB7156">
        <w:rPr>
          <w:rFonts w:ascii="Arial" w:hAnsi="Arial" w:cs="Arial"/>
          <w:sz w:val="24"/>
          <w:szCs w:val="24"/>
        </w:rPr>
        <w:t xml:space="preserve">CCR landfills and </w:t>
      </w:r>
      <w:r w:rsidR="00550D4D">
        <w:rPr>
          <w:rFonts w:ascii="Arial" w:hAnsi="Arial" w:cs="Arial"/>
          <w:sz w:val="24"/>
          <w:szCs w:val="24"/>
        </w:rPr>
        <w:t xml:space="preserve">ash ponds. The compliance requirements include location restrictions, design criteria, operating criteria, groundwater monitoring and corrective action, closure and post-closure care, recordkeeping, notifications, and posting of information to the internet. Under both the federal and state CCR rules, ash ponds are required to close if they do not meet certain technical criteria, including structural integrity requirements, groundwater protection standards, and location restrictions. In compliance with the </w:t>
      </w:r>
      <w:r w:rsidR="005A3585">
        <w:rPr>
          <w:rFonts w:ascii="Arial" w:hAnsi="Arial" w:cs="Arial"/>
          <w:sz w:val="24"/>
          <w:szCs w:val="24"/>
        </w:rPr>
        <w:t>F</w:t>
      </w:r>
      <w:r w:rsidR="00550D4D">
        <w:rPr>
          <w:rFonts w:ascii="Arial" w:hAnsi="Arial" w:cs="Arial"/>
          <w:sz w:val="24"/>
          <w:szCs w:val="24"/>
        </w:rPr>
        <w:t xml:space="preserve">ederal CCR </w:t>
      </w:r>
      <w:r w:rsidR="005A3585">
        <w:rPr>
          <w:rFonts w:ascii="Arial" w:hAnsi="Arial" w:cs="Arial"/>
          <w:sz w:val="24"/>
          <w:szCs w:val="24"/>
        </w:rPr>
        <w:t>R</w:t>
      </w:r>
      <w:r w:rsidR="00550D4D">
        <w:rPr>
          <w:rFonts w:ascii="Arial" w:hAnsi="Arial" w:cs="Arial"/>
          <w:sz w:val="24"/>
          <w:szCs w:val="24"/>
        </w:rPr>
        <w:t xml:space="preserve">ule and </w:t>
      </w:r>
      <w:r w:rsidR="00A913EC">
        <w:rPr>
          <w:rFonts w:ascii="Arial" w:hAnsi="Arial" w:cs="Arial"/>
          <w:sz w:val="24"/>
          <w:szCs w:val="24"/>
        </w:rPr>
        <w:t>the more stringent Georgia CCR R</w:t>
      </w:r>
      <w:r w:rsidR="00550D4D">
        <w:rPr>
          <w:rFonts w:ascii="Arial" w:hAnsi="Arial" w:cs="Arial"/>
          <w:sz w:val="24"/>
          <w:szCs w:val="24"/>
        </w:rPr>
        <w:t xml:space="preserve">ule, Georgia Power has identified its strategy to close the Company’s ash ponds and implement these new, more stringent measures.  </w:t>
      </w:r>
    </w:p>
    <w:p w14:paraId="3D0DF12D" w14:textId="77777777" w:rsidR="00550D4D" w:rsidRPr="00DB7156" w:rsidRDefault="00550D4D" w:rsidP="00550D4D">
      <w:pPr>
        <w:keepNext/>
        <w:autoSpaceDE w:val="0"/>
        <w:autoSpaceDN w:val="0"/>
        <w:adjustRightInd w:val="0"/>
        <w:spacing w:after="0" w:line="240" w:lineRule="auto"/>
        <w:jc w:val="both"/>
        <w:outlineLvl w:val="1"/>
        <w:rPr>
          <w:rFonts w:ascii="Arial" w:hAnsi="Arial" w:cs="Arial"/>
          <w:b/>
          <w:color w:val="000080"/>
          <w:sz w:val="24"/>
          <w:szCs w:val="24"/>
        </w:rPr>
      </w:pPr>
    </w:p>
    <w:p w14:paraId="5AEA1C0B" w14:textId="77777777" w:rsidR="00550D4D" w:rsidRPr="00DB7156" w:rsidRDefault="00550D4D" w:rsidP="00550D4D">
      <w:pPr>
        <w:keepNext/>
        <w:autoSpaceDE w:val="0"/>
        <w:autoSpaceDN w:val="0"/>
        <w:adjustRightInd w:val="0"/>
        <w:spacing w:after="0" w:line="240" w:lineRule="auto"/>
        <w:jc w:val="both"/>
        <w:rPr>
          <w:rFonts w:ascii="Arial" w:hAnsi="Arial" w:cs="Arial"/>
          <w:b/>
          <w:bCs/>
          <w:color w:val="000080"/>
          <w:sz w:val="24"/>
          <w:szCs w:val="24"/>
        </w:rPr>
      </w:pPr>
      <w:r>
        <w:rPr>
          <w:rFonts w:ascii="Arial" w:hAnsi="Arial" w:cs="Arial"/>
          <w:b/>
          <w:bCs/>
          <w:color w:val="000080"/>
          <w:sz w:val="24"/>
          <w:szCs w:val="24"/>
        </w:rPr>
        <w:t>Background and Compliance Requirements</w:t>
      </w:r>
    </w:p>
    <w:p w14:paraId="6242C3E3" w14:textId="6440471F" w:rsidR="00550D4D" w:rsidRDefault="00550D4D" w:rsidP="00550D4D">
      <w:pPr>
        <w:spacing w:after="0" w:line="240" w:lineRule="auto"/>
        <w:jc w:val="both"/>
        <w:rPr>
          <w:rFonts w:ascii="Arial" w:hAnsi="Arial" w:cs="Arial"/>
          <w:sz w:val="24"/>
          <w:szCs w:val="24"/>
        </w:rPr>
      </w:pPr>
      <w:r>
        <w:rPr>
          <w:rFonts w:ascii="Arial" w:hAnsi="Arial" w:cs="Arial"/>
          <w:sz w:val="24"/>
          <w:szCs w:val="24"/>
        </w:rPr>
        <w:t xml:space="preserve">Ash ponds were originally designed, installed, and operated to function as a treatment system for power plant wastewaters, and they have effectively served in this capacity for decades. These ponds were previously identified by EPA </w:t>
      </w:r>
      <w:r w:rsidR="00EE7B8C">
        <w:rPr>
          <w:rFonts w:ascii="Arial" w:hAnsi="Arial" w:cs="Arial"/>
          <w:sz w:val="24"/>
          <w:szCs w:val="24"/>
        </w:rPr>
        <w:t xml:space="preserve">in </w:t>
      </w:r>
      <w:r w:rsidR="003C77F7">
        <w:rPr>
          <w:rFonts w:ascii="Arial" w:hAnsi="Arial" w:cs="Arial"/>
          <w:sz w:val="24"/>
          <w:szCs w:val="24"/>
        </w:rPr>
        <w:t xml:space="preserve">both 1974 and </w:t>
      </w:r>
      <w:r w:rsidR="00EE7B8C">
        <w:rPr>
          <w:rFonts w:ascii="Arial" w:hAnsi="Arial" w:cs="Arial"/>
          <w:sz w:val="24"/>
          <w:szCs w:val="24"/>
        </w:rPr>
        <w:t xml:space="preserve">1982 </w:t>
      </w:r>
      <w:r>
        <w:rPr>
          <w:rFonts w:ascii="Arial" w:hAnsi="Arial" w:cs="Arial"/>
          <w:sz w:val="24"/>
          <w:szCs w:val="24"/>
        </w:rPr>
        <w:t xml:space="preserve">as the Best </w:t>
      </w:r>
      <w:r w:rsidR="00EE7B8C">
        <w:rPr>
          <w:rFonts w:ascii="Arial" w:hAnsi="Arial" w:cs="Arial"/>
          <w:sz w:val="24"/>
          <w:szCs w:val="24"/>
        </w:rPr>
        <w:t>Pract</w:t>
      </w:r>
      <w:r w:rsidR="003C77F7">
        <w:rPr>
          <w:rFonts w:ascii="Arial" w:hAnsi="Arial" w:cs="Arial"/>
          <w:sz w:val="24"/>
          <w:szCs w:val="24"/>
        </w:rPr>
        <w:t xml:space="preserve">icable Control </w:t>
      </w:r>
      <w:r>
        <w:rPr>
          <w:rFonts w:ascii="Arial" w:hAnsi="Arial" w:cs="Arial"/>
          <w:sz w:val="24"/>
          <w:szCs w:val="24"/>
        </w:rPr>
        <w:t>Technology</w:t>
      </w:r>
      <w:r w:rsidR="00BB2EE3">
        <w:rPr>
          <w:rFonts w:ascii="Arial" w:hAnsi="Arial" w:cs="Arial"/>
          <w:sz w:val="24"/>
          <w:szCs w:val="24"/>
        </w:rPr>
        <w:t xml:space="preserve"> </w:t>
      </w:r>
      <w:r>
        <w:rPr>
          <w:rFonts w:ascii="Arial" w:hAnsi="Arial" w:cs="Arial"/>
          <w:sz w:val="24"/>
          <w:szCs w:val="24"/>
        </w:rPr>
        <w:t xml:space="preserve">and are used as settling basins to remove particulates in the wastewater generated from the power production process to comply with NPDES permit requirements. </w:t>
      </w:r>
    </w:p>
    <w:p w14:paraId="3661B8E7" w14:textId="77777777" w:rsidR="00550D4D" w:rsidRDefault="00550D4D" w:rsidP="00550D4D">
      <w:pPr>
        <w:spacing w:after="0" w:line="240" w:lineRule="auto"/>
        <w:jc w:val="both"/>
        <w:rPr>
          <w:rFonts w:ascii="Arial" w:hAnsi="Arial" w:cs="Arial"/>
          <w:sz w:val="24"/>
          <w:szCs w:val="24"/>
        </w:rPr>
      </w:pPr>
    </w:p>
    <w:p w14:paraId="5DFF3CCC" w14:textId="5E62F3C6" w:rsidR="00550D4D" w:rsidRDefault="00550D4D" w:rsidP="00550D4D">
      <w:pPr>
        <w:spacing w:after="0" w:line="240" w:lineRule="auto"/>
        <w:jc w:val="both"/>
        <w:rPr>
          <w:rFonts w:ascii="Arial" w:hAnsi="Arial" w:cs="Arial"/>
          <w:sz w:val="24"/>
        </w:rPr>
      </w:pPr>
      <w:r>
        <w:rPr>
          <w:rFonts w:ascii="Arial" w:hAnsi="Arial" w:cs="Arial"/>
          <w:sz w:val="24"/>
          <w:szCs w:val="24"/>
        </w:rPr>
        <w:t xml:space="preserve">As detailed in Section 2, the Company’s CCR </w:t>
      </w:r>
      <w:r>
        <w:rPr>
          <w:rFonts w:ascii="Arial" w:hAnsi="Arial" w:cs="Arial"/>
          <w:sz w:val="24"/>
        </w:rPr>
        <w:t>a</w:t>
      </w:r>
      <w:r w:rsidRPr="00DB7156">
        <w:rPr>
          <w:rFonts w:ascii="Arial" w:hAnsi="Arial" w:cs="Arial"/>
          <w:sz w:val="24"/>
        </w:rPr>
        <w:t>sh ponds and landfills</w:t>
      </w:r>
      <w:r>
        <w:rPr>
          <w:rFonts w:ascii="Arial" w:hAnsi="Arial" w:cs="Arial"/>
          <w:sz w:val="24"/>
        </w:rPr>
        <w:t xml:space="preserve"> are</w:t>
      </w:r>
      <w:r w:rsidRPr="00DB7156">
        <w:rPr>
          <w:rFonts w:ascii="Arial" w:hAnsi="Arial" w:cs="Arial"/>
          <w:sz w:val="24"/>
        </w:rPr>
        <w:t xml:space="preserve"> subject to EPA’s</w:t>
      </w:r>
      <w:r>
        <w:rPr>
          <w:rFonts w:ascii="Arial" w:hAnsi="Arial" w:cs="Arial"/>
          <w:sz w:val="24"/>
        </w:rPr>
        <w:t xml:space="preserve"> Federal CCR</w:t>
      </w:r>
      <w:r w:rsidRPr="00DB7156">
        <w:rPr>
          <w:rFonts w:ascii="Arial" w:hAnsi="Arial" w:cs="Arial"/>
          <w:sz w:val="24"/>
        </w:rPr>
        <w:t xml:space="preserve"> </w:t>
      </w:r>
      <w:r>
        <w:rPr>
          <w:rFonts w:ascii="Arial" w:hAnsi="Arial" w:cs="Arial"/>
          <w:sz w:val="24"/>
        </w:rPr>
        <w:t>R</w:t>
      </w:r>
      <w:r w:rsidRPr="00DB7156">
        <w:rPr>
          <w:rFonts w:ascii="Arial" w:hAnsi="Arial" w:cs="Arial"/>
          <w:sz w:val="24"/>
        </w:rPr>
        <w:t>ule</w:t>
      </w:r>
      <w:r>
        <w:rPr>
          <w:rFonts w:ascii="Arial" w:hAnsi="Arial" w:cs="Arial"/>
          <w:sz w:val="24"/>
        </w:rPr>
        <w:t>, as well as the more stringent requirements in the Georgia CCR Rule. The Company will, therefore,</w:t>
      </w:r>
      <w:r w:rsidRPr="00DB7156">
        <w:rPr>
          <w:rFonts w:ascii="Arial" w:eastAsia="Calibri" w:hAnsi="Arial" w:cs="Arial"/>
          <w:color w:val="000000"/>
          <w:sz w:val="24"/>
          <w:szCs w:val="24"/>
        </w:rPr>
        <w:t xml:space="preserve"> have dual compliance</w:t>
      </w:r>
      <w:r w:rsidRPr="00DB7156">
        <w:rPr>
          <w:rFonts w:ascii="Arial" w:hAnsi="Arial" w:cs="Arial"/>
          <w:sz w:val="24"/>
        </w:rPr>
        <w:t xml:space="preserve"> </w:t>
      </w:r>
      <w:r w:rsidRPr="00DB7156">
        <w:rPr>
          <w:rFonts w:ascii="Arial" w:eastAsia="Calibri" w:hAnsi="Arial" w:cs="Arial"/>
          <w:color w:val="000000"/>
          <w:sz w:val="24"/>
          <w:szCs w:val="24"/>
        </w:rPr>
        <w:t>requirements</w:t>
      </w:r>
      <w:r>
        <w:rPr>
          <w:rFonts w:ascii="Arial" w:eastAsia="Calibri" w:hAnsi="Arial" w:cs="Arial"/>
          <w:color w:val="000000"/>
          <w:sz w:val="24"/>
          <w:szCs w:val="24"/>
        </w:rPr>
        <w:t xml:space="preserve">, under the </w:t>
      </w:r>
      <w:r w:rsidR="00A913EC">
        <w:rPr>
          <w:rFonts w:ascii="Arial" w:eastAsia="Calibri" w:hAnsi="Arial" w:cs="Arial"/>
          <w:color w:val="000000"/>
          <w:sz w:val="24"/>
          <w:szCs w:val="24"/>
        </w:rPr>
        <w:t>F</w:t>
      </w:r>
      <w:r>
        <w:rPr>
          <w:rFonts w:ascii="Arial" w:eastAsia="Calibri" w:hAnsi="Arial" w:cs="Arial"/>
          <w:color w:val="000000"/>
          <w:sz w:val="24"/>
          <w:szCs w:val="24"/>
        </w:rPr>
        <w:t xml:space="preserve">ederal and </w:t>
      </w:r>
      <w:r w:rsidR="00A913EC">
        <w:rPr>
          <w:rFonts w:ascii="Arial" w:eastAsia="Calibri" w:hAnsi="Arial" w:cs="Arial"/>
          <w:color w:val="000000"/>
          <w:sz w:val="24"/>
          <w:szCs w:val="24"/>
        </w:rPr>
        <w:t>Georgia</w:t>
      </w:r>
      <w:r>
        <w:rPr>
          <w:rFonts w:ascii="Arial" w:eastAsia="Calibri" w:hAnsi="Arial" w:cs="Arial"/>
          <w:color w:val="000000"/>
          <w:sz w:val="24"/>
          <w:szCs w:val="24"/>
        </w:rPr>
        <w:t xml:space="preserve"> CCR </w:t>
      </w:r>
      <w:r w:rsidR="00A913EC">
        <w:rPr>
          <w:rFonts w:ascii="Arial" w:eastAsia="Calibri" w:hAnsi="Arial" w:cs="Arial"/>
          <w:color w:val="000000"/>
          <w:sz w:val="24"/>
          <w:szCs w:val="24"/>
        </w:rPr>
        <w:t>R</w:t>
      </w:r>
      <w:r>
        <w:rPr>
          <w:rFonts w:ascii="Arial" w:eastAsia="Calibri" w:hAnsi="Arial" w:cs="Arial"/>
          <w:color w:val="000000"/>
          <w:sz w:val="24"/>
          <w:szCs w:val="24"/>
        </w:rPr>
        <w:t>ules separately,</w:t>
      </w:r>
      <w:r w:rsidRPr="00DB7156">
        <w:rPr>
          <w:rFonts w:ascii="Arial" w:eastAsia="Calibri" w:hAnsi="Arial" w:cs="Arial"/>
          <w:color w:val="000000"/>
          <w:sz w:val="24"/>
          <w:szCs w:val="24"/>
        </w:rPr>
        <w:t xml:space="preserve"> </w:t>
      </w:r>
      <w:r>
        <w:rPr>
          <w:rFonts w:ascii="Arial" w:eastAsia="Calibri" w:hAnsi="Arial" w:cs="Arial"/>
          <w:color w:val="000000"/>
          <w:sz w:val="24"/>
          <w:szCs w:val="24"/>
        </w:rPr>
        <w:t>u</w:t>
      </w:r>
      <w:r w:rsidRPr="00DB7156">
        <w:rPr>
          <w:rFonts w:ascii="Arial" w:eastAsia="Calibri" w:hAnsi="Arial" w:cs="Arial"/>
          <w:color w:val="000000"/>
          <w:sz w:val="24"/>
          <w:szCs w:val="24"/>
        </w:rPr>
        <w:t>ntil Georgia EPD’s CCR program is approved by EPA per the WIIN Act</w:t>
      </w:r>
      <w:r>
        <w:rPr>
          <w:rFonts w:ascii="Arial" w:eastAsia="Calibri" w:hAnsi="Arial" w:cs="Arial"/>
          <w:color w:val="000000"/>
          <w:sz w:val="24"/>
          <w:szCs w:val="24"/>
        </w:rPr>
        <w:t>.</w:t>
      </w:r>
      <w:r w:rsidRPr="00DB7156">
        <w:rPr>
          <w:rFonts w:ascii="Arial" w:hAnsi="Arial" w:cs="Arial"/>
          <w:sz w:val="24"/>
        </w:rPr>
        <w:t xml:space="preserve"> </w:t>
      </w:r>
    </w:p>
    <w:p w14:paraId="23CC57DF" w14:textId="77777777" w:rsidR="00550D4D" w:rsidRDefault="00550D4D" w:rsidP="00550D4D">
      <w:pPr>
        <w:spacing w:after="0" w:line="240" w:lineRule="auto"/>
        <w:jc w:val="both"/>
        <w:rPr>
          <w:rFonts w:ascii="Arial" w:hAnsi="Arial" w:cs="Arial"/>
          <w:sz w:val="24"/>
          <w:szCs w:val="24"/>
        </w:rPr>
      </w:pPr>
    </w:p>
    <w:p w14:paraId="7153BFDB" w14:textId="60A666B5" w:rsidR="00550D4D" w:rsidRDefault="00550D4D" w:rsidP="00550D4D">
      <w:pPr>
        <w:spacing w:after="0" w:line="240" w:lineRule="auto"/>
        <w:jc w:val="both"/>
        <w:rPr>
          <w:rFonts w:ascii="Arial" w:hAnsi="Arial" w:cs="Arial"/>
          <w:sz w:val="24"/>
          <w:szCs w:val="24"/>
        </w:rPr>
      </w:pPr>
      <w:r w:rsidRPr="008F0B22">
        <w:rPr>
          <w:rFonts w:ascii="Arial" w:hAnsi="Arial" w:cs="Arial"/>
          <w:sz w:val="24"/>
          <w:szCs w:val="24"/>
        </w:rPr>
        <w:t xml:space="preserve">Georgia Power’s ash pond closure plans </w:t>
      </w:r>
      <w:r>
        <w:rPr>
          <w:rFonts w:ascii="Arial" w:hAnsi="Arial" w:cs="Arial"/>
          <w:sz w:val="24"/>
          <w:szCs w:val="24"/>
        </w:rPr>
        <w:t>and compliance strategy are</w:t>
      </w:r>
      <w:r w:rsidRPr="008F0B22">
        <w:rPr>
          <w:rFonts w:ascii="Arial" w:hAnsi="Arial" w:cs="Arial"/>
          <w:sz w:val="24"/>
          <w:szCs w:val="24"/>
        </w:rPr>
        <w:t xml:space="preserve"> designed to comply with the </w:t>
      </w:r>
      <w:r w:rsidR="005A3585">
        <w:rPr>
          <w:rFonts w:ascii="Arial" w:hAnsi="Arial" w:cs="Arial"/>
          <w:sz w:val="24"/>
          <w:szCs w:val="24"/>
        </w:rPr>
        <w:t>F</w:t>
      </w:r>
      <w:r w:rsidRPr="008F0B22">
        <w:rPr>
          <w:rFonts w:ascii="Arial" w:hAnsi="Arial" w:cs="Arial"/>
          <w:sz w:val="24"/>
          <w:szCs w:val="24"/>
        </w:rPr>
        <w:t xml:space="preserve">ederal CCR Rule, as well as the more stringent requirements of </w:t>
      </w:r>
      <w:r>
        <w:rPr>
          <w:rFonts w:ascii="Arial" w:hAnsi="Arial" w:cs="Arial"/>
          <w:sz w:val="24"/>
          <w:szCs w:val="24"/>
        </w:rPr>
        <w:t xml:space="preserve">the </w:t>
      </w:r>
      <w:r w:rsidRPr="008F0B22">
        <w:rPr>
          <w:rFonts w:ascii="Arial" w:hAnsi="Arial" w:cs="Arial"/>
          <w:sz w:val="24"/>
          <w:szCs w:val="24"/>
        </w:rPr>
        <w:t xml:space="preserve">Georgia CCR Rule. The </w:t>
      </w:r>
      <w:r>
        <w:rPr>
          <w:rFonts w:ascii="Arial" w:hAnsi="Arial" w:cs="Arial"/>
          <w:sz w:val="24"/>
          <w:szCs w:val="24"/>
        </w:rPr>
        <w:t>Georgia CCR R</w:t>
      </w:r>
      <w:r w:rsidRPr="008F0B22">
        <w:rPr>
          <w:rFonts w:ascii="Arial" w:hAnsi="Arial" w:cs="Arial"/>
          <w:sz w:val="24"/>
          <w:szCs w:val="24"/>
        </w:rPr>
        <w:t>ule regulates</w:t>
      </w:r>
      <w:r w:rsidRPr="008A5891">
        <w:rPr>
          <w:rFonts w:ascii="Arial" w:hAnsi="Arial" w:cs="Arial"/>
          <w:sz w:val="24"/>
          <w:szCs w:val="24"/>
        </w:rPr>
        <w:t xml:space="preserve"> all</w:t>
      </w:r>
      <w:r w:rsidRPr="008F0B22">
        <w:rPr>
          <w:rFonts w:ascii="Arial" w:hAnsi="Arial" w:cs="Arial"/>
          <w:sz w:val="24"/>
          <w:szCs w:val="24"/>
        </w:rPr>
        <w:t xml:space="preserve"> ash ponds and landfills in the state and </w:t>
      </w:r>
      <w:r>
        <w:rPr>
          <w:rFonts w:ascii="Arial" w:hAnsi="Arial" w:cs="Arial"/>
          <w:sz w:val="24"/>
          <w:szCs w:val="24"/>
        </w:rPr>
        <w:t>requires</w:t>
      </w:r>
      <w:r w:rsidRPr="008F0B22">
        <w:rPr>
          <w:rFonts w:ascii="Arial" w:hAnsi="Arial" w:cs="Arial"/>
          <w:sz w:val="24"/>
          <w:szCs w:val="24"/>
        </w:rPr>
        <w:t xml:space="preserve"> a comprehensive permitting program through which Georgia EPD will </w:t>
      </w:r>
      <w:r>
        <w:rPr>
          <w:rFonts w:ascii="Arial" w:hAnsi="Arial" w:cs="Arial"/>
          <w:sz w:val="24"/>
          <w:szCs w:val="24"/>
        </w:rPr>
        <w:t xml:space="preserve">direct and </w:t>
      </w:r>
      <w:r w:rsidRPr="008F0B22">
        <w:rPr>
          <w:rFonts w:ascii="Arial" w:hAnsi="Arial" w:cs="Arial"/>
          <w:sz w:val="24"/>
          <w:szCs w:val="24"/>
        </w:rPr>
        <w:t xml:space="preserve">approve all </w:t>
      </w:r>
      <w:r>
        <w:rPr>
          <w:rFonts w:ascii="Arial" w:hAnsi="Arial" w:cs="Arial"/>
          <w:sz w:val="24"/>
          <w:szCs w:val="24"/>
        </w:rPr>
        <w:t xml:space="preserve">permits and </w:t>
      </w:r>
      <w:r w:rsidRPr="008F0B22">
        <w:rPr>
          <w:rFonts w:ascii="Arial" w:hAnsi="Arial" w:cs="Arial"/>
          <w:sz w:val="24"/>
          <w:szCs w:val="24"/>
        </w:rPr>
        <w:t>actions to ensure ash pond closures</w:t>
      </w:r>
      <w:r>
        <w:rPr>
          <w:rFonts w:ascii="Arial" w:hAnsi="Arial" w:cs="Arial"/>
          <w:sz w:val="24"/>
          <w:szCs w:val="24"/>
        </w:rPr>
        <w:t xml:space="preserve"> meet the requirements of the CCR rule and</w:t>
      </w:r>
      <w:r w:rsidRPr="008F0B22">
        <w:rPr>
          <w:rFonts w:ascii="Arial" w:hAnsi="Arial" w:cs="Arial"/>
          <w:sz w:val="24"/>
          <w:szCs w:val="24"/>
        </w:rPr>
        <w:t xml:space="preserve"> are protective of </w:t>
      </w:r>
      <w:r>
        <w:rPr>
          <w:rFonts w:ascii="Arial" w:hAnsi="Arial" w:cs="Arial"/>
          <w:sz w:val="24"/>
          <w:szCs w:val="24"/>
        </w:rPr>
        <w:t>human health and the environment.</w:t>
      </w:r>
      <w:r w:rsidRPr="00BB0C8D">
        <w:rPr>
          <w:rFonts w:ascii="Arial" w:hAnsi="Arial" w:cs="Arial"/>
          <w:sz w:val="24"/>
          <w:szCs w:val="24"/>
        </w:rPr>
        <w:t xml:space="preserve"> </w:t>
      </w:r>
      <w:r w:rsidRPr="008F0B22">
        <w:rPr>
          <w:rFonts w:ascii="Arial" w:hAnsi="Arial" w:cs="Arial"/>
          <w:sz w:val="24"/>
          <w:szCs w:val="24"/>
        </w:rPr>
        <w:t xml:space="preserve">Georgia was one of the first states in the country to develop its own rule regulating management and storage of CCR such as </w:t>
      </w:r>
      <w:r>
        <w:rPr>
          <w:rFonts w:ascii="Arial" w:hAnsi="Arial" w:cs="Arial"/>
          <w:sz w:val="24"/>
          <w:szCs w:val="24"/>
        </w:rPr>
        <w:t xml:space="preserve">gypsum and </w:t>
      </w:r>
      <w:r w:rsidRPr="008F0B22">
        <w:rPr>
          <w:rFonts w:ascii="Arial" w:hAnsi="Arial" w:cs="Arial"/>
          <w:sz w:val="24"/>
          <w:szCs w:val="24"/>
        </w:rPr>
        <w:t>coal ash.</w:t>
      </w:r>
    </w:p>
    <w:p w14:paraId="34F41717" w14:textId="77777777" w:rsidR="00550D4D" w:rsidRDefault="00550D4D" w:rsidP="00550D4D">
      <w:pPr>
        <w:spacing w:after="0" w:line="240" w:lineRule="auto"/>
        <w:jc w:val="both"/>
        <w:rPr>
          <w:rFonts w:ascii="Arial" w:hAnsi="Arial" w:cs="Arial"/>
          <w:sz w:val="24"/>
          <w:szCs w:val="24"/>
        </w:rPr>
      </w:pPr>
    </w:p>
    <w:p w14:paraId="1326A1CD" w14:textId="3F6CB37F" w:rsidR="00550D4D" w:rsidRDefault="00550D4D" w:rsidP="00550D4D">
      <w:pPr>
        <w:spacing w:after="0" w:line="240" w:lineRule="auto"/>
        <w:jc w:val="both"/>
        <w:rPr>
          <w:rFonts w:ascii="Arial" w:eastAsia="Calibri" w:hAnsi="Arial" w:cs="Arial"/>
          <w:color w:val="000000"/>
          <w:sz w:val="24"/>
          <w:szCs w:val="24"/>
        </w:rPr>
      </w:pPr>
      <w:r w:rsidRPr="00DB7156">
        <w:rPr>
          <w:rFonts w:ascii="Arial" w:hAnsi="Arial" w:cs="Arial"/>
          <w:sz w:val="24"/>
        </w:rPr>
        <w:t xml:space="preserve">In compliance with Georgia’s </w:t>
      </w:r>
      <w:r>
        <w:rPr>
          <w:rFonts w:ascii="Arial" w:hAnsi="Arial" w:cs="Arial"/>
          <w:sz w:val="24"/>
        </w:rPr>
        <w:t xml:space="preserve">CCR </w:t>
      </w:r>
      <w:r w:rsidR="00A913EC">
        <w:rPr>
          <w:rFonts w:ascii="Arial" w:hAnsi="Arial" w:cs="Arial"/>
          <w:sz w:val="24"/>
        </w:rPr>
        <w:t>R</w:t>
      </w:r>
      <w:r w:rsidRPr="00DB7156">
        <w:rPr>
          <w:rFonts w:ascii="Arial" w:hAnsi="Arial" w:cs="Arial"/>
          <w:sz w:val="24"/>
        </w:rPr>
        <w:t xml:space="preserve">ule, </w:t>
      </w:r>
      <w:r>
        <w:rPr>
          <w:rFonts w:ascii="Arial" w:hAnsi="Arial" w:cs="Arial"/>
          <w:sz w:val="24"/>
        </w:rPr>
        <w:t xml:space="preserve">extensive </w:t>
      </w:r>
      <w:r w:rsidRPr="00DB7156">
        <w:rPr>
          <w:rFonts w:ascii="Arial" w:hAnsi="Arial" w:cs="Arial"/>
          <w:sz w:val="24"/>
        </w:rPr>
        <w:t>permit</w:t>
      </w:r>
      <w:r w:rsidRPr="00DB7156" w:rsidDel="006231A0">
        <w:rPr>
          <w:rFonts w:ascii="Arial" w:hAnsi="Arial" w:cs="Arial"/>
          <w:sz w:val="24"/>
        </w:rPr>
        <w:t xml:space="preserve"> </w:t>
      </w:r>
      <w:r w:rsidRPr="00DB7156">
        <w:rPr>
          <w:rFonts w:ascii="Arial" w:hAnsi="Arial" w:cs="Arial"/>
          <w:sz w:val="24"/>
        </w:rPr>
        <w:t xml:space="preserve">applications for all CCR units </w:t>
      </w:r>
      <w:r>
        <w:rPr>
          <w:rFonts w:ascii="Arial" w:hAnsi="Arial" w:cs="Arial"/>
          <w:sz w:val="24"/>
        </w:rPr>
        <w:t>(</w:t>
      </w:r>
      <w:r w:rsidRPr="00DB7156">
        <w:rPr>
          <w:rFonts w:ascii="Arial" w:hAnsi="Arial" w:cs="Arial"/>
          <w:sz w:val="24"/>
        </w:rPr>
        <w:t>landfills and ash ponds</w:t>
      </w:r>
      <w:r>
        <w:rPr>
          <w:rFonts w:ascii="Arial" w:hAnsi="Arial" w:cs="Arial"/>
          <w:sz w:val="24"/>
        </w:rPr>
        <w:t>)</w:t>
      </w:r>
      <w:r w:rsidRPr="00DB7156">
        <w:rPr>
          <w:rFonts w:ascii="Arial" w:hAnsi="Arial" w:cs="Arial"/>
          <w:sz w:val="24"/>
        </w:rPr>
        <w:t xml:space="preserve"> were submitted to Georgia EPD </w:t>
      </w:r>
      <w:r>
        <w:rPr>
          <w:rFonts w:ascii="Arial" w:hAnsi="Arial" w:cs="Arial"/>
          <w:sz w:val="24"/>
        </w:rPr>
        <w:t>on or before</w:t>
      </w:r>
      <w:r w:rsidRPr="00DB7156">
        <w:rPr>
          <w:rFonts w:ascii="Arial" w:hAnsi="Arial" w:cs="Arial"/>
          <w:sz w:val="24"/>
        </w:rPr>
        <w:t xml:space="preserve"> November 22, 2018.</w:t>
      </w:r>
      <w:r w:rsidRPr="003A1F1E">
        <w:rPr>
          <w:rFonts w:ascii="Arial" w:eastAsia="Calibri" w:hAnsi="Arial" w:cs="Arial"/>
          <w:color w:val="000000"/>
          <w:sz w:val="24"/>
          <w:szCs w:val="24"/>
        </w:rPr>
        <w:t xml:space="preserve"> </w:t>
      </w:r>
      <w:r w:rsidRPr="00BA3895">
        <w:rPr>
          <w:rFonts w:ascii="Arial" w:hAnsi="Arial" w:cs="Arial"/>
          <w:color w:val="000000"/>
          <w:sz w:val="24"/>
          <w:szCs w:val="24"/>
        </w:rPr>
        <w:t xml:space="preserve">These permit applications outlined significant and detailed engineering information about Georgia Power’s ash pond closure plans and landfill operations plans. </w:t>
      </w:r>
      <w:r>
        <w:rPr>
          <w:rFonts w:ascii="Arial" w:eastAsia="Calibri" w:hAnsi="Arial" w:cs="Arial"/>
          <w:color w:val="000000"/>
          <w:sz w:val="24"/>
          <w:szCs w:val="24"/>
        </w:rPr>
        <w:t xml:space="preserve">The </w:t>
      </w:r>
      <w:r w:rsidRPr="00DB7156">
        <w:rPr>
          <w:rFonts w:ascii="Arial" w:eastAsia="Calibri" w:hAnsi="Arial" w:cs="Arial"/>
          <w:color w:val="000000"/>
          <w:sz w:val="24"/>
          <w:szCs w:val="24"/>
        </w:rPr>
        <w:t>CCR permits</w:t>
      </w:r>
      <w:r>
        <w:rPr>
          <w:rFonts w:ascii="Arial" w:eastAsia="Calibri" w:hAnsi="Arial" w:cs="Arial"/>
          <w:color w:val="000000"/>
          <w:sz w:val="24"/>
          <w:szCs w:val="24"/>
        </w:rPr>
        <w:t xml:space="preserve"> issued by Georgia EPD</w:t>
      </w:r>
      <w:r w:rsidRPr="00DB7156">
        <w:rPr>
          <w:rFonts w:ascii="Arial" w:eastAsia="Calibri" w:hAnsi="Arial" w:cs="Arial"/>
          <w:color w:val="000000"/>
          <w:sz w:val="24"/>
          <w:szCs w:val="24"/>
        </w:rPr>
        <w:t xml:space="preserve"> </w:t>
      </w:r>
      <w:r>
        <w:rPr>
          <w:rFonts w:ascii="Arial" w:eastAsia="Calibri" w:hAnsi="Arial" w:cs="Arial"/>
          <w:color w:val="000000"/>
          <w:sz w:val="24"/>
          <w:szCs w:val="24"/>
        </w:rPr>
        <w:t xml:space="preserve">will include the details of site-specific requirements that each facility must follow in order to close the ash ponds as well as to operate and close CCR landfills to comply with the more stringent Georgia CCR Rule. </w:t>
      </w:r>
      <w:r>
        <w:rPr>
          <w:rFonts w:ascii="Arial" w:hAnsi="Arial" w:cs="Arial"/>
          <w:sz w:val="24"/>
          <w:szCs w:val="24"/>
          <w:lang w:val="en"/>
        </w:rPr>
        <w:t>These CCR permits will under go 5-year permit reviews as required under the Georgia CCR Rule.</w:t>
      </w:r>
    </w:p>
    <w:p w14:paraId="1D1DF502" w14:textId="77777777" w:rsidR="00550D4D" w:rsidRPr="00EB4E5E" w:rsidRDefault="00550D4D" w:rsidP="00550D4D">
      <w:pPr>
        <w:spacing w:after="0" w:line="240" w:lineRule="auto"/>
        <w:jc w:val="both"/>
        <w:rPr>
          <w:rFonts w:ascii="Arial" w:hAnsi="Arial" w:cs="Arial"/>
          <w:b/>
          <w:bCs/>
          <w:color w:val="000080"/>
          <w:sz w:val="24"/>
          <w:szCs w:val="24"/>
        </w:rPr>
      </w:pPr>
      <w:r>
        <w:rPr>
          <w:rFonts w:ascii="Arial" w:hAnsi="Arial" w:cs="Arial"/>
          <w:b/>
          <w:bCs/>
          <w:color w:val="000080"/>
          <w:sz w:val="24"/>
          <w:szCs w:val="24"/>
        </w:rPr>
        <w:t xml:space="preserve">Ash Pond Closure </w:t>
      </w:r>
      <w:r w:rsidRPr="00EB4E5E">
        <w:rPr>
          <w:rFonts w:ascii="Arial" w:hAnsi="Arial" w:cs="Arial"/>
          <w:b/>
          <w:bCs/>
          <w:color w:val="000080"/>
          <w:sz w:val="24"/>
          <w:szCs w:val="24"/>
        </w:rPr>
        <w:t>Compliance Strategy</w:t>
      </w:r>
    </w:p>
    <w:p w14:paraId="214D00FB" w14:textId="11C3016B" w:rsidR="00550D4D" w:rsidRDefault="00550D4D" w:rsidP="00550D4D">
      <w:pPr>
        <w:spacing w:after="0" w:line="240" w:lineRule="auto"/>
        <w:jc w:val="both"/>
        <w:rPr>
          <w:rFonts w:ascii="Arial" w:eastAsia="Calibri" w:hAnsi="Arial" w:cs="Arial"/>
          <w:color w:val="000000"/>
          <w:sz w:val="24"/>
          <w:szCs w:val="24"/>
        </w:rPr>
      </w:pPr>
      <w:r>
        <w:rPr>
          <w:rFonts w:ascii="Arial" w:hAnsi="Arial" w:cs="Arial"/>
          <w:sz w:val="24"/>
          <w:szCs w:val="24"/>
        </w:rPr>
        <w:t xml:space="preserve">The Company’s compliance strategy includes </w:t>
      </w:r>
      <w:r>
        <w:rPr>
          <w:rFonts w:ascii="Arial" w:hAnsi="Arial" w:cs="Arial"/>
          <w:sz w:val="24"/>
          <w:szCs w:val="24"/>
          <w:lang w:val="en"/>
        </w:rPr>
        <w:t>permanently closing 29 ash ponds at 11 facilities across the state and ceasing</w:t>
      </w:r>
      <w:r w:rsidRPr="00DB7156">
        <w:rPr>
          <w:rFonts w:ascii="Arial" w:hAnsi="Arial" w:cs="Arial"/>
          <w:sz w:val="24"/>
          <w:szCs w:val="24"/>
        </w:rPr>
        <w:t xml:space="preserve"> </w:t>
      </w:r>
      <w:r>
        <w:rPr>
          <w:rFonts w:ascii="Arial" w:hAnsi="Arial" w:cs="Arial"/>
          <w:sz w:val="24"/>
          <w:szCs w:val="24"/>
        </w:rPr>
        <w:t xml:space="preserve">placement of </w:t>
      </w:r>
      <w:r w:rsidRPr="00DB7156">
        <w:rPr>
          <w:rFonts w:ascii="Arial" w:hAnsi="Arial" w:cs="Arial"/>
          <w:sz w:val="24"/>
          <w:szCs w:val="24"/>
        </w:rPr>
        <w:t xml:space="preserve">coal ash in </w:t>
      </w:r>
      <w:r>
        <w:rPr>
          <w:rFonts w:ascii="Arial" w:hAnsi="Arial" w:cs="Arial"/>
          <w:sz w:val="24"/>
          <w:szCs w:val="24"/>
        </w:rPr>
        <w:t xml:space="preserve">ash ponds in </w:t>
      </w:r>
      <w:r w:rsidRPr="00DB7156">
        <w:rPr>
          <w:rFonts w:ascii="Arial" w:hAnsi="Arial" w:cs="Arial"/>
          <w:sz w:val="24"/>
          <w:szCs w:val="24"/>
        </w:rPr>
        <w:t>2019</w:t>
      </w:r>
      <w:r>
        <w:rPr>
          <w:rFonts w:ascii="Arial" w:hAnsi="Arial" w:cs="Arial"/>
          <w:sz w:val="24"/>
          <w:szCs w:val="24"/>
        </w:rPr>
        <w:t>.</w:t>
      </w:r>
      <w:r w:rsidRPr="00DB7156">
        <w:rPr>
          <w:rFonts w:ascii="Arial" w:hAnsi="Arial" w:cs="Arial"/>
          <w:sz w:val="24"/>
          <w:szCs w:val="24"/>
        </w:rPr>
        <w:t xml:space="preserve"> </w:t>
      </w:r>
      <w:r>
        <w:rPr>
          <w:rFonts w:ascii="Arial" w:hAnsi="Arial" w:cs="Arial"/>
          <w:sz w:val="24"/>
          <w:szCs w:val="24"/>
        </w:rPr>
        <w:t xml:space="preserve">The Company underwent significant work to determine the closure method and site-specific plan for each ash pond. </w:t>
      </w:r>
      <w:bookmarkStart w:id="222" w:name="_Hlk535314680"/>
      <w:r w:rsidR="004439A0">
        <w:rPr>
          <w:rFonts w:ascii="Arial" w:hAnsi="Arial" w:cs="Arial"/>
          <w:sz w:val="24"/>
          <w:szCs w:val="24"/>
        </w:rPr>
        <w:t>The Company engaged with third</w:t>
      </w:r>
      <w:r w:rsidR="00401F79">
        <w:rPr>
          <w:rFonts w:ascii="Arial" w:hAnsi="Arial" w:cs="Arial"/>
          <w:sz w:val="24"/>
          <w:szCs w:val="24"/>
        </w:rPr>
        <w:t>-</w:t>
      </w:r>
      <w:r w:rsidR="004439A0">
        <w:rPr>
          <w:rFonts w:ascii="Arial" w:hAnsi="Arial" w:cs="Arial"/>
          <w:sz w:val="24"/>
          <w:szCs w:val="24"/>
        </w:rPr>
        <w:t xml:space="preserve">party engineering design firms as well as Southern Company Services to develop feasibility-level estimates for both closure method and use of advanced engineering methods to determine each site-specific strategy. The Company conducted a comprehensive review of design criteria and risk assessments. Each </w:t>
      </w:r>
      <w:r w:rsidR="00401F79">
        <w:rPr>
          <w:rFonts w:ascii="Arial" w:hAnsi="Arial" w:cs="Arial"/>
          <w:sz w:val="24"/>
          <w:szCs w:val="24"/>
        </w:rPr>
        <w:t>design</w:t>
      </w:r>
      <w:r w:rsidR="004439A0">
        <w:rPr>
          <w:rFonts w:ascii="Arial" w:hAnsi="Arial" w:cs="Arial"/>
          <w:sz w:val="24"/>
          <w:szCs w:val="24"/>
        </w:rPr>
        <w:t xml:space="preserve"> is then evaluated based on implementation timeline and cost. The output of this process enables the Company to develop a comprehensive and cost-effective compliance strategy. </w:t>
      </w:r>
      <w:r>
        <w:rPr>
          <w:rFonts w:ascii="Arial" w:hAnsi="Arial" w:cs="Arial"/>
          <w:sz w:val="24"/>
          <w:szCs w:val="24"/>
          <w:lang w:val="en"/>
        </w:rPr>
        <w:t>A</w:t>
      </w:r>
      <w:r w:rsidRPr="002A703B">
        <w:rPr>
          <w:rFonts w:ascii="Arial" w:hAnsi="Arial" w:cs="Arial"/>
          <w:sz w:val="24"/>
          <w:szCs w:val="24"/>
          <w:lang w:val="en"/>
        </w:rPr>
        <w:t>sh pond closure design</w:t>
      </w:r>
      <w:r>
        <w:rPr>
          <w:rFonts w:ascii="Arial" w:hAnsi="Arial" w:cs="Arial"/>
          <w:sz w:val="24"/>
          <w:szCs w:val="24"/>
          <w:lang w:val="en"/>
        </w:rPr>
        <w:t>s</w:t>
      </w:r>
      <w:r w:rsidRPr="002A703B">
        <w:rPr>
          <w:rFonts w:ascii="Arial" w:hAnsi="Arial" w:cs="Arial"/>
          <w:sz w:val="24"/>
          <w:szCs w:val="24"/>
          <w:lang w:val="en"/>
        </w:rPr>
        <w:t xml:space="preserve"> </w:t>
      </w:r>
      <w:r>
        <w:rPr>
          <w:rFonts w:ascii="Arial" w:hAnsi="Arial" w:cs="Arial"/>
          <w:sz w:val="24"/>
          <w:szCs w:val="24"/>
          <w:lang w:val="en"/>
        </w:rPr>
        <w:t>are</w:t>
      </w:r>
      <w:r w:rsidRPr="002A703B">
        <w:rPr>
          <w:rFonts w:ascii="Arial" w:hAnsi="Arial" w:cs="Arial"/>
          <w:sz w:val="24"/>
          <w:szCs w:val="24"/>
          <w:lang w:val="en"/>
        </w:rPr>
        <w:t xml:space="preserve"> certified by independent professional engineers</w:t>
      </w:r>
      <w:r w:rsidRPr="002A703B">
        <w:rPr>
          <w:rFonts w:ascii="Arial" w:hAnsi="Arial" w:cs="Arial"/>
          <w:color w:val="000000"/>
          <w:sz w:val="24"/>
          <w:szCs w:val="24"/>
        </w:rPr>
        <w:t xml:space="preserve"> following a detailed</w:t>
      </w:r>
      <w:r>
        <w:rPr>
          <w:rFonts w:ascii="Arial" w:hAnsi="Arial" w:cs="Arial"/>
          <w:color w:val="000000"/>
          <w:sz w:val="24"/>
          <w:szCs w:val="24"/>
        </w:rPr>
        <w:t>,</w:t>
      </w:r>
      <w:r w:rsidRPr="002A703B">
        <w:rPr>
          <w:rFonts w:ascii="Arial" w:hAnsi="Arial" w:cs="Arial"/>
          <w:color w:val="000000"/>
          <w:sz w:val="24"/>
          <w:szCs w:val="24"/>
        </w:rPr>
        <w:t xml:space="preserve"> site-specific engineering analysis</w:t>
      </w:r>
      <w:r>
        <w:rPr>
          <w:rFonts w:ascii="Arial" w:hAnsi="Arial" w:cs="Arial"/>
          <w:color w:val="000000"/>
          <w:sz w:val="24"/>
          <w:szCs w:val="24"/>
        </w:rPr>
        <w:t xml:space="preserve">. The engineering analyses included the consideration of </w:t>
      </w:r>
      <w:r w:rsidRPr="00DB7156">
        <w:rPr>
          <w:rFonts w:ascii="Arial" w:hAnsi="Arial" w:cs="Arial"/>
          <w:sz w:val="24"/>
          <w:szCs w:val="24"/>
          <w:lang w:val="en"/>
        </w:rPr>
        <w:t xml:space="preserve">multiple factors </w:t>
      </w:r>
      <w:r>
        <w:rPr>
          <w:rFonts w:ascii="Arial" w:hAnsi="Arial" w:cs="Arial"/>
          <w:sz w:val="24"/>
          <w:szCs w:val="24"/>
          <w:lang w:val="en"/>
        </w:rPr>
        <w:t>including but not limited to</w:t>
      </w:r>
      <w:r w:rsidRPr="00DB7156">
        <w:rPr>
          <w:rFonts w:ascii="Arial" w:hAnsi="Arial" w:cs="Arial"/>
          <w:sz w:val="24"/>
          <w:szCs w:val="24"/>
          <w:lang w:val="en"/>
        </w:rPr>
        <w:t xml:space="preserve"> </w:t>
      </w:r>
      <w:r>
        <w:rPr>
          <w:rFonts w:ascii="Arial" w:hAnsi="Arial" w:cs="Arial"/>
          <w:sz w:val="24"/>
          <w:szCs w:val="24"/>
          <w:lang w:val="en"/>
        </w:rPr>
        <w:t xml:space="preserve">ash </w:t>
      </w:r>
      <w:r w:rsidRPr="00DB7156">
        <w:rPr>
          <w:rFonts w:ascii="Arial" w:hAnsi="Arial" w:cs="Arial"/>
          <w:sz w:val="24"/>
          <w:szCs w:val="24"/>
          <w:lang w:val="en"/>
        </w:rPr>
        <w:t>pond size, location, geology</w:t>
      </w:r>
      <w:r>
        <w:rPr>
          <w:rFonts w:ascii="Arial" w:hAnsi="Arial" w:cs="Arial"/>
          <w:sz w:val="24"/>
          <w:szCs w:val="24"/>
          <w:lang w:val="en"/>
        </w:rPr>
        <w:t>, safety</w:t>
      </w:r>
      <w:r w:rsidRPr="00DB7156">
        <w:rPr>
          <w:rFonts w:ascii="Arial" w:hAnsi="Arial" w:cs="Arial"/>
          <w:sz w:val="24"/>
          <w:szCs w:val="24"/>
          <w:lang w:val="en"/>
        </w:rPr>
        <w:t xml:space="preserve"> and </w:t>
      </w:r>
      <w:r>
        <w:rPr>
          <w:rFonts w:ascii="Arial" w:hAnsi="Arial" w:cs="Arial"/>
          <w:sz w:val="24"/>
          <w:szCs w:val="24"/>
          <w:lang w:val="en"/>
        </w:rPr>
        <w:t>volume</w:t>
      </w:r>
      <w:r w:rsidRPr="00DB7156">
        <w:rPr>
          <w:rFonts w:ascii="Arial" w:hAnsi="Arial" w:cs="Arial"/>
          <w:sz w:val="24"/>
          <w:szCs w:val="24"/>
          <w:lang w:val="en"/>
        </w:rPr>
        <w:t xml:space="preserve"> of material</w:t>
      </w:r>
      <w:r>
        <w:rPr>
          <w:rFonts w:ascii="Arial" w:hAnsi="Arial" w:cs="Arial"/>
          <w:sz w:val="24"/>
          <w:szCs w:val="24"/>
          <w:lang w:val="en"/>
        </w:rPr>
        <w:t xml:space="preserve">.  These factors were evaluated, in combination with closure engineering methods that could be implemented safely, in compliance with </w:t>
      </w:r>
      <w:r w:rsidR="00A913EC">
        <w:rPr>
          <w:rFonts w:ascii="Arial" w:hAnsi="Arial" w:cs="Arial"/>
          <w:sz w:val="24"/>
          <w:szCs w:val="24"/>
          <w:lang w:val="en"/>
        </w:rPr>
        <w:t xml:space="preserve">the federal and state </w:t>
      </w:r>
      <w:r>
        <w:rPr>
          <w:rFonts w:ascii="Arial" w:hAnsi="Arial" w:cs="Arial"/>
          <w:sz w:val="24"/>
          <w:szCs w:val="24"/>
          <w:lang w:val="en"/>
        </w:rPr>
        <w:t xml:space="preserve">CCR rules, meet </w:t>
      </w:r>
      <w:r w:rsidR="00BB2EE3">
        <w:rPr>
          <w:rFonts w:ascii="Arial" w:hAnsi="Arial" w:cs="Arial"/>
          <w:sz w:val="24"/>
          <w:szCs w:val="24"/>
          <w:lang w:val="en"/>
        </w:rPr>
        <w:t xml:space="preserve">expected </w:t>
      </w:r>
      <w:r>
        <w:rPr>
          <w:rFonts w:ascii="Arial" w:hAnsi="Arial" w:cs="Arial"/>
          <w:sz w:val="24"/>
          <w:szCs w:val="24"/>
          <w:lang w:val="en"/>
        </w:rPr>
        <w:t xml:space="preserve">permit conditions, and minimize future risk and costs for the Company.   </w:t>
      </w:r>
    </w:p>
    <w:bookmarkEnd w:id="222"/>
    <w:p w14:paraId="222B59F4" w14:textId="77777777" w:rsidR="00550D4D" w:rsidRDefault="00550D4D" w:rsidP="00550D4D">
      <w:pPr>
        <w:spacing w:after="0" w:line="240" w:lineRule="auto"/>
        <w:jc w:val="both"/>
        <w:rPr>
          <w:rFonts w:ascii="Arial" w:eastAsia="Calibri" w:hAnsi="Arial" w:cs="Arial"/>
          <w:color w:val="000000"/>
          <w:sz w:val="24"/>
          <w:szCs w:val="24"/>
        </w:rPr>
      </w:pPr>
    </w:p>
    <w:p w14:paraId="7426A507" w14:textId="30555A82" w:rsidR="00550D4D" w:rsidRDefault="00550D4D" w:rsidP="00550D4D">
      <w:pPr>
        <w:spacing w:after="0" w:line="240" w:lineRule="auto"/>
        <w:jc w:val="both"/>
        <w:rPr>
          <w:rFonts w:ascii="Arial" w:eastAsia="Calibri" w:hAnsi="Arial" w:cs="Arial"/>
          <w:sz w:val="24"/>
          <w:szCs w:val="24"/>
        </w:rPr>
      </w:pPr>
      <w:r w:rsidRPr="00DB7156">
        <w:rPr>
          <w:rFonts w:ascii="Arial" w:eastAsia="Calibri" w:hAnsi="Arial" w:cs="Arial"/>
          <w:sz w:val="24"/>
          <w:szCs w:val="24"/>
        </w:rPr>
        <w:t>Georgia Power’s closure plans include</w:t>
      </w:r>
      <w:r w:rsidRPr="00DB7156">
        <w:rPr>
          <w:rFonts w:ascii="Arial" w:eastAsia="Calibri" w:hAnsi="Arial" w:cs="Arial"/>
          <w:color w:val="000000"/>
          <w:sz w:val="24"/>
          <w:szCs w:val="24"/>
        </w:rPr>
        <w:t xml:space="preserve"> removing the ash from 19 </w:t>
      </w:r>
      <w:r>
        <w:rPr>
          <w:rFonts w:ascii="Arial" w:eastAsia="Calibri" w:hAnsi="Arial" w:cs="Arial"/>
          <w:color w:val="000000"/>
          <w:sz w:val="24"/>
          <w:szCs w:val="24"/>
        </w:rPr>
        <w:t xml:space="preserve">ash </w:t>
      </w:r>
      <w:r w:rsidRPr="00DB7156">
        <w:rPr>
          <w:rFonts w:ascii="Arial" w:eastAsia="Calibri" w:hAnsi="Arial" w:cs="Arial"/>
          <w:color w:val="000000"/>
          <w:sz w:val="24"/>
          <w:szCs w:val="24"/>
        </w:rPr>
        <w:t>ponds located adjacent to lakes or rivers</w:t>
      </w:r>
      <w:r>
        <w:rPr>
          <w:rFonts w:ascii="Arial" w:eastAsia="Calibri" w:hAnsi="Arial" w:cs="Arial"/>
          <w:color w:val="000000"/>
          <w:sz w:val="24"/>
          <w:szCs w:val="24"/>
        </w:rPr>
        <w:t xml:space="preserve">. </w:t>
      </w:r>
      <w:r w:rsidR="0091569F">
        <w:rPr>
          <w:rFonts w:ascii="Arial" w:eastAsia="Calibri" w:hAnsi="Arial" w:cs="Arial"/>
          <w:color w:val="000000"/>
          <w:sz w:val="24"/>
          <w:szCs w:val="24"/>
        </w:rPr>
        <w:t xml:space="preserve">Each closure is designed </w:t>
      </w:r>
      <w:r w:rsidR="0091569F" w:rsidRPr="002A703B">
        <w:rPr>
          <w:rFonts w:ascii="Arial" w:eastAsia="Calibri" w:hAnsi="Arial" w:cs="Arial"/>
          <w:color w:val="000000"/>
          <w:sz w:val="24"/>
          <w:szCs w:val="24"/>
        </w:rPr>
        <w:t xml:space="preserve">and </w:t>
      </w:r>
      <w:r w:rsidR="0091569F">
        <w:rPr>
          <w:rFonts w:ascii="Arial" w:eastAsia="Calibri" w:hAnsi="Arial" w:cs="Arial"/>
          <w:color w:val="000000"/>
          <w:sz w:val="24"/>
          <w:szCs w:val="24"/>
        </w:rPr>
        <w:t>will be managed</w:t>
      </w:r>
      <w:r w:rsidR="0091569F" w:rsidRPr="002A703B">
        <w:rPr>
          <w:rFonts w:ascii="Arial" w:eastAsia="Calibri" w:hAnsi="Arial" w:cs="Arial"/>
          <w:color w:val="000000"/>
          <w:sz w:val="24"/>
          <w:szCs w:val="24"/>
        </w:rPr>
        <w:t xml:space="preserve"> to comply with </w:t>
      </w:r>
      <w:r w:rsidR="0091569F" w:rsidRPr="002A703B">
        <w:rPr>
          <w:rFonts w:ascii="Arial" w:hAnsi="Arial" w:cs="Arial"/>
          <w:sz w:val="24"/>
          <w:szCs w:val="24"/>
        </w:rPr>
        <w:t xml:space="preserve">federal and state CCR </w:t>
      </w:r>
      <w:r w:rsidR="0091569F">
        <w:rPr>
          <w:rFonts w:ascii="Arial" w:hAnsi="Arial" w:cs="Arial"/>
          <w:sz w:val="24"/>
          <w:szCs w:val="24"/>
        </w:rPr>
        <w:t>r</w:t>
      </w:r>
      <w:r w:rsidR="0091569F" w:rsidRPr="002A703B">
        <w:rPr>
          <w:rFonts w:ascii="Arial" w:hAnsi="Arial" w:cs="Arial"/>
          <w:sz w:val="24"/>
          <w:szCs w:val="24"/>
        </w:rPr>
        <w:t>ules</w:t>
      </w:r>
      <w:r w:rsidR="0091569F">
        <w:rPr>
          <w:rFonts w:ascii="Arial" w:hAnsi="Arial" w:cs="Arial"/>
          <w:sz w:val="24"/>
          <w:szCs w:val="24"/>
        </w:rPr>
        <w:t xml:space="preserve"> </w:t>
      </w:r>
      <w:r w:rsidR="00036C26">
        <w:rPr>
          <w:rFonts w:ascii="Arial" w:hAnsi="Arial" w:cs="Arial"/>
          <w:sz w:val="24"/>
          <w:szCs w:val="24"/>
        </w:rPr>
        <w:t>where</w:t>
      </w:r>
      <w:r w:rsidR="0091569F">
        <w:rPr>
          <w:rFonts w:ascii="Arial" w:eastAsia="Calibri" w:hAnsi="Arial" w:cs="Arial"/>
          <w:color w:val="000000"/>
          <w:sz w:val="24"/>
          <w:szCs w:val="24"/>
        </w:rPr>
        <w:t xml:space="preserve"> t</w:t>
      </w:r>
      <w:r w:rsidRPr="00DB7156">
        <w:rPr>
          <w:rFonts w:ascii="Arial" w:eastAsia="Calibri" w:hAnsi="Arial" w:cs="Arial"/>
          <w:color w:val="000000"/>
          <w:sz w:val="24"/>
          <w:szCs w:val="24"/>
        </w:rPr>
        <w:t xml:space="preserve">he </w:t>
      </w:r>
      <w:r>
        <w:rPr>
          <w:rFonts w:ascii="Arial" w:eastAsia="Calibri" w:hAnsi="Arial" w:cs="Arial"/>
          <w:color w:val="000000"/>
          <w:sz w:val="24"/>
          <w:szCs w:val="24"/>
        </w:rPr>
        <w:t>CCR</w:t>
      </w:r>
      <w:r w:rsidRPr="00DB7156">
        <w:rPr>
          <w:rFonts w:ascii="Arial" w:eastAsia="Calibri" w:hAnsi="Arial" w:cs="Arial"/>
          <w:color w:val="000000"/>
          <w:sz w:val="24"/>
          <w:szCs w:val="24"/>
        </w:rPr>
        <w:t xml:space="preserve"> from these ponds will be relocated to permitted landfills, </w:t>
      </w:r>
      <w:r w:rsidR="00C83A41">
        <w:rPr>
          <w:rFonts w:ascii="Arial" w:eastAsia="Calibri" w:hAnsi="Arial" w:cs="Arial"/>
          <w:color w:val="000000"/>
          <w:sz w:val="24"/>
          <w:szCs w:val="24"/>
        </w:rPr>
        <w:t xml:space="preserve">or </w:t>
      </w:r>
      <w:r w:rsidRPr="00DB7156">
        <w:rPr>
          <w:rFonts w:ascii="Arial" w:eastAsia="Calibri" w:hAnsi="Arial" w:cs="Arial"/>
          <w:color w:val="000000"/>
          <w:sz w:val="24"/>
          <w:szCs w:val="24"/>
        </w:rPr>
        <w:t>consolidated with other closing ash ponds on site.</w:t>
      </w:r>
      <w:r w:rsidR="00C83A41">
        <w:rPr>
          <w:rFonts w:ascii="Arial" w:eastAsia="Calibri" w:hAnsi="Arial" w:cs="Arial"/>
          <w:color w:val="000000"/>
          <w:sz w:val="24"/>
          <w:szCs w:val="24"/>
        </w:rPr>
        <w:t xml:space="preserve"> As discussed in Section 3.3, </w:t>
      </w:r>
      <w:r w:rsidR="00C83A41" w:rsidRPr="0084580B">
        <w:rPr>
          <w:rFonts w:ascii="Arial" w:hAnsi="Arial" w:cs="Arial"/>
          <w:sz w:val="24"/>
          <w:szCs w:val="24"/>
        </w:rPr>
        <w:t xml:space="preserve">the Company is developing a center for </w:t>
      </w:r>
      <w:r w:rsidR="00C83A41">
        <w:rPr>
          <w:rFonts w:ascii="Arial" w:hAnsi="Arial" w:cs="Arial"/>
          <w:sz w:val="24"/>
          <w:szCs w:val="24"/>
        </w:rPr>
        <w:t>b</w:t>
      </w:r>
      <w:r w:rsidR="00C83A41" w:rsidRPr="0084580B">
        <w:rPr>
          <w:rFonts w:ascii="Arial" w:hAnsi="Arial" w:cs="Arial"/>
          <w:sz w:val="24"/>
          <w:szCs w:val="24"/>
        </w:rPr>
        <w:t xml:space="preserve">eneficial </w:t>
      </w:r>
      <w:r w:rsidR="00C83A41">
        <w:rPr>
          <w:rFonts w:ascii="Arial" w:hAnsi="Arial" w:cs="Arial"/>
          <w:sz w:val="24"/>
          <w:szCs w:val="24"/>
        </w:rPr>
        <w:t>u</w:t>
      </w:r>
      <w:r w:rsidR="00C83A41" w:rsidRPr="0084580B">
        <w:rPr>
          <w:rFonts w:ascii="Arial" w:hAnsi="Arial" w:cs="Arial"/>
          <w:sz w:val="24"/>
          <w:szCs w:val="24"/>
        </w:rPr>
        <w:t xml:space="preserve">se of </w:t>
      </w:r>
      <w:r w:rsidR="00C83A41">
        <w:rPr>
          <w:rFonts w:ascii="Arial" w:hAnsi="Arial" w:cs="Arial"/>
          <w:sz w:val="24"/>
          <w:szCs w:val="24"/>
        </w:rPr>
        <w:t>h</w:t>
      </w:r>
      <w:r w:rsidR="00C83A41" w:rsidRPr="0084580B">
        <w:rPr>
          <w:rFonts w:ascii="Arial" w:hAnsi="Arial" w:cs="Arial"/>
          <w:sz w:val="24"/>
          <w:szCs w:val="24"/>
        </w:rPr>
        <w:t>arvested CCR</w:t>
      </w:r>
      <w:r w:rsidR="00C83A41">
        <w:rPr>
          <w:rFonts w:ascii="Arial" w:hAnsi="Arial" w:cs="Arial"/>
          <w:sz w:val="24"/>
          <w:szCs w:val="24"/>
        </w:rPr>
        <w:t xml:space="preserve"> to evaluate </w:t>
      </w:r>
      <w:r w:rsidR="0039438B">
        <w:rPr>
          <w:rFonts w:ascii="Arial" w:hAnsi="Arial" w:cs="Arial"/>
          <w:sz w:val="24"/>
          <w:szCs w:val="24"/>
        </w:rPr>
        <w:t>potential benefits</w:t>
      </w:r>
      <w:r w:rsidR="00C83A41" w:rsidRPr="0084580B">
        <w:rPr>
          <w:rFonts w:ascii="Arial" w:hAnsi="Arial" w:cs="Arial"/>
          <w:sz w:val="24"/>
          <w:szCs w:val="24"/>
        </w:rPr>
        <w:t xml:space="preserve">. </w:t>
      </w:r>
      <w:r w:rsidR="007E5CAE">
        <w:rPr>
          <w:rFonts w:ascii="Arial" w:hAnsi="Arial" w:cs="Arial"/>
          <w:sz w:val="24"/>
          <w:szCs w:val="24"/>
        </w:rPr>
        <w:t xml:space="preserve">The Company’s strategy includes maximizing the amount of ash from these closed facilities that can be put into productive applications through beneficial reuse. This includes direct reuse from the ash ponds and also ensuring the future benefical reuse capability by ensuring permits issued by Georgia EPD allow for harvesting of ash stored in the Company’s CCR landfills. </w:t>
      </w:r>
      <w:r w:rsidRPr="00DB7156">
        <w:rPr>
          <w:rFonts w:ascii="Arial" w:eastAsia="Calibri" w:hAnsi="Arial" w:cs="Arial"/>
          <w:color w:val="000000"/>
          <w:sz w:val="24"/>
          <w:szCs w:val="24"/>
        </w:rPr>
        <w:t xml:space="preserve">The remaining 10 ash ponds are </w:t>
      </w:r>
      <w:r>
        <w:rPr>
          <w:rFonts w:ascii="Arial" w:eastAsia="Calibri" w:hAnsi="Arial" w:cs="Arial"/>
          <w:color w:val="000000"/>
          <w:sz w:val="24"/>
          <w:szCs w:val="24"/>
        </w:rPr>
        <w:t>being closed-</w:t>
      </w:r>
      <w:r w:rsidRPr="00DB7156">
        <w:rPr>
          <w:rFonts w:ascii="Arial" w:eastAsia="Calibri" w:hAnsi="Arial" w:cs="Arial"/>
          <w:color w:val="000000"/>
          <w:sz w:val="24"/>
          <w:szCs w:val="24"/>
        </w:rPr>
        <w:t>in</w:t>
      </w:r>
      <w:r>
        <w:rPr>
          <w:rFonts w:ascii="Arial" w:eastAsia="Calibri" w:hAnsi="Arial" w:cs="Arial"/>
          <w:color w:val="000000"/>
          <w:sz w:val="24"/>
          <w:szCs w:val="24"/>
        </w:rPr>
        <w:t>-</w:t>
      </w:r>
      <w:r w:rsidRPr="00DB7156">
        <w:rPr>
          <w:rFonts w:ascii="Arial" w:eastAsia="Calibri" w:hAnsi="Arial" w:cs="Arial"/>
          <w:color w:val="000000"/>
          <w:sz w:val="24"/>
          <w:szCs w:val="24"/>
        </w:rPr>
        <w:t>place using advanced engineering methods</w:t>
      </w:r>
      <w:r>
        <w:rPr>
          <w:rFonts w:ascii="Arial" w:eastAsia="Calibri" w:hAnsi="Arial" w:cs="Arial"/>
          <w:color w:val="000000"/>
          <w:sz w:val="24"/>
          <w:szCs w:val="24"/>
        </w:rPr>
        <w:t xml:space="preserve">. </w:t>
      </w:r>
      <w:r w:rsidR="00036C26">
        <w:rPr>
          <w:rFonts w:ascii="Arial" w:eastAsia="Calibri" w:hAnsi="Arial" w:cs="Arial"/>
          <w:color w:val="000000"/>
          <w:sz w:val="24"/>
          <w:szCs w:val="24"/>
        </w:rPr>
        <w:t>The site-specific a</w:t>
      </w:r>
      <w:r>
        <w:rPr>
          <w:rFonts w:ascii="Arial" w:eastAsia="Calibri" w:hAnsi="Arial" w:cs="Arial"/>
          <w:color w:val="000000"/>
          <w:sz w:val="24"/>
          <w:szCs w:val="24"/>
        </w:rPr>
        <w:t xml:space="preserve">dvanced engineering methods will be </w:t>
      </w:r>
      <w:r w:rsidRPr="00DB7156">
        <w:rPr>
          <w:rFonts w:ascii="Arial" w:eastAsia="Calibri" w:hAnsi="Arial" w:cs="Arial"/>
          <w:color w:val="000000"/>
          <w:sz w:val="24"/>
          <w:szCs w:val="24"/>
        </w:rPr>
        <w:t>designed to enhance the protection of groundwater</w:t>
      </w:r>
      <w:r>
        <w:rPr>
          <w:rFonts w:ascii="Arial" w:eastAsia="Calibri" w:hAnsi="Arial" w:cs="Arial"/>
          <w:color w:val="000000"/>
          <w:sz w:val="24"/>
          <w:szCs w:val="24"/>
        </w:rPr>
        <w:t>, improve closure stability, and facilitate efficiencies in future maintenance of the unit. Methods selected and under evaluation include consolidating CCR to minimize the closed footprint, slurry walls, in-situ solidification/stabilization, accelerated dewatering, and cover system enhancements</w:t>
      </w:r>
      <w:r w:rsidRPr="00DB7156">
        <w:rPr>
          <w:rFonts w:ascii="Arial" w:eastAsia="Calibri" w:hAnsi="Arial" w:cs="Arial"/>
          <w:color w:val="000000"/>
          <w:sz w:val="24"/>
          <w:szCs w:val="24"/>
        </w:rPr>
        <w:t>.</w:t>
      </w:r>
      <w:r w:rsidR="0091569F">
        <w:rPr>
          <w:rFonts w:ascii="Arial" w:hAnsi="Arial" w:cs="Arial"/>
          <w:sz w:val="24"/>
          <w:szCs w:val="24"/>
        </w:rPr>
        <w:t xml:space="preserve"> </w:t>
      </w:r>
      <w:bookmarkStart w:id="223" w:name="_Hlk535581017"/>
      <w:r w:rsidR="0091569F">
        <w:rPr>
          <w:rFonts w:ascii="Arial" w:hAnsi="Arial" w:cs="Arial"/>
          <w:sz w:val="24"/>
          <w:szCs w:val="24"/>
        </w:rPr>
        <w:t xml:space="preserve">Each </w:t>
      </w:r>
      <w:r w:rsidR="00036C26">
        <w:rPr>
          <w:rFonts w:ascii="Arial" w:hAnsi="Arial" w:cs="Arial"/>
          <w:sz w:val="24"/>
          <w:szCs w:val="24"/>
        </w:rPr>
        <w:t>closure is designed</w:t>
      </w:r>
      <w:r w:rsidRPr="002A703B">
        <w:rPr>
          <w:rFonts w:ascii="Arial" w:hAnsi="Arial" w:cs="Arial"/>
          <w:sz w:val="24"/>
          <w:szCs w:val="24"/>
        </w:rPr>
        <w:t xml:space="preserve"> </w:t>
      </w:r>
      <w:r>
        <w:rPr>
          <w:rFonts w:ascii="Arial" w:hAnsi="Arial" w:cs="Arial"/>
          <w:sz w:val="24"/>
          <w:szCs w:val="24"/>
        </w:rPr>
        <w:t xml:space="preserve">with </w:t>
      </w:r>
      <w:r w:rsidR="00FE4ED3">
        <w:rPr>
          <w:rFonts w:ascii="Arial" w:hAnsi="Arial" w:cs="Arial"/>
          <w:sz w:val="24"/>
          <w:szCs w:val="24"/>
        </w:rPr>
        <w:t>purpose</w:t>
      </w:r>
      <w:r>
        <w:rPr>
          <w:rFonts w:ascii="Arial" w:hAnsi="Arial" w:cs="Arial"/>
          <w:sz w:val="24"/>
          <w:szCs w:val="24"/>
        </w:rPr>
        <w:t xml:space="preserve"> to</w:t>
      </w:r>
      <w:r w:rsidR="00036C26">
        <w:rPr>
          <w:rFonts w:ascii="Arial" w:hAnsi="Arial" w:cs="Arial"/>
          <w:sz w:val="24"/>
          <w:szCs w:val="24"/>
        </w:rPr>
        <w:t>: (1)</w:t>
      </w:r>
      <w:r w:rsidRPr="002A703B">
        <w:rPr>
          <w:rFonts w:ascii="Arial" w:hAnsi="Arial" w:cs="Arial"/>
          <w:sz w:val="24"/>
          <w:szCs w:val="24"/>
        </w:rPr>
        <w:t xml:space="preserve"> </w:t>
      </w:r>
      <w:r w:rsidR="00FE4ED3">
        <w:rPr>
          <w:rFonts w:ascii="Arial" w:hAnsi="Arial" w:cs="Arial"/>
          <w:sz w:val="24"/>
          <w:szCs w:val="24"/>
        </w:rPr>
        <w:t xml:space="preserve">protect water quality, (2) </w:t>
      </w:r>
      <w:r>
        <w:rPr>
          <w:rFonts w:ascii="Arial" w:hAnsi="Arial" w:cs="Arial"/>
          <w:sz w:val="24"/>
          <w:szCs w:val="24"/>
        </w:rPr>
        <w:t xml:space="preserve">prevent post closure infiltration of water, </w:t>
      </w:r>
      <w:r w:rsidR="00036C26">
        <w:rPr>
          <w:rFonts w:ascii="Arial" w:hAnsi="Arial" w:cs="Arial"/>
          <w:sz w:val="24"/>
          <w:szCs w:val="24"/>
        </w:rPr>
        <w:t>(</w:t>
      </w:r>
      <w:r w:rsidR="00FE4ED3">
        <w:rPr>
          <w:rFonts w:ascii="Arial" w:hAnsi="Arial" w:cs="Arial"/>
          <w:sz w:val="24"/>
          <w:szCs w:val="24"/>
        </w:rPr>
        <w:t>3</w:t>
      </w:r>
      <w:r w:rsidR="00036C26">
        <w:rPr>
          <w:rFonts w:ascii="Arial" w:hAnsi="Arial" w:cs="Arial"/>
          <w:sz w:val="24"/>
          <w:szCs w:val="24"/>
        </w:rPr>
        <w:t xml:space="preserve">) </w:t>
      </w:r>
      <w:r>
        <w:rPr>
          <w:rFonts w:ascii="Arial" w:hAnsi="Arial" w:cs="Arial"/>
          <w:sz w:val="24"/>
          <w:szCs w:val="24"/>
        </w:rPr>
        <w:t xml:space="preserve">prevent future impoundment of water and sediment, </w:t>
      </w:r>
      <w:r w:rsidR="00036C26">
        <w:rPr>
          <w:rFonts w:ascii="Arial" w:hAnsi="Arial" w:cs="Arial"/>
          <w:sz w:val="24"/>
          <w:szCs w:val="24"/>
        </w:rPr>
        <w:t>(</w:t>
      </w:r>
      <w:r w:rsidR="00FE4ED3">
        <w:rPr>
          <w:rFonts w:ascii="Arial" w:hAnsi="Arial" w:cs="Arial"/>
          <w:sz w:val="24"/>
          <w:szCs w:val="24"/>
        </w:rPr>
        <w:t>4</w:t>
      </w:r>
      <w:r w:rsidR="00036C26">
        <w:rPr>
          <w:rFonts w:ascii="Arial" w:hAnsi="Arial" w:cs="Arial"/>
          <w:sz w:val="24"/>
          <w:szCs w:val="24"/>
        </w:rPr>
        <w:t xml:space="preserve">) </w:t>
      </w:r>
      <w:r w:rsidR="00036C26">
        <w:rPr>
          <w:rFonts w:ascii="Arial" w:eastAsia="Calibri" w:hAnsi="Arial" w:cs="Arial"/>
          <w:sz w:val="24"/>
          <w:szCs w:val="24"/>
        </w:rPr>
        <w:t xml:space="preserve">ensure </w:t>
      </w:r>
      <w:r w:rsidRPr="002A703B">
        <w:rPr>
          <w:rFonts w:ascii="Arial" w:eastAsia="Calibri" w:hAnsi="Arial" w:cs="Arial"/>
          <w:sz w:val="24"/>
          <w:szCs w:val="24"/>
        </w:rPr>
        <w:t xml:space="preserve">slope stability </w:t>
      </w:r>
      <w:r w:rsidR="00036C26">
        <w:rPr>
          <w:rFonts w:ascii="Arial" w:eastAsia="Calibri" w:hAnsi="Arial" w:cs="Arial"/>
          <w:sz w:val="24"/>
          <w:szCs w:val="24"/>
        </w:rPr>
        <w:t>that</w:t>
      </w:r>
      <w:r w:rsidR="00036C26" w:rsidRPr="002A703B">
        <w:rPr>
          <w:rFonts w:ascii="Arial" w:eastAsia="Calibri" w:hAnsi="Arial" w:cs="Arial"/>
          <w:sz w:val="24"/>
          <w:szCs w:val="24"/>
        </w:rPr>
        <w:t xml:space="preserve"> </w:t>
      </w:r>
      <w:r w:rsidRPr="002A703B">
        <w:rPr>
          <w:rFonts w:ascii="Arial" w:eastAsia="Calibri" w:hAnsi="Arial" w:cs="Arial"/>
          <w:sz w:val="24"/>
          <w:szCs w:val="24"/>
        </w:rPr>
        <w:t>prevent</w:t>
      </w:r>
      <w:r w:rsidR="00036C26">
        <w:rPr>
          <w:rFonts w:ascii="Arial" w:eastAsia="Calibri" w:hAnsi="Arial" w:cs="Arial"/>
          <w:sz w:val="24"/>
          <w:szCs w:val="24"/>
        </w:rPr>
        <w:t>s</w:t>
      </w:r>
      <w:r w:rsidRPr="002A703B">
        <w:rPr>
          <w:rFonts w:ascii="Arial" w:eastAsia="Calibri" w:hAnsi="Arial" w:cs="Arial"/>
          <w:sz w:val="24"/>
          <w:szCs w:val="24"/>
        </w:rPr>
        <w:t xml:space="preserve"> the sloughing or movement of the final cover system</w:t>
      </w:r>
      <w:r w:rsidR="0091569F">
        <w:rPr>
          <w:rFonts w:ascii="Arial" w:eastAsia="Calibri" w:hAnsi="Arial" w:cs="Arial"/>
          <w:sz w:val="24"/>
          <w:szCs w:val="24"/>
        </w:rPr>
        <w:t>,</w:t>
      </w:r>
      <w:r w:rsidRPr="002A703B">
        <w:rPr>
          <w:rFonts w:ascii="Arial" w:eastAsia="Calibri" w:hAnsi="Arial" w:cs="Arial"/>
          <w:sz w:val="24"/>
          <w:szCs w:val="24"/>
        </w:rPr>
        <w:t xml:space="preserve"> </w:t>
      </w:r>
      <w:r>
        <w:rPr>
          <w:rFonts w:ascii="Arial" w:eastAsia="Calibri" w:hAnsi="Arial" w:cs="Arial"/>
          <w:sz w:val="24"/>
          <w:szCs w:val="24"/>
        </w:rPr>
        <w:t xml:space="preserve">and </w:t>
      </w:r>
      <w:r w:rsidR="00036C26">
        <w:rPr>
          <w:rFonts w:ascii="Arial" w:eastAsia="Calibri" w:hAnsi="Arial" w:cs="Arial"/>
          <w:sz w:val="24"/>
          <w:szCs w:val="24"/>
        </w:rPr>
        <w:t>(</w:t>
      </w:r>
      <w:r w:rsidR="00FE4ED3">
        <w:rPr>
          <w:rFonts w:ascii="Arial" w:eastAsia="Calibri" w:hAnsi="Arial" w:cs="Arial"/>
          <w:sz w:val="24"/>
          <w:szCs w:val="24"/>
        </w:rPr>
        <w:t>5</w:t>
      </w:r>
      <w:r w:rsidR="00036C26">
        <w:rPr>
          <w:rFonts w:ascii="Arial" w:eastAsia="Calibri" w:hAnsi="Arial" w:cs="Arial"/>
          <w:sz w:val="24"/>
          <w:szCs w:val="24"/>
        </w:rPr>
        <w:t xml:space="preserve">) </w:t>
      </w:r>
      <w:r>
        <w:rPr>
          <w:rFonts w:ascii="Arial" w:eastAsia="Calibri" w:hAnsi="Arial" w:cs="Arial"/>
          <w:sz w:val="24"/>
          <w:szCs w:val="24"/>
        </w:rPr>
        <w:t>facilitate efficiencies for</w:t>
      </w:r>
      <w:r w:rsidRPr="002A703B">
        <w:rPr>
          <w:rFonts w:ascii="Arial" w:eastAsia="Calibri" w:hAnsi="Arial" w:cs="Arial"/>
          <w:sz w:val="24"/>
          <w:szCs w:val="24"/>
        </w:rPr>
        <w:t xml:space="preserve"> fu</w:t>
      </w:r>
      <w:r>
        <w:rPr>
          <w:rFonts w:ascii="Arial" w:eastAsia="Calibri" w:hAnsi="Arial" w:cs="Arial"/>
          <w:sz w:val="24"/>
          <w:szCs w:val="24"/>
        </w:rPr>
        <w:t>ture</w:t>
      </w:r>
      <w:r w:rsidRPr="002A703B">
        <w:rPr>
          <w:rFonts w:ascii="Arial" w:eastAsia="Calibri" w:hAnsi="Arial" w:cs="Arial"/>
          <w:sz w:val="24"/>
          <w:szCs w:val="24"/>
        </w:rPr>
        <w:t xml:space="preserve"> maintenance of the CCR unit</w:t>
      </w:r>
      <w:r>
        <w:rPr>
          <w:rFonts w:ascii="Arial" w:eastAsia="Calibri" w:hAnsi="Arial" w:cs="Arial"/>
          <w:sz w:val="24"/>
          <w:szCs w:val="24"/>
        </w:rPr>
        <w:t xml:space="preserve"> following closure.</w:t>
      </w:r>
      <w:bookmarkEnd w:id="223"/>
    </w:p>
    <w:p w14:paraId="0995F103" w14:textId="77777777" w:rsidR="00550D4D" w:rsidRDefault="00550D4D" w:rsidP="00550D4D">
      <w:pPr>
        <w:spacing w:after="0" w:line="240" w:lineRule="auto"/>
        <w:jc w:val="both"/>
        <w:rPr>
          <w:rFonts w:ascii="Arial" w:eastAsia="Calibri" w:hAnsi="Arial" w:cs="Arial"/>
          <w:color w:val="000000"/>
          <w:sz w:val="24"/>
          <w:szCs w:val="24"/>
        </w:rPr>
      </w:pPr>
    </w:p>
    <w:p w14:paraId="7B6ED542" w14:textId="5D04BE50" w:rsidR="003B74B1" w:rsidRPr="00E42A86" w:rsidRDefault="003B74B1" w:rsidP="003B74B1">
      <w:pPr>
        <w:spacing w:after="0" w:line="240" w:lineRule="auto"/>
        <w:jc w:val="both"/>
        <w:rPr>
          <w:rFonts w:ascii="Arial" w:hAnsi="Arial" w:cs="Arial"/>
          <w:sz w:val="24"/>
          <w:szCs w:val="24"/>
          <w:lang w:val="en"/>
        </w:rPr>
      </w:pPr>
      <w:r>
        <w:rPr>
          <w:rFonts w:ascii="Arial" w:hAnsi="Arial" w:cs="Arial"/>
          <w:sz w:val="24"/>
          <w:szCs w:val="24"/>
          <w:lang w:val="en"/>
        </w:rPr>
        <w:t>As part of the ash pond closure process</w:t>
      </w:r>
      <w:r w:rsidR="00854E8E">
        <w:rPr>
          <w:rFonts w:ascii="Arial" w:hAnsi="Arial" w:cs="Arial"/>
          <w:sz w:val="24"/>
          <w:szCs w:val="24"/>
          <w:lang w:val="en"/>
        </w:rPr>
        <w:t>,</w:t>
      </w:r>
      <w:r>
        <w:rPr>
          <w:rFonts w:ascii="Arial" w:hAnsi="Arial" w:cs="Arial"/>
          <w:sz w:val="24"/>
          <w:szCs w:val="24"/>
          <w:lang w:val="en"/>
        </w:rPr>
        <w:t xml:space="preserve"> the Company will develop c</w:t>
      </w:r>
      <w:r w:rsidRPr="00DB7156">
        <w:rPr>
          <w:rFonts w:ascii="Arial" w:hAnsi="Arial" w:cs="Arial"/>
          <w:sz w:val="24"/>
          <w:szCs w:val="24"/>
          <w:lang w:val="en"/>
        </w:rPr>
        <w:t xml:space="preserve">omprehensive and customized plans to treat all water </w:t>
      </w:r>
      <w:r>
        <w:rPr>
          <w:rFonts w:ascii="Arial" w:hAnsi="Arial" w:cs="Arial"/>
          <w:sz w:val="24"/>
          <w:szCs w:val="24"/>
          <w:lang w:val="en"/>
        </w:rPr>
        <w:t>from</w:t>
      </w:r>
      <w:r w:rsidRPr="00DB7156">
        <w:rPr>
          <w:rFonts w:ascii="Arial" w:hAnsi="Arial" w:cs="Arial"/>
          <w:sz w:val="24"/>
          <w:szCs w:val="24"/>
          <w:lang w:val="en"/>
        </w:rPr>
        <w:t xml:space="preserve"> the ponds </w:t>
      </w:r>
      <w:r>
        <w:rPr>
          <w:rFonts w:ascii="Arial" w:hAnsi="Arial" w:cs="Arial"/>
          <w:sz w:val="24"/>
          <w:szCs w:val="24"/>
          <w:lang w:val="en"/>
        </w:rPr>
        <w:t>during closure.</w:t>
      </w:r>
      <w:r w:rsidRPr="00DB7156">
        <w:rPr>
          <w:rFonts w:ascii="Arial" w:hAnsi="Arial" w:cs="Arial"/>
          <w:sz w:val="24"/>
          <w:szCs w:val="24"/>
          <w:lang w:val="en"/>
        </w:rPr>
        <w:t xml:space="preserve"> This treatment and removal activity is known as "dewatering." </w:t>
      </w:r>
      <w:bookmarkStart w:id="224" w:name="_Hlk535580834"/>
      <w:r w:rsidRPr="00DB7156">
        <w:rPr>
          <w:rFonts w:ascii="Arial" w:hAnsi="Arial" w:cs="Arial"/>
          <w:sz w:val="24"/>
          <w:szCs w:val="24"/>
          <w:lang w:val="en"/>
        </w:rPr>
        <w:t xml:space="preserve">The </w:t>
      </w:r>
      <w:r>
        <w:rPr>
          <w:rFonts w:ascii="Arial" w:hAnsi="Arial" w:cs="Arial"/>
          <w:sz w:val="24"/>
          <w:szCs w:val="24"/>
          <w:lang w:val="en"/>
        </w:rPr>
        <w:t>C</w:t>
      </w:r>
      <w:r w:rsidRPr="00DB7156">
        <w:rPr>
          <w:rFonts w:ascii="Arial" w:hAnsi="Arial" w:cs="Arial"/>
          <w:sz w:val="24"/>
          <w:szCs w:val="24"/>
          <w:lang w:val="en"/>
        </w:rPr>
        <w:t>ompany prepares and submits  dewatering plan</w:t>
      </w:r>
      <w:r w:rsidR="00854E8E">
        <w:rPr>
          <w:rFonts w:ascii="Arial" w:hAnsi="Arial" w:cs="Arial"/>
          <w:sz w:val="24"/>
          <w:szCs w:val="24"/>
          <w:lang w:val="en"/>
        </w:rPr>
        <w:t>s</w:t>
      </w:r>
      <w:r w:rsidRPr="00DB7156">
        <w:rPr>
          <w:rFonts w:ascii="Arial" w:hAnsi="Arial" w:cs="Arial"/>
          <w:sz w:val="24"/>
          <w:szCs w:val="24"/>
          <w:lang w:val="en"/>
        </w:rPr>
        <w:t xml:space="preserve"> to </w:t>
      </w:r>
      <w:r>
        <w:rPr>
          <w:rFonts w:ascii="Arial" w:hAnsi="Arial" w:cs="Arial"/>
          <w:sz w:val="24"/>
          <w:szCs w:val="24"/>
          <w:lang w:val="en"/>
        </w:rPr>
        <w:t xml:space="preserve">Georgia </w:t>
      </w:r>
      <w:r w:rsidRPr="00DB7156">
        <w:rPr>
          <w:rFonts w:ascii="Arial" w:hAnsi="Arial" w:cs="Arial"/>
          <w:sz w:val="24"/>
          <w:szCs w:val="24"/>
          <w:lang w:val="en"/>
        </w:rPr>
        <w:t xml:space="preserve">EPD for approval in conjunction with the NPDES wastewater discharge permits, </w:t>
      </w:r>
      <w:r>
        <w:rPr>
          <w:rFonts w:ascii="Arial" w:hAnsi="Arial" w:cs="Arial"/>
          <w:sz w:val="24"/>
          <w:szCs w:val="24"/>
          <w:lang w:val="en"/>
        </w:rPr>
        <w:t xml:space="preserve">installs new water treatment systems designed for each site, </w:t>
      </w:r>
      <w:r w:rsidRPr="00DB7156">
        <w:rPr>
          <w:rFonts w:ascii="Arial" w:hAnsi="Arial" w:cs="Arial"/>
          <w:sz w:val="24"/>
          <w:szCs w:val="24"/>
          <w:lang w:val="en"/>
        </w:rPr>
        <w:t>and provides</w:t>
      </w:r>
      <w:r>
        <w:rPr>
          <w:rFonts w:ascii="Arial" w:hAnsi="Arial" w:cs="Arial"/>
          <w:sz w:val="24"/>
          <w:szCs w:val="24"/>
          <w:lang w:val="en"/>
        </w:rPr>
        <w:t xml:space="preserve"> Georgia</w:t>
      </w:r>
      <w:r w:rsidRPr="00DB7156">
        <w:rPr>
          <w:rFonts w:ascii="Arial" w:hAnsi="Arial" w:cs="Arial"/>
          <w:sz w:val="24"/>
          <w:szCs w:val="24"/>
          <w:lang w:val="en"/>
        </w:rPr>
        <w:t xml:space="preserve"> EPD </w:t>
      </w:r>
      <w:r w:rsidR="00E55168">
        <w:rPr>
          <w:rFonts w:ascii="Arial" w:hAnsi="Arial" w:cs="Arial"/>
          <w:sz w:val="24"/>
          <w:szCs w:val="24"/>
          <w:lang w:val="en"/>
        </w:rPr>
        <w:t xml:space="preserve">and surrounding communities </w:t>
      </w:r>
      <w:r w:rsidRPr="00DB7156">
        <w:rPr>
          <w:rFonts w:ascii="Arial" w:hAnsi="Arial" w:cs="Arial"/>
          <w:sz w:val="24"/>
          <w:szCs w:val="24"/>
          <w:lang w:val="en"/>
        </w:rPr>
        <w:t xml:space="preserve">advanced notice prior to dewatering. </w:t>
      </w:r>
      <w:bookmarkEnd w:id="224"/>
      <w:r w:rsidRPr="00FC1187">
        <w:rPr>
          <w:rFonts w:ascii="Arial" w:hAnsi="Arial" w:cs="Arial"/>
          <w:sz w:val="24"/>
          <w:szCs w:val="24"/>
          <w:lang w:val="en"/>
        </w:rPr>
        <w:t xml:space="preserve">Georgia Power’s efforts to dewater its ash ponds are well underway and results are posted to Georgia Power’s website and reported to the Georgia EPD. The </w:t>
      </w:r>
      <w:r>
        <w:rPr>
          <w:rFonts w:ascii="Arial" w:hAnsi="Arial" w:cs="Arial"/>
          <w:sz w:val="24"/>
          <w:szCs w:val="24"/>
          <w:lang w:val="en"/>
        </w:rPr>
        <w:t>C</w:t>
      </w:r>
      <w:r w:rsidRPr="00FC1187">
        <w:rPr>
          <w:rFonts w:ascii="Arial" w:hAnsi="Arial" w:cs="Arial"/>
          <w:sz w:val="24"/>
          <w:szCs w:val="24"/>
          <w:lang w:val="en"/>
        </w:rPr>
        <w:t>ompany's dewatering process treats the water from the ash ponds to ensure that it meets the requirements of each plant's wastewater discharge permit approved by the Georgia EPD and is protective of water quality standards.</w:t>
      </w:r>
      <w:r>
        <w:rPr>
          <w:rFonts w:ascii="Arial" w:hAnsi="Arial" w:cs="Arial"/>
          <w:sz w:val="24"/>
          <w:szCs w:val="24"/>
          <w:lang w:val="en"/>
        </w:rPr>
        <w:t xml:space="preserve"> </w:t>
      </w:r>
      <w:r w:rsidR="00A45EC5">
        <w:rPr>
          <w:rFonts w:ascii="Arial" w:hAnsi="Arial" w:cs="Arial"/>
          <w:sz w:val="24"/>
          <w:szCs w:val="24"/>
          <w:lang w:val="en"/>
        </w:rPr>
        <w:t xml:space="preserve">These water treatment systems have shown through demonstrated performance that they are effective and provide protection of receiving stream water quality. </w:t>
      </w:r>
      <w:r w:rsidRPr="00DB7156">
        <w:rPr>
          <w:rFonts w:ascii="Arial" w:hAnsi="Arial" w:cs="Arial"/>
          <w:sz w:val="24"/>
          <w:szCs w:val="24"/>
          <w:lang w:val="en"/>
        </w:rPr>
        <w:t xml:space="preserve">To date, the Company has submitted and received approval from </w:t>
      </w:r>
      <w:r>
        <w:rPr>
          <w:rFonts w:ascii="Arial" w:hAnsi="Arial" w:cs="Arial"/>
          <w:sz w:val="24"/>
          <w:szCs w:val="24"/>
          <w:lang w:val="en"/>
        </w:rPr>
        <w:t xml:space="preserve">Georgia </w:t>
      </w:r>
      <w:r w:rsidRPr="00DB7156">
        <w:rPr>
          <w:rFonts w:ascii="Arial" w:hAnsi="Arial" w:cs="Arial"/>
          <w:sz w:val="24"/>
          <w:szCs w:val="24"/>
          <w:lang w:val="en"/>
        </w:rPr>
        <w:t xml:space="preserve">EPD for five dewatering plans, three of which are in use. Additional dewatering plans will be required for all remaining projects, and will be submitted to EPD for review and approval prior to implementation. </w:t>
      </w:r>
      <w:r>
        <w:rPr>
          <w:rFonts w:ascii="Arial" w:hAnsi="Arial" w:cs="Arial"/>
          <w:sz w:val="24"/>
          <w:szCs w:val="24"/>
          <w:lang w:val="en"/>
        </w:rPr>
        <w:t xml:space="preserve">The dewatering activities occur under the direction of </w:t>
      </w:r>
      <w:r w:rsidR="00A25847" w:rsidRPr="00A45EC5">
        <w:rPr>
          <w:rFonts w:ascii="Arial" w:hAnsi="Arial" w:cs="Arial"/>
          <w:sz w:val="24"/>
          <w:szCs w:val="24"/>
          <w:lang w:val="en"/>
        </w:rPr>
        <w:t>independent</w:t>
      </w:r>
      <w:r w:rsidR="00A45EC5" w:rsidRPr="00A45EC5">
        <w:rPr>
          <w:rFonts w:ascii="Arial" w:hAnsi="Arial" w:cs="Arial"/>
          <w:sz w:val="24"/>
          <w:szCs w:val="24"/>
          <w:lang w:val="en"/>
        </w:rPr>
        <w:t xml:space="preserve"> third-party </w:t>
      </w:r>
      <w:r>
        <w:rPr>
          <w:rFonts w:ascii="Arial" w:hAnsi="Arial" w:cs="Arial"/>
          <w:sz w:val="24"/>
          <w:szCs w:val="24"/>
          <w:lang w:val="en"/>
        </w:rPr>
        <w:t>licensed wastewater operators throughout the duration of each closure project.</w:t>
      </w:r>
      <w:r w:rsidR="00A45EC5" w:rsidRPr="00A45EC5">
        <w:rPr>
          <w:rFonts w:ascii="Arial" w:hAnsi="Arial" w:cs="Arial"/>
          <w:sz w:val="24"/>
          <w:szCs w:val="24"/>
          <w:lang w:val="en"/>
        </w:rPr>
        <w:t xml:space="preserve"> In addition</w:t>
      </w:r>
      <w:r w:rsidR="00A45EC5" w:rsidRPr="00A45EC5">
        <w:rPr>
          <w:rFonts w:ascii="Arial" w:hAnsi="Arial" w:cs="Arial"/>
          <w:sz w:val="24"/>
          <w:szCs w:val="24"/>
        </w:rPr>
        <w:t xml:space="preserve">, the company has </w:t>
      </w:r>
      <w:r w:rsidR="00A45EC5">
        <w:rPr>
          <w:rFonts w:ascii="Arial" w:hAnsi="Arial" w:cs="Arial"/>
          <w:sz w:val="24"/>
          <w:szCs w:val="24"/>
        </w:rPr>
        <w:t>als</w:t>
      </w:r>
      <w:r w:rsidR="00A45EC5" w:rsidRPr="00A45EC5">
        <w:rPr>
          <w:rFonts w:ascii="Arial" w:hAnsi="Arial" w:cs="Arial"/>
          <w:sz w:val="24"/>
          <w:szCs w:val="24"/>
        </w:rPr>
        <w:t xml:space="preserve">o engaged </w:t>
      </w:r>
      <w:r w:rsidR="00A45EC5" w:rsidRPr="00A45EC5">
        <w:rPr>
          <w:rFonts w:ascii="Arial" w:hAnsi="Arial" w:cs="Arial"/>
          <w:sz w:val="24"/>
          <w:szCs w:val="24"/>
          <w:lang w:val="en"/>
        </w:rPr>
        <w:t xml:space="preserve">independent, third-party contractors for </w:t>
      </w:r>
      <w:r w:rsidR="00A45EC5">
        <w:rPr>
          <w:rFonts w:ascii="Arial" w:hAnsi="Arial" w:cs="Arial"/>
          <w:sz w:val="24"/>
          <w:szCs w:val="24"/>
          <w:lang w:val="en"/>
        </w:rPr>
        <w:t xml:space="preserve">effluent and receiving stream </w:t>
      </w:r>
      <w:r w:rsidR="00A45EC5" w:rsidRPr="00A45EC5">
        <w:rPr>
          <w:rFonts w:ascii="Arial" w:hAnsi="Arial" w:cs="Arial"/>
          <w:sz w:val="24"/>
          <w:szCs w:val="24"/>
          <w:lang w:val="en"/>
        </w:rPr>
        <w:t>sampling</w:t>
      </w:r>
      <w:r w:rsidR="00A45EC5">
        <w:rPr>
          <w:rFonts w:ascii="Arial" w:hAnsi="Arial" w:cs="Arial"/>
          <w:sz w:val="24"/>
          <w:szCs w:val="24"/>
          <w:lang w:val="en"/>
        </w:rPr>
        <w:t>,</w:t>
      </w:r>
      <w:r w:rsidR="00A45EC5" w:rsidRPr="00A45EC5">
        <w:rPr>
          <w:rFonts w:ascii="Arial" w:hAnsi="Arial" w:cs="Arial"/>
          <w:sz w:val="24"/>
          <w:szCs w:val="24"/>
          <w:lang w:val="en"/>
        </w:rPr>
        <w:t xml:space="preserve"> and accredited independent laboratories for analysis.  </w:t>
      </w:r>
    </w:p>
    <w:p w14:paraId="08969730" w14:textId="77777777" w:rsidR="00942C58" w:rsidRDefault="00942C58" w:rsidP="00550D4D">
      <w:pPr>
        <w:spacing w:after="0" w:line="240" w:lineRule="auto"/>
        <w:jc w:val="both"/>
        <w:rPr>
          <w:rFonts w:ascii="Arial" w:eastAsia="Calibri" w:hAnsi="Arial" w:cs="Arial"/>
          <w:color w:val="000000"/>
          <w:sz w:val="24"/>
          <w:szCs w:val="24"/>
        </w:rPr>
      </w:pPr>
    </w:p>
    <w:p w14:paraId="21387EC1" w14:textId="716D4901" w:rsidR="00E42A86" w:rsidRPr="00854E8E" w:rsidRDefault="00550D4D" w:rsidP="00550D4D">
      <w:pPr>
        <w:spacing w:after="0" w:line="240" w:lineRule="auto"/>
        <w:jc w:val="both"/>
        <w:rPr>
          <w:rFonts w:ascii="Arial" w:hAnsi="Arial" w:cs="Arial"/>
          <w:sz w:val="24"/>
          <w:szCs w:val="24"/>
          <w:lang w:val="en"/>
        </w:rPr>
      </w:pPr>
      <w:r>
        <w:rPr>
          <w:rFonts w:ascii="Arial" w:eastAsia="Calibri" w:hAnsi="Arial" w:cs="Arial"/>
          <w:color w:val="000000"/>
          <w:sz w:val="24"/>
          <w:szCs w:val="24"/>
        </w:rPr>
        <w:t>As mentioned above, these</w:t>
      </w:r>
      <w:r w:rsidR="00854E8E">
        <w:rPr>
          <w:rFonts w:ascii="Arial" w:eastAsia="Calibri" w:hAnsi="Arial" w:cs="Arial"/>
          <w:color w:val="000000"/>
          <w:sz w:val="24"/>
          <w:szCs w:val="24"/>
        </w:rPr>
        <w:t xml:space="preserve"> ash pond closure and advanced engineering</w:t>
      </w:r>
      <w:r>
        <w:rPr>
          <w:rFonts w:ascii="Arial" w:eastAsia="Calibri" w:hAnsi="Arial" w:cs="Arial"/>
          <w:color w:val="000000"/>
          <w:sz w:val="24"/>
          <w:szCs w:val="24"/>
        </w:rPr>
        <w:t xml:space="preserve"> methods are site-specific, which creates the need for an in-depth evaluation of site characteristics before and throughout the closure process to determine the most appropriate method for both initiating and progressing toward closure. </w:t>
      </w:r>
      <w:r w:rsidRPr="00DB7156">
        <w:rPr>
          <w:rFonts w:ascii="Arial" w:hAnsi="Arial" w:cs="Arial"/>
          <w:sz w:val="24"/>
          <w:szCs w:val="24"/>
          <w:lang w:val="en"/>
        </w:rPr>
        <w:t>Each closure</w:t>
      </w:r>
      <w:r>
        <w:rPr>
          <w:rFonts w:ascii="Arial" w:hAnsi="Arial" w:cs="Arial"/>
          <w:sz w:val="24"/>
          <w:szCs w:val="24"/>
          <w:lang w:val="en"/>
        </w:rPr>
        <w:t xml:space="preserve"> design</w:t>
      </w:r>
      <w:r w:rsidRPr="00DB7156">
        <w:rPr>
          <w:rFonts w:ascii="Arial" w:hAnsi="Arial" w:cs="Arial"/>
          <w:sz w:val="24"/>
          <w:szCs w:val="24"/>
          <w:lang w:val="en"/>
        </w:rPr>
        <w:t xml:space="preserve"> will be </w:t>
      </w:r>
      <w:r>
        <w:rPr>
          <w:rFonts w:ascii="Arial" w:hAnsi="Arial" w:cs="Arial"/>
          <w:sz w:val="24"/>
          <w:szCs w:val="24"/>
          <w:lang w:val="en"/>
        </w:rPr>
        <w:t xml:space="preserve">approved and </w:t>
      </w:r>
      <w:r w:rsidRPr="00DB7156">
        <w:rPr>
          <w:rFonts w:ascii="Arial" w:hAnsi="Arial" w:cs="Arial"/>
          <w:sz w:val="24"/>
          <w:szCs w:val="24"/>
          <w:lang w:val="en"/>
        </w:rPr>
        <w:t>regulated through permits issued and monitored by Georgia EPD.</w:t>
      </w:r>
      <w:r w:rsidRPr="00F0786D">
        <w:rPr>
          <w:rFonts w:ascii="Arial" w:hAnsi="Arial" w:cs="Arial"/>
          <w:sz w:val="24"/>
          <w:szCs w:val="24"/>
          <w:lang w:val="en"/>
        </w:rPr>
        <w:t xml:space="preserve"> </w:t>
      </w:r>
    </w:p>
    <w:p w14:paraId="6AB0594B" w14:textId="77777777" w:rsidR="00550D4D" w:rsidRDefault="00550D4D" w:rsidP="00550D4D">
      <w:pPr>
        <w:spacing w:after="0" w:line="240" w:lineRule="auto"/>
        <w:jc w:val="both"/>
        <w:rPr>
          <w:rFonts w:ascii="Arial" w:hAnsi="Arial" w:cs="Arial"/>
          <w:sz w:val="24"/>
          <w:szCs w:val="24"/>
        </w:rPr>
      </w:pPr>
    </w:p>
    <w:p w14:paraId="0A5E8FC1" w14:textId="4B065A7C" w:rsidR="00550D4D" w:rsidRDefault="00550D4D" w:rsidP="00550D4D">
      <w:pPr>
        <w:spacing w:after="0" w:line="240" w:lineRule="auto"/>
        <w:jc w:val="both"/>
        <w:rPr>
          <w:rFonts w:ascii="Arial" w:eastAsia="Calibri" w:hAnsi="Arial" w:cs="Arial"/>
          <w:color w:val="000000"/>
          <w:sz w:val="24"/>
          <w:szCs w:val="24"/>
        </w:rPr>
      </w:pPr>
      <w:r>
        <w:rPr>
          <w:rFonts w:ascii="Arial" w:hAnsi="Arial" w:cs="Arial"/>
          <w:sz w:val="24"/>
        </w:rPr>
        <w:t xml:space="preserve">While developing this comprehensive and cost-effective CCR compliance strategy, Georgia Power considered utilization of all available compliance options necessary to meet the deadlines in the CCR rules.  At some plants, additional time for compliance may be necessary for the installation of controls or to complete closure activities in a manner that is </w:t>
      </w:r>
      <w:r w:rsidR="00C56198">
        <w:rPr>
          <w:rFonts w:ascii="Arial" w:hAnsi="Arial" w:cs="Arial"/>
          <w:sz w:val="24"/>
        </w:rPr>
        <w:t xml:space="preserve">compliant, </w:t>
      </w:r>
      <w:r>
        <w:rPr>
          <w:rFonts w:ascii="Arial" w:hAnsi="Arial" w:cs="Arial"/>
          <w:sz w:val="24"/>
        </w:rPr>
        <w:t xml:space="preserve">cost-effective, as well as taking into consideration the multitude of other compliance and operational requirements. </w:t>
      </w:r>
      <w:r>
        <w:rPr>
          <w:rFonts w:ascii="Arial" w:eastAsia="Calibri" w:hAnsi="Arial" w:cs="Arial"/>
          <w:color w:val="000000"/>
          <w:sz w:val="24"/>
          <w:szCs w:val="24"/>
        </w:rPr>
        <w:t>A summary of the Company’s closure strategy</w:t>
      </w:r>
      <w:r w:rsidR="00F066C8">
        <w:rPr>
          <w:rFonts w:ascii="Arial" w:eastAsia="Calibri" w:hAnsi="Arial" w:cs="Arial"/>
          <w:color w:val="000000"/>
          <w:sz w:val="24"/>
          <w:szCs w:val="24"/>
        </w:rPr>
        <w:t xml:space="preserve"> that follow </w:t>
      </w:r>
      <w:r w:rsidR="00530FCA">
        <w:rPr>
          <w:rFonts w:ascii="Arial" w:eastAsia="Calibri" w:hAnsi="Arial" w:cs="Arial"/>
          <w:color w:val="000000"/>
          <w:sz w:val="24"/>
          <w:szCs w:val="24"/>
        </w:rPr>
        <w:t>the permits submitted to Georgia EPD</w:t>
      </w:r>
      <w:r>
        <w:rPr>
          <w:rFonts w:ascii="Arial" w:eastAsia="Calibri" w:hAnsi="Arial" w:cs="Arial"/>
          <w:color w:val="000000"/>
          <w:sz w:val="24"/>
          <w:szCs w:val="24"/>
        </w:rPr>
        <w:t xml:space="preserve"> is provided in Table 4.3-1.</w:t>
      </w:r>
      <w:r w:rsidR="00530FCA">
        <w:rPr>
          <w:rFonts w:ascii="Arial" w:eastAsia="Calibri" w:hAnsi="Arial" w:cs="Arial"/>
          <w:color w:val="000000"/>
          <w:sz w:val="24"/>
          <w:szCs w:val="24"/>
        </w:rPr>
        <w:t xml:space="preserve"> </w:t>
      </w:r>
    </w:p>
    <w:p w14:paraId="0AF735E8" w14:textId="77777777" w:rsidR="005A4B2C" w:rsidRDefault="005A4B2C">
      <w:pPr>
        <w:spacing w:after="0" w:line="240" w:lineRule="auto"/>
        <w:rPr>
          <w:rFonts w:ascii="Arial" w:eastAsia="Calibri" w:hAnsi="Arial" w:cs="Arial"/>
          <w:b/>
          <w:color w:val="000000"/>
          <w:sz w:val="24"/>
          <w:szCs w:val="24"/>
        </w:rPr>
        <w:sectPr w:rsidR="005A4B2C" w:rsidSect="007028D3">
          <w:headerReference w:type="even" r:id="rId27"/>
          <w:headerReference w:type="default" r:id="rId28"/>
          <w:footerReference w:type="default" r:id="rId29"/>
          <w:headerReference w:type="first" r:id="rId30"/>
          <w:type w:val="continuous"/>
          <w:pgSz w:w="12240" w:h="15840" w:code="1"/>
          <w:pgMar w:top="1440" w:right="1440" w:bottom="1440" w:left="1440" w:header="720" w:footer="720" w:gutter="0"/>
          <w:cols w:space="720"/>
          <w:docGrid w:linePitch="360"/>
        </w:sectPr>
      </w:pPr>
    </w:p>
    <w:p w14:paraId="1A509431" w14:textId="66E37E16" w:rsidR="00345A2F" w:rsidRDefault="00461AC7">
      <w:pPr>
        <w:spacing w:after="0" w:line="240" w:lineRule="auto"/>
        <w:rPr>
          <w:rFonts w:ascii="Arial" w:eastAsia="Calibri" w:hAnsi="Arial" w:cs="Arial"/>
          <w:b/>
          <w:color w:val="000000"/>
          <w:sz w:val="24"/>
          <w:szCs w:val="24"/>
        </w:rPr>
      </w:pPr>
      <w:r w:rsidRPr="00A407A2">
        <w:rPr>
          <w:rFonts w:ascii="Arial" w:eastAsia="Calibri" w:hAnsi="Arial" w:cs="Arial"/>
          <w:b/>
          <w:color w:val="000000"/>
          <w:sz w:val="24"/>
          <w:szCs w:val="24"/>
        </w:rPr>
        <w:t xml:space="preserve">Table 4.3-1 </w:t>
      </w:r>
      <w:r w:rsidR="008F225B">
        <w:rPr>
          <w:rFonts w:ascii="Arial" w:eastAsia="Calibri" w:hAnsi="Arial" w:cs="Arial"/>
          <w:b/>
          <w:color w:val="000000"/>
          <w:sz w:val="24"/>
          <w:szCs w:val="24"/>
        </w:rPr>
        <w:t>CCR</w:t>
      </w:r>
      <w:r w:rsidRPr="00A407A2">
        <w:rPr>
          <w:rFonts w:ascii="Arial" w:eastAsia="Calibri" w:hAnsi="Arial" w:cs="Arial"/>
          <w:b/>
          <w:color w:val="000000"/>
          <w:sz w:val="24"/>
          <w:szCs w:val="24"/>
        </w:rPr>
        <w:t xml:space="preserve"> Strategy</w:t>
      </w:r>
    </w:p>
    <w:p w14:paraId="45EA1888" w14:textId="77777777" w:rsidR="00345A2F" w:rsidRDefault="00345A2F">
      <w:pPr>
        <w:spacing w:after="0" w:line="240" w:lineRule="auto"/>
        <w:rPr>
          <w:rFonts w:ascii="Arial" w:eastAsia="Calibri" w:hAnsi="Arial" w:cs="Arial"/>
          <w:b/>
          <w:color w:val="000000"/>
          <w:sz w:val="24"/>
          <w:szCs w:val="24"/>
        </w:rPr>
      </w:pPr>
    </w:p>
    <w:tbl>
      <w:tblPr>
        <w:tblStyle w:val="TableGrid"/>
        <w:tblW w:w="12865" w:type="dxa"/>
        <w:tblLook w:val="04A0" w:firstRow="1" w:lastRow="0" w:firstColumn="1" w:lastColumn="0" w:noHBand="0" w:noVBand="1"/>
      </w:tblPr>
      <w:tblGrid>
        <w:gridCol w:w="1406"/>
        <w:gridCol w:w="2723"/>
        <w:gridCol w:w="2137"/>
        <w:gridCol w:w="6599"/>
      </w:tblGrid>
      <w:tr w:rsidR="00B847DB" w:rsidRPr="005A1872" w14:paraId="207382EA" w14:textId="77777777" w:rsidTr="003912BA">
        <w:trPr>
          <w:trHeight w:val="602"/>
        </w:trPr>
        <w:tc>
          <w:tcPr>
            <w:tcW w:w="1406" w:type="dxa"/>
            <w:shd w:val="clear" w:color="auto" w:fill="F2F2F2" w:themeFill="background1" w:themeFillShade="F2"/>
            <w:noWrap/>
            <w:vAlign w:val="center"/>
            <w:hideMark/>
          </w:tcPr>
          <w:p w14:paraId="17B75188" w14:textId="77777777" w:rsidR="005A1872" w:rsidRPr="00A913EC" w:rsidRDefault="005A1872" w:rsidP="005A1872">
            <w:pPr>
              <w:spacing w:after="0" w:line="240" w:lineRule="auto"/>
              <w:jc w:val="center"/>
              <w:rPr>
                <w:rFonts w:ascii="Arial" w:eastAsia="Calibri" w:hAnsi="Arial" w:cs="Arial"/>
                <w:b/>
                <w:bCs/>
                <w:color w:val="000000"/>
                <w:sz w:val="24"/>
                <w:szCs w:val="24"/>
              </w:rPr>
            </w:pPr>
            <w:bookmarkStart w:id="225" w:name="RANGE!A1:F42"/>
            <w:r w:rsidRPr="00A913EC">
              <w:rPr>
                <w:rFonts w:ascii="Arial" w:eastAsia="Calibri" w:hAnsi="Arial" w:cs="Arial"/>
                <w:b/>
                <w:bCs/>
                <w:color w:val="000000"/>
                <w:sz w:val="24"/>
                <w:szCs w:val="24"/>
              </w:rPr>
              <w:t>Plant</w:t>
            </w:r>
            <w:bookmarkEnd w:id="225"/>
          </w:p>
        </w:tc>
        <w:tc>
          <w:tcPr>
            <w:tcW w:w="2723" w:type="dxa"/>
            <w:shd w:val="clear" w:color="auto" w:fill="F2F2F2" w:themeFill="background1" w:themeFillShade="F2"/>
            <w:noWrap/>
            <w:vAlign w:val="center"/>
            <w:hideMark/>
          </w:tcPr>
          <w:p w14:paraId="6EBF7B49" w14:textId="4EB8971B" w:rsidR="005A1872" w:rsidRPr="00A913EC" w:rsidRDefault="005A1872" w:rsidP="005A1872">
            <w:pPr>
              <w:spacing w:after="0" w:line="240" w:lineRule="auto"/>
              <w:jc w:val="center"/>
              <w:rPr>
                <w:rFonts w:ascii="Arial" w:eastAsia="Calibri" w:hAnsi="Arial" w:cs="Arial"/>
                <w:b/>
                <w:bCs/>
                <w:color w:val="000000"/>
                <w:sz w:val="24"/>
                <w:szCs w:val="24"/>
              </w:rPr>
            </w:pPr>
            <w:r w:rsidRPr="00A913EC">
              <w:rPr>
                <w:rFonts w:ascii="Arial" w:eastAsia="Calibri" w:hAnsi="Arial" w:cs="Arial"/>
                <w:b/>
                <w:bCs/>
                <w:color w:val="000000"/>
                <w:sz w:val="24"/>
                <w:szCs w:val="24"/>
              </w:rPr>
              <w:t>Impoundment</w:t>
            </w:r>
            <w:r w:rsidR="006F20B7">
              <w:rPr>
                <w:rFonts w:ascii="Arial" w:eastAsia="Calibri" w:hAnsi="Arial" w:cs="Arial"/>
                <w:b/>
                <w:bCs/>
                <w:color w:val="000000"/>
                <w:sz w:val="24"/>
                <w:szCs w:val="24"/>
              </w:rPr>
              <w:t>/Landfill</w:t>
            </w:r>
          </w:p>
        </w:tc>
        <w:tc>
          <w:tcPr>
            <w:tcW w:w="2137" w:type="dxa"/>
            <w:shd w:val="clear" w:color="auto" w:fill="F2F2F2" w:themeFill="background1" w:themeFillShade="F2"/>
            <w:noWrap/>
            <w:vAlign w:val="center"/>
            <w:hideMark/>
          </w:tcPr>
          <w:p w14:paraId="42E99827" w14:textId="77777777" w:rsidR="005A1872" w:rsidRPr="00A913EC" w:rsidRDefault="005A1872" w:rsidP="005A1872">
            <w:pPr>
              <w:spacing w:after="0" w:line="240" w:lineRule="auto"/>
              <w:jc w:val="center"/>
              <w:rPr>
                <w:rFonts w:ascii="Arial" w:eastAsia="Calibri" w:hAnsi="Arial" w:cs="Arial"/>
                <w:b/>
                <w:bCs/>
                <w:color w:val="000000"/>
                <w:sz w:val="24"/>
                <w:szCs w:val="24"/>
              </w:rPr>
            </w:pPr>
            <w:r w:rsidRPr="00A913EC">
              <w:rPr>
                <w:rFonts w:ascii="Arial" w:eastAsia="Calibri" w:hAnsi="Arial" w:cs="Arial"/>
                <w:b/>
                <w:bCs/>
                <w:color w:val="000000"/>
                <w:sz w:val="24"/>
                <w:szCs w:val="24"/>
              </w:rPr>
              <w:t>Closure Method</w:t>
            </w:r>
          </w:p>
        </w:tc>
        <w:tc>
          <w:tcPr>
            <w:tcW w:w="6599" w:type="dxa"/>
            <w:shd w:val="clear" w:color="auto" w:fill="F2F2F2" w:themeFill="background1" w:themeFillShade="F2"/>
            <w:vAlign w:val="center"/>
            <w:hideMark/>
          </w:tcPr>
          <w:p w14:paraId="167EFB18" w14:textId="77777777" w:rsidR="005A1872" w:rsidRPr="00A913EC" w:rsidRDefault="005A1872" w:rsidP="005A1872">
            <w:pPr>
              <w:spacing w:after="0" w:line="240" w:lineRule="auto"/>
              <w:jc w:val="center"/>
              <w:rPr>
                <w:rFonts w:ascii="Arial" w:eastAsia="Calibri" w:hAnsi="Arial" w:cs="Arial"/>
                <w:b/>
                <w:bCs/>
                <w:color w:val="000000"/>
                <w:sz w:val="24"/>
                <w:szCs w:val="24"/>
              </w:rPr>
            </w:pPr>
            <w:r w:rsidRPr="00A913EC">
              <w:rPr>
                <w:rFonts w:ascii="Arial" w:eastAsia="Calibri" w:hAnsi="Arial" w:cs="Arial"/>
                <w:b/>
                <w:bCs/>
                <w:color w:val="000000"/>
                <w:sz w:val="24"/>
                <w:szCs w:val="24"/>
              </w:rPr>
              <w:t>Description</w:t>
            </w:r>
          </w:p>
        </w:tc>
      </w:tr>
      <w:tr w:rsidR="005A1872" w:rsidRPr="005A1872" w14:paraId="45DEA5A8" w14:textId="77777777" w:rsidTr="003912BA">
        <w:trPr>
          <w:trHeight w:val="809"/>
        </w:trPr>
        <w:tc>
          <w:tcPr>
            <w:tcW w:w="1406" w:type="dxa"/>
            <w:noWrap/>
            <w:vAlign w:val="center"/>
            <w:hideMark/>
          </w:tcPr>
          <w:p w14:paraId="0A721185"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Arkwright</w:t>
            </w:r>
          </w:p>
        </w:tc>
        <w:tc>
          <w:tcPr>
            <w:tcW w:w="2723" w:type="dxa"/>
            <w:vAlign w:val="center"/>
            <w:hideMark/>
          </w:tcPr>
          <w:p w14:paraId="5516CBDE"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LF</w:t>
            </w:r>
            <w:r w:rsidRPr="00A913EC">
              <w:rPr>
                <w:rFonts w:ascii="Arial" w:eastAsia="Calibri" w:hAnsi="Arial" w:cs="Arial"/>
                <w:color w:val="000000"/>
                <w:sz w:val="20"/>
                <w:szCs w:val="20"/>
              </w:rPr>
              <w:br/>
              <w:t>(AP-1)</w:t>
            </w:r>
          </w:p>
        </w:tc>
        <w:tc>
          <w:tcPr>
            <w:tcW w:w="2137" w:type="dxa"/>
            <w:noWrap/>
            <w:vAlign w:val="center"/>
            <w:hideMark/>
          </w:tcPr>
          <w:p w14:paraId="6697F876" w14:textId="27000D85" w:rsidR="005A1872" w:rsidRPr="00A913EC" w:rsidRDefault="00DE385C" w:rsidP="003912BA">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Closure by Removal to Permitted LF</w:t>
            </w:r>
          </w:p>
        </w:tc>
        <w:tc>
          <w:tcPr>
            <w:tcW w:w="6599" w:type="dxa"/>
            <w:vAlign w:val="center"/>
            <w:hideMark/>
          </w:tcPr>
          <w:p w14:paraId="6F23A786" w14:textId="3019C125" w:rsidR="005A1872" w:rsidRPr="00A913EC" w:rsidRDefault="005A1872" w:rsidP="005A1872">
            <w:pPr>
              <w:spacing w:after="0" w:line="240" w:lineRule="auto"/>
              <w:jc w:val="center"/>
              <w:rPr>
                <w:rFonts w:ascii="Arial" w:eastAsia="Calibri" w:hAnsi="Arial" w:cs="Arial"/>
                <w:color w:val="000000"/>
                <w:sz w:val="20"/>
                <w:szCs w:val="24"/>
              </w:rPr>
            </w:pPr>
            <w:r w:rsidRPr="00A913EC">
              <w:rPr>
                <w:rFonts w:ascii="Arial" w:eastAsia="Calibri" w:hAnsi="Arial" w:cs="Arial"/>
                <w:color w:val="000000"/>
                <w:sz w:val="20"/>
                <w:szCs w:val="24"/>
              </w:rPr>
              <w:t xml:space="preserve">AP-1 was closed in </w:t>
            </w:r>
            <w:r w:rsidR="00D817B7" w:rsidRPr="00A913EC">
              <w:rPr>
                <w:rFonts w:ascii="Arial" w:eastAsia="Calibri" w:hAnsi="Arial" w:cs="Arial"/>
                <w:color w:val="000000"/>
                <w:sz w:val="20"/>
                <w:szCs w:val="24"/>
              </w:rPr>
              <w:t xml:space="preserve">2010 under EPD's Solid Waste Regulations. Under the new </w:t>
            </w:r>
            <w:r w:rsidR="00A913EC">
              <w:rPr>
                <w:rFonts w:ascii="Arial" w:eastAsia="Calibri" w:hAnsi="Arial" w:cs="Arial"/>
                <w:color w:val="000000"/>
                <w:sz w:val="20"/>
                <w:szCs w:val="24"/>
              </w:rPr>
              <w:t>Georgia</w:t>
            </w:r>
            <w:r w:rsidR="00D817B7" w:rsidRPr="00A913EC">
              <w:rPr>
                <w:rFonts w:ascii="Arial" w:eastAsia="Calibri" w:hAnsi="Arial" w:cs="Arial"/>
                <w:color w:val="000000"/>
                <w:sz w:val="20"/>
                <w:szCs w:val="24"/>
              </w:rPr>
              <w:t xml:space="preserve"> CCR </w:t>
            </w:r>
            <w:r w:rsidR="00A913EC">
              <w:rPr>
                <w:rFonts w:ascii="Arial" w:eastAsia="Calibri" w:hAnsi="Arial" w:cs="Arial"/>
                <w:color w:val="000000"/>
                <w:sz w:val="20"/>
                <w:szCs w:val="24"/>
              </w:rPr>
              <w:t>R</w:t>
            </w:r>
            <w:r w:rsidR="00D817B7" w:rsidRPr="00A913EC">
              <w:rPr>
                <w:rFonts w:ascii="Arial" w:eastAsia="Calibri" w:hAnsi="Arial" w:cs="Arial"/>
                <w:color w:val="000000"/>
                <w:sz w:val="20"/>
                <w:szCs w:val="24"/>
              </w:rPr>
              <w:t>ule, AP-1 will be closed by removal to a</w:t>
            </w:r>
            <w:r w:rsidR="00CB7F52" w:rsidRPr="00A913EC">
              <w:rPr>
                <w:rFonts w:ascii="Arial" w:eastAsia="Calibri" w:hAnsi="Arial" w:cs="Arial"/>
                <w:color w:val="000000"/>
                <w:sz w:val="20"/>
                <w:szCs w:val="24"/>
              </w:rPr>
              <w:t>n</w:t>
            </w:r>
            <w:r w:rsidR="00D817B7" w:rsidRPr="00A913EC">
              <w:rPr>
                <w:rFonts w:ascii="Arial" w:eastAsia="Calibri" w:hAnsi="Arial" w:cs="Arial"/>
                <w:color w:val="000000"/>
                <w:sz w:val="20"/>
                <w:szCs w:val="24"/>
              </w:rPr>
              <w:t xml:space="preserve"> on site landfill. Site restoration will be completed following CCR removal.</w:t>
            </w:r>
          </w:p>
        </w:tc>
      </w:tr>
      <w:tr w:rsidR="005A1872" w:rsidRPr="005A1872" w14:paraId="79EDCF37" w14:textId="77777777" w:rsidTr="003912BA">
        <w:trPr>
          <w:trHeight w:val="809"/>
        </w:trPr>
        <w:tc>
          <w:tcPr>
            <w:tcW w:w="1406" w:type="dxa"/>
            <w:noWrap/>
            <w:vAlign w:val="center"/>
            <w:hideMark/>
          </w:tcPr>
          <w:p w14:paraId="0986001E"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Arkwright</w:t>
            </w:r>
          </w:p>
        </w:tc>
        <w:tc>
          <w:tcPr>
            <w:tcW w:w="2723" w:type="dxa"/>
            <w:vAlign w:val="center"/>
            <w:hideMark/>
          </w:tcPr>
          <w:p w14:paraId="74BF2974"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LF</w:t>
            </w:r>
            <w:r w:rsidRPr="00A913EC">
              <w:rPr>
                <w:rFonts w:ascii="Arial" w:eastAsia="Calibri" w:hAnsi="Arial" w:cs="Arial"/>
                <w:color w:val="000000"/>
                <w:sz w:val="20"/>
                <w:szCs w:val="20"/>
              </w:rPr>
              <w:br/>
              <w:t>(AP-2DAS)</w:t>
            </w:r>
          </w:p>
        </w:tc>
        <w:tc>
          <w:tcPr>
            <w:tcW w:w="2137" w:type="dxa"/>
            <w:noWrap/>
            <w:vAlign w:val="center"/>
            <w:hideMark/>
          </w:tcPr>
          <w:p w14:paraId="64A64DEF" w14:textId="254071EA" w:rsidR="005A1872" w:rsidRPr="00A913EC" w:rsidRDefault="00DE385C" w:rsidP="003912BA">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Closure by Removal to Permitted LF</w:t>
            </w:r>
          </w:p>
        </w:tc>
        <w:tc>
          <w:tcPr>
            <w:tcW w:w="6599" w:type="dxa"/>
            <w:vAlign w:val="center"/>
            <w:hideMark/>
          </w:tcPr>
          <w:p w14:paraId="5B08C155" w14:textId="2697AE38" w:rsidR="005A1872" w:rsidRPr="00A913EC" w:rsidRDefault="002C6E2A" w:rsidP="005A1872">
            <w:pPr>
              <w:spacing w:after="0" w:line="240" w:lineRule="auto"/>
              <w:jc w:val="center"/>
              <w:rPr>
                <w:rFonts w:ascii="Arial" w:eastAsia="Calibri" w:hAnsi="Arial" w:cs="Arial"/>
                <w:color w:val="000000"/>
                <w:sz w:val="20"/>
                <w:szCs w:val="24"/>
              </w:rPr>
            </w:pPr>
            <w:r w:rsidRPr="00A913EC">
              <w:rPr>
                <w:rFonts w:ascii="Arial" w:eastAsia="Calibri" w:hAnsi="Arial" w:cs="Arial"/>
                <w:color w:val="000000"/>
                <w:sz w:val="20"/>
                <w:szCs w:val="24"/>
              </w:rPr>
              <w:t>AP-2 DAS was closed in 2010 under EPD's Solid Waste Regulations. Under the new state CCR rule, AP-2 DAS will be closed by removal to a</w:t>
            </w:r>
            <w:r w:rsidR="00CB7F52" w:rsidRPr="00A913EC">
              <w:rPr>
                <w:rFonts w:ascii="Arial" w:eastAsia="Calibri" w:hAnsi="Arial" w:cs="Arial"/>
                <w:color w:val="000000"/>
                <w:sz w:val="20"/>
                <w:szCs w:val="24"/>
              </w:rPr>
              <w:t>n</w:t>
            </w:r>
            <w:r w:rsidRPr="00A913EC">
              <w:rPr>
                <w:rFonts w:ascii="Arial" w:eastAsia="Calibri" w:hAnsi="Arial" w:cs="Arial"/>
                <w:color w:val="000000"/>
                <w:sz w:val="20"/>
                <w:szCs w:val="24"/>
              </w:rPr>
              <w:t xml:space="preserve"> on site landfill. Site restoration will be completed following CCR removal.</w:t>
            </w:r>
          </w:p>
        </w:tc>
      </w:tr>
      <w:tr w:rsidR="005A1872" w:rsidRPr="005A1872" w14:paraId="7B5CB136" w14:textId="77777777" w:rsidTr="003912BA">
        <w:trPr>
          <w:trHeight w:val="855"/>
        </w:trPr>
        <w:tc>
          <w:tcPr>
            <w:tcW w:w="1406" w:type="dxa"/>
            <w:noWrap/>
            <w:vAlign w:val="center"/>
            <w:hideMark/>
          </w:tcPr>
          <w:p w14:paraId="33335C0E"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Arkwright</w:t>
            </w:r>
          </w:p>
        </w:tc>
        <w:tc>
          <w:tcPr>
            <w:tcW w:w="2723" w:type="dxa"/>
            <w:vAlign w:val="center"/>
            <w:hideMark/>
          </w:tcPr>
          <w:p w14:paraId="545F4E4A"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LF</w:t>
            </w:r>
            <w:r w:rsidRPr="00A913EC">
              <w:rPr>
                <w:rFonts w:ascii="Arial" w:eastAsia="Calibri" w:hAnsi="Arial" w:cs="Arial"/>
                <w:color w:val="000000"/>
                <w:sz w:val="20"/>
                <w:szCs w:val="20"/>
              </w:rPr>
              <w:br/>
              <w:t>(AP-3/Monofill)</w:t>
            </w:r>
          </w:p>
        </w:tc>
        <w:tc>
          <w:tcPr>
            <w:tcW w:w="2137" w:type="dxa"/>
            <w:noWrap/>
            <w:vAlign w:val="center"/>
            <w:hideMark/>
          </w:tcPr>
          <w:p w14:paraId="674B587A" w14:textId="24035983" w:rsidR="005A1872" w:rsidRPr="00A913EC" w:rsidRDefault="002C6E2A"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CCR Consolidation with Permitted Landfill</w:t>
            </w:r>
          </w:p>
        </w:tc>
        <w:tc>
          <w:tcPr>
            <w:tcW w:w="6599" w:type="dxa"/>
            <w:vAlign w:val="center"/>
            <w:hideMark/>
          </w:tcPr>
          <w:p w14:paraId="508E3A3A" w14:textId="3625CF68" w:rsidR="005A1872" w:rsidRPr="00A913EC" w:rsidRDefault="002C6E2A" w:rsidP="005A1872">
            <w:pPr>
              <w:spacing w:after="0" w:line="240" w:lineRule="auto"/>
              <w:jc w:val="center"/>
              <w:rPr>
                <w:rFonts w:ascii="Arial" w:eastAsia="Calibri" w:hAnsi="Arial" w:cs="Arial"/>
                <w:color w:val="000000"/>
                <w:sz w:val="20"/>
                <w:szCs w:val="24"/>
              </w:rPr>
            </w:pPr>
            <w:r w:rsidRPr="00A913EC">
              <w:rPr>
                <w:rFonts w:ascii="Arial" w:eastAsia="Calibri" w:hAnsi="Arial" w:cs="Arial"/>
                <w:color w:val="000000"/>
                <w:sz w:val="20"/>
                <w:szCs w:val="24"/>
              </w:rPr>
              <w:t>AP-3/Monofill was closed in 2010 under EPD's Solid Waste Regulations.</w:t>
            </w:r>
            <w:r w:rsidR="00CB7F52" w:rsidRPr="00A913EC">
              <w:rPr>
                <w:rFonts w:ascii="Arial" w:eastAsia="Calibri" w:hAnsi="Arial" w:cs="Arial"/>
                <w:color w:val="000000"/>
                <w:sz w:val="20"/>
                <w:szCs w:val="24"/>
              </w:rPr>
              <w:t xml:space="preserve"> </w:t>
            </w:r>
            <w:r w:rsidRPr="00A913EC">
              <w:rPr>
                <w:rFonts w:ascii="Arial" w:eastAsia="Calibri" w:hAnsi="Arial" w:cs="Arial"/>
                <w:color w:val="000000"/>
                <w:sz w:val="20"/>
                <w:szCs w:val="24"/>
              </w:rPr>
              <w:t xml:space="preserve">AP-3/Monofill will </w:t>
            </w:r>
            <w:r w:rsidR="00E215F8">
              <w:rPr>
                <w:rFonts w:ascii="Arial" w:eastAsia="Calibri" w:hAnsi="Arial" w:cs="Arial"/>
                <w:color w:val="000000"/>
                <w:sz w:val="20"/>
                <w:szCs w:val="24"/>
              </w:rPr>
              <w:t>be expanded to incorporate AP-1 and AP-</w:t>
            </w:r>
            <w:r w:rsidR="00C56198">
              <w:rPr>
                <w:rFonts w:ascii="Arial" w:eastAsia="Calibri" w:hAnsi="Arial" w:cs="Arial"/>
                <w:color w:val="000000"/>
                <w:sz w:val="20"/>
                <w:szCs w:val="24"/>
              </w:rPr>
              <w:t>2</w:t>
            </w:r>
            <w:r w:rsidR="00E215F8">
              <w:rPr>
                <w:rFonts w:ascii="Arial" w:eastAsia="Calibri" w:hAnsi="Arial" w:cs="Arial"/>
                <w:color w:val="000000"/>
                <w:sz w:val="20"/>
                <w:szCs w:val="24"/>
              </w:rPr>
              <w:t xml:space="preserve"> DAS and closed in place. AP-3/Monofill is in post closure care. This post closure care will expand to include the new footprint and </w:t>
            </w:r>
            <w:r w:rsidRPr="00A913EC">
              <w:rPr>
                <w:rFonts w:ascii="Arial" w:eastAsia="Calibri" w:hAnsi="Arial" w:cs="Arial"/>
                <w:color w:val="000000"/>
                <w:sz w:val="20"/>
                <w:szCs w:val="24"/>
              </w:rPr>
              <w:t>monitoring and maintenance</w:t>
            </w:r>
            <w:r w:rsidR="00E215F8">
              <w:rPr>
                <w:rFonts w:ascii="Arial" w:eastAsia="Calibri" w:hAnsi="Arial" w:cs="Arial"/>
                <w:color w:val="000000"/>
                <w:sz w:val="20"/>
                <w:szCs w:val="24"/>
              </w:rPr>
              <w:t xml:space="preserve"> will continue for the expanded unit</w:t>
            </w:r>
            <w:r w:rsidR="00A03424">
              <w:rPr>
                <w:rFonts w:ascii="Arial" w:eastAsia="Calibri" w:hAnsi="Arial" w:cs="Arial"/>
                <w:color w:val="000000"/>
                <w:sz w:val="20"/>
                <w:szCs w:val="24"/>
              </w:rPr>
              <w:t xml:space="preserve"> (existing closed in place AP-3/Monofill, AP-1, and AP-2 DAS)</w:t>
            </w:r>
            <w:r w:rsidRPr="00A913EC">
              <w:rPr>
                <w:rFonts w:ascii="Arial" w:eastAsia="Calibri" w:hAnsi="Arial" w:cs="Arial"/>
                <w:color w:val="000000"/>
                <w:sz w:val="20"/>
                <w:szCs w:val="24"/>
              </w:rPr>
              <w:t xml:space="preserve"> in accordance with state and federal CCR </w:t>
            </w:r>
            <w:r w:rsidR="005A3585" w:rsidRPr="00A913EC">
              <w:rPr>
                <w:rFonts w:ascii="Arial" w:eastAsia="Calibri" w:hAnsi="Arial" w:cs="Arial"/>
                <w:color w:val="000000"/>
                <w:sz w:val="20"/>
                <w:szCs w:val="24"/>
              </w:rPr>
              <w:t>r</w:t>
            </w:r>
            <w:r w:rsidRPr="00A913EC">
              <w:rPr>
                <w:rFonts w:ascii="Arial" w:eastAsia="Calibri" w:hAnsi="Arial" w:cs="Arial"/>
                <w:color w:val="000000"/>
                <w:sz w:val="20"/>
                <w:szCs w:val="24"/>
              </w:rPr>
              <w:t>ules.</w:t>
            </w:r>
          </w:p>
        </w:tc>
      </w:tr>
      <w:tr w:rsidR="005A1872" w:rsidRPr="005A1872" w14:paraId="0C3F7890" w14:textId="77777777" w:rsidTr="003912BA">
        <w:trPr>
          <w:trHeight w:val="1223"/>
        </w:trPr>
        <w:tc>
          <w:tcPr>
            <w:tcW w:w="1406" w:type="dxa"/>
            <w:noWrap/>
            <w:vAlign w:val="center"/>
            <w:hideMark/>
          </w:tcPr>
          <w:p w14:paraId="2E076545"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Bowen</w:t>
            </w:r>
          </w:p>
        </w:tc>
        <w:tc>
          <w:tcPr>
            <w:tcW w:w="2723" w:type="dxa"/>
            <w:noWrap/>
            <w:vAlign w:val="center"/>
            <w:hideMark/>
          </w:tcPr>
          <w:p w14:paraId="6CC4DD42"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AP-1</w:t>
            </w:r>
          </w:p>
        </w:tc>
        <w:tc>
          <w:tcPr>
            <w:tcW w:w="2137" w:type="dxa"/>
            <w:vAlign w:val="center"/>
            <w:hideMark/>
          </w:tcPr>
          <w:p w14:paraId="57691AF8" w14:textId="77777777" w:rsidR="005A1872" w:rsidRPr="00A913EC" w:rsidRDefault="005A1872" w:rsidP="005A1872">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Advanced Close in Place with Liner</w:t>
            </w:r>
          </w:p>
        </w:tc>
        <w:tc>
          <w:tcPr>
            <w:tcW w:w="6599" w:type="dxa"/>
            <w:vAlign w:val="center"/>
            <w:hideMark/>
          </w:tcPr>
          <w:p w14:paraId="763C8ECE" w14:textId="652C224A" w:rsidR="00B847DB" w:rsidRPr="00A913EC" w:rsidRDefault="005A1872" w:rsidP="00B847DB">
            <w:pPr>
              <w:spacing w:after="0" w:line="240" w:lineRule="auto"/>
              <w:jc w:val="center"/>
              <w:rPr>
                <w:rFonts w:ascii="Arial" w:eastAsia="Calibri" w:hAnsi="Arial" w:cs="Arial"/>
                <w:color w:val="000000"/>
                <w:sz w:val="20"/>
                <w:szCs w:val="24"/>
              </w:rPr>
            </w:pPr>
            <w:r w:rsidRPr="00A913EC">
              <w:rPr>
                <w:rFonts w:ascii="Arial" w:eastAsia="Calibri" w:hAnsi="Arial" w:cs="Arial"/>
                <w:color w:val="000000"/>
                <w:sz w:val="20"/>
                <w:szCs w:val="24"/>
              </w:rPr>
              <w:t>AP</w:t>
            </w:r>
            <w:r w:rsidR="002C6E2A" w:rsidRPr="00A913EC">
              <w:rPr>
                <w:rFonts w:ascii="Arial" w:eastAsia="Calibri" w:hAnsi="Arial" w:cs="Arial"/>
                <w:color w:val="000000"/>
                <w:sz w:val="20"/>
                <w:szCs w:val="24"/>
              </w:rPr>
              <w:t xml:space="preserve"> -1 will be closed in place following excavation of CCR to install a new liner system.</w:t>
            </w:r>
            <w:r w:rsidRPr="00A913EC">
              <w:rPr>
                <w:rFonts w:ascii="Arial" w:eastAsia="Calibri" w:hAnsi="Arial" w:cs="Arial"/>
                <w:color w:val="000000"/>
                <w:sz w:val="20"/>
                <w:szCs w:val="24"/>
              </w:rPr>
              <w:t xml:space="preserve"> The  CCR within AP-1 will be excavated and consolidated into an approximately 144-acre fully-contained engineered structure (composite-lined and final-covered area) that will be constructed in the south-central portion of the current AP-1 </w:t>
            </w:r>
            <w:r w:rsidR="00C56198">
              <w:rPr>
                <w:rFonts w:ascii="Arial" w:eastAsia="Calibri" w:hAnsi="Arial" w:cs="Arial"/>
                <w:color w:val="000000"/>
                <w:sz w:val="20"/>
                <w:szCs w:val="24"/>
              </w:rPr>
              <w:t xml:space="preserve">approximatley 250 acre </w:t>
            </w:r>
            <w:r w:rsidRPr="00A913EC">
              <w:rPr>
                <w:rFonts w:ascii="Arial" w:eastAsia="Calibri" w:hAnsi="Arial" w:cs="Arial"/>
                <w:color w:val="000000"/>
                <w:sz w:val="20"/>
                <w:szCs w:val="24"/>
              </w:rPr>
              <w:t xml:space="preserve">footprint. </w:t>
            </w:r>
          </w:p>
        </w:tc>
      </w:tr>
      <w:tr w:rsidR="00B847DB" w:rsidRPr="005A1872" w14:paraId="196F7263" w14:textId="77777777" w:rsidTr="003912BA">
        <w:trPr>
          <w:trHeight w:val="602"/>
        </w:trPr>
        <w:tc>
          <w:tcPr>
            <w:tcW w:w="1406" w:type="dxa"/>
            <w:noWrap/>
            <w:vAlign w:val="center"/>
            <w:hideMark/>
          </w:tcPr>
          <w:p w14:paraId="7A00EC5F" w14:textId="264A97DF" w:rsidR="00B847DB" w:rsidRPr="00A913EC" w:rsidRDefault="00B847DB" w:rsidP="00B847DB">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Bowen</w:t>
            </w:r>
          </w:p>
        </w:tc>
        <w:tc>
          <w:tcPr>
            <w:tcW w:w="2723" w:type="dxa"/>
            <w:noWrap/>
            <w:vAlign w:val="center"/>
            <w:hideMark/>
          </w:tcPr>
          <w:p w14:paraId="10790455" w14:textId="77777777" w:rsidR="00B847DB" w:rsidRPr="00A913EC" w:rsidRDefault="00B847DB" w:rsidP="004929F9">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LF</w:t>
            </w:r>
          </w:p>
        </w:tc>
        <w:tc>
          <w:tcPr>
            <w:tcW w:w="2137" w:type="dxa"/>
            <w:noWrap/>
            <w:vAlign w:val="center"/>
            <w:hideMark/>
          </w:tcPr>
          <w:p w14:paraId="0DA7E243" w14:textId="3AFE549D" w:rsidR="00B847DB" w:rsidRPr="00A913EC" w:rsidRDefault="00B847DB" w:rsidP="004929F9">
            <w:pPr>
              <w:spacing w:after="0" w:line="240" w:lineRule="auto"/>
              <w:jc w:val="center"/>
              <w:rPr>
                <w:rFonts w:ascii="Arial" w:eastAsia="Calibri" w:hAnsi="Arial" w:cs="Arial"/>
                <w:color w:val="000000"/>
                <w:sz w:val="20"/>
                <w:szCs w:val="20"/>
              </w:rPr>
            </w:pPr>
            <w:r w:rsidRPr="00A913EC">
              <w:rPr>
                <w:rFonts w:ascii="Arial" w:eastAsia="Calibri" w:hAnsi="Arial" w:cs="Arial"/>
                <w:color w:val="000000"/>
                <w:sz w:val="20"/>
                <w:szCs w:val="20"/>
              </w:rPr>
              <w:t>Active LF</w:t>
            </w:r>
            <w:r w:rsidR="002C6E2A" w:rsidRPr="00A913EC">
              <w:rPr>
                <w:rFonts w:ascii="Arial" w:eastAsia="Calibri" w:hAnsi="Arial" w:cs="Arial"/>
                <w:color w:val="000000"/>
                <w:sz w:val="20"/>
                <w:szCs w:val="20"/>
              </w:rPr>
              <w:t>/Close in Place</w:t>
            </w:r>
          </w:p>
        </w:tc>
        <w:tc>
          <w:tcPr>
            <w:tcW w:w="6599" w:type="dxa"/>
            <w:vAlign w:val="center"/>
            <w:hideMark/>
          </w:tcPr>
          <w:p w14:paraId="7C9FCC59" w14:textId="6B601BE6" w:rsidR="00B847DB" w:rsidRPr="00A913EC" w:rsidRDefault="002C6E2A" w:rsidP="004929F9">
            <w:pPr>
              <w:spacing w:after="0" w:line="240" w:lineRule="auto"/>
              <w:jc w:val="center"/>
              <w:rPr>
                <w:rFonts w:ascii="Arial" w:eastAsia="Calibri" w:hAnsi="Arial" w:cs="Arial"/>
                <w:color w:val="000000"/>
                <w:sz w:val="20"/>
                <w:szCs w:val="24"/>
              </w:rPr>
            </w:pPr>
            <w:r w:rsidRPr="00A913EC">
              <w:rPr>
                <w:rFonts w:ascii="Arial" w:eastAsia="Calibri" w:hAnsi="Arial" w:cs="Arial"/>
                <w:color w:val="000000"/>
                <w:sz w:val="20"/>
                <w:szCs w:val="24"/>
              </w:rPr>
              <w:t>The landfill will be closed in place when permitted capacity is reached or when CCR disposal is no longer needed at the facility.</w:t>
            </w:r>
          </w:p>
        </w:tc>
      </w:tr>
      <w:tr w:rsidR="00DD470E" w:rsidRPr="005A1872" w14:paraId="5997EB64" w14:textId="77777777" w:rsidTr="003912BA">
        <w:trPr>
          <w:trHeight w:val="899"/>
        </w:trPr>
        <w:tc>
          <w:tcPr>
            <w:tcW w:w="1406" w:type="dxa"/>
            <w:noWrap/>
            <w:vAlign w:val="center"/>
            <w:hideMark/>
          </w:tcPr>
          <w:p w14:paraId="638403C6" w14:textId="77777777" w:rsidR="00DD470E" w:rsidRPr="004929F9" w:rsidRDefault="00DD470E" w:rsidP="00DD470E">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Branch</w:t>
            </w:r>
          </w:p>
        </w:tc>
        <w:tc>
          <w:tcPr>
            <w:tcW w:w="2723" w:type="dxa"/>
            <w:noWrap/>
            <w:vAlign w:val="center"/>
            <w:hideMark/>
          </w:tcPr>
          <w:p w14:paraId="5A91AB87" w14:textId="77777777" w:rsidR="00DD470E" w:rsidRPr="004929F9" w:rsidRDefault="00DD470E"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AP-A</w:t>
            </w:r>
          </w:p>
        </w:tc>
        <w:tc>
          <w:tcPr>
            <w:tcW w:w="2137" w:type="dxa"/>
            <w:vAlign w:val="center"/>
            <w:hideMark/>
          </w:tcPr>
          <w:p w14:paraId="216E49C3" w14:textId="3A1FC02A" w:rsidR="00DD470E" w:rsidRPr="004929F9" w:rsidRDefault="00DD470E"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 xml:space="preserve">Closure by Removal to Permitted LF </w:t>
            </w:r>
            <w:r w:rsidRPr="004929F9">
              <w:rPr>
                <w:rFonts w:ascii="Arial" w:eastAsia="Calibri" w:hAnsi="Arial" w:cs="Arial"/>
                <w:color w:val="000000"/>
                <w:sz w:val="20"/>
                <w:szCs w:val="20"/>
              </w:rPr>
              <w:br/>
            </w:r>
          </w:p>
        </w:tc>
        <w:tc>
          <w:tcPr>
            <w:tcW w:w="6599" w:type="dxa"/>
            <w:vAlign w:val="center"/>
            <w:hideMark/>
          </w:tcPr>
          <w:p w14:paraId="1F109103" w14:textId="60287439" w:rsidR="00DD470E" w:rsidRPr="004929F9" w:rsidRDefault="002C6E2A" w:rsidP="004929F9">
            <w:pPr>
              <w:spacing w:after="0" w:line="240" w:lineRule="auto"/>
              <w:jc w:val="center"/>
              <w:rPr>
                <w:rFonts w:ascii="Arial" w:eastAsia="Calibri" w:hAnsi="Arial" w:cs="Arial"/>
                <w:color w:val="000000"/>
                <w:sz w:val="20"/>
                <w:szCs w:val="24"/>
              </w:rPr>
            </w:pPr>
            <w:r w:rsidRPr="004929F9">
              <w:rPr>
                <w:rFonts w:ascii="Arial" w:hAnsi="Arial" w:cs="Arial"/>
                <w:color w:val="000000"/>
                <w:sz w:val="20"/>
                <w:szCs w:val="20"/>
              </w:rPr>
              <w:t>AP-A was closed by removal and consolidated with AP-E</w:t>
            </w:r>
            <w:r w:rsidR="009E40A9" w:rsidRPr="004929F9">
              <w:rPr>
                <w:rFonts w:ascii="Arial" w:hAnsi="Arial" w:cs="Arial"/>
                <w:color w:val="000000"/>
                <w:sz w:val="20"/>
                <w:szCs w:val="20"/>
              </w:rPr>
              <w:t xml:space="preserve"> before the State CCR Rule was in effect</w:t>
            </w:r>
            <w:r w:rsidRPr="004929F9">
              <w:rPr>
                <w:rFonts w:ascii="Arial" w:hAnsi="Arial" w:cs="Arial"/>
                <w:color w:val="000000"/>
                <w:sz w:val="20"/>
                <w:szCs w:val="20"/>
              </w:rPr>
              <w:t xml:space="preserve">.  Site restoration </w:t>
            </w:r>
            <w:r w:rsidR="009E40A9" w:rsidRPr="004929F9">
              <w:rPr>
                <w:rFonts w:ascii="Arial" w:hAnsi="Arial" w:cs="Arial"/>
                <w:color w:val="000000"/>
                <w:sz w:val="20"/>
                <w:szCs w:val="20"/>
              </w:rPr>
              <w:t>(grading and vegetation) has been</w:t>
            </w:r>
            <w:r w:rsidRPr="004929F9">
              <w:rPr>
                <w:rFonts w:ascii="Arial" w:hAnsi="Arial" w:cs="Arial"/>
                <w:color w:val="000000"/>
                <w:sz w:val="20"/>
                <w:szCs w:val="20"/>
              </w:rPr>
              <w:t xml:space="preserve"> completed.</w:t>
            </w:r>
            <w:r w:rsidR="00DD470E" w:rsidRPr="004929F9">
              <w:rPr>
                <w:rFonts w:ascii="Arial" w:eastAsia="Calibri" w:hAnsi="Arial" w:cs="Arial"/>
                <w:color w:val="000000"/>
                <w:sz w:val="20"/>
                <w:szCs w:val="24"/>
              </w:rPr>
              <w:t xml:space="preserve">  Georgia Power submitted a Certification of Ash Removal from AP-A to EPD in 2018 to provide documentation of the AP-A closure.</w:t>
            </w:r>
          </w:p>
        </w:tc>
      </w:tr>
      <w:tr w:rsidR="00DD470E" w:rsidRPr="005A1872" w14:paraId="5AE42A4E" w14:textId="77777777" w:rsidTr="003912BA">
        <w:trPr>
          <w:trHeight w:val="620"/>
        </w:trPr>
        <w:tc>
          <w:tcPr>
            <w:tcW w:w="1406" w:type="dxa"/>
            <w:tcBorders>
              <w:bottom w:val="single" w:sz="4" w:space="0" w:color="auto"/>
            </w:tcBorders>
            <w:noWrap/>
            <w:vAlign w:val="center"/>
            <w:hideMark/>
          </w:tcPr>
          <w:p w14:paraId="342E4A39" w14:textId="77777777" w:rsidR="00DD470E" w:rsidRPr="005A1872" w:rsidRDefault="00DD470E" w:rsidP="00DD470E">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Branch</w:t>
            </w:r>
          </w:p>
        </w:tc>
        <w:tc>
          <w:tcPr>
            <w:tcW w:w="2723" w:type="dxa"/>
            <w:tcBorders>
              <w:bottom w:val="single" w:sz="4" w:space="0" w:color="auto"/>
            </w:tcBorders>
            <w:noWrap/>
            <w:vAlign w:val="center"/>
            <w:hideMark/>
          </w:tcPr>
          <w:p w14:paraId="6EE23FF3" w14:textId="2755E769" w:rsidR="00DD470E" w:rsidRPr="005A1872" w:rsidRDefault="00DD470E"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AP-B</w:t>
            </w:r>
            <w:r>
              <w:rPr>
                <w:rFonts w:ascii="Arial" w:eastAsia="Calibri" w:hAnsi="Arial" w:cs="Arial"/>
                <w:color w:val="000000"/>
                <w:sz w:val="20"/>
                <w:szCs w:val="20"/>
              </w:rPr>
              <w:t>, C, D</w:t>
            </w:r>
          </w:p>
        </w:tc>
        <w:tc>
          <w:tcPr>
            <w:tcW w:w="2137" w:type="dxa"/>
            <w:tcBorders>
              <w:bottom w:val="single" w:sz="4" w:space="0" w:color="auto"/>
            </w:tcBorders>
            <w:vAlign w:val="center"/>
            <w:hideMark/>
          </w:tcPr>
          <w:p w14:paraId="78BC45E9" w14:textId="0B87F900" w:rsidR="00DD470E" w:rsidRPr="005A1872" w:rsidRDefault="00DD470E"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Clos</w:t>
            </w:r>
            <w:r w:rsidR="004929F9">
              <w:rPr>
                <w:rFonts w:ascii="Arial" w:eastAsia="Calibri" w:hAnsi="Arial" w:cs="Arial"/>
                <w:color w:val="000000"/>
                <w:sz w:val="20"/>
                <w:szCs w:val="20"/>
              </w:rPr>
              <w:t xml:space="preserve">ure by Removal to Permitted LF </w:t>
            </w:r>
          </w:p>
        </w:tc>
        <w:tc>
          <w:tcPr>
            <w:tcW w:w="6599" w:type="dxa"/>
            <w:tcBorders>
              <w:bottom w:val="single" w:sz="4" w:space="0" w:color="auto"/>
            </w:tcBorders>
            <w:vAlign w:val="center"/>
            <w:hideMark/>
          </w:tcPr>
          <w:p w14:paraId="69D2E691" w14:textId="3320B248" w:rsidR="00DD470E" w:rsidRPr="005A1872" w:rsidRDefault="002C6E2A" w:rsidP="004929F9">
            <w:pPr>
              <w:spacing w:after="0" w:line="240" w:lineRule="auto"/>
              <w:jc w:val="center"/>
              <w:rPr>
                <w:rFonts w:ascii="Arial" w:eastAsia="Calibri" w:hAnsi="Arial" w:cs="Arial"/>
                <w:color w:val="000000"/>
                <w:sz w:val="20"/>
                <w:szCs w:val="24"/>
              </w:rPr>
            </w:pPr>
            <w:r>
              <w:rPr>
                <w:rFonts w:ascii="Arial" w:eastAsia="Calibri" w:hAnsi="Arial" w:cs="Arial"/>
                <w:color w:val="000000"/>
                <w:sz w:val="20"/>
                <w:szCs w:val="24"/>
              </w:rPr>
              <w:t>AP-</w:t>
            </w:r>
            <w:r w:rsidR="00DD470E" w:rsidRPr="005A1872">
              <w:rPr>
                <w:rFonts w:ascii="Arial" w:eastAsia="Calibri" w:hAnsi="Arial" w:cs="Arial"/>
                <w:color w:val="000000"/>
                <w:sz w:val="20"/>
                <w:szCs w:val="24"/>
              </w:rPr>
              <w:t>B</w:t>
            </w:r>
            <w:r w:rsidR="00DD470E">
              <w:rPr>
                <w:rFonts w:ascii="Arial" w:eastAsia="Calibri" w:hAnsi="Arial" w:cs="Arial"/>
                <w:color w:val="000000"/>
                <w:sz w:val="20"/>
                <w:szCs w:val="24"/>
              </w:rPr>
              <w:t>, C, &amp; D</w:t>
            </w:r>
            <w:r w:rsidR="00DD470E" w:rsidRPr="005A1872">
              <w:rPr>
                <w:rFonts w:ascii="Arial" w:eastAsia="Calibri" w:hAnsi="Arial" w:cs="Arial"/>
                <w:color w:val="000000"/>
                <w:sz w:val="20"/>
                <w:szCs w:val="24"/>
              </w:rPr>
              <w:t xml:space="preserve"> will be closed by removal to a new </w:t>
            </w:r>
            <w:r w:rsidR="00D269FD">
              <w:rPr>
                <w:rFonts w:ascii="Arial" w:eastAsia="Calibri" w:hAnsi="Arial" w:cs="Arial"/>
                <w:color w:val="000000"/>
                <w:sz w:val="20"/>
                <w:szCs w:val="24"/>
              </w:rPr>
              <w:t xml:space="preserve">permitted </w:t>
            </w:r>
            <w:r w:rsidR="00DD470E" w:rsidRPr="005A1872">
              <w:rPr>
                <w:rFonts w:ascii="Arial" w:eastAsia="Calibri" w:hAnsi="Arial" w:cs="Arial"/>
                <w:color w:val="000000"/>
                <w:sz w:val="20"/>
                <w:szCs w:val="24"/>
              </w:rPr>
              <w:t xml:space="preserve">onsite lined CCR landfill. </w:t>
            </w:r>
            <w:r w:rsidRPr="002C6E2A">
              <w:rPr>
                <w:rFonts w:ascii="Arial" w:eastAsia="Calibri" w:hAnsi="Arial" w:cs="Arial"/>
                <w:color w:val="000000"/>
                <w:sz w:val="20"/>
                <w:szCs w:val="24"/>
              </w:rPr>
              <w:t>Site restoration will be completed following CCR removal</w:t>
            </w:r>
            <w:r w:rsidR="00DD470E" w:rsidRPr="005A1872">
              <w:rPr>
                <w:rFonts w:ascii="Arial" w:eastAsia="Calibri" w:hAnsi="Arial" w:cs="Arial"/>
                <w:color w:val="000000"/>
                <w:sz w:val="20"/>
                <w:szCs w:val="24"/>
              </w:rPr>
              <w:t>.</w:t>
            </w:r>
          </w:p>
        </w:tc>
      </w:tr>
      <w:tr w:rsidR="004929F9" w:rsidRPr="005A1872" w14:paraId="68760B90" w14:textId="77777777" w:rsidTr="003912BA">
        <w:trPr>
          <w:trHeight w:val="620"/>
        </w:trPr>
        <w:tc>
          <w:tcPr>
            <w:tcW w:w="1406" w:type="dxa"/>
            <w:shd w:val="clear" w:color="auto" w:fill="F2F2F2" w:themeFill="background1" w:themeFillShade="F2"/>
            <w:noWrap/>
            <w:vAlign w:val="center"/>
          </w:tcPr>
          <w:p w14:paraId="445A00B0" w14:textId="5EE33C8D" w:rsidR="004929F9" w:rsidRPr="004929F9" w:rsidRDefault="004929F9" w:rsidP="004929F9">
            <w:pPr>
              <w:spacing w:after="0" w:line="240" w:lineRule="auto"/>
              <w:jc w:val="center"/>
              <w:rPr>
                <w:rFonts w:ascii="Arial" w:eastAsia="Calibri" w:hAnsi="Arial" w:cs="Arial"/>
                <w:color w:val="000000"/>
                <w:sz w:val="20"/>
                <w:szCs w:val="20"/>
              </w:rPr>
            </w:pPr>
            <w:r w:rsidRPr="00A913EC">
              <w:rPr>
                <w:rFonts w:ascii="Arial" w:eastAsia="Calibri" w:hAnsi="Arial" w:cs="Arial"/>
                <w:b/>
                <w:bCs/>
                <w:color w:val="000000"/>
                <w:sz w:val="24"/>
                <w:szCs w:val="24"/>
              </w:rPr>
              <w:t>Plant</w:t>
            </w:r>
          </w:p>
        </w:tc>
        <w:tc>
          <w:tcPr>
            <w:tcW w:w="2723" w:type="dxa"/>
            <w:shd w:val="clear" w:color="auto" w:fill="F2F2F2" w:themeFill="background1" w:themeFillShade="F2"/>
            <w:noWrap/>
            <w:vAlign w:val="center"/>
          </w:tcPr>
          <w:p w14:paraId="4BD9367B" w14:textId="192F2947" w:rsidR="004929F9" w:rsidRPr="004929F9" w:rsidRDefault="004929F9" w:rsidP="004929F9">
            <w:pPr>
              <w:spacing w:after="0" w:line="240" w:lineRule="auto"/>
              <w:jc w:val="center"/>
              <w:rPr>
                <w:rFonts w:ascii="Arial" w:eastAsia="Calibri" w:hAnsi="Arial" w:cs="Arial"/>
                <w:color w:val="000000"/>
                <w:sz w:val="20"/>
                <w:szCs w:val="20"/>
              </w:rPr>
            </w:pPr>
            <w:r w:rsidRPr="00A913EC">
              <w:rPr>
                <w:rFonts w:ascii="Arial" w:eastAsia="Calibri" w:hAnsi="Arial" w:cs="Arial"/>
                <w:b/>
                <w:bCs/>
                <w:color w:val="000000"/>
                <w:sz w:val="24"/>
                <w:szCs w:val="24"/>
              </w:rPr>
              <w:t>Impoundment</w:t>
            </w:r>
            <w:r w:rsidR="006F20B7">
              <w:rPr>
                <w:rFonts w:ascii="Arial" w:eastAsia="Calibri" w:hAnsi="Arial" w:cs="Arial"/>
                <w:b/>
                <w:bCs/>
                <w:color w:val="000000"/>
                <w:sz w:val="24"/>
                <w:szCs w:val="24"/>
              </w:rPr>
              <w:t>/Landfill</w:t>
            </w:r>
          </w:p>
        </w:tc>
        <w:tc>
          <w:tcPr>
            <w:tcW w:w="2137" w:type="dxa"/>
            <w:shd w:val="clear" w:color="auto" w:fill="F2F2F2" w:themeFill="background1" w:themeFillShade="F2"/>
            <w:vAlign w:val="center"/>
          </w:tcPr>
          <w:p w14:paraId="670BDEA7" w14:textId="0A28B96F" w:rsidR="004929F9" w:rsidRPr="004929F9" w:rsidRDefault="004929F9" w:rsidP="004929F9">
            <w:pPr>
              <w:spacing w:after="0" w:line="240" w:lineRule="auto"/>
              <w:jc w:val="center"/>
              <w:rPr>
                <w:rFonts w:ascii="Arial" w:eastAsia="Calibri" w:hAnsi="Arial" w:cs="Arial"/>
                <w:color w:val="000000"/>
                <w:sz w:val="20"/>
                <w:szCs w:val="20"/>
              </w:rPr>
            </w:pPr>
            <w:r w:rsidRPr="00A913EC">
              <w:rPr>
                <w:rFonts w:ascii="Arial" w:eastAsia="Calibri" w:hAnsi="Arial" w:cs="Arial"/>
                <w:b/>
                <w:bCs/>
                <w:color w:val="000000"/>
                <w:sz w:val="24"/>
                <w:szCs w:val="24"/>
              </w:rPr>
              <w:t>Closure Method</w:t>
            </w:r>
          </w:p>
        </w:tc>
        <w:tc>
          <w:tcPr>
            <w:tcW w:w="6599" w:type="dxa"/>
            <w:shd w:val="clear" w:color="auto" w:fill="F2F2F2" w:themeFill="background1" w:themeFillShade="F2"/>
            <w:vAlign w:val="center"/>
          </w:tcPr>
          <w:p w14:paraId="4D69A1EE" w14:textId="575E9CC8" w:rsidR="004929F9" w:rsidRPr="004929F9" w:rsidRDefault="004929F9" w:rsidP="004929F9">
            <w:pPr>
              <w:spacing w:after="0" w:line="240" w:lineRule="auto"/>
              <w:jc w:val="center"/>
              <w:rPr>
                <w:rFonts w:ascii="Arial" w:eastAsia="Calibri" w:hAnsi="Arial" w:cs="Arial"/>
                <w:color w:val="000000"/>
                <w:sz w:val="20"/>
                <w:szCs w:val="24"/>
              </w:rPr>
            </w:pPr>
            <w:r w:rsidRPr="00A913EC">
              <w:rPr>
                <w:rFonts w:ascii="Arial" w:eastAsia="Calibri" w:hAnsi="Arial" w:cs="Arial"/>
                <w:b/>
                <w:bCs/>
                <w:color w:val="000000"/>
                <w:sz w:val="24"/>
                <w:szCs w:val="24"/>
              </w:rPr>
              <w:t>Description</w:t>
            </w:r>
          </w:p>
        </w:tc>
      </w:tr>
      <w:tr w:rsidR="004929F9" w:rsidRPr="005A1872" w14:paraId="10EE1A4C" w14:textId="77777777" w:rsidTr="003912BA">
        <w:trPr>
          <w:trHeight w:val="1425"/>
        </w:trPr>
        <w:tc>
          <w:tcPr>
            <w:tcW w:w="1406" w:type="dxa"/>
            <w:noWrap/>
            <w:vAlign w:val="center"/>
            <w:hideMark/>
          </w:tcPr>
          <w:p w14:paraId="39034B39" w14:textId="1FAB325E"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Branch</w:t>
            </w:r>
          </w:p>
        </w:tc>
        <w:tc>
          <w:tcPr>
            <w:tcW w:w="2723" w:type="dxa"/>
            <w:noWrap/>
            <w:vAlign w:val="center"/>
            <w:hideMark/>
          </w:tcPr>
          <w:p w14:paraId="4E69A26C"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AP-E</w:t>
            </w:r>
          </w:p>
        </w:tc>
        <w:tc>
          <w:tcPr>
            <w:tcW w:w="2137" w:type="dxa"/>
            <w:vAlign w:val="center"/>
            <w:hideMark/>
          </w:tcPr>
          <w:p w14:paraId="4588E579" w14:textId="2BC09FEC"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 xml:space="preserve">Closure by Removal to Permitted LF </w:t>
            </w:r>
            <w:r w:rsidRPr="004929F9">
              <w:rPr>
                <w:rFonts w:ascii="Arial" w:eastAsia="Calibri" w:hAnsi="Arial" w:cs="Arial"/>
                <w:color w:val="000000"/>
                <w:sz w:val="20"/>
                <w:szCs w:val="20"/>
              </w:rPr>
              <w:br/>
            </w:r>
          </w:p>
        </w:tc>
        <w:tc>
          <w:tcPr>
            <w:tcW w:w="6599" w:type="dxa"/>
            <w:vAlign w:val="center"/>
            <w:hideMark/>
          </w:tcPr>
          <w:p w14:paraId="2FD81D70" w14:textId="675A9E0F"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 xml:space="preserve">  AP-E will be closed by removal to a new, </w:t>
            </w:r>
            <w:r w:rsidR="00D269FD">
              <w:rPr>
                <w:rFonts w:ascii="Arial" w:eastAsia="Calibri" w:hAnsi="Arial" w:cs="Arial"/>
                <w:color w:val="000000"/>
                <w:sz w:val="20"/>
                <w:szCs w:val="24"/>
              </w:rPr>
              <w:t xml:space="preserve">permitted </w:t>
            </w:r>
            <w:r w:rsidRPr="004929F9">
              <w:rPr>
                <w:rFonts w:ascii="Arial" w:eastAsia="Calibri" w:hAnsi="Arial" w:cs="Arial"/>
                <w:color w:val="000000"/>
                <w:sz w:val="20"/>
                <w:szCs w:val="24"/>
              </w:rPr>
              <w:t xml:space="preserve">onsitelined CCR landfill. AP-E is regulated as a Category I dam under the Georgia Safe Dams Program. Closure design will include plans with restoration for removal of the dam from being regulated such that compliance requirements associated with maintaining a </w:t>
            </w:r>
            <w:r w:rsidR="00D269FD">
              <w:rPr>
                <w:rFonts w:ascii="Arial" w:eastAsia="Calibri" w:hAnsi="Arial" w:cs="Arial"/>
                <w:color w:val="000000"/>
                <w:sz w:val="20"/>
                <w:szCs w:val="24"/>
              </w:rPr>
              <w:t>Category I</w:t>
            </w:r>
            <w:r w:rsidRPr="004929F9">
              <w:rPr>
                <w:rFonts w:ascii="Arial" w:eastAsia="Calibri" w:hAnsi="Arial" w:cs="Arial"/>
                <w:color w:val="000000"/>
                <w:sz w:val="20"/>
                <w:szCs w:val="24"/>
              </w:rPr>
              <w:t xml:space="preserve"> dam will no longer be necessary. Site restoration will be completed following CCR removal.  </w:t>
            </w:r>
          </w:p>
        </w:tc>
      </w:tr>
      <w:tr w:rsidR="004929F9" w:rsidRPr="005A1872" w14:paraId="42B3541E" w14:textId="77777777" w:rsidTr="003912BA">
        <w:trPr>
          <w:trHeight w:val="710"/>
        </w:trPr>
        <w:tc>
          <w:tcPr>
            <w:tcW w:w="1406" w:type="dxa"/>
            <w:vAlign w:val="center"/>
            <w:hideMark/>
          </w:tcPr>
          <w:p w14:paraId="19738976"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Hammond</w:t>
            </w:r>
          </w:p>
        </w:tc>
        <w:tc>
          <w:tcPr>
            <w:tcW w:w="2723" w:type="dxa"/>
            <w:noWrap/>
            <w:vAlign w:val="center"/>
            <w:hideMark/>
          </w:tcPr>
          <w:p w14:paraId="006D4206" w14:textId="02B0DC25"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 2, 4</w:t>
            </w:r>
          </w:p>
        </w:tc>
        <w:tc>
          <w:tcPr>
            <w:tcW w:w="2137" w:type="dxa"/>
            <w:noWrap/>
            <w:vAlign w:val="center"/>
            <w:hideMark/>
          </w:tcPr>
          <w:p w14:paraId="7A8A7E99"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Closure by Removal to Permitted LF</w:t>
            </w:r>
          </w:p>
        </w:tc>
        <w:tc>
          <w:tcPr>
            <w:tcW w:w="6599" w:type="dxa"/>
            <w:vAlign w:val="center"/>
            <w:hideMark/>
          </w:tcPr>
          <w:p w14:paraId="2E27AA0C" w14:textId="726E917B"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 xml:space="preserve">AP-1, 2, and 4 will be closed by removal to a GPC-owned, off-site permitted landfill. Site restoration will be completed following CCR removal.   </w:t>
            </w:r>
          </w:p>
        </w:tc>
      </w:tr>
      <w:tr w:rsidR="004929F9" w:rsidRPr="005A1872" w14:paraId="13CCB030" w14:textId="77777777" w:rsidTr="003912BA">
        <w:trPr>
          <w:trHeight w:val="855"/>
        </w:trPr>
        <w:tc>
          <w:tcPr>
            <w:tcW w:w="1406" w:type="dxa"/>
            <w:vAlign w:val="center"/>
            <w:hideMark/>
          </w:tcPr>
          <w:p w14:paraId="525A35ED"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Hammond</w:t>
            </w:r>
          </w:p>
        </w:tc>
        <w:tc>
          <w:tcPr>
            <w:tcW w:w="2723" w:type="dxa"/>
            <w:noWrap/>
            <w:vAlign w:val="center"/>
            <w:hideMark/>
          </w:tcPr>
          <w:p w14:paraId="69D396C4"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AP-3</w:t>
            </w:r>
          </w:p>
        </w:tc>
        <w:tc>
          <w:tcPr>
            <w:tcW w:w="2137" w:type="dxa"/>
            <w:noWrap/>
            <w:vAlign w:val="center"/>
            <w:hideMark/>
          </w:tcPr>
          <w:p w14:paraId="754BDCF4" w14:textId="3FF2196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Advanced Close in Place</w:t>
            </w:r>
          </w:p>
        </w:tc>
        <w:tc>
          <w:tcPr>
            <w:tcW w:w="6599" w:type="dxa"/>
            <w:vAlign w:val="center"/>
            <w:hideMark/>
          </w:tcPr>
          <w:p w14:paraId="7A68713A" w14:textId="474C567D"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 xml:space="preserve">AP-3 was closed-in-place with a geomembrane cover system in the second quarter of 2018. </w:t>
            </w:r>
            <w:r w:rsidRPr="004929F9">
              <w:rPr>
                <w:rFonts w:ascii="Arial" w:eastAsia="Calibri" w:hAnsi="Arial" w:cs="Arial"/>
                <w:color w:val="000000"/>
                <w:sz w:val="20"/>
                <w:szCs w:val="20"/>
              </w:rPr>
              <w:t>Advanced engineering methods are being evaluated and will be incorporated in the closure.</w:t>
            </w:r>
          </w:p>
        </w:tc>
      </w:tr>
      <w:tr w:rsidR="004929F9" w:rsidRPr="005A1872" w14:paraId="7061334D" w14:textId="77777777" w:rsidTr="003912BA">
        <w:trPr>
          <w:trHeight w:val="855"/>
        </w:trPr>
        <w:tc>
          <w:tcPr>
            <w:tcW w:w="1406" w:type="dxa"/>
            <w:vAlign w:val="center"/>
            <w:hideMark/>
          </w:tcPr>
          <w:p w14:paraId="7CF1A2F2" w14:textId="128FDBE8"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Hammond</w:t>
            </w:r>
          </w:p>
        </w:tc>
        <w:tc>
          <w:tcPr>
            <w:tcW w:w="2723" w:type="dxa"/>
            <w:vAlign w:val="center"/>
            <w:hideMark/>
          </w:tcPr>
          <w:p w14:paraId="5D0525C3"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LF</w:t>
            </w:r>
            <w:r w:rsidRPr="004929F9">
              <w:rPr>
                <w:rFonts w:ascii="Arial" w:eastAsia="Calibri" w:hAnsi="Arial" w:cs="Arial"/>
                <w:color w:val="000000"/>
                <w:sz w:val="20"/>
                <w:szCs w:val="20"/>
              </w:rPr>
              <w:br/>
              <w:t>(Huffaker Rd)</w:t>
            </w:r>
          </w:p>
        </w:tc>
        <w:tc>
          <w:tcPr>
            <w:tcW w:w="2137" w:type="dxa"/>
            <w:noWrap/>
            <w:vAlign w:val="center"/>
            <w:hideMark/>
          </w:tcPr>
          <w:p w14:paraId="29868062" w14:textId="1AAC9530"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Active LF</w:t>
            </w:r>
            <w:r w:rsidRPr="004929F9">
              <w:rPr>
                <w:rFonts w:ascii="Arial" w:hAnsi="Arial" w:cs="Arial"/>
              </w:rPr>
              <w:t xml:space="preserve"> </w:t>
            </w:r>
            <w:r w:rsidRPr="004929F9">
              <w:rPr>
                <w:rFonts w:ascii="Arial" w:eastAsia="Calibri" w:hAnsi="Arial" w:cs="Arial"/>
                <w:color w:val="000000"/>
                <w:sz w:val="20"/>
                <w:szCs w:val="20"/>
              </w:rPr>
              <w:t>/Closure in Place</w:t>
            </w:r>
          </w:p>
        </w:tc>
        <w:tc>
          <w:tcPr>
            <w:tcW w:w="6599" w:type="dxa"/>
            <w:vAlign w:val="center"/>
            <w:hideMark/>
          </w:tcPr>
          <w:p w14:paraId="27F80193" w14:textId="244F072E"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This landfill will be closed in accordance with Federal CCR Rule and the CCR permit that will be issued from the Georgia EPD</w:t>
            </w:r>
            <w:r w:rsidR="0009719C">
              <w:rPr>
                <w:rFonts w:ascii="Arial" w:eastAsia="Calibri" w:hAnsi="Arial" w:cs="Arial"/>
                <w:color w:val="000000"/>
                <w:sz w:val="20"/>
                <w:szCs w:val="24"/>
              </w:rPr>
              <w:t xml:space="preserve">. </w:t>
            </w:r>
            <w:r w:rsidRPr="004929F9">
              <w:rPr>
                <w:rFonts w:ascii="Arial" w:eastAsia="Calibri" w:hAnsi="Arial" w:cs="Arial"/>
                <w:color w:val="000000"/>
                <w:sz w:val="20"/>
                <w:szCs w:val="24"/>
              </w:rPr>
              <w:t>The landfill will be closed when permitted capacity is reached or when CCR disposal is no longer needed.</w:t>
            </w:r>
          </w:p>
        </w:tc>
      </w:tr>
      <w:tr w:rsidR="004929F9" w:rsidRPr="005A1872" w14:paraId="12E9F411" w14:textId="77777777" w:rsidTr="003912BA">
        <w:trPr>
          <w:trHeight w:val="710"/>
        </w:trPr>
        <w:tc>
          <w:tcPr>
            <w:tcW w:w="1406" w:type="dxa"/>
            <w:vAlign w:val="center"/>
            <w:hideMark/>
          </w:tcPr>
          <w:p w14:paraId="5BF9F513"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Kraft</w:t>
            </w:r>
          </w:p>
        </w:tc>
        <w:tc>
          <w:tcPr>
            <w:tcW w:w="2723" w:type="dxa"/>
            <w:noWrap/>
            <w:vAlign w:val="center"/>
            <w:hideMark/>
          </w:tcPr>
          <w:p w14:paraId="1F3BCD85" w14:textId="1B3CA8EF"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w:t>
            </w:r>
          </w:p>
        </w:tc>
        <w:tc>
          <w:tcPr>
            <w:tcW w:w="2137" w:type="dxa"/>
            <w:noWrap/>
            <w:vAlign w:val="center"/>
            <w:hideMark/>
          </w:tcPr>
          <w:p w14:paraId="54482535"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Closure by Removal to Permitted LF</w:t>
            </w:r>
          </w:p>
        </w:tc>
        <w:tc>
          <w:tcPr>
            <w:tcW w:w="6599" w:type="dxa"/>
            <w:vAlign w:val="center"/>
            <w:hideMark/>
          </w:tcPr>
          <w:p w14:paraId="6EC83D70" w14:textId="1A6E8D27"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AP-1 was closed by removal to offsite permitted landfills. Site restoration (grading and vegetation) is complete.</w:t>
            </w:r>
          </w:p>
        </w:tc>
      </w:tr>
      <w:tr w:rsidR="004929F9" w:rsidRPr="005A1872" w14:paraId="2E21E95F" w14:textId="77777777" w:rsidTr="003912BA">
        <w:trPr>
          <w:trHeight w:val="620"/>
        </w:trPr>
        <w:tc>
          <w:tcPr>
            <w:tcW w:w="1406" w:type="dxa"/>
            <w:vAlign w:val="center"/>
            <w:hideMark/>
          </w:tcPr>
          <w:p w14:paraId="3444E5C0"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Kraft</w:t>
            </w:r>
          </w:p>
        </w:tc>
        <w:tc>
          <w:tcPr>
            <w:tcW w:w="2723" w:type="dxa"/>
            <w:noWrap/>
            <w:vAlign w:val="center"/>
            <w:hideMark/>
          </w:tcPr>
          <w:p w14:paraId="522ECBB8"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LF (Grumman Rd)</w:t>
            </w:r>
          </w:p>
        </w:tc>
        <w:tc>
          <w:tcPr>
            <w:tcW w:w="2137" w:type="dxa"/>
            <w:noWrap/>
            <w:vAlign w:val="center"/>
            <w:hideMark/>
          </w:tcPr>
          <w:p w14:paraId="684A2AEE" w14:textId="3D5D0ED2"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Inactive LF</w:t>
            </w:r>
            <w:r w:rsidRPr="004929F9">
              <w:rPr>
                <w:rFonts w:ascii="Arial" w:hAnsi="Arial" w:cs="Arial"/>
              </w:rPr>
              <w:t xml:space="preserve"> </w:t>
            </w:r>
            <w:r w:rsidRPr="004929F9">
              <w:rPr>
                <w:rFonts w:ascii="Arial" w:eastAsia="Calibri" w:hAnsi="Arial" w:cs="Arial"/>
                <w:color w:val="000000"/>
                <w:sz w:val="20"/>
                <w:szCs w:val="20"/>
              </w:rPr>
              <w:t>/Closure in Place</w:t>
            </w:r>
          </w:p>
        </w:tc>
        <w:tc>
          <w:tcPr>
            <w:tcW w:w="6599" w:type="dxa"/>
            <w:vAlign w:val="center"/>
            <w:hideMark/>
          </w:tcPr>
          <w:p w14:paraId="005DEB8B" w14:textId="0F6BDADB"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Grumman Road Landfill is an inactive landfill and is being closed in place in accordance with the current landfill permit.</w:t>
            </w:r>
          </w:p>
        </w:tc>
      </w:tr>
      <w:tr w:rsidR="004929F9" w:rsidRPr="005A1872" w14:paraId="34A02976" w14:textId="77777777" w:rsidTr="003912BA">
        <w:trPr>
          <w:trHeight w:val="870"/>
        </w:trPr>
        <w:tc>
          <w:tcPr>
            <w:tcW w:w="1406" w:type="dxa"/>
            <w:vAlign w:val="center"/>
            <w:hideMark/>
          </w:tcPr>
          <w:p w14:paraId="6602ABFD"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McDonough</w:t>
            </w:r>
          </w:p>
        </w:tc>
        <w:tc>
          <w:tcPr>
            <w:tcW w:w="2723" w:type="dxa"/>
            <w:noWrap/>
            <w:vAlign w:val="center"/>
            <w:hideMark/>
          </w:tcPr>
          <w:p w14:paraId="0F8D0645"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w:t>
            </w:r>
          </w:p>
        </w:tc>
        <w:tc>
          <w:tcPr>
            <w:tcW w:w="2137" w:type="dxa"/>
            <w:noWrap/>
            <w:vAlign w:val="center"/>
            <w:hideMark/>
          </w:tcPr>
          <w:p w14:paraId="3036341F"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Advanced Close in Place</w:t>
            </w:r>
          </w:p>
        </w:tc>
        <w:tc>
          <w:tcPr>
            <w:tcW w:w="6599" w:type="dxa"/>
            <w:vAlign w:val="center"/>
            <w:hideMark/>
          </w:tcPr>
          <w:p w14:paraId="2A7A65CD" w14:textId="5A9FA16A"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hAnsi="Arial" w:cs="Arial"/>
                <w:color w:val="000000"/>
                <w:sz w:val="20"/>
                <w:szCs w:val="20"/>
              </w:rPr>
              <w:t xml:space="preserve">AP-1 was closed in place in 2017 with a geosynthetic cap cover system. </w:t>
            </w:r>
            <w:r w:rsidRPr="004929F9">
              <w:rPr>
                <w:rFonts w:ascii="Arial" w:eastAsia="Calibri" w:hAnsi="Arial" w:cs="Arial"/>
                <w:color w:val="000000"/>
                <w:sz w:val="20"/>
                <w:szCs w:val="20"/>
              </w:rPr>
              <w:t>Advanced engineering methods are being evaluated and will be incorporated into the closure.</w:t>
            </w:r>
          </w:p>
        </w:tc>
      </w:tr>
      <w:tr w:rsidR="004929F9" w:rsidRPr="005A1872" w14:paraId="45B8DB58" w14:textId="77777777" w:rsidTr="003912BA">
        <w:trPr>
          <w:trHeight w:val="629"/>
        </w:trPr>
        <w:tc>
          <w:tcPr>
            <w:tcW w:w="1406" w:type="dxa"/>
            <w:vAlign w:val="center"/>
            <w:hideMark/>
          </w:tcPr>
          <w:p w14:paraId="7F637259" w14:textId="77777777" w:rsidR="004929F9" w:rsidRPr="005A1872"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McDonough</w:t>
            </w:r>
          </w:p>
        </w:tc>
        <w:tc>
          <w:tcPr>
            <w:tcW w:w="2723" w:type="dxa"/>
            <w:noWrap/>
            <w:vAlign w:val="center"/>
            <w:hideMark/>
          </w:tcPr>
          <w:p w14:paraId="2526C269" w14:textId="77777777" w:rsidR="004929F9" w:rsidRPr="005A1872"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AP-2</w:t>
            </w:r>
          </w:p>
        </w:tc>
        <w:tc>
          <w:tcPr>
            <w:tcW w:w="2137" w:type="dxa"/>
            <w:vAlign w:val="center"/>
            <w:hideMark/>
          </w:tcPr>
          <w:p w14:paraId="5AFCF635" w14:textId="40CF6568" w:rsidR="004929F9" w:rsidRPr="005A1872"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Closure by Removal</w:t>
            </w:r>
          </w:p>
        </w:tc>
        <w:tc>
          <w:tcPr>
            <w:tcW w:w="6599" w:type="dxa"/>
            <w:vAlign w:val="center"/>
            <w:hideMark/>
          </w:tcPr>
          <w:p w14:paraId="357E34B5" w14:textId="57EB6656" w:rsidR="004929F9" w:rsidRPr="005A1872" w:rsidRDefault="004929F9" w:rsidP="004929F9">
            <w:pPr>
              <w:spacing w:after="0" w:line="240" w:lineRule="auto"/>
              <w:jc w:val="center"/>
              <w:rPr>
                <w:rFonts w:ascii="Arial" w:eastAsia="Calibri" w:hAnsi="Arial" w:cs="Arial"/>
                <w:color w:val="000000"/>
                <w:sz w:val="20"/>
                <w:szCs w:val="24"/>
              </w:rPr>
            </w:pPr>
            <w:r>
              <w:rPr>
                <w:rFonts w:ascii="Arial" w:eastAsia="Calibri" w:hAnsi="Arial" w:cs="Arial"/>
                <w:color w:val="000000"/>
                <w:sz w:val="20"/>
                <w:szCs w:val="24"/>
              </w:rPr>
              <w:t xml:space="preserve">AP-2 has been closed by removal and consolidated with AP-1. </w:t>
            </w:r>
            <w:r w:rsidRPr="008F515C">
              <w:rPr>
                <w:rFonts w:ascii="Arial" w:eastAsia="Calibri" w:hAnsi="Arial" w:cs="Arial"/>
                <w:color w:val="000000"/>
                <w:sz w:val="20"/>
                <w:szCs w:val="24"/>
              </w:rPr>
              <w:t xml:space="preserve">Site restoration activities </w:t>
            </w:r>
            <w:r>
              <w:rPr>
                <w:rFonts w:ascii="Arial" w:eastAsia="Calibri" w:hAnsi="Arial" w:cs="Arial"/>
                <w:color w:val="000000"/>
                <w:sz w:val="20"/>
                <w:szCs w:val="24"/>
              </w:rPr>
              <w:t>are forecasted to be complete in</w:t>
            </w:r>
            <w:r w:rsidRPr="008F515C">
              <w:rPr>
                <w:rFonts w:ascii="Arial" w:eastAsia="Calibri" w:hAnsi="Arial" w:cs="Arial"/>
                <w:color w:val="000000"/>
                <w:sz w:val="20"/>
                <w:szCs w:val="24"/>
              </w:rPr>
              <w:t xml:space="preserve"> 2019.</w:t>
            </w:r>
          </w:p>
        </w:tc>
      </w:tr>
      <w:tr w:rsidR="004929F9" w:rsidRPr="005A1872" w14:paraId="6596A345" w14:textId="77777777" w:rsidTr="003912BA">
        <w:trPr>
          <w:trHeight w:val="800"/>
        </w:trPr>
        <w:tc>
          <w:tcPr>
            <w:tcW w:w="1406" w:type="dxa"/>
            <w:vAlign w:val="center"/>
            <w:hideMark/>
          </w:tcPr>
          <w:p w14:paraId="5FC3A5C5" w14:textId="77777777" w:rsidR="004929F9" w:rsidRPr="005A1872"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McDonough</w:t>
            </w:r>
          </w:p>
        </w:tc>
        <w:tc>
          <w:tcPr>
            <w:tcW w:w="2723" w:type="dxa"/>
            <w:noWrap/>
            <w:vAlign w:val="center"/>
            <w:hideMark/>
          </w:tcPr>
          <w:p w14:paraId="6FBB587F" w14:textId="62410B2B" w:rsidR="004929F9" w:rsidRPr="005A1872"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AP-3</w:t>
            </w:r>
            <w:r>
              <w:rPr>
                <w:rFonts w:ascii="Arial" w:eastAsia="Calibri" w:hAnsi="Arial" w:cs="Arial"/>
                <w:color w:val="000000"/>
                <w:sz w:val="20"/>
                <w:szCs w:val="20"/>
              </w:rPr>
              <w:t xml:space="preserve"> &amp; 4</w:t>
            </w:r>
          </w:p>
        </w:tc>
        <w:tc>
          <w:tcPr>
            <w:tcW w:w="2137" w:type="dxa"/>
            <w:noWrap/>
            <w:vAlign w:val="center"/>
            <w:hideMark/>
          </w:tcPr>
          <w:p w14:paraId="013EE97D" w14:textId="77777777" w:rsidR="004929F9" w:rsidRPr="005A1872"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Advanced Close in Place</w:t>
            </w:r>
          </w:p>
        </w:tc>
        <w:tc>
          <w:tcPr>
            <w:tcW w:w="6599" w:type="dxa"/>
            <w:vAlign w:val="center"/>
            <w:hideMark/>
          </w:tcPr>
          <w:p w14:paraId="659022DF" w14:textId="1E29D3A2" w:rsidR="004929F9" w:rsidRPr="005A1872" w:rsidRDefault="004929F9" w:rsidP="004929F9">
            <w:pPr>
              <w:spacing w:after="0" w:line="240" w:lineRule="auto"/>
              <w:jc w:val="center"/>
              <w:rPr>
                <w:rFonts w:ascii="Arial" w:eastAsia="Calibri" w:hAnsi="Arial" w:cs="Arial"/>
                <w:color w:val="000000"/>
                <w:sz w:val="20"/>
                <w:szCs w:val="24"/>
              </w:rPr>
            </w:pPr>
            <w:r w:rsidRPr="005A1872">
              <w:rPr>
                <w:rFonts w:ascii="Arial" w:eastAsia="Calibri" w:hAnsi="Arial" w:cs="Arial"/>
                <w:color w:val="000000"/>
                <w:sz w:val="20"/>
                <w:szCs w:val="24"/>
              </w:rPr>
              <w:t xml:space="preserve">AP-3 </w:t>
            </w:r>
            <w:r>
              <w:rPr>
                <w:rFonts w:ascii="Arial" w:eastAsia="Calibri" w:hAnsi="Arial" w:cs="Arial"/>
                <w:color w:val="000000"/>
                <w:sz w:val="20"/>
                <w:szCs w:val="24"/>
              </w:rPr>
              <w:t xml:space="preserve">&amp; </w:t>
            </w:r>
            <w:r w:rsidR="00690D7A">
              <w:rPr>
                <w:rFonts w:ascii="Arial" w:eastAsia="Calibri" w:hAnsi="Arial" w:cs="Arial"/>
                <w:color w:val="000000"/>
                <w:sz w:val="20"/>
                <w:szCs w:val="24"/>
              </w:rPr>
              <w:t>AP-</w:t>
            </w:r>
            <w:r>
              <w:rPr>
                <w:rFonts w:ascii="Arial" w:eastAsia="Calibri" w:hAnsi="Arial" w:cs="Arial"/>
                <w:color w:val="000000"/>
                <w:sz w:val="20"/>
                <w:szCs w:val="24"/>
              </w:rPr>
              <w:t xml:space="preserve">4 are being consolidated and </w:t>
            </w:r>
            <w:r w:rsidRPr="005A1872">
              <w:rPr>
                <w:rFonts w:ascii="Arial" w:eastAsia="Calibri" w:hAnsi="Arial" w:cs="Arial"/>
                <w:color w:val="000000"/>
                <w:sz w:val="20"/>
                <w:szCs w:val="24"/>
              </w:rPr>
              <w:t>closed in place</w:t>
            </w:r>
            <w:r>
              <w:rPr>
                <w:rFonts w:ascii="Arial" w:eastAsia="Calibri" w:hAnsi="Arial" w:cs="Arial"/>
                <w:color w:val="000000"/>
                <w:sz w:val="20"/>
                <w:szCs w:val="24"/>
              </w:rPr>
              <w:t xml:space="preserve"> with </w:t>
            </w:r>
            <w:r w:rsidRPr="005A1872">
              <w:rPr>
                <w:rFonts w:ascii="Arial" w:eastAsia="Calibri" w:hAnsi="Arial" w:cs="Arial"/>
                <w:color w:val="000000"/>
                <w:sz w:val="20"/>
                <w:szCs w:val="24"/>
              </w:rPr>
              <w:t>a geosynthetic cap cover system.</w:t>
            </w:r>
            <w:r>
              <w:rPr>
                <w:rFonts w:ascii="Arial" w:eastAsia="Calibri" w:hAnsi="Arial" w:cs="Arial"/>
                <w:color w:val="000000"/>
                <w:sz w:val="20"/>
                <w:szCs w:val="24"/>
              </w:rPr>
              <w:t xml:space="preserve"> </w:t>
            </w:r>
            <w:r w:rsidRPr="008F515C">
              <w:rPr>
                <w:rFonts w:ascii="Arial" w:eastAsia="Calibri" w:hAnsi="Arial" w:cs="Arial"/>
                <w:color w:val="000000"/>
                <w:sz w:val="20"/>
                <w:szCs w:val="24"/>
              </w:rPr>
              <w:t xml:space="preserve">Advanced Engineering methods are being implemented.  </w:t>
            </w:r>
          </w:p>
        </w:tc>
      </w:tr>
      <w:tr w:rsidR="004929F9" w:rsidRPr="005A1872" w14:paraId="1E4FB714" w14:textId="77777777" w:rsidTr="003912BA">
        <w:trPr>
          <w:trHeight w:val="620"/>
        </w:trPr>
        <w:tc>
          <w:tcPr>
            <w:tcW w:w="1406" w:type="dxa"/>
            <w:shd w:val="clear" w:color="auto" w:fill="F2F2F2" w:themeFill="background1" w:themeFillShade="F2"/>
            <w:vAlign w:val="center"/>
          </w:tcPr>
          <w:p w14:paraId="6E953BAB" w14:textId="5F5A2A76" w:rsidR="004929F9" w:rsidRPr="004929F9"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b/>
                <w:bCs/>
                <w:color w:val="000000"/>
                <w:sz w:val="24"/>
                <w:szCs w:val="24"/>
              </w:rPr>
              <w:t>Plant</w:t>
            </w:r>
          </w:p>
        </w:tc>
        <w:tc>
          <w:tcPr>
            <w:tcW w:w="2723" w:type="dxa"/>
            <w:shd w:val="clear" w:color="auto" w:fill="F2F2F2" w:themeFill="background1" w:themeFillShade="F2"/>
            <w:noWrap/>
            <w:vAlign w:val="center"/>
          </w:tcPr>
          <w:p w14:paraId="6E1EEE6D" w14:textId="33E8D062" w:rsidR="004929F9" w:rsidRPr="004929F9" w:rsidRDefault="004929F9" w:rsidP="004929F9">
            <w:pPr>
              <w:spacing w:after="0" w:line="240" w:lineRule="auto"/>
              <w:jc w:val="center"/>
              <w:rPr>
                <w:rFonts w:ascii="Arial" w:eastAsia="Calibri" w:hAnsi="Arial" w:cs="Arial"/>
                <w:color w:val="000000"/>
                <w:sz w:val="20"/>
                <w:szCs w:val="20"/>
              </w:rPr>
            </w:pPr>
            <w:r w:rsidRPr="005A1872">
              <w:rPr>
                <w:rFonts w:ascii="Arial" w:eastAsia="Calibri" w:hAnsi="Arial" w:cs="Arial"/>
                <w:b/>
                <w:bCs/>
                <w:color w:val="000000"/>
                <w:sz w:val="24"/>
                <w:szCs w:val="24"/>
              </w:rPr>
              <w:t>Impoundment</w:t>
            </w:r>
            <w:r w:rsidR="006F20B7">
              <w:rPr>
                <w:rFonts w:ascii="Arial" w:eastAsia="Calibri" w:hAnsi="Arial" w:cs="Arial"/>
                <w:b/>
                <w:bCs/>
                <w:color w:val="000000"/>
                <w:sz w:val="24"/>
                <w:szCs w:val="24"/>
              </w:rPr>
              <w:t>/Landfill</w:t>
            </w:r>
          </w:p>
        </w:tc>
        <w:tc>
          <w:tcPr>
            <w:tcW w:w="2137" w:type="dxa"/>
            <w:shd w:val="clear" w:color="auto" w:fill="F2F2F2" w:themeFill="background1" w:themeFillShade="F2"/>
            <w:vAlign w:val="center"/>
          </w:tcPr>
          <w:p w14:paraId="33ADCD99" w14:textId="453BD0E5" w:rsidR="004929F9" w:rsidRPr="004929F9" w:rsidRDefault="004929F9" w:rsidP="004929F9">
            <w:pPr>
              <w:spacing w:after="0" w:line="240" w:lineRule="auto"/>
              <w:jc w:val="center"/>
              <w:rPr>
                <w:rFonts w:ascii="Arial" w:hAnsi="Arial" w:cs="Arial"/>
                <w:sz w:val="20"/>
                <w:szCs w:val="20"/>
              </w:rPr>
            </w:pPr>
            <w:r w:rsidRPr="005A1872">
              <w:rPr>
                <w:rFonts w:ascii="Arial" w:eastAsia="Calibri" w:hAnsi="Arial" w:cs="Arial"/>
                <w:b/>
                <w:bCs/>
                <w:color w:val="000000"/>
                <w:sz w:val="24"/>
                <w:szCs w:val="24"/>
              </w:rPr>
              <w:t>Closure Method</w:t>
            </w:r>
          </w:p>
        </w:tc>
        <w:tc>
          <w:tcPr>
            <w:tcW w:w="6599" w:type="dxa"/>
            <w:shd w:val="clear" w:color="auto" w:fill="F2F2F2" w:themeFill="background1" w:themeFillShade="F2"/>
            <w:vAlign w:val="center"/>
          </w:tcPr>
          <w:p w14:paraId="2DB5461E" w14:textId="22C9C6CC" w:rsidR="004929F9" w:rsidRPr="004929F9" w:rsidRDefault="004929F9" w:rsidP="004929F9">
            <w:pPr>
              <w:spacing w:after="0" w:line="240" w:lineRule="auto"/>
              <w:jc w:val="center"/>
              <w:rPr>
                <w:rFonts w:ascii="Arial" w:eastAsia="Calibri" w:hAnsi="Arial" w:cs="Arial"/>
                <w:color w:val="000000"/>
                <w:sz w:val="20"/>
                <w:szCs w:val="24"/>
              </w:rPr>
            </w:pPr>
            <w:r w:rsidRPr="005A1872">
              <w:rPr>
                <w:rFonts w:ascii="Arial" w:eastAsia="Calibri" w:hAnsi="Arial" w:cs="Arial"/>
                <w:b/>
                <w:bCs/>
                <w:color w:val="000000"/>
                <w:sz w:val="24"/>
                <w:szCs w:val="24"/>
              </w:rPr>
              <w:t>Description</w:t>
            </w:r>
          </w:p>
        </w:tc>
      </w:tr>
      <w:tr w:rsidR="004929F9" w:rsidRPr="005A1872" w14:paraId="2222688F" w14:textId="77777777" w:rsidTr="003912BA">
        <w:trPr>
          <w:trHeight w:val="620"/>
        </w:trPr>
        <w:tc>
          <w:tcPr>
            <w:tcW w:w="1406" w:type="dxa"/>
            <w:vAlign w:val="center"/>
            <w:hideMark/>
          </w:tcPr>
          <w:p w14:paraId="5AC1F155"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McIntosh</w:t>
            </w:r>
          </w:p>
        </w:tc>
        <w:tc>
          <w:tcPr>
            <w:tcW w:w="2723" w:type="dxa"/>
            <w:noWrap/>
            <w:vAlign w:val="center"/>
            <w:hideMark/>
          </w:tcPr>
          <w:p w14:paraId="5D542D75"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w:t>
            </w:r>
          </w:p>
        </w:tc>
        <w:tc>
          <w:tcPr>
            <w:tcW w:w="2137" w:type="dxa"/>
            <w:vAlign w:val="center"/>
            <w:hideMark/>
          </w:tcPr>
          <w:p w14:paraId="0160CAB5" w14:textId="45A8A5C0" w:rsidR="004929F9" w:rsidRPr="004929F9" w:rsidRDefault="00876581" w:rsidP="004929F9">
            <w:pPr>
              <w:spacing w:after="0" w:line="240" w:lineRule="auto"/>
              <w:jc w:val="center"/>
              <w:rPr>
                <w:rFonts w:ascii="Arial" w:hAnsi="Arial" w:cs="Arial"/>
                <w:sz w:val="20"/>
                <w:szCs w:val="20"/>
              </w:rPr>
            </w:pPr>
            <w:r w:rsidRPr="004929F9">
              <w:rPr>
                <w:rFonts w:ascii="Arial" w:eastAsia="Calibri" w:hAnsi="Arial" w:cs="Arial"/>
                <w:color w:val="000000"/>
                <w:sz w:val="20"/>
                <w:szCs w:val="20"/>
              </w:rPr>
              <w:t>Closure by Removal to Permitted LF</w:t>
            </w:r>
          </w:p>
        </w:tc>
        <w:tc>
          <w:tcPr>
            <w:tcW w:w="6599" w:type="dxa"/>
            <w:vAlign w:val="center"/>
            <w:hideMark/>
          </w:tcPr>
          <w:p w14:paraId="794D3620" w14:textId="6AB268D1"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AP-1 will be closed by removal to a permitted on-site landfill. Site restoration will be completed following CCR removal.</w:t>
            </w:r>
          </w:p>
        </w:tc>
      </w:tr>
      <w:tr w:rsidR="004929F9" w:rsidRPr="005A1872" w14:paraId="2CFEBBB0" w14:textId="77777777" w:rsidTr="003912BA">
        <w:trPr>
          <w:trHeight w:val="530"/>
        </w:trPr>
        <w:tc>
          <w:tcPr>
            <w:tcW w:w="1406" w:type="dxa"/>
            <w:vAlign w:val="center"/>
            <w:hideMark/>
          </w:tcPr>
          <w:p w14:paraId="1D11E96D"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McIntosh</w:t>
            </w:r>
          </w:p>
        </w:tc>
        <w:tc>
          <w:tcPr>
            <w:tcW w:w="2723" w:type="dxa"/>
            <w:noWrap/>
            <w:vAlign w:val="center"/>
            <w:hideMark/>
          </w:tcPr>
          <w:p w14:paraId="5334CC45"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LF3</w:t>
            </w:r>
          </w:p>
        </w:tc>
        <w:tc>
          <w:tcPr>
            <w:tcW w:w="2137" w:type="dxa"/>
            <w:noWrap/>
            <w:vAlign w:val="center"/>
            <w:hideMark/>
          </w:tcPr>
          <w:p w14:paraId="2B8D4C75" w14:textId="291D590B"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Closed in Place LF</w:t>
            </w:r>
          </w:p>
        </w:tc>
        <w:tc>
          <w:tcPr>
            <w:tcW w:w="6599" w:type="dxa"/>
            <w:vAlign w:val="center"/>
            <w:hideMark/>
          </w:tcPr>
          <w:p w14:paraId="66BAF2BA" w14:textId="6F902F48"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eastAsia="Calibri" w:hAnsi="Arial" w:cs="Arial"/>
                <w:color w:val="000000"/>
                <w:sz w:val="20"/>
                <w:szCs w:val="24"/>
              </w:rPr>
              <w:t>This landfill was closed in 2008 and is in post-closure care. When issued, LF-3 will comply with EPD requirements defined in its permit.</w:t>
            </w:r>
          </w:p>
        </w:tc>
      </w:tr>
      <w:tr w:rsidR="004929F9" w:rsidRPr="005A1872" w14:paraId="60E506F9" w14:textId="77777777" w:rsidTr="003912BA">
        <w:trPr>
          <w:trHeight w:val="845"/>
        </w:trPr>
        <w:tc>
          <w:tcPr>
            <w:tcW w:w="1406" w:type="dxa"/>
            <w:vAlign w:val="center"/>
            <w:hideMark/>
          </w:tcPr>
          <w:p w14:paraId="43731AEA"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McIntosh</w:t>
            </w:r>
          </w:p>
        </w:tc>
        <w:tc>
          <w:tcPr>
            <w:tcW w:w="2723" w:type="dxa"/>
            <w:noWrap/>
            <w:vAlign w:val="center"/>
            <w:hideMark/>
          </w:tcPr>
          <w:p w14:paraId="31DC63E4"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LF4</w:t>
            </w:r>
          </w:p>
        </w:tc>
        <w:tc>
          <w:tcPr>
            <w:tcW w:w="2137" w:type="dxa"/>
            <w:noWrap/>
            <w:vAlign w:val="center"/>
            <w:hideMark/>
          </w:tcPr>
          <w:p w14:paraId="6EF0F658" w14:textId="2548FCA8"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Active LF</w:t>
            </w:r>
            <w:r w:rsidRPr="004929F9">
              <w:rPr>
                <w:rFonts w:ascii="Arial" w:hAnsi="Arial" w:cs="Arial"/>
              </w:rPr>
              <w:t xml:space="preserve"> </w:t>
            </w:r>
            <w:r w:rsidRPr="004929F9">
              <w:rPr>
                <w:rFonts w:ascii="Arial" w:eastAsia="Calibri" w:hAnsi="Arial" w:cs="Arial"/>
                <w:color w:val="000000"/>
                <w:sz w:val="20"/>
                <w:szCs w:val="20"/>
              </w:rPr>
              <w:t>/Closure in Place</w:t>
            </w:r>
          </w:p>
        </w:tc>
        <w:tc>
          <w:tcPr>
            <w:tcW w:w="6599" w:type="dxa"/>
            <w:vAlign w:val="center"/>
            <w:hideMark/>
          </w:tcPr>
          <w:p w14:paraId="2D2789FA" w14:textId="6D9DD0F8" w:rsidR="004929F9" w:rsidRPr="004929F9" w:rsidRDefault="004929F9" w:rsidP="004929F9">
            <w:pPr>
              <w:spacing w:after="0" w:line="240" w:lineRule="auto"/>
              <w:jc w:val="center"/>
              <w:rPr>
                <w:rFonts w:ascii="Arial" w:eastAsia="Calibri" w:hAnsi="Arial" w:cs="Arial"/>
                <w:color w:val="000000"/>
                <w:sz w:val="20"/>
                <w:szCs w:val="24"/>
              </w:rPr>
            </w:pPr>
            <w:r w:rsidRPr="004929F9">
              <w:rPr>
                <w:rFonts w:ascii="Arial" w:hAnsi="Arial" w:cs="Arial"/>
                <w:color w:val="000000"/>
                <w:sz w:val="20"/>
                <w:szCs w:val="20"/>
              </w:rPr>
              <w:t xml:space="preserve">LF4 will be closed in place according to the permit issued from the EPD. LF4 considers closure when permitted capacity is reached or </w:t>
            </w:r>
            <w:r w:rsidRPr="004929F9">
              <w:rPr>
                <w:rFonts w:ascii="Arial" w:eastAsia="Calibri" w:hAnsi="Arial" w:cs="Arial"/>
                <w:color w:val="000000"/>
                <w:sz w:val="20"/>
                <w:szCs w:val="24"/>
              </w:rPr>
              <w:t>when CCR disposal is no longer needed</w:t>
            </w:r>
            <w:r w:rsidRPr="004929F9">
              <w:rPr>
                <w:rFonts w:ascii="Arial" w:hAnsi="Arial" w:cs="Arial"/>
                <w:color w:val="000000"/>
                <w:sz w:val="20"/>
                <w:szCs w:val="20"/>
              </w:rPr>
              <w:t>.</w:t>
            </w:r>
          </w:p>
        </w:tc>
      </w:tr>
      <w:tr w:rsidR="004929F9" w:rsidRPr="005A1872" w14:paraId="00EBE4E1" w14:textId="77777777" w:rsidTr="003912BA">
        <w:tblPrEx>
          <w:jc w:val="center"/>
        </w:tblPrEx>
        <w:trPr>
          <w:trHeight w:val="557"/>
          <w:jc w:val="center"/>
        </w:trPr>
        <w:tc>
          <w:tcPr>
            <w:tcW w:w="1406" w:type="dxa"/>
            <w:vAlign w:val="center"/>
            <w:hideMark/>
          </w:tcPr>
          <w:p w14:paraId="4D495F6A" w14:textId="3729DE04"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hAnsi="Arial" w:cs="Arial"/>
              </w:rPr>
              <w:br w:type="page"/>
            </w:r>
            <w:r w:rsidRPr="004929F9">
              <w:rPr>
                <w:rFonts w:ascii="Arial" w:eastAsia="Calibri" w:hAnsi="Arial" w:cs="Arial"/>
                <w:color w:val="000000"/>
                <w:sz w:val="20"/>
                <w:szCs w:val="20"/>
              </w:rPr>
              <w:t>Mitchell</w:t>
            </w:r>
          </w:p>
        </w:tc>
        <w:tc>
          <w:tcPr>
            <w:tcW w:w="2723" w:type="dxa"/>
            <w:noWrap/>
            <w:vAlign w:val="center"/>
            <w:hideMark/>
          </w:tcPr>
          <w:p w14:paraId="12DE4100" w14:textId="7859FA7D"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AP-A, 1, 2</w:t>
            </w:r>
          </w:p>
        </w:tc>
        <w:tc>
          <w:tcPr>
            <w:tcW w:w="2137" w:type="dxa"/>
            <w:vAlign w:val="center"/>
            <w:hideMark/>
          </w:tcPr>
          <w:p w14:paraId="73704828" w14:textId="33BABF05"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 xml:space="preserve">Closure by Removal to Permitted LF </w:t>
            </w:r>
          </w:p>
        </w:tc>
        <w:tc>
          <w:tcPr>
            <w:tcW w:w="6599" w:type="dxa"/>
            <w:vAlign w:val="center"/>
            <w:hideMark/>
          </w:tcPr>
          <w:p w14:paraId="358D1859" w14:textId="230AF779"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hAnsi="Arial" w:cs="Arial"/>
                <w:color w:val="000000"/>
                <w:sz w:val="20"/>
                <w:szCs w:val="20"/>
              </w:rPr>
              <w:t>AP- A, 1, and 2 will be closed by removal of the CCR to an off-site permitted landfill. After CCR removal, the site will be restored.</w:t>
            </w:r>
          </w:p>
        </w:tc>
      </w:tr>
      <w:tr w:rsidR="004929F9" w:rsidRPr="005A1872" w14:paraId="60CD228E" w14:textId="77777777" w:rsidTr="003912BA">
        <w:tblPrEx>
          <w:jc w:val="center"/>
        </w:tblPrEx>
        <w:trPr>
          <w:trHeight w:val="503"/>
          <w:jc w:val="center"/>
        </w:trPr>
        <w:tc>
          <w:tcPr>
            <w:tcW w:w="1406" w:type="dxa"/>
            <w:vAlign w:val="center"/>
            <w:hideMark/>
          </w:tcPr>
          <w:p w14:paraId="6D9234DB" w14:textId="1C41DE26"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hAnsi="Arial" w:cs="Arial"/>
              </w:rPr>
              <w:br w:type="page"/>
            </w:r>
            <w:r w:rsidRPr="004929F9">
              <w:rPr>
                <w:rFonts w:ascii="Arial" w:eastAsia="Calibri" w:hAnsi="Arial" w:cs="Arial"/>
                <w:color w:val="000000"/>
                <w:sz w:val="20"/>
                <w:szCs w:val="20"/>
              </w:rPr>
              <w:t>McManus</w:t>
            </w:r>
          </w:p>
        </w:tc>
        <w:tc>
          <w:tcPr>
            <w:tcW w:w="2723" w:type="dxa"/>
            <w:noWrap/>
            <w:vAlign w:val="center"/>
            <w:hideMark/>
          </w:tcPr>
          <w:p w14:paraId="1D02A714" w14:textId="5786D863"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w:t>
            </w:r>
          </w:p>
        </w:tc>
        <w:tc>
          <w:tcPr>
            <w:tcW w:w="2137" w:type="dxa"/>
            <w:noWrap/>
            <w:vAlign w:val="center"/>
            <w:hideMark/>
          </w:tcPr>
          <w:p w14:paraId="09D064F0"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Closure by Removal to Permitted LF</w:t>
            </w:r>
          </w:p>
        </w:tc>
        <w:tc>
          <w:tcPr>
            <w:tcW w:w="6599" w:type="dxa"/>
            <w:vAlign w:val="center"/>
            <w:hideMark/>
          </w:tcPr>
          <w:p w14:paraId="1ABD0748" w14:textId="70BA236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hAnsi="Arial" w:cs="Arial"/>
                <w:color w:val="000000"/>
                <w:sz w:val="20"/>
                <w:szCs w:val="20"/>
              </w:rPr>
              <w:t>AP-1 is being closed by removal to an off-site permitted landfill. The site will be restored following CCR removal.</w:t>
            </w:r>
          </w:p>
        </w:tc>
      </w:tr>
      <w:tr w:rsidR="004929F9" w:rsidRPr="005A1872" w14:paraId="67D6589C" w14:textId="77777777" w:rsidTr="003912BA">
        <w:tblPrEx>
          <w:jc w:val="center"/>
        </w:tblPrEx>
        <w:trPr>
          <w:trHeight w:val="1025"/>
          <w:jc w:val="center"/>
        </w:trPr>
        <w:tc>
          <w:tcPr>
            <w:tcW w:w="1406" w:type="dxa"/>
            <w:vAlign w:val="center"/>
            <w:hideMark/>
          </w:tcPr>
          <w:p w14:paraId="38B393C7"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Scherer</w:t>
            </w:r>
          </w:p>
        </w:tc>
        <w:tc>
          <w:tcPr>
            <w:tcW w:w="2723" w:type="dxa"/>
            <w:noWrap/>
            <w:vAlign w:val="center"/>
            <w:hideMark/>
          </w:tcPr>
          <w:p w14:paraId="5C390C3D" w14:textId="67EBD595"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w:t>
            </w:r>
          </w:p>
        </w:tc>
        <w:tc>
          <w:tcPr>
            <w:tcW w:w="2137" w:type="dxa"/>
            <w:noWrap/>
            <w:vAlign w:val="center"/>
            <w:hideMark/>
          </w:tcPr>
          <w:p w14:paraId="13975CED" w14:textId="5DDED1DF"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Advanced Closure In Place</w:t>
            </w:r>
          </w:p>
        </w:tc>
        <w:tc>
          <w:tcPr>
            <w:tcW w:w="6599" w:type="dxa"/>
            <w:vAlign w:val="center"/>
            <w:hideMark/>
          </w:tcPr>
          <w:p w14:paraId="30D49EA1" w14:textId="377C78AF"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 will be closed in place with an engineered cap-cover system and by consolidating the CCR within the 550-acre ash pond to a smaller 330-acre footprint. Advanced engineering methods are being evaluated and will be incorporated in the closure.</w:t>
            </w:r>
          </w:p>
        </w:tc>
      </w:tr>
      <w:tr w:rsidR="004929F9" w:rsidRPr="005A1872" w14:paraId="1983E769" w14:textId="77777777" w:rsidTr="003912BA">
        <w:tblPrEx>
          <w:jc w:val="center"/>
        </w:tblPrEx>
        <w:trPr>
          <w:trHeight w:val="809"/>
          <w:jc w:val="center"/>
        </w:trPr>
        <w:tc>
          <w:tcPr>
            <w:tcW w:w="1406" w:type="dxa"/>
            <w:vAlign w:val="center"/>
            <w:hideMark/>
          </w:tcPr>
          <w:p w14:paraId="25123583"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Scherer</w:t>
            </w:r>
          </w:p>
        </w:tc>
        <w:tc>
          <w:tcPr>
            <w:tcW w:w="2723" w:type="dxa"/>
            <w:noWrap/>
            <w:vAlign w:val="center"/>
            <w:hideMark/>
          </w:tcPr>
          <w:p w14:paraId="469B9817"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LF</w:t>
            </w:r>
          </w:p>
        </w:tc>
        <w:tc>
          <w:tcPr>
            <w:tcW w:w="2137" w:type="dxa"/>
            <w:noWrap/>
            <w:vAlign w:val="center"/>
            <w:hideMark/>
          </w:tcPr>
          <w:p w14:paraId="5A26785B" w14:textId="286C3364"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Active LF</w:t>
            </w:r>
            <w:r w:rsidRPr="004929F9">
              <w:rPr>
                <w:rFonts w:ascii="Arial" w:hAnsi="Arial" w:cs="Arial"/>
              </w:rPr>
              <w:t xml:space="preserve"> </w:t>
            </w:r>
            <w:r w:rsidRPr="004929F9">
              <w:rPr>
                <w:rFonts w:ascii="Arial" w:eastAsia="Calibri" w:hAnsi="Arial" w:cs="Arial"/>
                <w:color w:val="000000"/>
                <w:sz w:val="20"/>
                <w:szCs w:val="20"/>
              </w:rPr>
              <w:t>/Closure in Place</w:t>
            </w:r>
          </w:p>
        </w:tc>
        <w:tc>
          <w:tcPr>
            <w:tcW w:w="6599" w:type="dxa"/>
            <w:vAlign w:val="center"/>
            <w:hideMark/>
          </w:tcPr>
          <w:p w14:paraId="10E41846" w14:textId="71EB7D8E"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hAnsi="Arial" w:cs="Arial"/>
                <w:color w:val="000000"/>
                <w:sz w:val="20"/>
                <w:szCs w:val="20"/>
              </w:rPr>
              <w:t xml:space="preserve">The landfill will be closed in place according to the permit issued from the EPD. The landfill considers closure when permitted capacity is reached </w:t>
            </w:r>
            <w:r w:rsidRPr="004929F9">
              <w:rPr>
                <w:rFonts w:ascii="Arial" w:eastAsia="Calibri" w:hAnsi="Arial" w:cs="Arial"/>
                <w:color w:val="000000"/>
                <w:sz w:val="20"/>
                <w:szCs w:val="24"/>
              </w:rPr>
              <w:t>or when CCR disposal is no longer needed</w:t>
            </w:r>
            <w:r w:rsidRPr="004929F9">
              <w:rPr>
                <w:rFonts w:ascii="Arial" w:hAnsi="Arial" w:cs="Arial"/>
                <w:color w:val="000000"/>
                <w:sz w:val="20"/>
                <w:szCs w:val="20"/>
              </w:rPr>
              <w:t>.</w:t>
            </w:r>
          </w:p>
        </w:tc>
      </w:tr>
      <w:tr w:rsidR="004929F9" w:rsidRPr="005A1872" w14:paraId="5781037E" w14:textId="77777777" w:rsidTr="003912BA">
        <w:tblPrEx>
          <w:jc w:val="center"/>
        </w:tblPrEx>
        <w:trPr>
          <w:trHeight w:val="1277"/>
          <w:jc w:val="center"/>
        </w:trPr>
        <w:tc>
          <w:tcPr>
            <w:tcW w:w="1406" w:type="dxa"/>
            <w:vAlign w:val="center"/>
            <w:hideMark/>
          </w:tcPr>
          <w:p w14:paraId="74516089" w14:textId="77777777"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Wansley</w:t>
            </w:r>
          </w:p>
        </w:tc>
        <w:tc>
          <w:tcPr>
            <w:tcW w:w="2723" w:type="dxa"/>
            <w:noWrap/>
            <w:vAlign w:val="center"/>
            <w:hideMark/>
          </w:tcPr>
          <w:p w14:paraId="70F16D37" w14:textId="187FC565"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AP-1</w:t>
            </w:r>
          </w:p>
        </w:tc>
        <w:tc>
          <w:tcPr>
            <w:tcW w:w="2137" w:type="dxa"/>
            <w:noWrap/>
            <w:vAlign w:val="center"/>
            <w:hideMark/>
          </w:tcPr>
          <w:p w14:paraId="78F7C426" w14:textId="630C5063"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Advanced Closure In Place</w:t>
            </w:r>
          </w:p>
        </w:tc>
        <w:tc>
          <w:tcPr>
            <w:tcW w:w="6599" w:type="dxa"/>
            <w:vAlign w:val="center"/>
            <w:hideMark/>
          </w:tcPr>
          <w:p w14:paraId="542CD8AB" w14:textId="4708F781"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hAnsi="Arial" w:cs="Arial"/>
                <w:color w:val="000000"/>
                <w:sz w:val="20"/>
                <w:szCs w:val="20"/>
              </w:rPr>
              <w:t xml:space="preserve">AP-1 will be consolidated into a smaller footprint and closed in place with an geosynthetic cap cover system. The footprint of the pond will be reduced from 343 acres to 138 acres. Advanced engineering methods </w:t>
            </w:r>
            <w:r w:rsidR="00A03424">
              <w:rPr>
                <w:rFonts w:ascii="Arial" w:hAnsi="Arial" w:cs="Arial"/>
                <w:color w:val="000000"/>
                <w:sz w:val="20"/>
                <w:szCs w:val="20"/>
              </w:rPr>
              <w:t xml:space="preserve">are being evaluated and </w:t>
            </w:r>
            <w:r w:rsidRPr="004929F9">
              <w:rPr>
                <w:rFonts w:ascii="Arial" w:hAnsi="Arial" w:cs="Arial"/>
                <w:color w:val="000000"/>
                <w:sz w:val="20"/>
                <w:szCs w:val="20"/>
              </w:rPr>
              <w:t>will be implemented in the closure.</w:t>
            </w:r>
          </w:p>
        </w:tc>
      </w:tr>
      <w:tr w:rsidR="004929F9" w:rsidRPr="005A1872" w14:paraId="33640FC1" w14:textId="77777777" w:rsidTr="003912BA">
        <w:tblPrEx>
          <w:jc w:val="center"/>
        </w:tblPrEx>
        <w:trPr>
          <w:trHeight w:val="836"/>
          <w:jc w:val="center"/>
        </w:trPr>
        <w:tc>
          <w:tcPr>
            <w:tcW w:w="1406" w:type="dxa"/>
            <w:vAlign w:val="center"/>
          </w:tcPr>
          <w:p w14:paraId="082D3C53" w14:textId="708F82E4"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Wansley</w:t>
            </w:r>
          </w:p>
        </w:tc>
        <w:tc>
          <w:tcPr>
            <w:tcW w:w="2723" w:type="dxa"/>
            <w:noWrap/>
            <w:vAlign w:val="center"/>
          </w:tcPr>
          <w:p w14:paraId="4A6FFAB8" w14:textId="4C9D573E"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LF</w:t>
            </w:r>
          </w:p>
        </w:tc>
        <w:tc>
          <w:tcPr>
            <w:tcW w:w="2137" w:type="dxa"/>
            <w:noWrap/>
            <w:vAlign w:val="center"/>
          </w:tcPr>
          <w:p w14:paraId="44F23205" w14:textId="4B28CD73" w:rsidR="004929F9" w:rsidRPr="004929F9" w:rsidRDefault="004929F9" w:rsidP="004929F9">
            <w:pPr>
              <w:spacing w:after="0" w:line="240" w:lineRule="auto"/>
              <w:jc w:val="center"/>
              <w:rPr>
                <w:rFonts w:ascii="Arial" w:eastAsia="Calibri" w:hAnsi="Arial" w:cs="Arial"/>
                <w:color w:val="000000"/>
                <w:sz w:val="20"/>
                <w:szCs w:val="20"/>
              </w:rPr>
            </w:pPr>
            <w:r w:rsidRPr="004929F9">
              <w:rPr>
                <w:rFonts w:ascii="Arial" w:eastAsia="Calibri" w:hAnsi="Arial" w:cs="Arial"/>
                <w:color w:val="000000"/>
                <w:sz w:val="20"/>
                <w:szCs w:val="20"/>
              </w:rPr>
              <w:t>Active LF</w:t>
            </w:r>
            <w:r w:rsidRPr="004929F9">
              <w:rPr>
                <w:rFonts w:ascii="Arial" w:hAnsi="Arial" w:cs="Arial"/>
              </w:rPr>
              <w:t xml:space="preserve"> </w:t>
            </w:r>
            <w:r w:rsidRPr="004929F9">
              <w:rPr>
                <w:rFonts w:ascii="Arial" w:eastAsia="Calibri" w:hAnsi="Arial" w:cs="Arial"/>
                <w:color w:val="000000"/>
                <w:sz w:val="20"/>
                <w:szCs w:val="20"/>
              </w:rPr>
              <w:t>/Closure in Place</w:t>
            </w:r>
          </w:p>
        </w:tc>
        <w:tc>
          <w:tcPr>
            <w:tcW w:w="6599" w:type="dxa"/>
            <w:vAlign w:val="center"/>
          </w:tcPr>
          <w:p w14:paraId="1A75C71B" w14:textId="1980286D" w:rsidR="004929F9" w:rsidRPr="004929F9" w:rsidRDefault="004929F9" w:rsidP="004929F9">
            <w:pPr>
              <w:spacing w:after="0" w:line="240" w:lineRule="auto"/>
              <w:jc w:val="center"/>
              <w:rPr>
                <w:rFonts w:ascii="Arial" w:hAnsi="Arial" w:cs="Arial"/>
                <w:color w:val="000000"/>
                <w:sz w:val="20"/>
                <w:szCs w:val="20"/>
              </w:rPr>
            </w:pPr>
            <w:r w:rsidRPr="004929F9">
              <w:rPr>
                <w:rFonts w:ascii="Arial" w:hAnsi="Arial" w:cs="Arial"/>
                <w:color w:val="000000"/>
                <w:sz w:val="20"/>
                <w:szCs w:val="20"/>
              </w:rPr>
              <w:t xml:space="preserve">This landfill will be closed in place according to the permit issued from the EPD. The landfill considers closure when permitted capacity is reached or </w:t>
            </w:r>
            <w:r w:rsidRPr="004929F9">
              <w:rPr>
                <w:rFonts w:ascii="Arial" w:eastAsia="Calibri" w:hAnsi="Arial" w:cs="Arial"/>
                <w:color w:val="000000"/>
                <w:sz w:val="20"/>
                <w:szCs w:val="24"/>
              </w:rPr>
              <w:t>when CCR disposal is no longer needed</w:t>
            </w:r>
            <w:r w:rsidRPr="004929F9">
              <w:rPr>
                <w:rFonts w:ascii="Arial" w:hAnsi="Arial" w:cs="Arial"/>
                <w:color w:val="000000"/>
                <w:sz w:val="20"/>
                <w:szCs w:val="20"/>
              </w:rPr>
              <w:t>.</w:t>
            </w:r>
          </w:p>
        </w:tc>
      </w:tr>
    </w:tbl>
    <w:p w14:paraId="6B74E7B1" w14:textId="77777777" w:rsidR="003912BA" w:rsidRDefault="003912BA">
      <w:r>
        <w:br w:type="page"/>
      </w:r>
    </w:p>
    <w:tbl>
      <w:tblPr>
        <w:tblStyle w:val="TableGrid"/>
        <w:tblW w:w="12865" w:type="dxa"/>
        <w:jc w:val="center"/>
        <w:tblLook w:val="04A0" w:firstRow="1" w:lastRow="0" w:firstColumn="1" w:lastColumn="0" w:noHBand="0" w:noVBand="1"/>
      </w:tblPr>
      <w:tblGrid>
        <w:gridCol w:w="1406"/>
        <w:gridCol w:w="2723"/>
        <w:gridCol w:w="2137"/>
        <w:gridCol w:w="6599"/>
      </w:tblGrid>
      <w:tr w:rsidR="000905E6" w:rsidRPr="005A1872" w14:paraId="71951EB3" w14:textId="77777777" w:rsidTr="003912BA">
        <w:trPr>
          <w:trHeight w:val="656"/>
          <w:jc w:val="center"/>
        </w:trPr>
        <w:tc>
          <w:tcPr>
            <w:tcW w:w="1406" w:type="dxa"/>
            <w:shd w:val="clear" w:color="auto" w:fill="F2F2F2" w:themeFill="background1" w:themeFillShade="F2"/>
            <w:vAlign w:val="center"/>
          </w:tcPr>
          <w:p w14:paraId="7B39E353" w14:textId="08777FF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b/>
                <w:bCs/>
                <w:color w:val="000000"/>
                <w:sz w:val="24"/>
                <w:szCs w:val="24"/>
              </w:rPr>
              <w:t>Plant</w:t>
            </w:r>
          </w:p>
        </w:tc>
        <w:tc>
          <w:tcPr>
            <w:tcW w:w="2723" w:type="dxa"/>
            <w:shd w:val="clear" w:color="auto" w:fill="F2F2F2" w:themeFill="background1" w:themeFillShade="F2"/>
            <w:noWrap/>
            <w:vAlign w:val="center"/>
          </w:tcPr>
          <w:p w14:paraId="76D2F42A" w14:textId="34E23B7B"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b/>
                <w:bCs/>
                <w:color w:val="000000"/>
                <w:sz w:val="24"/>
                <w:szCs w:val="24"/>
              </w:rPr>
              <w:t>Impoundment</w:t>
            </w:r>
            <w:r w:rsidR="006F20B7">
              <w:rPr>
                <w:rFonts w:ascii="Arial" w:eastAsia="Calibri" w:hAnsi="Arial" w:cs="Arial"/>
                <w:b/>
                <w:bCs/>
                <w:color w:val="000000"/>
                <w:sz w:val="24"/>
                <w:szCs w:val="24"/>
              </w:rPr>
              <w:t>/Landfill</w:t>
            </w:r>
          </w:p>
        </w:tc>
        <w:tc>
          <w:tcPr>
            <w:tcW w:w="2137" w:type="dxa"/>
            <w:shd w:val="clear" w:color="auto" w:fill="F2F2F2" w:themeFill="background1" w:themeFillShade="F2"/>
            <w:noWrap/>
            <w:vAlign w:val="center"/>
          </w:tcPr>
          <w:p w14:paraId="15EDE9C5" w14:textId="5FB6B650" w:rsidR="000905E6" w:rsidRDefault="000905E6" w:rsidP="000905E6">
            <w:pPr>
              <w:spacing w:after="0" w:line="240" w:lineRule="auto"/>
              <w:jc w:val="center"/>
              <w:rPr>
                <w:rFonts w:ascii="Arial" w:eastAsia="Calibri" w:hAnsi="Arial" w:cs="Arial"/>
                <w:color w:val="000000"/>
                <w:sz w:val="20"/>
                <w:szCs w:val="24"/>
              </w:rPr>
            </w:pPr>
            <w:r w:rsidRPr="005A1872">
              <w:rPr>
                <w:rFonts w:ascii="Arial" w:eastAsia="Calibri" w:hAnsi="Arial" w:cs="Arial"/>
                <w:b/>
                <w:bCs/>
                <w:color w:val="000000"/>
                <w:sz w:val="24"/>
                <w:szCs w:val="24"/>
              </w:rPr>
              <w:t>Closure Method</w:t>
            </w:r>
          </w:p>
        </w:tc>
        <w:tc>
          <w:tcPr>
            <w:tcW w:w="6599" w:type="dxa"/>
            <w:shd w:val="clear" w:color="auto" w:fill="F2F2F2" w:themeFill="background1" w:themeFillShade="F2"/>
            <w:vAlign w:val="center"/>
          </w:tcPr>
          <w:p w14:paraId="632DDD71" w14:textId="7F7D0DB3"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b/>
                <w:bCs/>
                <w:color w:val="000000"/>
                <w:sz w:val="24"/>
                <w:szCs w:val="24"/>
              </w:rPr>
              <w:t>Description</w:t>
            </w:r>
          </w:p>
        </w:tc>
      </w:tr>
      <w:tr w:rsidR="000905E6" w:rsidRPr="005A1872" w14:paraId="7F32662B" w14:textId="77777777" w:rsidTr="003912BA">
        <w:trPr>
          <w:trHeight w:val="854"/>
          <w:jc w:val="center"/>
        </w:trPr>
        <w:tc>
          <w:tcPr>
            <w:tcW w:w="1406" w:type="dxa"/>
            <w:vAlign w:val="center"/>
            <w:hideMark/>
          </w:tcPr>
          <w:p w14:paraId="39C82D6A" w14:textId="7777777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Yates</w:t>
            </w:r>
          </w:p>
        </w:tc>
        <w:tc>
          <w:tcPr>
            <w:tcW w:w="2723" w:type="dxa"/>
            <w:noWrap/>
            <w:vAlign w:val="center"/>
            <w:hideMark/>
          </w:tcPr>
          <w:p w14:paraId="4F830097"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AP-1</w:t>
            </w:r>
          </w:p>
        </w:tc>
        <w:tc>
          <w:tcPr>
            <w:tcW w:w="2137" w:type="dxa"/>
            <w:noWrap/>
            <w:vAlign w:val="center"/>
            <w:hideMark/>
          </w:tcPr>
          <w:p w14:paraId="6FBA8CD3" w14:textId="7C1B7CAF"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4"/>
              </w:rPr>
              <w:t>Closure by Removal</w:t>
            </w:r>
            <w:r w:rsidR="00E3327C" w:rsidRPr="00690D7A">
              <w:rPr>
                <w:rFonts w:ascii="Arial" w:eastAsia="Calibri" w:hAnsi="Arial" w:cs="Arial"/>
                <w:color w:val="000000"/>
                <w:sz w:val="20"/>
                <w:szCs w:val="24"/>
              </w:rPr>
              <w:t xml:space="preserve"> &amp; Consolidation</w:t>
            </w:r>
          </w:p>
        </w:tc>
        <w:tc>
          <w:tcPr>
            <w:tcW w:w="6599" w:type="dxa"/>
            <w:vAlign w:val="center"/>
            <w:hideMark/>
          </w:tcPr>
          <w:p w14:paraId="62B9710A" w14:textId="5B203A80" w:rsidR="000905E6" w:rsidRPr="00690D7A" w:rsidRDefault="00E3327C" w:rsidP="000905E6">
            <w:pPr>
              <w:spacing w:after="0" w:line="240" w:lineRule="auto"/>
              <w:jc w:val="center"/>
              <w:rPr>
                <w:rFonts w:ascii="Arial" w:eastAsia="Calibri" w:hAnsi="Arial" w:cs="Arial"/>
                <w:color w:val="000000"/>
                <w:sz w:val="20"/>
                <w:szCs w:val="20"/>
              </w:rPr>
            </w:pPr>
            <w:r w:rsidRPr="00690D7A">
              <w:rPr>
                <w:rFonts w:ascii="Arial" w:hAnsi="Arial" w:cs="Arial"/>
                <w:color w:val="000000"/>
                <w:sz w:val="20"/>
                <w:szCs w:val="20"/>
              </w:rPr>
              <w:t>AP-1 was closed by removal to R6 and AP-B' and AP-3. Removal activities at AP-1 were completed in 2018.  Site restoration activities will be completed and are planned for 2019</w:t>
            </w:r>
            <w:r w:rsidR="006A1AB4" w:rsidRPr="00690D7A">
              <w:rPr>
                <w:rFonts w:ascii="Arial" w:hAnsi="Arial" w:cs="Arial"/>
                <w:color w:val="000000"/>
                <w:sz w:val="20"/>
                <w:szCs w:val="20"/>
              </w:rPr>
              <w:t>.</w:t>
            </w:r>
          </w:p>
        </w:tc>
      </w:tr>
      <w:tr w:rsidR="000905E6" w:rsidRPr="005A1872" w14:paraId="66835ACE" w14:textId="77777777" w:rsidTr="003912BA">
        <w:trPr>
          <w:trHeight w:val="624"/>
          <w:jc w:val="center"/>
        </w:trPr>
        <w:tc>
          <w:tcPr>
            <w:tcW w:w="1406" w:type="dxa"/>
            <w:vAlign w:val="center"/>
            <w:hideMark/>
          </w:tcPr>
          <w:p w14:paraId="4B868225" w14:textId="6EDB129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Yates</w:t>
            </w:r>
          </w:p>
        </w:tc>
        <w:tc>
          <w:tcPr>
            <w:tcW w:w="2723" w:type="dxa"/>
            <w:noWrap/>
            <w:vAlign w:val="center"/>
            <w:hideMark/>
          </w:tcPr>
          <w:p w14:paraId="023BAF78"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AP-2</w:t>
            </w:r>
          </w:p>
        </w:tc>
        <w:tc>
          <w:tcPr>
            <w:tcW w:w="2137" w:type="dxa"/>
            <w:noWrap/>
            <w:vAlign w:val="center"/>
            <w:hideMark/>
          </w:tcPr>
          <w:p w14:paraId="46C742E5" w14:textId="79D31DE9"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4"/>
              </w:rPr>
              <w:t>Closure by Removal</w:t>
            </w:r>
            <w:r w:rsidR="00E3327C" w:rsidRPr="00690D7A">
              <w:rPr>
                <w:rFonts w:ascii="Arial" w:eastAsia="Calibri" w:hAnsi="Arial" w:cs="Arial"/>
                <w:color w:val="000000"/>
                <w:sz w:val="20"/>
                <w:szCs w:val="24"/>
              </w:rPr>
              <w:t xml:space="preserve"> &amp; Consolidation</w:t>
            </w:r>
          </w:p>
        </w:tc>
        <w:tc>
          <w:tcPr>
            <w:tcW w:w="6599" w:type="dxa"/>
            <w:vAlign w:val="center"/>
            <w:hideMark/>
          </w:tcPr>
          <w:p w14:paraId="655E1CCA" w14:textId="5A321A3A" w:rsidR="000905E6" w:rsidRPr="00690D7A" w:rsidRDefault="00E3327C" w:rsidP="000905E6">
            <w:pPr>
              <w:spacing w:after="0" w:line="240" w:lineRule="auto"/>
              <w:jc w:val="center"/>
              <w:rPr>
                <w:rFonts w:ascii="Arial" w:eastAsia="Calibri" w:hAnsi="Arial" w:cs="Arial"/>
                <w:color w:val="000000"/>
                <w:sz w:val="20"/>
                <w:szCs w:val="20"/>
              </w:rPr>
            </w:pPr>
            <w:r w:rsidRPr="00690D7A">
              <w:rPr>
                <w:rFonts w:ascii="Arial" w:hAnsi="Arial" w:cs="Arial"/>
                <w:color w:val="000000"/>
                <w:sz w:val="20"/>
                <w:szCs w:val="20"/>
              </w:rPr>
              <w:t>AP-2 will be closed by removal to AP-B' and AP-3. Site restoration will be completed following CCR removal.</w:t>
            </w:r>
          </w:p>
        </w:tc>
      </w:tr>
      <w:tr w:rsidR="000905E6" w:rsidRPr="005A1872" w14:paraId="1CFAD151" w14:textId="77777777" w:rsidTr="003912BA">
        <w:trPr>
          <w:trHeight w:val="827"/>
          <w:jc w:val="center"/>
        </w:trPr>
        <w:tc>
          <w:tcPr>
            <w:tcW w:w="1406" w:type="dxa"/>
            <w:vAlign w:val="center"/>
            <w:hideMark/>
          </w:tcPr>
          <w:p w14:paraId="583F807A" w14:textId="7777777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Yates</w:t>
            </w:r>
          </w:p>
        </w:tc>
        <w:tc>
          <w:tcPr>
            <w:tcW w:w="2723" w:type="dxa"/>
            <w:noWrap/>
            <w:vAlign w:val="center"/>
            <w:hideMark/>
          </w:tcPr>
          <w:p w14:paraId="1730BAE3"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AP-3</w:t>
            </w:r>
          </w:p>
        </w:tc>
        <w:tc>
          <w:tcPr>
            <w:tcW w:w="2137" w:type="dxa"/>
            <w:noWrap/>
            <w:vAlign w:val="center"/>
            <w:hideMark/>
          </w:tcPr>
          <w:p w14:paraId="437E65E4" w14:textId="55F78860" w:rsidR="000905E6" w:rsidRPr="00690D7A" w:rsidRDefault="00E3327C"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 xml:space="preserve">Advanced </w:t>
            </w:r>
            <w:r w:rsidR="000905E6" w:rsidRPr="00690D7A">
              <w:rPr>
                <w:rFonts w:ascii="Arial" w:eastAsia="Calibri" w:hAnsi="Arial" w:cs="Arial"/>
                <w:color w:val="000000"/>
                <w:sz w:val="20"/>
                <w:szCs w:val="20"/>
              </w:rPr>
              <w:t>Closure In Place</w:t>
            </w:r>
          </w:p>
        </w:tc>
        <w:tc>
          <w:tcPr>
            <w:tcW w:w="6599" w:type="dxa"/>
            <w:vAlign w:val="center"/>
            <w:hideMark/>
          </w:tcPr>
          <w:p w14:paraId="6317A3FB" w14:textId="10A758AE"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 xml:space="preserve">AP-3 is currently being consolidated and will be closed in place </w:t>
            </w:r>
            <w:r w:rsidR="00E3327C" w:rsidRPr="00690D7A">
              <w:rPr>
                <w:rFonts w:ascii="Arial" w:eastAsia="Calibri" w:hAnsi="Arial" w:cs="Arial"/>
                <w:color w:val="000000"/>
                <w:sz w:val="20"/>
                <w:szCs w:val="20"/>
              </w:rPr>
              <w:t xml:space="preserve">with an </w:t>
            </w:r>
            <w:r w:rsidR="00475EC5" w:rsidRPr="00690D7A">
              <w:rPr>
                <w:rFonts w:ascii="Arial" w:eastAsia="Calibri" w:hAnsi="Arial" w:cs="Arial"/>
                <w:color w:val="000000"/>
                <w:sz w:val="20"/>
                <w:szCs w:val="20"/>
              </w:rPr>
              <w:t>engineered cap-</w:t>
            </w:r>
            <w:r w:rsidR="00E3327C" w:rsidRPr="00690D7A">
              <w:rPr>
                <w:rFonts w:ascii="Arial" w:eastAsia="Calibri" w:hAnsi="Arial" w:cs="Arial"/>
                <w:color w:val="000000"/>
                <w:sz w:val="20"/>
                <w:szCs w:val="20"/>
              </w:rPr>
              <w:t>cover system. Advanced engineering methods are being evaluated and will be incorporated in the closure.</w:t>
            </w:r>
          </w:p>
        </w:tc>
      </w:tr>
      <w:tr w:rsidR="000905E6" w:rsidRPr="005A1872" w14:paraId="4B749CFE" w14:textId="77777777" w:rsidTr="003912BA">
        <w:trPr>
          <w:trHeight w:val="850"/>
          <w:jc w:val="center"/>
        </w:trPr>
        <w:tc>
          <w:tcPr>
            <w:tcW w:w="1406" w:type="dxa"/>
            <w:vAlign w:val="center"/>
            <w:hideMark/>
          </w:tcPr>
          <w:p w14:paraId="5D3CD0F0" w14:textId="7777777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Yates</w:t>
            </w:r>
          </w:p>
        </w:tc>
        <w:tc>
          <w:tcPr>
            <w:tcW w:w="2723" w:type="dxa"/>
            <w:noWrap/>
            <w:vAlign w:val="center"/>
            <w:hideMark/>
          </w:tcPr>
          <w:p w14:paraId="01287017"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AP-A</w:t>
            </w:r>
          </w:p>
        </w:tc>
        <w:tc>
          <w:tcPr>
            <w:tcW w:w="2137" w:type="dxa"/>
            <w:noWrap/>
            <w:vAlign w:val="center"/>
            <w:hideMark/>
          </w:tcPr>
          <w:p w14:paraId="0760E139" w14:textId="5DFAC35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4"/>
              </w:rPr>
              <w:t>Closure by Removal</w:t>
            </w:r>
            <w:r w:rsidR="00E3327C" w:rsidRPr="00690D7A">
              <w:rPr>
                <w:rFonts w:ascii="Arial" w:eastAsia="Calibri" w:hAnsi="Arial" w:cs="Arial"/>
                <w:color w:val="000000"/>
                <w:sz w:val="20"/>
                <w:szCs w:val="24"/>
              </w:rPr>
              <w:t xml:space="preserve"> &amp; Consolidation</w:t>
            </w:r>
          </w:p>
        </w:tc>
        <w:tc>
          <w:tcPr>
            <w:tcW w:w="6599" w:type="dxa"/>
            <w:vAlign w:val="center"/>
            <w:hideMark/>
          </w:tcPr>
          <w:p w14:paraId="2AAD0A65" w14:textId="7E7124AD" w:rsidR="000905E6" w:rsidRPr="00690D7A" w:rsidRDefault="00E3327C" w:rsidP="00690D7A">
            <w:pPr>
              <w:spacing w:after="0" w:line="240" w:lineRule="auto"/>
              <w:jc w:val="center"/>
              <w:rPr>
                <w:rFonts w:ascii="Arial" w:eastAsia="Calibri" w:hAnsi="Arial" w:cs="Arial"/>
                <w:color w:val="000000"/>
                <w:sz w:val="20"/>
                <w:szCs w:val="20"/>
              </w:rPr>
            </w:pPr>
            <w:r w:rsidRPr="00690D7A">
              <w:rPr>
                <w:rFonts w:ascii="Arial" w:hAnsi="Arial" w:cs="Arial"/>
                <w:color w:val="000000"/>
                <w:sz w:val="20"/>
                <w:szCs w:val="20"/>
              </w:rPr>
              <w:t>AP-A was closed by removal to AP-B' and AP-3. Removal and restoration activities at AP-A were completed in 2017.</w:t>
            </w:r>
          </w:p>
        </w:tc>
      </w:tr>
      <w:tr w:rsidR="000905E6" w:rsidRPr="005A1872" w14:paraId="17581561" w14:textId="77777777" w:rsidTr="003912BA">
        <w:trPr>
          <w:trHeight w:val="530"/>
          <w:jc w:val="center"/>
        </w:trPr>
        <w:tc>
          <w:tcPr>
            <w:tcW w:w="1406" w:type="dxa"/>
            <w:vAlign w:val="center"/>
            <w:hideMark/>
          </w:tcPr>
          <w:p w14:paraId="53B7ABBA" w14:textId="7777777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Yates</w:t>
            </w:r>
          </w:p>
        </w:tc>
        <w:tc>
          <w:tcPr>
            <w:tcW w:w="2723" w:type="dxa"/>
            <w:noWrap/>
            <w:vAlign w:val="center"/>
            <w:hideMark/>
          </w:tcPr>
          <w:p w14:paraId="4843F2DC"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AP-B</w:t>
            </w:r>
          </w:p>
        </w:tc>
        <w:tc>
          <w:tcPr>
            <w:tcW w:w="2137" w:type="dxa"/>
            <w:noWrap/>
            <w:vAlign w:val="center"/>
            <w:hideMark/>
          </w:tcPr>
          <w:p w14:paraId="71C8B829"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CCR Removal &amp; Consolidation</w:t>
            </w:r>
          </w:p>
        </w:tc>
        <w:tc>
          <w:tcPr>
            <w:tcW w:w="6599" w:type="dxa"/>
            <w:vAlign w:val="center"/>
            <w:hideMark/>
          </w:tcPr>
          <w:p w14:paraId="3C4DFFB8" w14:textId="5598FB6E" w:rsidR="000905E6" w:rsidRPr="00690D7A" w:rsidRDefault="00E3327C" w:rsidP="000905E6">
            <w:pPr>
              <w:spacing w:after="0" w:line="240" w:lineRule="auto"/>
              <w:jc w:val="center"/>
              <w:rPr>
                <w:rFonts w:ascii="Arial" w:eastAsia="Calibri" w:hAnsi="Arial" w:cs="Arial"/>
                <w:color w:val="000000"/>
                <w:sz w:val="20"/>
                <w:szCs w:val="20"/>
              </w:rPr>
            </w:pPr>
            <w:r w:rsidRPr="00690D7A">
              <w:rPr>
                <w:rFonts w:ascii="Arial" w:hAnsi="Arial" w:cs="Arial"/>
                <w:color w:val="000000"/>
                <w:sz w:val="20"/>
                <w:szCs w:val="20"/>
              </w:rPr>
              <w:t>AP-B is currently being closed by removal to AP-B' and AP-3. Site restoration will be completed following CCR removal.</w:t>
            </w:r>
            <w:r w:rsidR="000905E6" w:rsidRPr="00690D7A">
              <w:rPr>
                <w:rFonts w:ascii="Arial" w:eastAsia="Calibri" w:hAnsi="Arial" w:cs="Arial"/>
                <w:color w:val="000000"/>
                <w:sz w:val="20"/>
                <w:szCs w:val="20"/>
              </w:rPr>
              <w:t xml:space="preserve"> </w:t>
            </w:r>
          </w:p>
        </w:tc>
      </w:tr>
      <w:tr w:rsidR="000905E6" w:rsidRPr="005A1872" w14:paraId="3BB4DAE8" w14:textId="77777777" w:rsidTr="003912BA">
        <w:trPr>
          <w:trHeight w:val="800"/>
          <w:jc w:val="center"/>
        </w:trPr>
        <w:tc>
          <w:tcPr>
            <w:tcW w:w="1406" w:type="dxa"/>
            <w:vAlign w:val="center"/>
            <w:hideMark/>
          </w:tcPr>
          <w:p w14:paraId="2938F46B" w14:textId="63B10055" w:rsidR="000905E6" w:rsidRPr="005A1872" w:rsidRDefault="000905E6" w:rsidP="000905E6">
            <w:pPr>
              <w:spacing w:after="0" w:line="240" w:lineRule="auto"/>
              <w:jc w:val="center"/>
              <w:rPr>
                <w:rFonts w:ascii="Arial" w:eastAsia="Calibri" w:hAnsi="Arial" w:cs="Arial"/>
                <w:color w:val="000000"/>
                <w:sz w:val="20"/>
                <w:szCs w:val="20"/>
              </w:rPr>
            </w:pPr>
            <w:r>
              <w:br w:type="page"/>
            </w:r>
            <w:r w:rsidRPr="005A1872">
              <w:rPr>
                <w:rFonts w:ascii="Arial" w:eastAsia="Calibri" w:hAnsi="Arial" w:cs="Arial"/>
                <w:color w:val="000000"/>
                <w:sz w:val="20"/>
                <w:szCs w:val="20"/>
              </w:rPr>
              <w:t>Yates</w:t>
            </w:r>
          </w:p>
        </w:tc>
        <w:tc>
          <w:tcPr>
            <w:tcW w:w="2723" w:type="dxa"/>
            <w:noWrap/>
            <w:vAlign w:val="center"/>
            <w:hideMark/>
          </w:tcPr>
          <w:p w14:paraId="09057FF8"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AB-B'</w:t>
            </w:r>
          </w:p>
        </w:tc>
        <w:tc>
          <w:tcPr>
            <w:tcW w:w="2137" w:type="dxa"/>
            <w:noWrap/>
            <w:vAlign w:val="center"/>
            <w:hideMark/>
          </w:tcPr>
          <w:p w14:paraId="330B116E" w14:textId="10729B75" w:rsidR="000905E6" w:rsidRPr="00690D7A" w:rsidRDefault="00E3327C"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 xml:space="preserve">Advanced </w:t>
            </w:r>
            <w:r w:rsidR="000905E6" w:rsidRPr="00690D7A">
              <w:rPr>
                <w:rFonts w:ascii="Arial" w:eastAsia="Calibri" w:hAnsi="Arial" w:cs="Arial"/>
                <w:color w:val="000000"/>
                <w:sz w:val="20"/>
                <w:szCs w:val="20"/>
              </w:rPr>
              <w:t>Closure In Place</w:t>
            </w:r>
          </w:p>
        </w:tc>
        <w:tc>
          <w:tcPr>
            <w:tcW w:w="6599" w:type="dxa"/>
            <w:vAlign w:val="center"/>
            <w:hideMark/>
          </w:tcPr>
          <w:p w14:paraId="4AA8759D" w14:textId="3FB8F9ED" w:rsidR="000905E6" w:rsidRPr="00690D7A" w:rsidRDefault="00E3327C" w:rsidP="000905E6">
            <w:pPr>
              <w:spacing w:after="0" w:line="240" w:lineRule="auto"/>
              <w:jc w:val="center"/>
              <w:rPr>
                <w:rFonts w:ascii="Arial" w:eastAsia="Calibri" w:hAnsi="Arial" w:cs="Arial"/>
                <w:color w:val="000000"/>
                <w:sz w:val="20"/>
                <w:szCs w:val="20"/>
              </w:rPr>
            </w:pPr>
            <w:r w:rsidRPr="00690D7A">
              <w:rPr>
                <w:rFonts w:ascii="Arial" w:hAnsi="Arial" w:cs="Arial"/>
                <w:color w:val="000000"/>
                <w:sz w:val="20"/>
                <w:szCs w:val="20"/>
              </w:rPr>
              <w:t xml:space="preserve">AP-B’ is being consolidated and will be closed in place  with an </w:t>
            </w:r>
            <w:r w:rsidR="00475EC5" w:rsidRPr="00690D7A">
              <w:rPr>
                <w:rFonts w:ascii="Arial" w:hAnsi="Arial" w:cs="Arial"/>
                <w:color w:val="000000"/>
                <w:sz w:val="20"/>
                <w:szCs w:val="20"/>
              </w:rPr>
              <w:t>engineered cap-</w:t>
            </w:r>
            <w:r w:rsidRPr="00690D7A">
              <w:rPr>
                <w:rFonts w:ascii="Arial" w:hAnsi="Arial" w:cs="Arial"/>
                <w:color w:val="000000"/>
                <w:sz w:val="20"/>
                <w:szCs w:val="20"/>
              </w:rPr>
              <w:t>cover system. Advanced engineering methods are being evaluated and will be incorporated in the closure.</w:t>
            </w:r>
          </w:p>
        </w:tc>
      </w:tr>
      <w:tr w:rsidR="000905E6" w:rsidRPr="005A1872" w14:paraId="12CB4315" w14:textId="77777777" w:rsidTr="003912BA">
        <w:trPr>
          <w:trHeight w:val="473"/>
          <w:jc w:val="center"/>
        </w:trPr>
        <w:tc>
          <w:tcPr>
            <w:tcW w:w="1406" w:type="dxa"/>
            <w:vAlign w:val="center"/>
            <w:hideMark/>
          </w:tcPr>
          <w:p w14:paraId="243ECC13" w14:textId="7777777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Yates</w:t>
            </w:r>
          </w:p>
        </w:tc>
        <w:tc>
          <w:tcPr>
            <w:tcW w:w="2723" w:type="dxa"/>
            <w:noWrap/>
            <w:vAlign w:val="center"/>
            <w:hideMark/>
          </w:tcPr>
          <w:p w14:paraId="1827CDEB"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AP-C</w:t>
            </w:r>
          </w:p>
        </w:tc>
        <w:tc>
          <w:tcPr>
            <w:tcW w:w="2137" w:type="dxa"/>
            <w:noWrap/>
            <w:vAlign w:val="center"/>
            <w:hideMark/>
          </w:tcPr>
          <w:p w14:paraId="4A13821E" w14:textId="7EE95DA5" w:rsidR="000905E6" w:rsidRPr="00690D7A" w:rsidRDefault="006F20B7" w:rsidP="000905E6">
            <w:pPr>
              <w:spacing w:after="0" w:line="240" w:lineRule="auto"/>
              <w:jc w:val="center"/>
              <w:rPr>
                <w:rFonts w:ascii="Arial" w:eastAsia="Calibri" w:hAnsi="Arial" w:cs="Arial"/>
                <w:color w:val="000000"/>
                <w:sz w:val="20"/>
                <w:szCs w:val="20"/>
              </w:rPr>
            </w:pPr>
            <w:r>
              <w:rPr>
                <w:rFonts w:ascii="Arial" w:eastAsia="Calibri" w:hAnsi="Arial" w:cs="Arial"/>
                <w:color w:val="000000"/>
                <w:sz w:val="20"/>
                <w:szCs w:val="20"/>
              </w:rPr>
              <w:t>Inactive LF/</w:t>
            </w:r>
            <w:r w:rsidR="00E3327C" w:rsidRPr="00690D7A">
              <w:rPr>
                <w:rFonts w:ascii="Arial" w:eastAsia="Calibri" w:hAnsi="Arial" w:cs="Arial"/>
                <w:color w:val="000000"/>
                <w:sz w:val="20"/>
                <w:szCs w:val="20"/>
              </w:rPr>
              <w:t xml:space="preserve"> </w:t>
            </w:r>
            <w:r w:rsidR="000905E6" w:rsidRPr="00690D7A">
              <w:rPr>
                <w:rFonts w:ascii="Arial" w:eastAsia="Calibri" w:hAnsi="Arial" w:cs="Arial"/>
                <w:color w:val="000000"/>
                <w:sz w:val="20"/>
                <w:szCs w:val="20"/>
              </w:rPr>
              <w:t>Closure In Place</w:t>
            </w:r>
          </w:p>
        </w:tc>
        <w:tc>
          <w:tcPr>
            <w:tcW w:w="6599" w:type="dxa"/>
            <w:vMerge w:val="restart"/>
            <w:vAlign w:val="center"/>
            <w:hideMark/>
          </w:tcPr>
          <w:p w14:paraId="69739941" w14:textId="5A895845"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 xml:space="preserve">R6 (inclusive of AP-C) </w:t>
            </w:r>
            <w:r w:rsidR="00E3327C" w:rsidRPr="00690D7A">
              <w:rPr>
                <w:rFonts w:ascii="Arial" w:eastAsia="Calibri" w:hAnsi="Arial" w:cs="Arial"/>
                <w:color w:val="000000"/>
                <w:sz w:val="20"/>
                <w:szCs w:val="20"/>
              </w:rPr>
              <w:t>is being closed in place according to the permit issued from the EPD</w:t>
            </w:r>
          </w:p>
        </w:tc>
      </w:tr>
      <w:tr w:rsidR="000905E6" w:rsidRPr="005A1872" w14:paraId="0B943A25" w14:textId="77777777" w:rsidTr="003912BA">
        <w:trPr>
          <w:trHeight w:val="127"/>
          <w:jc w:val="center"/>
        </w:trPr>
        <w:tc>
          <w:tcPr>
            <w:tcW w:w="1406" w:type="dxa"/>
            <w:vAlign w:val="center"/>
            <w:hideMark/>
          </w:tcPr>
          <w:p w14:paraId="1AD948C2" w14:textId="77777777" w:rsidR="000905E6" w:rsidRPr="005A1872" w:rsidRDefault="000905E6" w:rsidP="000905E6">
            <w:pPr>
              <w:spacing w:after="0" w:line="240" w:lineRule="auto"/>
              <w:jc w:val="center"/>
              <w:rPr>
                <w:rFonts w:ascii="Arial" w:eastAsia="Calibri" w:hAnsi="Arial" w:cs="Arial"/>
                <w:color w:val="000000"/>
                <w:sz w:val="20"/>
                <w:szCs w:val="20"/>
              </w:rPr>
            </w:pPr>
            <w:r w:rsidRPr="005A1872">
              <w:rPr>
                <w:rFonts w:ascii="Arial" w:eastAsia="Calibri" w:hAnsi="Arial" w:cs="Arial"/>
                <w:color w:val="000000"/>
                <w:sz w:val="20"/>
                <w:szCs w:val="20"/>
              </w:rPr>
              <w:t>Yates</w:t>
            </w:r>
          </w:p>
        </w:tc>
        <w:tc>
          <w:tcPr>
            <w:tcW w:w="2723" w:type="dxa"/>
            <w:noWrap/>
            <w:vAlign w:val="center"/>
            <w:hideMark/>
          </w:tcPr>
          <w:p w14:paraId="1CC902EF" w14:textId="77777777" w:rsidR="000905E6" w:rsidRPr="00690D7A" w:rsidRDefault="000905E6" w:rsidP="000905E6">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LF (R-6)</w:t>
            </w:r>
          </w:p>
        </w:tc>
        <w:tc>
          <w:tcPr>
            <w:tcW w:w="2137" w:type="dxa"/>
            <w:noWrap/>
            <w:vAlign w:val="center"/>
            <w:hideMark/>
          </w:tcPr>
          <w:p w14:paraId="66825719" w14:textId="2CD44B31" w:rsidR="000905E6" w:rsidRPr="00690D7A" w:rsidRDefault="00E3327C" w:rsidP="000905E6">
            <w:pPr>
              <w:spacing w:after="0" w:line="240" w:lineRule="auto"/>
              <w:jc w:val="center"/>
              <w:rPr>
                <w:rFonts w:ascii="Arial" w:eastAsia="Calibri" w:hAnsi="Arial" w:cs="Arial"/>
                <w:color w:val="000000"/>
                <w:sz w:val="20"/>
                <w:szCs w:val="20"/>
              </w:rPr>
            </w:pPr>
            <w:r w:rsidRPr="00690D7A">
              <w:rPr>
                <w:rFonts w:ascii="Arial" w:hAnsi="Arial" w:cs="Arial"/>
                <w:sz w:val="20"/>
                <w:szCs w:val="20"/>
              </w:rPr>
              <w:t>Inactive LF/Closure in Place</w:t>
            </w:r>
          </w:p>
        </w:tc>
        <w:tc>
          <w:tcPr>
            <w:tcW w:w="6599" w:type="dxa"/>
            <w:vMerge/>
            <w:vAlign w:val="center"/>
            <w:hideMark/>
          </w:tcPr>
          <w:p w14:paraId="315456D7" w14:textId="77777777" w:rsidR="000905E6" w:rsidRPr="00690D7A" w:rsidRDefault="000905E6" w:rsidP="000905E6">
            <w:pPr>
              <w:spacing w:after="0" w:line="240" w:lineRule="auto"/>
              <w:jc w:val="center"/>
              <w:rPr>
                <w:rFonts w:ascii="Arial" w:eastAsia="Calibri" w:hAnsi="Arial" w:cs="Arial"/>
                <w:color w:val="000000"/>
                <w:sz w:val="20"/>
                <w:szCs w:val="20"/>
              </w:rPr>
            </w:pPr>
          </w:p>
        </w:tc>
      </w:tr>
      <w:tr w:rsidR="006A1AB4" w:rsidRPr="005A1872" w14:paraId="23986CCD" w14:textId="77777777" w:rsidTr="003912BA">
        <w:trPr>
          <w:trHeight w:val="1097"/>
          <w:jc w:val="center"/>
        </w:trPr>
        <w:tc>
          <w:tcPr>
            <w:tcW w:w="1406" w:type="dxa"/>
            <w:vAlign w:val="center"/>
          </w:tcPr>
          <w:p w14:paraId="4ED2D87D" w14:textId="20C4B059" w:rsidR="006A1AB4" w:rsidRPr="005A1872" w:rsidRDefault="006A1AB4" w:rsidP="006A1AB4">
            <w:pPr>
              <w:spacing w:after="0" w:line="240" w:lineRule="auto"/>
              <w:jc w:val="center"/>
              <w:rPr>
                <w:rFonts w:ascii="Arial" w:eastAsia="Calibri" w:hAnsi="Arial" w:cs="Arial"/>
                <w:color w:val="000000"/>
                <w:sz w:val="20"/>
                <w:szCs w:val="20"/>
              </w:rPr>
            </w:pPr>
            <w:r>
              <w:rPr>
                <w:rFonts w:ascii="Arial" w:eastAsia="Calibri" w:hAnsi="Arial" w:cs="Arial"/>
                <w:color w:val="000000"/>
                <w:sz w:val="20"/>
                <w:szCs w:val="20"/>
              </w:rPr>
              <w:t>Y</w:t>
            </w:r>
            <w:r w:rsidRPr="005A1872">
              <w:rPr>
                <w:rFonts w:ascii="Arial" w:eastAsia="Calibri" w:hAnsi="Arial" w:cs="Arial"/>
                <w:color w:val="000000"/>
                <w:sz w:val="20"/>
                <w:szCs w:val="20"/>
              </w:rPr>
              <w:t>ates</w:t>
            </w:r>
          </w:p>
        </w:tc>
        <w:tc>
          <w:tcPr>
            <w:tcW w:w="2723" w:type="dxa"/>
            <w:noWrap/>
            <w:vAlign w:val="center"/>
          </w:tcPr>
          <w:p w14:paraId="09C8010A" w14:textId="34AE0F8A" w:rsidR="006A1AB4" w:rsidRPr="00690D7A" w:rsidRDefault="006A1AB4" w:rsidP="006A1AB4">
            <w:pPr>
              <w:spacing w:after="0" w:line="240" w:lineRule="auto"/>
              <w:jc w:val="center"/>
              <w:rPr>
                <w:rFonts w:ascii="Arial" w:eastAsia="Calibri" w:hAnsi="Arial" w:cs="Arial"/>
                <w:color w:val="000000"/>
                <w:sz w:val="20"/>
                <w:szCs w:val="20"/>
              </w:rPr>
            </w:pPr>
            <w:r w:rsidRPr="00690D7A">
              <w:rPr>
                <w:rFonts w:ascii="Arial" w:eastAsia="Calibri" w:hAnsi="Arial" w:cs="Arial"/>
                <w:color w:val="000000"/>
                <w:sz w:val="20"/>
                <w:szCs w:val="20"/>
              </w:rPr>
              <w:t>LF</w:t>
            </w:r>
          </w:p>
        </w:tc>
        <w:tc>
          <w:tcPr>
            <w:tcW w:w="2137" w:type="dxa"/>
            <w:noWrap/>
            <w:vAlign w:val="center"/>
          </w:tcPr>
          <w:p w14:paraId="58DC9700" w14:textId="1496E65F" w:rsidR="006A1AB4" w:rsidRPr="00690D7A" w:rsidRDefault="006A1AB4" w:rsidP="006A1AB4">
            <w:pPr>
              <w:spacing w:after="0" w:line="240" w:lineRule="auto"/>
              <w:jc w:val="center"/>
              <w:rPr>
                <w:rFonts w:ascii="Arial" w:hAnsi="Arial" w:cs="Arial"/>
                <w:sz w:val="20"/>
                <w:szCs w:val="20"/>
              </w:rPr>
            </w:pPr>
            <w:r w:rsidRPr="00690D7A">
              <w:rPr>
                <w:rFonts w:ascii="Arial" w:eastAsia="Calibri" w:hAnsi="Arial" w:cs="Arial"/>
                <w:color w:val="000000"/>
                <w:sz w:val="20"/>
                <w:szCs w:val="20"/>
              </w:rPr>
              <w:t>Closed by Removal to Permitted Landfill and Beneficial Re-Used</w:t>
            </w:r>
          </w:p>
        </w:tc>
        <w:tc>
          <w:tcPr>
            <w:tcW w:w="6599" w:type="dxa"/>
            <w:vAlign w:val="center"/>
          </w:tcPr>
          <w:p w14:paraId="2199C7F3" w14:textId="68F28B17" w:rsidR="006A1AB4" w:rsidRPr="00690D7A" w:rsidRDefault="006A1AB4" w:rsidP="00690D7A">
            <w:pPr>
              <w:spacing w:after="0" w:line="240" w:lineRule="auto"/>
              <w:jc w:val="center"/>
              <w:rPr>
                <w:rFonts w:ascii="Arial" w:eastAsia="Calibri" w:hAnsi="Arial" w:cs="Arial"/>
                <w:color w:val="000000"/>
                <w:sz w:val="20"/>
                <w:szCs w:val="20"/>
              </w:rPr>
            </w:pPr>
            <w:r w:rsidRPr="00690D7A">
              <w:rPr>
                <w:rFonts w:ascii="Arial" w:hAnsi="Arial" w:cs="Arial"/>
                <w:color w:val="000000"/>
                <w:sz w:val="20"/>
                <w:szCs w:val="20"/>
              </w:rPr>
              <w:t>The Landfill was closed by removal; the gypsum material was both beneficially reused and disposed to an off-site permitted landfill. Site restoration was complete and GPC is coordinating with EPD to obtain approval for the landfill closure.</w:t>
            </w:r>
          </w:p>
        </w:tc>
      </w:tr>
    </w:tbl>
    <w:p w14:paraId="2D560786" w14:textId="77777777" w:rsidR="005A4B2C" w:rsidRDefault="005A4B2C">
      <w:pPr>
        <w:spacing w:after="0" w:line="240" w:lineRule="auto"/>
        <w:rPr>
          <w:rFonts w:ascii="Arial" w:eastAsia="Calibri" w:hAnsi="Arial" w:cs="Arial"/>
          <w:b/>
          <w:color w:val="000000"/>
          <w:sz w:val="24"/>
          <w:szCs w:val="24"/>
        </w:rPr>
        <w:sectPr w:rsidR="005A4B2C" w:rsidSect="005A4B2C">
          <w:headerReference w:type="default" r:id="rId31"/>
          <w:footerReference w:type="default" r:id="rId32"/>
          <w:pgSz w:w="15840" w:h="12240" w:orient="landscape" w:code="1"/>
          <w:pgMar w:top="1440" w:right="1440" w:bottom="1440" w:left="1440" w:header="720" w:footer="720" w:gutter="0"/>
          <w:cols w:space="720"/>
          <w:docGrid w:linePitch="360"/>
        </w:sectPr>
      </w:pPr>
    </w:p>
    <w:p w14:paraId="6CE538E8" w14:textId="78DCC252" w:rsidR="00550D4D" w:rsidRPr="00A21F54" w:rsidRDefault="00550D4D" w:rsidP="00550D4D">
      <w:pPr>
        <w:spacing w:after="0" w:line="240" w:lineRule="auto"/>
        <w:jc w:val="both"/>
        <w:rPr>
          <w:rFonts w:ascii="Arial" w:hAnsi="Arial" w:cs="Arial"/>
          <w:b/>
          <w:bCs/>
          <w:color w:val="000080"/>
          <w:sz w:val="24"/>
          <w:szCs w:val="24"/>
        </w:rPr>
      </w:pPr>
      <w:r>
        <w:rPr>
          <w:rFonts w:ascii="Arial" w:hAnsi="Arial" w:cs="Arial"/>
          <w:b/>
          <w:bCs/>
          <w:color w:val="000080"/>
          <w:sz w:val="24"/>
          <w:szCs w:val="24"/>
        </w:rPr>
        <w:t xml:space="preserve">Dry Ash Systems and </w:t>
      </w:r>
      <w:r w:rsidRPr="00A21F54">
        <w:rPr>
          <w:rFonts w:ascii="Arial" w:hAnsi="Arial" w:cs="Arial"/>
          <w:b/>
          <w:bCs/>
          <w:color w:val="000080"/>
          <w:sz w:val="24"/>
          <w:szCs w:val="24"/>
        </w:rPr>
        <w:t>Wastewater Treatment Systems to Replace Ash Ponds</w:t>
      </w:r>
    </w:p>
    <w:p w14:paraId="30C4FB24" w14:textId="46A7E00F" w:rsidR="00550D4D" w:rsidRDefault="00550D4D" w:rsidP="00550D4D">
      <w:pPr>
        <w:spacing w:after="0" w:line="240" w:lineRule="auto"/>
        <w:jc w:val="both"/>
        <w:rPr>
          <w:rFonts w:ascii="Arial" w:hAnsi="Arial" w:cs="Arial"/>
          <w:sz w:val="24"/>
          <w:szCs w:val="24"/>
          <w:lang w:val="en"/>
        </w:rPr>
      </w:pPr>
      <w:r>
        <w:rPr>
          <w:rFonts w:ascii="Arial" w:hAnsi="Arial" w:cs="Arial"/>
          <w:sz w:val="24"/>
          <w:szCs w:val="24"/>
        </w:rPr>
        <w:t xml:space="preserve">When ash ponds are closed, new dry ash handling systems and wastewater treatment systems will be necessary for compliance at operational plants. As discussed in section 4.2, these wastewater treatment systems are designed to meet not only our wastewater permit discharge requirements, but also the requirements of the ELG rule. As a result of the requirements of the ELG Rule and the CCR rules, the Company has developed </w:t>
      </w:r>
      <w:r w:rsidRPr="00BD6685">
        <w:rPr>
          <w:rFonts w:ascii="Arial" w:hAnsi="Arial" w:cs="Arial"/>
          <w:sz w:val="24"/>
          <w:szCs w:val="24"/>
        </w:rPr>
        <w:t>a comprehensive strategy</w:t>
      </w:r>
      <w:r>
        <w:rPr>
          <w:rFonts w:ascii="Arial" w:hAnsi="Arial" w:cs="Arial"/>
          <w:sz w:val="24"/>
          <w:szCs w:val="24"/>
        </w:rPr>
        <w:t xml:space="preserve"> to address</w:t>
      </w:r>
      <w:r w:rsidRPr="00BD6685">
        <w:rPr>
          <w:rFonts w:ascii="Arial" w:hAnsi="Arial" w:cs="Arial"/>
          <w:sz w:val="24"/>
          <w:szCs w:val="24"/>
        </w:rPr>
        <w:t xml:space="preserve"> all waste streams</w:t>
      </w:r>
      <w:r w:rsidRPr="00DB7156">
        <w:rPr>
          <w:rFonts w:ascii="Arial" w:hAnsi="Arial" w:cs="Arial"/>
          <w:sz w:val="24"/>
          <w:szCs w:val="24"/>
          <w:lang w:val="en"/>
        </w:rPr>
        <w:t>, while maintainin</w:t>
      </w:r>
      <w:r>
        <w:rPr>
          <w:rFonts w:ascii="Arial" w:hAnsi="Arial" w:cs="Arial"/>
          <w:sz w:val="24"/>
          <w:szCs w:val="24"/>
          <w:lang w:val="en"/>
        </w:rPr>
        <w:t>g reliable service to customers (see Table 4.2.2-1)</w:t>
      </w:r>
      <w:r>
        <w:rPr>
          <w:rFonts w:ascii="Arial" w:hAnsi="Arial" w:cs="Arial"/>
          <w:sz w:val="24"/>
          <w:szCs w:val="24"/>
        </w:rPr>
        <w:t xml:space="preserve">. </w:t>
      </w:r>
    </w:p>
    <w:p w14:paraId="0FE36C6C" w14:textId="77777777" w:rsidR="00550D4D" w:rsidRDefault="00550D4D" w:rsidP="00550D4D">
      <w:pPr>
        <w:spacing w:after="0" w:line="240" w:lineRule="auto"/>
        <w:jc w:val="both"/>
        <w:rPr>
          <w:rFonts w:ascii="Arial" w:hAnsi="Arial" w:cs="Arial"/>
          <w:sz w:val="24"/>
          <w:szCs w:val="24"/>
          <w:lang w:val="en"/>
        </w:rPr>
      </w:pPr>
    </w:p>
    <w:p w14:paraId="22C324A2" w14:textId="25D58E06" w:rsidR="00550D4D" w:rsidRDefault="00550D4D" w:rsidP="00550D4D">
      <w:pPr>
        <w:spacing w:after="0" w:line="240" w:lineRule="auto"/>
        <w:jc w:val="both"/>
        <w:rPr>
          <w:rFonts w:ascii="Arial" w:hAnsi="Arial" w:cs="Arial"/>
          <w:sz w:val="24"/>
        </w:rPr>
      </w:pPr>
      <w:r w:rsidRPr="008F0B22">
        <w:rPr>
          <w:rFonts w:ascii="Arial" w:hAnsi="Arial" w:cs="Arial"/>
          <w:sz w:val="24"/>
        </w:rPr>
        <w:t xml:space="preserve">The </w:t>
      </w:r>
      <w:r>
        <w:rPr>
          <w:rFonts w:ascii="Arial" w:hAnsi="Arial" w:cs="Arial"/>
          <w:sz w:val="24"/>
        </w:rPr>
        <w:t>implementation of this strategy ensures</w:t>
      </w:r>
      <w:r w:rsidRPr="008F0B22">
        <w:rPr>
          <w:rFonts w:ascii="Arial" w:hAnsi="Arial" w:cs="Arial"/>
          <w:sz w:val="24"/>
        </w:rPr>
        <w:t xml:space="preserve"> reliable electricity for customers during the significant construction work that must take plac</w:t>
      </w:r>
      <w:r>
        <w:rPr>
          <w:rFonts w:ascii="Arial" w:hAnsi="Arial" w:cs="Arial"/>
          <w:sz w:val="24"/>
        </w:rPr>
        <w:t>e at fossil fuel-fired plants</w:t>
      </w:r>
      <w:r w:rsidRPr="008F0B22">
        <w:rPr>
          <w:rFonts w:ascii="Arial" w:hAnsi="Arial" w:cs="Arial"/>
          <w:sz w:val="24"/>
        </w:rPr>
        <w:t xml:space="preserve"> to accommodate the</w:t>
      </w:r>
      <w:r>
        <w:rPr>
          <w:rFonts w:ascii="Arial" w:hAnsi="Arial" w:cs="Arial"/>
          <w:sz w:val="24"/>
        </w:rPr>
        <w:t xml:space="preserve"> </w:t>
      </w:r>
      <w:r>
        <w:rPr>
          <w:rFonts w:ascii="Arial" w:hAnsi="Arial" w:cs="Arial"/>
          <w:sz w:val="24"/>
          <w:szCs w:val="24"/>
          <w:lang w:val="en"/>
        </w:rPr>
        <w:t>installation of new treatment systems for ash handling, FGD wastewater, and CCR wastewater</w:t>
      </w:r>
      <w:r w:rsidRPr="008F0B22">
        <w:rPr>
          <w:rFonts w:ascii="Arial" w:hAnsi="Arial" w:cs="Arial"/>
          <w:sz w:val="24"/>
        </w:rPr>
        <w:t xml:space="preserve"> </w:t>
      </w:r>
      <w:r>
        <w:rPr>
          <w:rFonts w:ascii="Arial" w:hAnsi="Arial" w:cs="Arial"/>
          <w:sz w:val="24"/>
        </w:rPr>
        <w:t>that will allow the Company to proceed with</w:t>
      </w:r>
      <w:r w:rsidRPr="008F0B22">
        <w:rPr>
          <w:rFonts w:ascii="Arial" w:hAnsi="Arial" w:cs="Arial"/>
          <w:sz w:val="24"/>
        </w:rPr>
        <w:t xml:space="preserve"> the ash pond closure process. These efforts include conducting work when the plants are on planned outages or as customer demand allows operations to accommodate the work.</w:t>
      </w:r>
      <w:r>
        <w:rPr>
          <w:rFonts w:ascii="Arial" w:hAnsi="Arial" w:cs="Arial"/>
          <w:color w:val="000000"/>
          <w:sz w:val="24"/>
          <w:szCs w:val="24"/>
        </w:rPr>
        <w:t xml:space="preserve"> </w:t>
      </w:r>
    </w:p>
    <w:p w14:paraId="33611393" w14:textId="77777777" w:rsidR="00550D4D" w:rsidRDefault="00550D4D" w:rsidP="00550D4D">
      <w:pPr>
        <w:spacing w:after="0" w:line="240" w:lineRule="auto"/>
        <w:jc w:val="both"/>
        <w:rPr>
          <w:rFonts w:ascii="Arial" w:hAnsi="Arial" w:cs="Arial"/>
          <w:sz w:val="24"/>
          <w:szCs w:val="24"/>
        </w:rPr>
      </w:pPr>
    </w:p>
    <w:p w14:paraId="2E38B523" w14:textId="77777777" w:rsidR="00550D4D" w:rsidRPr="00A21F54" w:rsidRDefault="00550D4D" w:rsidP="00550D4D">
      <w:pPr>
        <w:spacing w:after="0" w:line="240" w:lineRule="auto"/>
        <w:jc w:val="both"/>
        <w:rPr>
          <w:rFonts w:ascii="Arial" w:hAnsi="Arial" w:cs="Arial"/>
          <w:b/>
          <w:bCs/>
          <w:color w:val="000080"/>
          <w:sz w:val="24"/>
          <w:szCs w:val="24"/>
        </w:rPr>
      </w:pPr>
      <w:r w:rsidRPr="00A21F54">
        <w:rPr>
          <w:rFonts w:ascii="Arial" w:hAnsi="Arial" w:cs="Arial"/>
          <w:b/>
          <w:bCs/>
          <w:color w:val="000080"/>
          <w:sz w:val="24"/>
          <w:szCs w:val="24"/>
        </w:rPr>
        <w:t xml:space="preserve">Landfill </w:t>
      </w:r>
      <w:r>
        <w:rPr>
          <w:rFonts w:ascii="Arial" w:hAnsi="Arial" w:cs="Arial"/>
          <w:b/>
          <w:bCs/>
          <w:color w:val="000080"/>
          <w:sz w:val="24"/>
          <w:szCs w:val="24"/>
        </w:rPr>
        <w:t>Disposal and Beneficial Reuse</w:t>
      </w:r>
    </w:p>
    <w:p w14:paraId="5089C52C" w14:textId="20D46AC2" w:rsidR="00550D4D" w:rsidRDefault="00550D4D" w:rsidP="00550D4D">
      <w:pPr>
        <w:spacing w:after="0" w:line="240" w:lineRule="auto"/>
        <w:jc w:val="both"/>
        <w:rPr>
          <w:rFonts w:ascii="Arial" w:hAnsi="Arial" w:cs="Arial"/>
          <w:sz w:val="24"/>
          <w:szCs w:val="24"/>
          <w:lang w:val="en"/>
        </w:rPr>
      </w:pPr>
      <w:r>
        <w:rPr>
          <w:rFonts w:ascii="Arial" w:hAnsi="Arial" w:cs="Arial"/>
          <w:sz w:val="24"/>
          <w:szCs w:val="24"/>
          <w:lang w:val="en"/>
        </w:rPr>
        <w:t>Since ash pond</w:t>
      </w:r>
      <w:r w:rsidR="00530FCA">
        <w:rPr>
          <w:rFonts w:ascii="Arial" w:hAnsi="Arial" w:cs="Arial"/>
          <w:sz w:val="24"/>
          <w:szCs w:val="24"/>
          <w:lang w:val="en"/>
        </w:rPr>
        <w:t>s</w:t>
      </w:r>
      <w:r>
        <w:rPr>
          <w:rFonts w:ascii="Arial" w:hAnsi="Arial" w:cs="Arial"/>
          <w:sz w:val="24"/>
          <w:szCs w:val="24"/>
          <w:lang w:val="en"/>
        </w:rPr>
        <w:t xml:space="preserve"> will no longer be used for ash handling, the Company will rely on Company-owned CCR landfills for the </w:t>
      </w:r>
      <w:r w:rsidR="00530FCA">
        <w:rPr>
          <w:rFonts w:ascii="Arial" w:hAnsi="Arial" w:cs="Arial"/>
          <w:sz w:val="24"/>
          <w:szCs w:val="24"/>
          <w:lang w:val="en"/>
        </w:rPr>
        <w:t xml:space="preserve">future </w:t>
      </w:r>
      <w:r>
        <w:rPr>
          <w:rFonts w:ascii="Arial" w:hAnsi="Arial" w:cs="Arial"/>
          <w:sz w:val="24"/>
          <w:szCs w:val="24"/>
          <w:lang w:val="en"/>
        </w:rPr>
        <w:t>disposal of CCR generated from coal-fired facilitie</w:t>
      </w:r>
      <w:r w:rsidR="00530FCA">
        <w:rPr>
          <w:rFonts w:ascii="Arial" w:hAnsi="Arial" w:cs="Arial"/>
          <w:sz w:val="24"/>
          <w:szCs w:val="24"/>
          <w:lang w:val="en"/>
        </w:rPr>
        <w:t>s</w:t>
      </w:r>
      <w:r w:rsidR="00E7096D">
        <w:rPr>
          <w:rFonts w:ascii="Arial" w:hAnsi="Arial" w:cs="Arial"/>
          <w:sz w:val="24"/>
          <w:szCs w:val="24"/>
          <w:lang w:val="en"/>
        </w:rPr>
        <w:t xml:space="preserve"> when reuse opportunities are not available</w:t>
      </w:r>
      <w:r>
        <w:rPr>
          <w:rFonts w:ascii="Arial" w:hAnsi="Arial" w:cs="Arial"/>
          <w:sz w:val="24"/>
          <w:szCs w:val="24"/>
          <w:lang w:val="en"/>
        </w:rPr>
        <w:t xml:space="preserve">. Georgia Power will continue to rigorously manage and operate CCR landfills in compliance with CCR permits, the Georgia CCR Rule, and the </w:t>
      </w:r>
      <w:r w:rsidR="00690D7A">
        <w:rPr>
          <w:rFonts w:ascii="Arial" w:hAnsi="Arial" w:cs="Arial"/>
          <w:sz w:val="24"/>
          <w:szCs w:val="24"/>
          <w:lang w:val="en"/>
        </w:rPr>
        <w:t>F</w:t>
      </w:r>
      <w:r>
        <w:rPr>
          <w:rFonts w:ascii="Arial" w:hAnsi="Arial" w:cs="Arial"/>
          <w:sz w:val="24"/>
          <w:szCs w:val="24"/>
          <w:lang w:val="en"/>
        </w:rPr>
        <w:t xml:space="preserve">ederal CCR </w:t>
      </w:r>
      <w:r w:rsidR="00690D7A">
        <w:rPr>
          <w:rFonts w:ascii="Arial" w:hAnsi="Arial" w:cs="Arial"/>
          <w:sz w:val="24"/>
          <w:szCs w:val="24"/>
          <w:lang w:val="en"/>
        </w:rPr>
        <w:t>R</w:t>
      </w:r>
      <w:r>
        <w:rPr>
          <w:rFonts w:ascii="Arial" w:hAnsi="Arial" w:cs="Arial"/>
          <w:sz w:val="24"/>
          <w:szCs w:val="24"/>
          <w:lang w:val="en"/>
        </w:rPr>
        <w:t xml:space="preserve">ule. </w:t>
      </w:r>
    </w:p>
    <w:p w14:paraId="505E116F" w14:textId="77777777" w:rsidR="00550D4D" w:rsidRDefault="00550D4D" w:rsidP="00550D4D">
      <w:pPr>
        <w:spacing w:after="0" w:line="240" w:lineRule="auto"/>
        <w:jc w:val="both"/>
        <w:rPr>
          <w:rFonts w:ascii="Arial" w:hAnsi="Arial" w:cs="Arial"/>
          <w:sz w:val="24"/>
          <w:szCs w:val="24"/>
          <w:lang w:val="en"/>
        </w:rPr>
      </w:pPr>
    </w:p>
    <w:p w14:paraId="5A7FF66C" w14:textId="38D9C478" w:rsidR="00522684" w:rsidRDefault="00522684" w:rsidP="00550D4D">
      <w:pPr>
        <w:spacing w:after="0" w:line="240" w:lineRule="auto"/>
        <w:jc w:val="both"/>
        <w:rPr>
          <w:rFonts w:ascii="Arial" w:hAnsi="Arial" w:cs="Arial"/>
          <w:b/>
          <w:sz w:val="24"/>
          <w:szCs w:val="24"/>
        </w:rPr>
      </w:pP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Pr>
          <w:rFonts w:ascii="Arial" w:hAnsi="Arial" w:cs="Arial"/>
          <w:b/>
          <w:sz w:val="24"/>
          <w:szCs w:val="24"/>
        </w:rPr>
        <w:br/>
      </w:r>
    </w:p>
    <w:p w14:paraId="15423943" w14:textId="7A1D820B" w:rsidR="00550D4D" w:rsidRPr="00A21F54" w:rsidRDefault="00550D4D" w:rsidP="00550D4D">
      <w:pPr>
        <w:spacing w:after="0" w:line="240" w:lineRule="auto"/>
        <w:jc w:val="both"/>
        <w:rPr>
          <w:rFonts w:ascii="Arial" w:hAnsi="Arial" w:cs="Arial"/>
          <w:b/>
          <w:bCs/>
          <w:color w:val="000080"/>
          <w:sz w:val="24"/>
          <w:szCs w:val="24"/>
        </w:rPr>
      </w:pPr>
      <w:r>
        <w:rPr>
          <w:rFonts w:ascii="Arial" w:hAnsi="Arial" w:cs="Arial"/>
          <w:b/>
          <w:bCs/>
          <w:color w:val="000080"/>
          <w:sz w:val="24"/>
          <w:szCs w:val="24"/>
        </w:rPr>
        <w:t xml:space="preserve">Ongoing and </w:t>
      </w:r>
      <w:r w:rsidRPr="00A21F54">
        <w:rPr>
          <w:rFonts w:ascii="Arial" w:hAnsi="Arial" w:cs="Arial"/>
          <w:b/>
          <w:bCs/>
          <w:color w:val="000080"/>
          <w:sz w:val="24"/>
          <w:szCs w:val="24"/>
        </w:rPr>
        <w:t>Post Closure</w:t>
      </w:r>
      <w:r>
        <w:rPr>
          <w:rFonts w:ascii="Arial" w:hAnsi="Arial" w:cs="Arial"/>
          <w:b/>
          <w:bCs/>
          <w:color w:val="000080"/>
          <w:sz w:val="24"/>
          <w:szCs w:val="24"/>
        </w:rPr>
        <w:t xml:space="preserve"> Requirements</w:t>
      </w:r>
    </w:p>
    <w:p w14:paraId="51A46628" w14:textId="4A94F987" w:rsidR="00DC526E" w:rsidRDefault="00550D4D" w:rsidP="00550D4D">
      <w:pPr>
        <w:spacing w:after="0" w:line="240" w:lineRule="auto"/>
        <w:jc w:val="both"/>
        <w:rPr>
          <w:rFonts w:ascii="Arial" w:eastAsia="Calibri" w:hAnsi="Arial" w:cs="Arial"/>
          <w:color w:val="000000"/>
          <w:sz w:val="24"/>
          <w:szCs w:val="24"/>
        </w:rPr>
      </w:pPr>
      <w:r w:rsidRPr="00DB7156">
        <w:rPr>
          <w:rFonts w:ascii="Arial" w:eastAsia="Calibri" w:hAnsi="Arial" w:cs="Arial"/>
          <w:color w:val="000000"/>
          <w:sz w:val="24"/>
          <w:szCs w:val="24"/>
        </w:rPr>
        <w:t xml:space="preserve">Throughout the </w:t>
      </w:r>
      <w:r>
        <w:rPr>
          <w:rFonts w:ascii="Arial" w:eastAsia="Calibri" w:hAnsi="Arial" w:cs="Arial"/>
          <w:color w:val="000000"/>
          <w:sz w:val="24"/>
          <w:szCs w:val="24"/>
        </w:rPr>
        <w:t xml:space="preserve">ash pond </w:t>
      </w:r>
      <w:r w:rsidRPr="00DB7156">
        <w:rPr>
          <w:rFonts w:ascii="Arial" w:eastAsia="Calibri" w:hAnsi="Arial" w:cs="Arial"/>
          <w:color w:val="000000"/>
          <w:sz w:val="24"/>
          <w:szCs w:val="24"/>
        </w:rPr>
        <w:t xml:space="preserve">closure process, Georgia Power is </w:t>
      </w:r>
      <w:r>
        <w:rPr>
          <w:rFonts w:ascii="Arial" w:eastAsia="Calibri" w:hAnsi="Arial" w:cs="Arial"/>
          <w:color w:val="000000"/>
          <w:sz w:val="24"/>
          <w:szCs w:val="24"/>
        </w:rPr>
        <w:t xml:space="preserve">and will continue to </w:t>
      </w:r>
      <w:r w:rsidRPr="00DB7156">
        <w:rPr>
          <w:rFonts w:ascii="Arial" w:eastAsia="Calibri" w:hAnsi="Arial" w:cs="Arial"/>
          <w:color w:val="000000"/>
          <w:sz w:val="24"/>
          <w:szCs w:val="24"/>
        </w:rPr>
        <w:t>monit</w:t>
      </w:r>
      <w:r>
        <w:rPr>
          <w:rFonts w:ascii="Arial" w:eastAsia="Calibri" w:hAnsi="Arial" w:cs="Arial"/>
          <w:color w:val="000000"/>
          <w:sz w:val="24"/>
          <w:szCs w:val="24"/>
        </w:rPr>
        <w:t xml:space="preserve">or </w:t>
      </w:r>
      <w:r w:rsidRPr="00DB7156">
        <w:rPr>
          <w:rFonts w:ascii="Arial" w:eastAsia="Calibri" w:hAnsi="Arial" w:cs="Arial"/>
          <w:color w:val="000000"/>
          <w:sz w:val="24"/>
          <w:szCs w:val="24"/>
        </w:rPr>
        <w:t xml:space="preserve">groundwater and </w:t>
      </w:r>
      <w:r>
        <w:rPr>
          <w:rFonts w:ascii="Arial" w:eastAsia="Calibri" w:hAnsi="Arial" w:cs="Arial"/>
          <w:color w:val="000000"/>
          <w:sz w:val="24"/>
          <w:szCs w:val="24"/>
        </w:rPr>
        <w:t xml:space="preserve">regularly </w:t>
      </w:r>
      <w:r w:rsidRPr="00DB7156">
        <w:rPr>
          <w:rFonts w:ascii="Arial" w:eastAsia="Calibri" w:hAnsi="Arial" w:cs="Arial"/>
          <w:color w:val="000000"/>
          <w:sz w:val="24"/>
          <w:szCs w:val="24"/>
        </w:rPr>
        <w:t xml:space="preserve">report the results to the Georgia EPD as well as </w:t>
      </w:r>
      <w:r>
        <w:rPr>
          <w:rFonts w:ascii="Arial" w:eastAsia="Calibri" w:hAnsi="Arial" w:cs="Arial"/>
          <w:color w:val="000000"/>
          <w:sz w:val="24"/>
          <w:szCs w:val="24"/>
        </w:rPr>
        <w:t>post regular</w:t>
      </w:r>
      <w:r w:rsidRPr="00DB7156">
        <w:rPr>
          <w:rFonts w:ascii="Arial" w:eastAsia="Calibri" w:hAnsi="Arial" w:cs="Arial"/>
          <w:color w:val="000000"/>
          <w:sz w:val="24"/>
          <w:szCs w:val="24"/>
        </w:rPr>
        <w:t xml:space="preserve"> </w:t>
      </w:r>
      <w:r>
        <w:rPr>
          <w:rFonts w:ascii="Arial" w:eastAsia="Calibri" w:hAnsi="Arial" w:cs="Arial"/>
          <w:color w:val="000000"/>
          <w:sz w:val="24"/>
          <w:szCs w:val="24"/>
        </w:rPr>
        <w:t xml:space="preserve">updates </w:t>
      </w:r>
      <w:r w:rsidRPr="00DB7156">
        <w:rPr>
          <w:rFonts w:ascii="Arial" w:eastAsia="Calibri" w:hAnsi="Arial" w:cs="Arial"/>
          <w:color w:val="000000"/>
          <w:sz w:val="24"/>
          <w:szCs w:val="24"/>
        </w:rPr>
        <w:t xml:space="preserve">to the </w:t>
      </w:r>
      <w:r>
        <w:rPr>
          <w:rFonts w:ascii="Arial" w:eastAsia="Calibri" w:hAnsi="Arial" w:cs="Arial"/>
          <w:color w:val="000000"/>
          <w:sz w:val="24"/>
          <w:szCs w:val="24"/>
        </w:rPr>
        <w:t>C</w:t>
      </w:r>
      <w:r w:rsidRPr="00DB7156">
        <w:rPr>
          <w:rFonts w:ascii="Arial" w:eastAsia="Calibri" w:hAnsi="Arial" w:cs="Arial"/>
          <w:color w:val="000000"/>
          <w:sz w:val="24"/>
          <w:szCs w:val="24"/>
        </w:rPr>
        <w:t xml:space="preserve">ompany's website. </w:t>
      </w:r>
      <w:r w:rsidR="00C80B5E" w:rsidRPr="009C0203">
        <w:rPr>
          <w:rFonts w:ascii="Arial" w:eastAsia="Calibri" w:hAnsi="Arial" w:cs="Arial"/>
          <w:color w:val="000000"/>
          <w:sz w:val="24"/>
          <w:szCs w:val="24"/>
        </w:rPr>
        <w:t xml:space="preserve">Georgia Power has installed approximately 500 groundwater monitoring wells around its ash ponds and on-site landfills to actively monitor groundwater quality. </w:t>
      </w:r>
      <w:r>
        <w:rPr>
          <w:rFonts w:ascii="Arial" w:eastAsia="Calibri" w:hAnsi="Arial" w:cs="Arial"/>
          <w:color w:val="000000"/>
          <w:sz w:val="24"/>
          <w:szCs w:val="24"/>
        </w:rPr>
        <w:t>Groundwater m</w:t>
      </w:r>
      <w:r w:rsidRPr="009C0203">
        <w:rPr>
          <w:rFonts w:ascii="Arial" w:eastAsia="Calibri" w:hAnsi="Arial" w:cs="Arial"/>
          <w:color w:val="000000"/>
          <w:sz w:val="24"/>
          <w:szCs w:val="24"/>
        </w:rPr>
        <w:t xml:space="preserve">onitoring is being conducted in compliance with </w:t>
      </w:r>
      <w:r>
        <w:rPr>
          <w:rFonts w:ascii="Arial" w:eastAsia="Calibri" w:hAnsi="Arial" w:cs="Arial"/>
          <w:color w:val="000000"/>
          <w:sz w:val="24"/>
          <w:szCs w:val="24"/>
        </w:rPr>
        <w:t>federal and state regulations</w:t>
      </w:r>
      <w:r w:rsidRPr="009C0203">
        <w:rPr>
          <w:rFonts w:ascii="Arial" w:eastAsia="Calibri" w:hAnsi="Arial" w:cs="Arial"/>
          <w:color w:val="000000"/>
          <w:sz w:val="24"/>
          <w:szCs w:val="24"/>
        </w:rPr>
        <w:t xml:space="preserve">. </w:t>
      </w:r>
      <w:r>
        <w:rPr>
          <w:rFonts w:ascii="Arial" w:eastAsia="Calibri" w:hAnsi="Arial" w:cs="Arial"/>
          <w:color w:val="000000"/>
          <w:sz w:val="24"/>
          <w:szCs w:val="24"/>
        </w:rPr>
        <w:t>Following pond closure, g</w:t>
      </w:r>
      <w:r w:rsidRPr="00DB7156">
        <w:rPr>
          <w:rFonts w:ascii="Arial" w:eastAsia="Calibri" w:hAnsi="Arial" w:cs="Arial"/>
          <w:color w:val="000000"/>
          <w:sz w:val="24"/>
          <w:szCs w:val="24"/>
        </w:rPr>
        <w:t>roundwater will continue to be monitored</w:t>
      </w:r>
      <w:r>
        <w:rPr>
          <w:rFonts w:ascii="Arial" w:eastAsia="Calibri" w:hAnsi="Arial" w:cs="Arial"/>
          <w:color w:val="000000"/>
          <w:sz w:val="24"/>
          <w:szCs w:val="24"/>
        </w:rPr>
        <w:t xml:space="preserve"> as required under both the federal and state CCR Rule</w:t>
      </w:r>
      <w:r w:rsidRPr="00DB7156">
        <w:rPr>
          <w:rFonts w:ascii="Arial" w:eastAsia="Calibri" w:hAnsi="Arial" w:cs="Arial"/>
          <w:color w:val="000000"/>
          <w:sz w:val="24"/>
          <w:szCs w:val="24"/>
        </w:rPr>
        <w:t>.</w:t>
      </w:r>
      <w:r>
        <w:rPr>
          <w:rFonts w:ascii="Arial" w:eastAsia="Calibri" w:hAnsi="Arial" w:cs="Arial"/>
          <w:color w:val="000000"/>
          <w:sz w:val="24"/>
          <w:szCs w:val="24"/>
        </w:rPr>
        <w:t xml:space="preserve"> Once closure is complete, post closure care will be implemented in accordance with the federal and state CCR rules. </w:t>
      </w:r>
    </w:p>
    <w:p w14:paraId="614A7D47" w14:textId="77777777" w:rsidR="00690D7A" w:rsidRDefault="00690D7A" w:rsidP="00E42A86">
      <w:pPr>
        <w:spacing w:after="0" w:line="240" w:lineRule="auto"/>
        <w:jc w:val="both"/>
        <w:rPr>
          <w:rFonts w:ascii="Arial" w:eastAsia="Calibri" w:hAnsi="Arial" w:cs="Arial"/>
          <w:color w:val="000000"/>
          <w:sz w:val="24"/>
          <w:szCs w:val="24"/>
        </w:rPr>
      </w:pPr>
    </w:p>
    <w:p w14:paraId="70D6B25A" w14:textId="04558E8E" w:rsidR="00226163" w:rsidRDefault="00550D4D" w:rsidP="00E42A86">
      <w:pPr>
        <w:spacing w:after="0" w:line="240" w:lineRule="auto"/>
        <w:jc w:val="both"/>
        <w:rPr>
          <w:rFonts w:ascii="Arial" w:hAnsi="Arial" w:cs="Arial"/>
          <w:b/>
          <w:bCs/>
          <w:color w:val="000080"/>
          <w:sz w:val="24"/>
          <w:szCs w:val="24"/>
        </w:rPr>
      </w:pPr>
      <w:r>
        <w:rPr>
          <w:rFonts w:ascii="Arial" w:eastAsia="Calibri" w:hAnsi="Arial" w:cs="Arial"/>
          <w:color w:val="000000"/>
          <w:sz w:val="24"/>
          <w:szCs w:val="24"/>
        </w:rPr>
        <w:t xml:space="preserve">In general, post closure care will include inspecting the closed ash pond to verify continued structural integrity, maintaining the integrity effectiveness of the final cover system for ash ponds closed in place, and maintaining the groundwater monitoring system. </w:t>
      </w:r>
      <w:bookmarkStart w:id="226" w:name="_Toc496107765"/>
      <w:bookmarkStart w:id="227" w:name="_Toc527987358"/>
      <w:bookmarkStart w:id="228" w:name="_Toc527983905"/>
      <w:bookmarkStart w:id="229" w:name="_Toc530487291"/>
      <w:bookmarkEnd w:id="220"/>
    </w:p>
    <w:p w14:paraId="0982EE14" w14:textId="01B506A1" w:rsidR="00AA62D0" w:rsidRDefault="00AA62D0">
      <w:pPr>
        <w:spacing w:after="0" w:line="240" w:lineRule="auto"/>
        <w:rPr>
          <w:rFonts w:ascii="Arial" w:hAnsi="Arial" w:cs="Arial"/>
          <w:b/>
          <w:bCs/>
          <w:color w:val="000080"/>
          <w:sz w:val="24"/>
          <w:szCs w:val="24"/>
        </w:rPr>
      </w:pPr>
    </w:p>
    <w:p w14:paraId="6773DB62" w14:textId="77777777" w:rsidR="00690D7A" w:rsidRDefault="00752263" w:rsidP="00DB7156">
      <w:pPr>
        <w:spacing w:after="0" w:line="240" w:lineRule="auto"/>
        <w:jc w:val="both"/>
        <w:outlineLvl w:val="1"/>
        <w:rPr>
          <w:rFonts w:ascii="Arial" w:hAnsi="Arial" w:cs="Arial"/>
          <w:b/>
          <w:bCs/>
          <w:color w:val="000080"/>
          <w:sz w:val="24"/>
          <w:szCs w:val="24"/>
        </w:rPr>
      </w:pPr>
      <w:bookmarkStart w:id="230" w:name="_Toc535908159"/>
      <w:r w:rsidRPr="00DB7156">
        <w:rPr>
          <w:rFonts w:ascii="Arial" w:hAnsi="Arial" w:cs="Arial"/>
          <w:b/>
          <w:bCs/>
          <w:color w:val="000080"/>
          <w:sz w:val="24"/>
          <w:szCs w:val="24"/>
        </w:rPr>
        <w:t>4.4</w:t>
      </w:r>
      <w:r w:rsidRPr="00DB7156">
        <w:rPr>
          <w:rFonts w:ascii="Arial" w:hAnsi="Arial" w:cs="Arial"/>
          <w:b/>
          <w:bCs/>
          <w:color w:val="000080"/>
          <w:sz w:val="24"/>
          <w:szCs w:val="24"/>
        </w:rPr>
        <w:tab/>
        <w:t>Strategy and Schedule</w:t>
      </w:r>
      <w:bookmarkEnd w:id="226"/>
      <w:bookmarkEnd w:id="227"/>
      <w:bookmarkEnd w:id="228"/>
      <w:bookmarkEnd w:id="229"/>
      <w:bookmarkEnd w:id="230"/>
    </w:p>
    <w:p w14:paraId="22BA522D" w14:textId="18CC0F4E" w:rsidR="00752263" w:rsidRPr="00DB7156" w:rsidRDefault="00752263" w:rsidP="00DB7156">
      <w:pPr>
        <w:spacing w:after="0" w:line="240" w:lineRule="auto"/>
        <w:jc w:val="both"/>
        <w:outlineLvl w:val="1"/>
        <w:rPr>
          <w:rFonts w:ascii="Arial" w:hAnsi="Arial" w:cs="Arial"/>
          <w:b/>
          <w:bCs/>
          <w:color w:val="000080"/>
          <w:sz w:val="24"/>
          <w:szCs w:val="24"/>
        </w:rPr>
      </w:pPr>
      <w:r w:rsidRPr="00DB7156">
        <w:rPr>
          <w:rFonts w:ascii="Arial" w:hAnsi="Arial" w:cs="Arial"/>
          <w:b/>
          <w:bCs/>
          <w:color w:val="000080"/>
          <w:sz w:val="24"/>
          <w:szCs w:val="24"/>
        </w:rPr>
        <w:t xml:space="preserve"> </w:t>
      </w:r>
    </w:p>
    <w:p w14:paraId="2455DCB4" w14:textId="46E8EA72" w:rsidR="00460F0E" w:rsidRDefault="00752263" w:rsidP="002F3B05">
      <w:pPr>
        <w:spacing w:after="0" w:line="240" w:lineRule="auto"/>
        <w:jc w:val="both"/>
        <w:rPr>
          <w:rFonts w:ascii="Arial" w:hAnsi="Arial" w:cs="Arial"/>
          <w:sz w:val="24"/>
          <w:szCs w:val="24"/>
        </w:rPr>
      </w:pPr>
      <w:r w:rsidRPr="00DB7156">
        <w:rPr>
          <w:rFonts w:ascii="Arial" w:hAnsi="Arial" w:cs="Arial"/>
          <w:sz w:val="24"/>
          <w:szCs w:val="24"/>
        </w:rPr>
        <w:t xml:space="preserve">The environmental strategy and schedule continues to evolve, even as state and federal requirements are being proposed and finalized. The </w:t>
      </w:r>
      <w:r w:rsidR="00684C5D">
        <w:rPr>
          <w:rFonts w:ascii="Arial" w:hAnsi="Arial" w:cs="Arial"/>
          <w:sz w:val="24"/>
          <w:szCs w:val="24"/>
        </w:rPr>
        <w:t>201</w:t>
      </w:r>
      <w:r w:rsidR="00485DCE">
        <w:rPr>
          <w:rFonts w:ascii="Arial" w:hAnsi="Arial" w:cs="Arial"/>
          <w:sz w:val="24"/>
          <w:szCs w:val="24"/>
        </w:rPr>
        <w:t>8</w:t>
      </w:r>
      <w:r w:rsidR="00684C5D" w:rsidRPr="00DB7156">
        <w:rPr>
          <w:rFonts w:ascii="Arial" w:hAnsi="Arial" w:cs="Arial"/>
          <w:sz w:val="24"/>
          <w:szCs w:val="24"/>
        </w:rPr>
        <w:t xml:space="preserve"> </w:t>
      </w:r>
      <w:r w:rsidRPr="00DB7156">
        <w:rPr>
          <w:rFonts w:ascii="Arial" w:hAnsi="Arial" w:cs="Arial"/>
          <w:sz w:val="24"/>
          <w:szCs w:val="24"/>
        </w:rPr>
        <w:t>GPC environmental strategy and schedule</w:t>
      </w:r>
      <w:r w:rsidR="00810370">
        <w:rPr>
          <w:rFonts w:ascii="Arial" w:hAnsi="Arial" w:cs="Arial"/>
          <w:sz w:val="24"/>
          <w:szCs w:val="24"/>
        </w:rPr>
        <w:t>, resulting from the 2018 strategy review process,</w:t>
      </w:r>
      <w:r w:rsidRPr="00DB7156">
        <w:rPr>
          <w:rFonts w:ascii="Arial" w:hAnsi="Arial" w:cs="Arial"/>
          <w:sz w:val="24"/>
          <w:szCs w:val="24"/>
        </w:rPr>
        <w:t xml:space="preserve"> for </w:t>
      </w:r>
      <w:r w:rsidR="005D1D0C" w:rsidRPr="00DB7156">
        <w:rPr>
          <w:rFonts w:ascii="Arial" w:hAnsi="Arial" w:cs="Arial"/>
          <w:sz w:val="24"/>
          <w:szCs w:val="24"/>
        </w:rPr>
        <w:t>all media</w:t>
      </w:r>
      <w:r w:rsidRPr="00DB7156">
        <w:rPr>
          <w:rFonts w:ascii="Arial" w:hAnsi="Arial" w:cs="Arial"/>
          <w:sz w:val="24"/>
          <w:szCs w:val="24"/>
        </w:rPr>
        <w:t xml:space="preserve"> are p</w:t>
      </w:r>
      <w:r w:rsidR="002A296A">
        <w:rPr>
          <w:rFonts w:ascii="Arial" w:hAnsi="Arial" w:cs="Arial"/>
          <w:sz w:val="24"/>
          <w:szCs w:val="24"/>
        </w:rPr>
        <w:t>rovided in Figure 4.4-1.</w:t>
      </w:r>
      <w:r w:rsidRPr="00DB7156">
        <w:rPr>
          <w:rFonts w:ascii="Arial" w:hAnsi="Arial" w:cs="Arial"/>
          <w:sz w:val="24"/>
          <w:szCs w:val="24"/>
        </w:rPr>
        <w:t xml:space="preserve"> </w:t>
      </w:r>
      <w:r w:rsidR="00810370">
        <w:rPr>
          <w:rFonts w:ascii="Arial" w:hAnsi="Arial" w:cs="Arial"/>
          <w:sz w:val="24"/>
          <w:szCs w:val="24"/>
        </w:rPr>
        <w:t>The Company continues to review each schedule and update as applicable throughout implementation of this complex and multifacted strategy. S</w:t>
      </w:r>
      <w:r w:rsidR="00DC1319">
        <w:rPr>
          <w:rFonts w:ascii="Arial" w:hAnsi="Arial" w:cs="Arial"/>
          <w:sz w:val="24"/>
          <w:szCs w:val="24"/>
        </w:rPr>
        <w:t>chedule changes</w:t>
      </w:r>
      <w:r w:rsidR="00810370">
        <w:rPr>
          <w:rFonts w:ascii="Arial" w:hAnsi="Arial" w:cs="Arial"/>
          <w:sz w:val="24"/>
          <w:szCs w:val="24"/>
        </w:rPr>
        <w:t xml:space="preserve"> that have occurred</w:t>
      </w:r>
      <w:r w:rsidR="00DC1319">
        <w:rPr>
          <w:rFonts w:ascii="Arial" w:hAnsi="Arial" w:cs="Arial"/>
          <w:sz w:val="24"/>
          <w:szCs w:val="24"/>
        </w:rPr>
        <w:t xml:space="preserve"> do not affect the Company’s ability to comply with applicable environmental requirements and timelines</w:t>
      </w:r>
      <w:r w:rsidR="00C32FDB">
        <w:rPr>
          <w:rFonts w:ascii="Arial" w:hAnsi="Arial" w:cs="Arial"/>
          <w:sz w:val="24"/>
          <w:szCs w:val="24"/>
        </w:rPr>
        <w:t>.</w:t>
      </w:r>
      <w:r w:rsidR="00690D7A" w:rsidRPr="00690D7A">
        <w:rPr>
          <w:rFonts w:ascii="Arial" w:hAnsi="Arial" w:cs="Arial"/>
          <w:sz w:val="24"/>
          <w:szCs w:val="24"/>
        </w:rPr>
        <w:t xml:space="preserve"> The environmental compliance strategy schedule as shown in Figure 4.4-1 does not reflect the retirement of Plant Hammond and Plant McIntosh.</w:t>
      </w:r>
    </w:p>
    <w:p w14:paraId="75471610" w14:textId="27B1FCA3" w:rsidR="00EA4DCA" w:rsidRPr="00194F7F" w:rsidRDefault="0066746E" w:rsidP="00194F7F">
      <w:pPr>
        <w:spacing w:after="0" w:line="240" w:lineRule="auto"/>
        <w:jc w:val="both"/>
        <w:rPr>
          <w:rFonts w:ascii="Arial" w:hAnsi="Arial" w:cs="Arial"/>
          <w:b/>
          <w:sz w:val="12"/>
          <w:szCs w:val="24"/>
        </w:rPr>
      </w:pPr>
      <w:r w:rsidRPr="0066746E">
        <w:rPr>
          <w:rFonts w:ascii="Arial" w:hAnsi="Arial" w:cs="Arial"/>
          <w:b/>
          <w:noProof/>
          <w:sz w:val="12"/>
          <w:szCs w:val="24"/>
        </w:rPr>
        <w:drawing>
          <wp:inline distT="0" distB="0" distL="0" distR="0" wp14:anchorId="7235D11A" wp14:editId="474FD566">
            <wp:extent cx="5943600" cy="44507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43600" cy="4450715"/>
                    </a:xfrm>
                    <a:prstGeom prst="rect">
                      <a:avLst/>
                    </a:prstGeom>
                  </pic:spPr>
                </pic:pic>
              </a:graphicData>
            </a:graphic>
          </wp:inline>
        </w:drawing>
      </w:r>
    </w:p>
    <w:p w14:paraId="064FDC94" w14:textId="40CDC3E0" w:rsidR="002F3B05" w:rsidRDefault="002F3B05" w:rsidP="002F3B05">
      <w:pPr>
        <w:spacing w:after="0" w:line="240" w:lineRule="auto"/>
        <w:rPr>
          <w:rFonts w:ascii="Arial" w:hAnsi="Arial" w:cs="Arial"/>
          <w:b/>
          <w:sz w:val="24"/>
          <w:szCs w:val="24"/>
        </w:rPr>
      </w:pPr>
      <w:r w:rsidRPr="00461AC7">
        <w:rPr>
          <w:rFonts w:ascii="Arial" w:hAnsi="Arial" w:cs="Arial"/>
          <w:b/>
          <w:sz w:val="24"/>
          <w:szCs w:val="24"/>
        </w:rPr>
        <w:t xml:space="preserve">Figure 4.4-1 </w:t>
      </w:r>
      <w:r>
        <w:rPr>
          <w:rFonts w:ascii="Arial" w:hAnsi="Arial" w:cs="Arial"/>
          <w:b/>
          <w:sz w:val="24"/>
          <w:szCs w:val="24"/>
        </w:rPr>
        <w:t xml:space="preserve">2018 </w:t>
      </w:r>
      <w:r w:rsidRPr="00461AC7">
        <w:rPr>
          <w:rFonts w:ascii="Arial" w:hAnsi="Arial" w:cs="Arial"/>
          <w:b/>
          <w:sz w:val="24"/>
          <w:szCs w:val="24"/>
        </w:rPr>
        <w:t xml:space="preserve">Environmental Compliance </w:t>
      </w:r>
      <w:r>
        <w:rPr>
          <w:rFonts w:ascii="Arial" w:hAnsi="Arial" w:cs="Arial"/>
          <w:b/>
          <w:sz w:val="24"/>
          <w:szCs w:val="24"/>
        </w:rPr>
        <w:t xml:space="preserve">Strategy </w:t>
      </w:r>
      <w:r w:rsidRPr="00461AC7">
        <w:rPr>
          <w:rFonts w:ascii="Arial" w:hAnsi="Arial" w:cs="Arial"/>
          <w:b/>
          <w:sz w:val="24"/>
          <w:szCs w:val="24"/>
        </w:rPr>
        <w:t>Schedule</w:t>
      </w:r>
    </w:p>
    <w:p w14:paraId="22BA5235" w14:textId="1AECD753" w:rsidR="00535D21" w:rsidRDefault="00522684" w:rsidP="00DB7156">
      <w:pPr>
        <w:spacing w:after="0" w:line="240" w:lineRule="auto"/>
        <w:jc w:val="both"/>
        <w:rPr>
          <w:rFonts w:ascii="Arial" w:hAnsi="Arial" w:cs="Arial"/>
          <w:b/>
          <w:sz w:val="24"/>
          <w:szCs w:val="24"/>
        </w:rPr>
      </w:pP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sidRPr="00522684">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r>
        <w:rPr>
          <w:rFonts w:ascii="Arial" w:hAnsi="Arial" w:cs="Arial"/>
          <w:b/>
          <w:sz w:val="24"/>
          <w:szCs w:val="24"/>
        </w:rPr>
        <w:t xml:space="preserve"> </w:t>
      </w:r>
      <w:r w:rsidRPr="00DD153C">
        <w:rPr>
          <w:rFonts w:ascii="Arial" w:hAnsi="Arial" w:cs="Arial"/>
          <w:b/>
          <w:sz w:val="24"/>
          <w:szCs w:val="24"/>
        </w:rPr>
        <w:t>REDACTED</w:t>
      </w:r>
    </w:p>
    <w:p w14:paraId="0B0D4CB8" w14:textId="77777777" w:rsidR="00522684" w:rsidRPr="00DB7156" w:rsidRDefault="00522684" w:rsidP="00DB7156">
      <w:pPr>
        <w:spacing w:after="0" w:line="240" w:lineRule="auto"/>
        <w:jc w:val="both"/>
        <w:rPr>
          <w:rFonts w:ascii="Arial" w:hAnsi="Arial" w:cs="Arial"/>
          <w:sz w:val="24"/>
          <w:szCs w:val="24"/>
        </w:rPr>
      </w:pPr>
    </w:p>
    <w:p w14:paraId="22BA5236" w14:textId="0B8D1882" w:rsidR="0066082C" w:rsidRDefault="00A7509F" w:rsidP="00DB7156">
      <w:pPr>
        <w:spacing w:after="0" w:line="240" w:lineRule="auto"/>
        <w:jc w:val="both"/>
        <w:rPr>
          <w:rFonts w:ascii="Arial" w:hAnsi="Arial" w:cs="Arial"/>
          <w:b/>
          <w:sz w:val="24"/>
          <w:szCs w:val="24"/>
        </w:rPr>
      </w:pPr>
      <w:r w:rsidRPr="00DB7156">
        <w:rPr>
          <w:rFonts w:ascii="Arial" w:hAnsi="Arial" w:cs="Arial"/>
          <w:sz w:val="24"/>
          <w:szCs w:val="24"/>
        </w:rPr>
        <w:t>For t</w:t>
      </w:r>
      <w:r w:rsidR="00DE073A" w:rsidRPr="00DB7156">
        <w:rPr>
          <w:rFonts w:ascii="Arial" w:hAnsi="Arial" w:cs="Arial"/>
          <w:sz w:val="24"/>
          <w:szCs w:val="24"/>
        </w:rPr>
        <w:t xml:space="preserve">he land and water compliance schedule,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sidRP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sidRP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sidRP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sidRP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sidRP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r w:rsidR="00522684" w:rsidRPr="00522684">
        <w:rPr>
          <w:rFonts w:ascii="Arial" w:hAnsi="Arial" w:cs="Arial"/>
          <w:b/>
          <w:sz w:val="24"/>
          <w:szCs w:val="24"/>
        </w:rPr>
        <w:t xml:space="preserve"> </w:t>
      </w:r>
      <w:r w:rsidR="00522684" w:rsidRPr="00DD153C">
        <w:rPr>
          <w:rFonts w:ascii="Arial" w:hAnsi="Arial" w:cs="Arial"/>
          <w:b/>
          <w:sz w:val="24"/>
          <w:szCs w:val="24"/>
        </w:rPr>
        <w:t>REDACTED</w:t>
      </w:r>
      <w:r w:rsidR="00522684">
        <w:rPr>
          <w:rFonts w:ascii="Arial" w:hAnsi="Arial" w:cs="Arial"/>
          <w:b/>
          <w:sz w:val="24"/>
          <w:szCs w:val="24"/>
        </w:rPr>
        <w:t xml:space="preserve"> </w:t>
      </w:r>
      <w:r w:rsidR="00522684" w:rsidRPr="00DD153C">
        <w:rPr>
          <w:rFonts w:ascii="Arial" w:hAnsi="Arial" w:cs="Arial"/>
          <w:b/>
          <w:sz w:val="24"/>
          <w:szCs w:val="24"/>
        </w:rPr>
        <w:t>REDACTED</w:t>
      </w:r>
    </w:p>
    <w:p w14:paraId="22BA5237" w14:textId="77777777" w:rsidR="0066082C" w:rsidRPr="00DB7156" w:rsidRDefault="0066082C" w:rsidP="00DB7156">
      <w:pPr>
        <w:spacing w:after="0" w:line="240" w:lineRule="auto"/>
        <w:jc w:val="both"/>
        <w:rPr>
          <w:rFonts w:ascii="Arial" w:hAnsi="Arial" w:cs="Arial"/>
          <w:sz w:val="24"/>
          <w:szCs w:val="24"/>
        </w:rPr>
      </w:pPr>
    </w:p>
    <w:p w14:paraId="22BA5238" w14:textId="787F8C31" w:rsidR="00C2318B" w:rsidRPr="00DB7156" w:rsidRDefault="00DE073A" w:rsidP="00DB7156">
      <w:pPr>
        <w:spacing w:after="0" w:line="240" w:lineRule="auto"/>
        <w:jc w:val="both"/>
        <w:rPr>
          <w:rFonts w:ascii="Arial" w:hAnsi="Arial" w:cs="Arial"/>
          <w:sz w:val="24"/>
          <w:szCs w:val="24"/>
        </w:rPr>
      </w:pPr>
      <w:r w:rsidRPr="00DB7156">
        <w:rPr>
          <w:rFonts w:ascii="Arial" w:hAnsi="Arial" w:cs="Arial"/>
          <w:sz w:val="24"/>
          <w:szCs w:val="24"/>
        </w:rPr>
        <w:t>In addition to those projects included in the schedule</w:t>
      </w:r>
      <w:r w:rsidR="008356C9" w:rsidRPr="00DB7156">
        <w:rPr>
          <w:rFonts w:ascii="Arial" w:hAnsi="Arial" w:cs="Arial"/>
          <w:sz w:val="24"/>
          <w:szCs w:val="24"/>
        </w:rPr>
        <w:t xml:space="preserve"> above</w:t>
      </w:r>
      <w:r w:rsidRPr="00DB7156">
        <w:rPr>
          <w:rFonts w:ascii="Arial" w:hAnsi="Arial" w:cs="Arial"/>
          <w:sz w:val="24"/>
          <w:szCs w:val="24"/>
        </w:rPr>
        <w:t>, additional compliance obligations are possible as a result of new or revised future rules.</w:t>
      </w:r>
      <w:r w:rsidR="000B6ED7" w:rsidRPr="00DB7156">
        <w:rPr>
          <w:rFonts w:ascii="Arial" w:hAnsi="Arial" w:cs="Arial"/>
          <w:sz w:val="24"/>
          <w:szCs w:val="24"/>
        </w:rPr>
        <w:t xml:space="preserve">  </w:t>
      </w:r>
    </w:p>
    <w:p w14:paraId="22BA5239" w14:textId="77777777" w:rsidR="00752263" w:rsidRPr="00DB7156" w:rsidRDefault="00752263" w:rsidP="00DB7156">
      <w:pPr>
        <w:spacing w:after="0" w:line="240" w:lineRule="auto"/>
        <w:jc w:val="both"/>
        <w:rPr>
          <w:rFonts w:ascii="Arial" w:hAnsi="Arial" w:cs="Arial"/>
          <w:sz w:val="24"/>
          <w:szCs w:val="24"/>
        </w:rPr>
      </w:pPr>
    </w:p>
    <w:p w14:paraId="22BA523A" w14:textId="77777777" w:rsidR="00752263" w:rsidRPr="00DB7156" w:rsidRDefault="00752263" w:rsidP="00DB7156">
      <w:pPr>
        <w:autoSpaceDE w:val="0"/>
        <w:autoSpaceDN w:val="0"/>
        <w:adjustRightInd w:val="0"/>
        <w:spacing w:after="0" w:line="240" w:lineRule="auto"/>
        <w:jc w:val="both"/>
        <w:outlineLvl w:val="1"/>
        <w:rPr>
          <w:rFonts w:ascii="Arial" w:hAnsi="Arial" w:cs="Arial"/>
          <w:b/>
          <w:bCs/>
          <w:color w:val="000080"/>
          <w:sz w:val="24"/>
          <w:szCs w:val="24"/>
        </w:rPr>
      </w:pPr>
      <w:bookmarkStart w:id="231" w:name="_Toc496107766"/>
      <w:bookmarkStart w:id="232" w:name="_Toc527987359"/>
      <w:bookmarkStart w:id="233" w:name="_Toc527983906"/>
      <w:bookmarkStart w:id="234" w:name="_Toc530487292"/>
      <w:bookmarkStart w:id="235" w:name="_Toc535908160"/>
      <w:r w:rsidRPr="00DB7156">
        <w:rPr>
          <w:rFonts w:ascii="Arial" w:hAnsi="Arial" w:cs="Arial"/>
          <w:b/>
          <w:bCs/>
          <w:color w:val="000080"/>
          <w:sz w:val="24"/>
          <w:szCs w:val="24"/>
        </w:rPr>
        <w:t>4.5</w:t>
      </w:r>
      <w:r w:rsidRPr="00DB7156">
        <w:rPr>
          <w:rFonts w:ascii="Arial" w:hAnsi="Arial" w:cs="Arial"/>
          <w:b/>
          <w:bCs/>
          <w:color w:val="000080"/>
          <w:sz w:val="24"/>
          <w:szCs w:val="24"/>
        </w:rPr>
        <w:tab/>
        <w:t>Financial Summary</w:t>
      </w:r>
      <w:bookmarkEnd w:id="231"/>
      <w:bookmarkEnd w:id="232"/>
      <w:bookmarkEnd w:id="233"/>
      <w:bookmarkEnd w:id="234"/>
      <w:bookmarkEnd w:id="235"/>
    </w:p>
    <w:p w14:paraId="22BA523B" w14:textId="77777777" w:rsidR="00752263" w:rsidRPr="00DB7156" w:rsidRDefault="00752263" w:rsidP="00DB7156">
      <w:pPr>
        <w:tabs>
          <w:tab w:val="left" w:pos="720"/>
          <w:tab w:val="left" w:pos="1080"/>
        </w:tabs>
        <w:spacing w:after="0" w:line="240" w:lineRule="auto"/>
        <w:jc w:val="both"/>
        <w:rPr>
          <w:rFonts w:ascii="Arial" w:hAnsi="Arial" w:cs="Arial"/>
          <w:bCs/>
        </w:rPr>
      </w:pPr>
    </w:p>
    <w:p w14:paraId="3D0FA5F8" w14:textId="538C2E64" w:rsidR="00436855" w:rsidRDefault="00EE3A8D" w:rsidP="00DB7156">
      <w:pPr>
        <w:autoSpaceDE w:val="0"/>
        <w:autoSpaceDN w:val="0"/>
        <w:adjustRightInd w:val="0"/>
        <w:spacing w:after="0" w:line="240" w:lineRule="auto"/>
        <w:jc w:val="both"/>
        <w:rPr>
          <w:rFonts w:ascii="Arial" w:hAnsi="Arial" w:cs="Arial"/>
          <w:bCs/>
          <w:color w:val="000000"/>
          <w:sz w:val="24"/>
          <w:szCs w:val="24"/>
        </w:rPr>
      </w:pPr>
      <w:r w:rsidRPr="00DB7156">
        <w:rPr>
          <w:rFonts w:ascii="Arial" w:hAnsi="Arial" w:cs="Arial"/>
          <w:sz w:val="24"/>
          <w:szCs w:val="24"/>
        </w:rPr>
        <w:t xml:space="preserve">Through </w:t>
      </w:r>
      <w:r w:rsidR="00754588" w:rsidRPr="00DB7156">
        <w:rPr>
          <w:rFonts w:ascii="Arial" w:hAnsi="Arial" w:cs="Arial"/>
          <w:sz w:val="24"/>
          <w:szCs w:val="24"/>
        </w:rPr>
        <w:t>201</w:t>
      </w:r>
      <w:r w:rsidR="006B772B" w:rsidRPr="00DB7156">
        <w:rPr>
          <w:rFonts w:ascii="Arial" w:hAnsi="Arial" w:cs="Arial"/>
          <w:sz w:val="24"/>
          <w:szCs w:val="24"/>
        </w:rPr>
        <w:t>7</w:t>
      </w:r>
      <w:r w:rsidRPr="00DB7156">
        <w:rPr>
          <w:rFonts w:ascii="Arial" w:hAnsi="Arial" w:cs="Arial"/>
          <w:sz w:val="24"/>
          <w:szCs w:val="24"/>
        </w:rPr>
        <w:t>, Georgia Power has invested approximately $</w:t>
      </w:r>
      <w:r w:rsidR="00CE7544" w:rsidRPr="00DB7156">
        <w:rPr>
          <w:rFonts w:ascii="Arial" w:hAnsi="Arial" w:cs="Arial"/>
          <w:sz w:val="24"/>
          <w:szCs w:val="24"/>
        </w:rPr>
        <w:t>5</w:t>
      </w:r>
      <w:r w:rsidRPr="00DB7156">
        <w:rPr>
          <w:rFonts w:ascii="Arial" w:hAnsi="Arial" w:cs="Arial"/>
          <w:sz w:val="24"/>
          <w:szCs w:val="24"/>
        </w:rPr>
        <w:t>.</w:t>
      </w:r>
      <w:r w:rsidR="006B772B" w:rsidRPr="00DB7156">
        <w:rPr>
          <w:rFonts w:ascii="Arial" w:hAnsi="Arial" w:cs="Arial"/>
          <w:sz w:val="24"/>
          <w:szCs w:val="24"/>
        </w:rPr>
        <w:t>5</w:t>
      </w:r>
      <w:r w:rsidR="00754588" w:rsidRPr="00DB7156">
        <w:rPr>
          <w:rFonts w:ascii="Arial" w:hAnsi="Arial" w:cs="Arial"/>
          <w:sz w:val="24"/>
          <w:szCs w:val="24"/>
        </w:rPr>
        <w:t xml:space="preserve"> </w:t>
      </w:r>
      <w:r w:rsidRPr="00DB7156">
        <w:rPr>
          <w:rFonts w:ascii="Arial" w:hAnsi="Arial" w:cs="Arial"/>
          <w:sz w:val="24"/>
          <w:szCs w:val="24"/>
        </w:rPr>
        <w:t xml:space="preserve">billion in capital projects to comply with applicable environmental statutes. </w:t>
      </w:r>
      <w:r w:rsidR="00754588" w:rsidRPr="00DB7156">
        <w:rPr>
          <w:rFonts w:ascii="Arial" w:hAnsi="Arial" w:cs="Arial"/>
          <w:sz w:val="24"/>
          <w:szCs w:val="24"/>
        </w:rPr>
        <w:t>G</w:t>
      </w:r>
      <w:r w:rsidR="00AF4B83">
        <w:rPr>
          <w:rFonts w:ascii="Arial" w:hAnsi="Arial" w:cs="Arial"/>
          <w:sz w:val="24"/>
          <w:szCs w:val="24"/>
        </w:rPr>
        <w:t>eorgia Power’</w:t>
      </w:r>
      <w:r w:rsidR="00754588" w:rsidRPr="00DB7156">
        <w:rPr>
          <w:rFonts w:ascii="Arial" w:hAnsi="Arial" w:cs="Arial"/>
          <w:sz w:val="24"/>
          <w:szCs w:val="24"/>
        </w:rPr>
        <w:t xml:space="preserve">s annual totals </w:t>
      </w:r>
      <w:r w:rsidR="000F77C9">
        <w:rPr>
          <w:rFonts w:ascii="Arial" w:hAnsi="Arial" w:cs="Arial"/>
          <w:sz w:val="24"/>
          <w:szCs w:val="24"/>
        </w:rPr>
        <w:t>were</w:t>
      </w:r>
      <w:r w:rsidR="00754588" w:rsidRPr="00DB7156">
        <w:rPr>
          <w:rFonts w:ascii="Arial" w:hAnsi="Arial" w:cs="Arial"/>
          <w:sz w:val="24"/>
          <w:szCs w:val="24"/>
        </w:rPr>
        <w:t xml:space="preserve"> $0.</w:t>
      </w:r>
      <w:r w:rsidR="006B772B" w:rsidRPr="00DB7156">
        <w:rPr>
          <w:rFonts w:ascii="Arial" w:hAnsi="Arial" w:cs="Arial"/>
          <w:sz w:val="24"/>
          <w:szCs w:val="24"/>
        </w:rPr>
        <w:t>3</w:t>
      </w:r>
      <w:r w:rsidR="00754588" w:rsidRPr="00DB7156">
        <w:rPr>
          <w:rFonts w:ascii="Arial" w:hAnsi="Arial" w:cs="Arial"/>
          <w:sz w:val="24"/>
          <w:szCs w:val="24"/>
        </w:rPr>
        <w:t xml:space="preserve"> billion, $0.</w:t>
      </w:r>
      <w:r w:rsidR="006B772B" w:rsidRPr="00DB7156">
        <w:rPr>
          <w:rFonts w:ascii="Arial" w:hAnsi="Arial" w:cs="Arial"/>
          <w:sz w:val="24"/>
          <w:szCs w:val="24"/>
        </w:rPr>
        <w:t>2</w:t>
      </w:r>
      <w:r w:rsidR="00754588" w:rsidRPr="00DB7156">
        <w:rPr>
          <w:rFonts w:ascii="Arial" w:hAnsi="Arial" w:cs="Arial"/>
          <w:sz w:val="24"/>
          <w:szCs w:val="24"/>
        </w:rPr>
        <w:t xml:space="preserve"> billion, and $0.</w:t>
      </w:r>
      <w:r w:rsidR="00541739" w:rsidRPr="00DB7156">
        <w:rPr>
          <w:rFonts w:ascii="Arial" w:hAnsi="Arial" w:cs="Arial"/>
          <w:sz w:val="24"/>
          <w:szCs w:val="24"/>
        </w:rPr>
        <w:t>3</w:t>
      </w:r>
      <w:r w:rsidR="00754588" w:rsidRPr="00DB7156">
        <w:rPr>
          <w:rFonts w:ascii="Arial" w:hAnsi="Arial" w:cs="Arial"/>
          <w:sz w:val="24"/>
          <w:szCs w:val="24"/>
        </w:rPr>
        <w:t xml:space="preserve"> billion in 201</w:t>
      </w:r>
      <w:r w:rsidR="006B772B" w:rsidRPr="00DB7156">
        <w:rPr>
          <w:rFonts w:ascii="Arial" w:hAnsi="Arial" w:cs="Arial"/>
          <w:sz w:val="24"/>
          <w:szCs w:val="24"/>
        </w:rPr>
        <w:t>7</w:t>
      </w:r>
      <w:r w:rsidR="00754588" w:rsidRPr="00DB7156">
        <w:rPr>
          <w:rFonts w:ascii="Arial" w:hAnsi="Arial" w:cs="Arial"/>
          <w:sz w:val="24"/>
          <w:szCs w:val="24"/>
        </w:rPr>
        <w:t>, 201</w:t>
      </w:r>
      <w:r w:rsidR="006B772B" w:rsidRPr="00DB7156">
        <w:rPr>
          <w:rFonts w:ascii="Arial" w:hAnsi="Arial" w:cs="Arial"/>
          <w:sz w:val="24"/>
          <w:szCs w:val="24"/>
        </w:rPr>
        <w:t>6</w:t>
      </w:r>
      <w:r w:rsidR="00754588" w:rsidRPr="00DB7156">
        <w:rPr>
          <w:rFonts w:ascii="Arial" w:hAnsi="Arial" w:cs="Arial"/>
          <w:sz w:val="24"/>
          <w:szCs w:val="24"/>
        </w:rPr>
        <w:t>, and 201</w:t>
      </w:r>
      <w:r w:rsidR="006B772B" w:rsidRPr="00DB7156">
        <w:rPr>
          <w:rFonts w:ascii="Arial" w:hAnsi="Arial" w:cs="Arial"/>
          <w:sz w:val="24"/>
          <w:szCs w:val="24"/>
        </w:rPr>
        <w:t>5</w:t>
      </w:r>
      <w:r w:rsidR="00754588" w:rsidRPr="00DB7156">
        <w:rPr>
          <w:rFonts w:ascii="Arial" w:hAnsi="Arial" w:cs="Arial"/>
          <w:sz w:val="24"/>
          <w:szCs w:val="24"/>
        </w:rPr>
        <w:t>, respectively</w:t>
      </w:r>
      <w:r w:rsidRPr="00DB7156">
        <w:rPr>
          <w:rFonts w:ascii="Arial" w:hAnsi="Arial" w:cs="Arial"/>
          <w:sz w:val="24"/>
          <w:szCs w:val="24"/>
        </w:rPr>
        <w:t xml:space="preserve">. In </w:t>
      </w:r>
      <w:r w:rsidRPr="00DB7156">
        <w:rPr>
          <w:rFonts w:ascii="Arial" w:hAnsi="Arial" w:cs="Arial"/>
          <w:iCs/>
          <w:color w:val="000000"/>
          <w:sz w:val="24"/>
          <w:szCs w:val="24"/>
        </w:rPr>
        <w:t xml:space="preserve">Georgia Power’s Annual Report on Form 10-K for the year ended December 31, </w:t>
      </w:r>
      <w:r w:rsidR="00754588" w:rsidRPr="00DB7156">
        <w:rPr>
          <w:rFonts w:ascii="Arial" w:hAnsi="Arial" w:cs="Arial"/>
          <w:iCs/>
          <w:color w:val="000000"/>
          <w:sz w:val="24"/>
          <w:szCs w:val="24"/>
        </w:rPr>
        <w:t>201</w:t>
      </w:r>
      <w:r w:rsidR="006B772B" w:rsidRPr="00DB7156">
        <w:rPr>
          <w:rFonts w:ascii="Arial" w:hAnsi="Arial" w:cs="Arial"/>
          <w:iCs/>
          <w:color w:val="000000"/>
          <w:sz w:val="24"/>
          <w:szCs w:val="24"/>
        </w:rPr>
        <w:t>7</w:t>
      </w:r>
      <w:r w:rsidRPr="00DB7156">
        <w:rPr>
          <w:rFonts w:ascii="Arial" w:hAnsi="Arial" w:cs="Arial"/>
          <w:iCs/>
          <w:color w:val="000000"/>
          <w:sz w:val="24"/>
          <w:szCs w:val="24"/>
        </w:rPr>
        <w:t xml:space="preserve">, </w:t>
      </w:r>
      <w:r w:rsidRPr="00DB7156">
        <w:rPr>
          <w:rFonts w:ascii="Arial" w:hAnsi="Arial" w:cs="Arial"/>
          <w:sz w:val="24"/>
          <w:szCs w:val="24"/>
        </w:rPr>
        <w:t xml:space="preserve">Georgia Power projected that base level capital expenditures to comply with existing statutes and regulations will be a total of approximately </w:t>
      </w:r>
      <w:r w:rsidRPr="00DB7156">
        <w:rPr>
          <w:rFonts w:ascii="Arial" w:hAnsi="Arial" w:cs="Arial"/>
          <w:bCs/>
          <w:color w:val="000000"/>
          <w:sz w:val="24"/>
          <w:szCs w:val="24"/>
        </w:rPr>
        <w:t>$</w:t>
      </w:r>
      <w:r w:rsidR="0060532F" w:rsidRPr="00DB7156">
        <w:rPr>
          <w:rFonts w:ascii="Arial" w:hAnsi="Arial" w:cs="Arial"/>
          <w:bCs/>
          <w:color w:val="000000"/>
          <w:sz w:val="24"/>
          <w:szCs w:val="24"/>
        </w:rPr>
        <w:t>1.2</w:t>
      </w:r>
      <w:r w:rsidR="00754588" w:rsidRPr="00DB7156">
        <w:rPr>
          <w:rFonts w:ascii="Arial" w:hAnsi="Arial" w:cs="Arial"/>
          <w:bCs/>
          <w:color w:val="000000"/>
          <w:sz w:val="24"/>
          <w:szCs w:val="24"/>
        </w:rPr>
        <w:t xml:space="preserve"> billion from 201</w:t>
      </w:r>
      <w:r w:rsidR="006B772B" w:rsidRPr="00DB7156">
        <w:rPr>
          <w:rFonts w:ascii="Arial" w:hAnsi="Arial" w:cs="Arial"/>
          <w:bCs/>
          <w:color w:val="000000"/>
          <w:sz w:val="24"/>
          <w:szCs w:val="24"/>
        </w:rPr>
        <w:t>8</w:t>
      </w:r>
      <w:r w:rsidR="00754588" w:rsidRPr="00DB7156">
        <w:rPr>
          <w:rFonts w:ascii="Arial" w:hAnsi="Arial" w:cs="Arial"/>
          <w:bCs/>
          <w:color w:val="000000"/>
          <w:sz w:val="24"/>
          <w:szCs w:val="24"/>
        </w:rPr>
        <w:t xml:space="preserve"> through 20</w:t>
      </w:r>
      <w:r w:rsidR="0060532F" w:rsidRPr="00DB7156">
        <w:rPr>
          <w:rFonts w:ascii="Arial" w:hAnsi="Arial" w:cs="Arial"/>
          <w:bCs/>
          <w:color w:val="000000"/>
          <w:sz w:val="24"/>
          <w:szCs w:val="24"/>
        </w:rPr>
        <w:t>2</w:t>
      </w:r>
      <w:r w:rsidR="006B772B" w:rsidRPr="00DB7156">
        <w:rPr>
          <w:rFonts w:ascii="Arial" w:hAnsi="Arial" w:cs="Arial"/>
          <w:bCs/>
          <w:color w:val="000000"/>
          <w:sz w:val="24"/>
          <w:szCs w:val="24"/>
        </w:rPr>
        <w:t>2</w:t>
      </w:r>
      <w:r w:rsidR="00754588" w:rsidRPr="00DB7156">
        <w:rPr>
          <w:rFonts w:ascii="Arial" w:hAnsi="Arial" w:cs="Arial"/>
          <w:bCs/>
          <w:color w:val="000000"/>
          <w:sz w:val="24"/>
          <w:szCs w:val="24"/>
        </w:rPr>
        <w:t>, with annual totals of approximately $0.</w:t>
      </w:r>
      <w:r w:rsidR="006B772B" w:rsidRPr="00DB7156">
        <w:rPr>
          <w:rFonts w:ascii="Arial" w:hAnsi="Arial" w:cs="Arial"/>
          <w:bCs/>
          <w:color w:val="000000"/>
          <w:sz w:val="24"/>
          <w:szCs w:val="24"/>
        </w:rPr>
        <w:t>5</w:t>
      </w:r>
      <w:r w:rsidR="00754588" w:rsidRPr="00DB7156">
        <w:rPr>
          <w:rFonts w:ascii="Arial" w:hAnsi="Arial" w:cs="Arial"/>
          <w:bCs/>
          <w:color w:val="000000"/>
          <w:sz w:val="24"/>
          <w:szCs w:val="24"/>
        </w:rPr>
        <w:t xml:space="preserve"> billion, $0.</w:t>
      </w:r>
      <w:r w:rsidR="00AB4E15" w:rsidRPr="00DB7156" w:rsidDel="006B772B">
        <w:rPr>
          <w:rFonts w:ascii="Arial" w:hAnsi="Arial" w:cs="Arial"/>
          <w:bCs/>
          <w:color w:val="000000"/>
          <w:sz w:val="24"/>
          <w:szCs w:val="24"/>
        </w:rPr>
        <w:t>1</w:t>
      </w:r>
      <w:r w:rsidR="00754588" w:rsidRPr="00DB7156">
        <w:rPr>
          <w:rFonts w:ascii="Arial" w:hAnsi="Arial" w:cs="Arial"/>
          <w:bCs/>
          <w:color w:val="000000"/>
          <w:sz w:val="24"/>
          <w:szCs w:val="24"/>
        </w:rPr>
        <w:t xml:space="preserve"> billion</w:t>
      </w:r>
      <w:r w:rsidR="0060532F" w:rsidRPr="00DB7156">
        <w:rPr>
          <w:rFonts w:ascii="Arial" w:hAnsi="Arial" w:cs="Arial"/>
          <w:bCs/>
          <w:color w:val="000000"/>
          <w:sz w:val="24"/>
          <w:szCs w:val="24"/>
        </w:rPr>
        <w:t>, $0.2 billion</w:t>
      </w:r>
      <w:r w:rsidR="002972FF" w:rsidRPr="00DB7156">
        <w:rPr>
          <w:rFonts w:ascii="Arial" w:hAnsi="Arial" w:cs="Arial"/>
          <w:bCs/>
          <w:color w:val="000000"/>
          <w:sz w:val="24"/>
          <w:szCs w:val="24"/>
        </w:rPr>
        <w:t>,</w:t>
      </w:r>
      <w:r w:rsidR="0060532F" w:rsidRPr="00DB7156">
        <w:rPr>
          <w:rFonts w:ascii="Arial" w:hAnsi="Arial" w:cs="Arial"/>
          <w:bCs/>
          <w:color w:val="000000"/>
          <w:sz w:val="24"/>
          <w:szCs w:val="24"/>
        </w:rPr>
        <w:t xml:space="preserve"> $0.2 billion</w:t>
      </w:r>
      <w:r w:rsidR="002972FF" w:rsidRPr="00DB7156">
        <w:rPr>
          <w:rFonts w:ascii="Arial" w:hAnsi="Arial" w:cs="Arial"/>
          <w:bCs/>
          <w:color w:val="000000"/>
          <w:sz w:val="24"/>
          <w:szCs w:val="24"/>
        </w:rPr>
        <w:t>,</w:t>
      </w:r>
      <w:r w:rsidR="0060532F" w:rsidRPr="00DB7156">
        <w:rPr>
          <w:rFonts w:ascii="Arial" w:hAnsi="Arial" w:cs="Arial"/>
          <w:bCs/>
          <w:color w:val="000000"/>
          <w:sz w:val="24"/>
          <w:szCs w:val="24"/>
        </w:rPr>
        <w:t xml:space="preserve"> and $0.2 billion</w:t>
      </w:r>
      <w:r w:rsidR="00754588" w:rsidRPr="00DB7156">
        <w:rPr>
          <w:rFonts w:ascii="Arial" w:hAnsi="Arial" w:cs="Arial"/>
          <w:bCs/>
          <w:color w:val="000000"/>
          <w:sz w:val="24"/>
          <w:szCs w:val="24"/>
        </w:rPr>
        <w:t xml:space="preserve"> for 201</w:t>
      </w:r>
      <w:r w:rsidR="006B772B" w:rsidRPr="00DB7156">
        <w:rPr>
          <w:rFonts w:ascii="Arial" w:hAnsi="Arial" w:cs="Arial"/>
          <w:bCs/>
          <w:color w:val="000000"/>
          <w:sz w:val="24"/>
          <w:szCs w:val="24"/>
        </w:rPr>
        <w:t>8</w:t>
      </w:r>
      <w:r w:rsidR="00754588" w:rsidRPr="00DB7156">
        <w:rPr>
          <w:rFonts w:ascii="Arial" w:hAnsi="Arial" w:cs="Arial"/>
          <w:bCs/>
          <w:color w:val="000000"/>
          <w:sz w:val="24"/>
          <w:szCs w:val="24"/>
        </w:rPr>
        <w:t xml:space="preserve">, </w:t>
      </w:r>
      <w:r w:rsidR="002972FF" w:rsidRPr="00DB7156">
        <w:rPr>
          <w:rFonts w:ascii="Arial" w:hAnsi="Arial" w:cs="Arial"/>
          <w:bCs/>
          <w:color w:val="000000"/>
          <w:sz w:val="24"/>
          <w:szCs w:val="24"/>
        </w:rPr>
        <w:t>201</w:t>
      </w:r>
      <w:r w:rsidR="006B772B" w:rsidRPr="00DB7156">
        <w:rPr>
          <w:rFonts w:ascii="Arial" w:hAnsi="Arial" w:cs="Arial"/>
          <w:bCs/>
          <w:color w:val="000000"/>
          <w:sz w:val="24"/>
          <w:szCs w:val="24"/>
        </w:rPr>
        <w:t>9</w:t>
      </w:r>
      <w:r w:rsidR="002972FF" w:rsidRPr="00DB7156">
        <w:rPr>
          <w:rFonts w:ascii="Arial" w:hAnsi="Arial" w:cs="Arial"/>
          <w:bCs/>
          <w:color w:val="000000"/>
          <w:sz w:val="24"/>
          <w:szCs w:val="24"/>
        </w:rPr>
        <w:t>, 20</w:t>
      </w:r>
      <w:r w:rsidR="006B772B" w:rsidRPr="00DB7156">
        <w:rPr>
          <w:rFonts w:ascii="Arial" w:hAnsi="Arial" w:cs="Arial"/>
          <w:bCs/>
          <w:color w:val="000000"/>
          <w:sz w:val="24"/>
          <w:szCs w:val="24"/>
        </w:rPr>
        <w:t>20</w:t>
      </w:r>
      <w:r w:rsidR="00754588" w:rsidRPr="00DB7156">
        <w:rPr>
          <w:rFonts w:ascii="Arial" w:hAnsi="Arial" w:cs="Arial"/>
          <w:bCs/>
          <w:color w:val="000000"/>
          <w:sz w:val="24"/>
          <w:szCs w:val="24"/>
        </w:rPr>
        <w:t>,</w:t>
      </w:r>
      <w:r w:rsidR="0060532F" w:rsidRPr="00DB7156">
        <w:rPr>
          <w:rFonts w:ascii="Arial" w:hAnsi="Arial" w:cs="Arial"/>
          <w:bCs/>
          <w:color w:val="000000"/>
          <w:sz w:val="24"/>
          <w:szCs w:val="24"/>
        </w:rPr>
        <w:t xml:space="preserve"> 202</w:t>
      </w:r>
      <w:r w:rsidR="006B772B" w:rsidRPr="00DB7156">
        <w:rPr>
          <w:rFonts w:ascii="Arial" w:hAnsi="Arial" w:cs="Arial"/>
          <w:bCs/>
          <w:color w:val="000000"/>
          <w:sz w:val="24"/>
          <w:szCs w:val="24"/>
        </w:rPr>
        <w:t>1</w:t>
      </w:r>
      <w:r w:rsidR="0060532F" w:rsidRPr="00DB7156">
        <w:rPr>
          <w:rFonts w:ascii="Arial" w:hAnsi="Arial" w:cs="Arial"/>
          <w:bCs/>
          <w:color w:val="000000"/>
          <w:sz w:val="24"/>
          <w:szCs w:val="24"/>
        </w:rPr>
        <w:t xml:space="preserve"> and 202</w:t>
      </w:r>
      <w:r w:rsidR="006B772B" w:rsidRPr="00DB7156">
        <w:rPr>
          <w:rFonts w:ascii="Arial" w:hAnsi="Arial" w:cs="Arial"/>
          <w:bCs/>
          <w:color w:val="000000"/>
          <w:sz w:val="24"/>
          <w:szCs w:val="24"/>
        </w:rPr>
        <w:t>2</w:t>
      </w:r>
      <w:r w:rsidR="00DC1319">
        <w:rPr>
          <w:rFonts w:ascii="Arial" w:hAnsi="Arial" w:cs="Arial"/>
          <w:bCs/>
          <w:color w:val="000000"/>
          <w:sz w:val="24"/>
          <w:szCs w:val="24"/>
        </w:rPr>
        <w:t>,</w:t>
      </w:r>
      <w:r w:rsidR="00754588" w:rsidRPr="00DB7156">
        <w:rPr>
          <w:rFonts w:ascii="Arial" w:hAnsi="Arial" w:cs="Arial"/>
          <w:bCs/>
          <w:color w:val="000000"/>
          <w:sz w:val="24"/>
          <w:szCs w:val="24"/>
        </w:rPr>
        <w:t xml:space="preserve"> respectively</w:t>
      </w:r>
      <w:r w:rsidR="000B4C4F" w:rsidRPr="00DB7156">
        <w:rPr>
          <w:rFonts w:ascii="Arial" w:hAnsi="Arial" w:cs="Arial"/>
          <w:bCs/>
          <w:color w:val="000000"/>
          <w:sz w:val="24"/>
          <w:szCs w:val="24"/>
        </w:rPr>
        <w:t>.</w:t>
      </w:r>
      <w:r w:rsidR="0062514D" w:rsidRPr="00DB7156">
        <w:rPr>
          <w:rFonts w:ascii="Arial" w:hAnsi="Arial" w:cs="Arial"/>
          <w:bCs/>
          <w:color w:val="000000"/>
          <w:sz w:val="24"/>
          <w:szCs w:val="24"/>
        </w:rPr>
        <w:t xml:space="preserve"> </w:t>
      </w:r>
      <w:r w:rsidR="00195DD0">
        <w:rPr>
          <w:rFonts w:ascii="Arial" w:hAnsi="Arial" w:cs="Arial"/>
          <w:bCs/>
          <w:color w:val="000000"/>
          <w:sz w:val="24"/>
          <w:szCs w:val="24"/>
        </w:rPr>
        <w:t xml:space="preserve">The </w:t>
      </w:r>
      <w:r w:rsidR="001E3862">
        <w:rPr>
          <w:rFonts w:ascii="Arial" w:hAnsi="Arial" w:cs="Arial"/>
          <w:bCs/>
          <w:color w:val="000000"/>
          <w:sz w:val="24"/>
          <w:szCs w:val="24"/>
        </w:rPr>
        <w:t>environmental</w:t>
      </w:r>
      <w:r w:rsidR="000E7D16">
        <w:rPr>
          <w:rFonts w:ascii="Arial" w:hAnsi="Arial" w:cs="Arial"/>
          <w:bCs/>
          <w:color w:val="000000"/>
          <w:sz w:val="24"/>
          <w:szCs w:val="24"/>
        </w:rPr>
        <w:t xml:space="preserve"> compliance capital </w:t>
      </w:r>
      <w:r w:rsidR="00195DD0">
        <w:rPr>
          <w:rFonts w:ascii="Arial" w:hAnsi="Arial" w:cs="Arial"/>
          <w:bCs/>
          <w:color w:val="000000"/>
          <w:sz w:val="24"/>
          <w:szCs w:val="24"/>
        </w:rPr>
        <w:t>as well as</w:t>
      </w:r>
      <w:r w:rsidR="000E7D16">
        <w:rPr>
          <w:rFonts w:ascii="Arial" w:hAnsi="Arial" w:cs="Arial"/>
          <w:bCs/>
          <w:color w:val="000000"/>
          <w:sz w:val="24"/>
          <w:szCs w:val="24"/>
        </w:rPr>
        <w:t xml:space="preserve"> </w:t>
      </w:r>
      <w:r w:rsidR="00195DD0">
        <w:rPr>
          <w:rFonts w:ascii="Arial" w:hAnsi="Arial" w:cs="Arial"/>
          <w:bCs/>
          <w:color w:val="000000"/>
          <w:sz w:val="24"/>
          <w:szCs w:val="24"/>
        </w:rPr>
        <w:t>o</w:t>
      </w:r>
      <w:r w:rsidR="000E7D16">
        <w:rPr>
          <w:rFonts w:ascii="Arial" w:hAnsi="Arial" w:cs="Arial"/>
          <w:bCs/>
          <w:color w:val="000000"/>
          <w:sz w:val="24"/>
          <w:szCs w:val="24"/>
        </w:rPr>
        <w:t xml:space="preserve">perating and </w:t>
      </w:r>
      <w:r w:rsidR="00195DD0">
        <w:rPr>
          <w:rFonts w:ascii="Arial" w:hAnsi="Arial" w:cs="Arial"/>
          <w:bCs/>
          <w:color w:val="000000"/>
          <w:sz w:val="24"/>
          <w:szCs w:val="24"/>
        </w:rPr>
        <w:t>m</w:t>
      </w:r>
      <w:r w:rsidR="000E7D16">
        <w:rPr>
          <w:rFonts w:ascii="Arial" w:hAnsi="Arial" w:cs="Arial"/>
          <w:bCs/>
          <w:color w:val="000000"/>
          <w:sz w:val="24"/>
          <w:szCs w:val="24"/>
        </w:rPr>
        <w:t>aintenance (</w:t>
      </w:r>
      <w:r w:rsidR="00195DD0">
        <w:rPr>
          <w:rFonts w:ascii="Arial" w:hAnsi="Arial" w:cs="Arial"/>
          <w:bCs/>
          <w:color w:val="000000"/>
          <w:sz w:val="24"/>
          <w:szCs w:val="24"/>
        </w:rPr>
        <w:t>“</w:t>
      </w:r>
      <w:r w:rsidR="000E7D16">
        <w:rPr>
          <w:rFonts w:ascii="Arial" w:hAnsi="Arial" w:cs="Arial"/>
          <w:bCs/>
          <w:color w:val="000000"/>
          <w:sz w:val="24"/>
          <w:szCs w:val="24"/>
        </w:rPr>
        <w:t>O&amp;M</w:t>
      </w:r>
      <w:r w:rsidR="00195DD0">
        <w:rPr>
          <w:rFonts w:ascii="Arial" w:hAnsi="Arial" w:cs="Arial"/>
          <w:bCs/>
          <w:color w:val="000000"/>
          <w:sz w:val="24"/>
          <w:szCs w:val="24"/>
        </w:rPr>
        <w:t>”</w:t>
      </w:r>
      <w:r w:rsidR="000E7D16">
        <w:rPr>
          <w:rFonts w:ascii="Arial" w:hAnsi="Arial" w:cs="Arial"/>
          <w:bCs/>
          <w:color w:val="000000"/>
          <w:sz w:val="24"/>
          <w:szCs w:val="24"/>
        </w:rPr>
        <w:t xml:space="preserve">) costs are recovered through the </w:t>
      </w:r>
      <w:r w:rsidR="000E7D16" w:rsidRPr="00DB7156">
        <w:rPr>
          <w:rFonts w:ascii="Arial" w:hAnsi="Arial" w:cs="Arial"/>
          <w:bCs/>
          <w:color w:val="000000"/>
          <w:sz w:val="24"/>
          <w:szCs w:val="24"/>
        </w:rPr>
        <w:t xml:space="preserve">Environmental Compliance Cost Recovery </w:t>
      </w:r>
      <w:r w:rsidR="000E7D16">
        <w:rPr>
          <w:rFonts w:ascii="Arial" w:hAnsi="Arial" w:cs="Arial"/>
          <w:bCs/>
          <w:color w:val="000000"/>
          <w:sz w:val="24"/>
          <w:szCs w:val="24"/>
        </w:rPr>
        <w:t>(“ECCR”) tariff</w:t>
      </w:r>
      <w:r w:rsidR="004E2254">
        <w:rPr>
          <w:rFonts w:ascii="Arial" w:hAnsi="Arial" w:cs="Arial"/>
          <w:bCs/>
          <w:color w:val="000000"/>
          <w:sz w:val="24"/>
          <w:szCs w:val="24"/>
        </w:rPr>
        <w:t xml:space="preserve">, established in the Georgia PSC’s final order in </w:t>
      </w:r>
      <w:r w:rsidR="004E2254" w:rsidRPr="00CD487B">
        <w:rPr>
          <w:rFonts w:ascii="Arial" w:hAnsi="Arial" w:cs="Arial"/>
          <w:bCs/>
          <w:color w:val="000000"/>
          <w:sz w:val="24"/>
          <w:szCs w:val="24"/>
        </w:rPr>
        <w:t xml:space="preserve">Docket </w:t>
      </w:r>
      <w:r w:rsidR="00553182" w:rsidRPr="00CD487B">
        <w:rPr>
          <w:rFonts w:ascii="Arial" w:hAnsi="Arial" w:cs="Arial"/>
          <w:bCs/>
          <w:color w:val="000000"/>
          <w:sz w:val="24"/>
          <w:szCs w:val="24"/>
        </w:rPr>
        <w:t>25060-U</w:t>
      </w:r>
      <w:r w:rsidR="000E7D16" w:rsidRPr="00CD487B">
        <w:rPr>
          <w:rFonts w:ascii="Arial" w:hAnsi="Arial" w:cs="Arial"/>
          <w:bCs/>
          <w:color w:val="000000"/>
          <w:sz w:val="24"/>
          <w:szCs w:val="24"/>
        </w:rPr>
        <w:t>.</w:t>
      </w:r>
      <w:r w:rsidR="000E7D16">
        <w:rPr>
          <w:rFonts w:ascii="Arial" w:hAnsi="Arial" w:cs="Arial"/>
          <w:bCs/>
          <w:color w:val="000000"/>
          <w:sz w:val="24"/>
          <w:szCs w:val="24"/>
        </w:rPr>
        <w:t xml:space="preserve"> </w:t>
      </w:r>
    </w:p>
    <w:p w14:paraId="22BA523D" w14:textId="77777777" w:rsidR="00EE3A8D" w:rsidRPr="00DB7156" w:rsidRDefault="00EE3A8D" w:rsidP="00DB7156">
      <w:pPr>
        <w:autoSpaceDE w:val="0"/>
        <w:autoSpaceDN w:val="0"/>
        <w:adjustRightInd w:val="0"/>
        <w:spacing w:after="0" w:line="240" w:lineRule="auto"/>
        <w:jc w:val="both"/>
        <w:rPr>
          <w:rFonts w:ascii="Arial" w:hAnsi="Arial" w:cs="Arial"/>
          <w:sz w:val="24"/>
          <w:szCs w:val="24"/>
        </w:rPr>
      </w:pPr>
    </w:p>
    <w:p w14:paraId="22BA523E" w14:textId="3CA7E6DA" w:rsidR="00752263" w:rsidRPr="00DB7156" w:rsidRDefault="00752263" w:rsidP="00DB7156">
      <w:pPr>
        <w:autoSpaceDE w:val="0"/>
        <w:autoSpaceDN w:val="0"/>
        <w:adjustRightInd w:val="0"/>
        <w:spacing w:after="0" w:line="240" w:lineRule="auto"/>
        <w:jc w:val="both"/>
        <w:rPr>
          <w:rFonts w:ascii="Arial" w:hAnsi="Arial" w:cs="Arial"/>
          <w:sz w:val="24"/>
          <w:szCs w:val="24"/>
        </w:rPr>
      </w:pPr>
      <w:r w:rsidRPr="00DB7156">
        <w:rPr>
          <w:rFonts w:ascii="Arial" w:hAnsi="Arial" w:cs="Arial"/>
          <w:sz w:val="24"/>
          <w:szCs w:val="24"/>
        </w:rPr>
        <w:t>The Company’s compliance strategy, including potential unit retirement and replacement decisions, and future environmental capital expenditures will be affected by the final requirements of any new or revised environmental statutes and regulations that are enacted, including the proposed environmental legislation and regulations described; the cost, availability, and existing inventory of emissions allowances; and the Company’s fuel mix.</w:t>
      </w:r>
    </w:p>
    <w:p w14:paraId="22BA523F" w14:textId="77777777" w:rsidR="00752263" w:rsidRPr="00DB7156" w:rsidRDefault="00752263" w:rsidP="00DB7156">
      <w:pPr>
        <w:autoSpaceDE w:val="0"/>
        <w:autoSpaceDN w:val="0"/>
        <w:adjustRightInd w:val="0"/>
        <w:spacing w:after="0" w:line="240" w:lineRule="auto"/>
        <w:jc w:val="both"/>
        <w:rPr>
          <w:rFonts w:ascii="Arial" w:hAnsi="Arial" w:cs="Arial"/>
          <w:sz w:val="24"/>
          <w:szCs w:val="24"/>
        </w:rPr>
      </w:pPr>
    </w:p>
    <w:p w14:paraId="22BA5240" w14:textId="18AC553A" w:rsidR="00752263" w:rsidRPr="00DB7156" w:rsidRDefault="00C2318B"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 xml:space="preserve">In addition to capital and O&amp;M financial impacts from the installation of environmental controls, </w:t>
      </w:r>
      <w:r w:rsidR="00752263" w:rsidRPr="00DB7156">
        <w:rPr>
          <w:rFonts w:ascii="Arial" w:hAnsi="Arial" w:cs="Arial"/>
          <w:sz w:val="24"/>
          <w:szCs w:val="24"/>
        </w:rPr>
        <w:t xml:space="preserve">Title IV of the 1990 Clean Air Act </w:t>
      </w:r>
      <w:r w:rsidRPr="00DB7156">
        <w:rPr>
          <w:rFonts w:ascii="Arial" w:hAnsi="Arial" w:cs="Arial"/>
          <w:sz w:val="24"/>
          <w:szCs w:val="24"/>
        </w:rPr>
        <w:t xml:space="preserve">and </w:t>
      </w:r>
      <w:r w:rsidR="006B6C8B" w:rsidRPr="00DB7156">
        <w:rPr>
          <w:rFonts w:ascii="Arial" w:hAnsi="Arial" w:cs="Arial"/>
          <w:sz w:val="24"/>
          <w:szCs w:val="24"/>
        </w:rPr>
        <w:t xml:space="preserve">CSAPR </w:t>
      </w:r>
      <w:r w:rsidR="00ED2B14" w:rsidRPr="00DB7156">
        <w:rPr>
          <w:rFonts w:ascii="Arial" w:hAnsi="Arial" w:cs="Arial"/>
          <w:sz w:val="24"/>
          <w:szCs w:val="24"/>
        </w:rPr>
        <w:t xml:space="preserve">both can </w:t>
      </w:r>
      <w:r w:rsidRPr="00DB7156">
        <w:rPr>
          <w:rFonts w:ascii="Arial" w:hAnsi="Arial" w:cs="Arial"/>
          <w:sz w:val="24"/>
          <w:szCs w:val="24"/>
        </w:rPr>
        <w:t>financially impact the Company through SO</w:t>
      </w:r>
      <w:r w:rsidR="00EA4B45" w:rsidRPr="00DB7156">
        <w:rPr>
          <w:rFonts w:ascii="Arial" w:hAnsi="Arial" w:cs="Arial"/>
          <w:sz w:val="24"/>
          <w:szCs w:val="24"/>
          <w:vertAlign w:val="subscript"/>
        </w:rPr>
        <w:t>2</w:t>
      </w:r>
      <w:r w:rsidRPr="00DB7156">
        <w:rPr>
          <w:rFonts w:ascii="Arial" w:hAnsi="Arial" w:cs="Arial"/>
          <w:sz w:val="24"/>
          <w:szCs w:val="24"/>
        </w:rPr>
        <w:t xml:space="preserve"> and NOx emission allowances. </w:t>
      </w:r>
      <w:r w:rsidR="00752263" w:rsidRPr="00DB7156">
        <w:rPr>
          <w:rFonts w:ascii="Arial" w:hAnsi="Arial" w:cs="Arial"/>
          <w:sz w:val="24"/>
          <w:szCs w:val="24"/>
        </w:rPr>
        <w:t xml:space="preserve">The </w:t>
      </w:r>
      <w:r w:rsidR="007432DF">
        <w:rPr>
          <w:rFonts w:ascii="Arial" w:hAnsi="Arial" w:cs="Arial"/>
          <w:sz w:val="24"/>
          <w:szCs w:val="24"/>
        </w:rPr>
        <w:t>C</w:t>
      </w:r>
      <w:r w:rsidR="00752263" w:rsidRPr="00DB7156">
        <w:rPr>
          <w:rFonts w:ascii="Arial" w:hAnsi="Arial" w:cs="Arial"/>
          <w:sz w:val="24"/>
          <w:szCs w:val="24"/>
        </w:rPr>
        <w:t xml:space="preserve">ompany’s allowance purchase strategy is discussed below. </w:t>
      </w:r>
    </w:p>
    <w:p w14:paraId="447A7F25" w14:textId="77777777" w:rsidR="00522684" w:rsidRDefault="00522684" w:rsidP="00DB7156">
      <w:pPr>
        <w:spacing w:after="0" w:line="240" w:lineRule="auto"/>
        <w:jc w:val="both"/>
        <w:outlineLvl w:val="2"/>
        <w:rPr>
          <w:rFonts w:ascii="Arial" w:hAnsi="Arial" w:cs="Arial"/>
          <w:b/>
          <w:bCs/>
          <w:color w:val="000080"/>
          <w:sz w:val="24"/>
          <w:szCs w:val="24"/>
        </w:rPr>
      </w:pPr>
      <w:bookmarkStart w:id="236" w:name="_Toc530487293"/>
    </w:p>
    <w:p w14:paraId="22BA5241" w14:textId="4C21B71C" w:rsidR="00752263" w:rsidRPr="00DB7156" w:rsidRDefault="00ED64EE" w:rsidP="00DB7156">
      <w:pPr>
        <w:spacing w:after="0" w:line="240" w:lineRule="auto"/>
        <w:jc w:val="both"/>
        <w:outlineLvl w:val="2"/>
        <w:rPr>
          <w:rFonts w:ascii="Arial" w:hAnsi="Arial" w:cs="Arial"/>
          <w:b/>
          <w:bCs/>
          <w:color w:val="000080"/>
          <w:sz w:val="24"/>
          <w:szCs w:val="24"/>
        </w:rPr>
      </w:pPr>
      <w:bookmarkStart w:id="237" w:name="_Toc535908161"/>
      <w:r>
        <w:rPr>
          <w:rFonts w:ascii="Arial" w:hAnsi="Arial" w:cs="Arial"/>
          <w:b/>
          <w:bCs/>
          <w:color w:val="000080"/>
          <w:sz w:val="24"/>
          <w:szCs w:val="24"/>
        </w:rPr>
        <w:t>4.5.1</w:t>
      </w:r>
      <w:r>
        <w:rPr>
          <w:rFonts w:ascii="Arial" w:hAnsi="Arial" w:cs="Arial"/>
          <w:b/>
          <w:bCs/>
          <w:color w:val="000080"/>
          <w:sz w:val="24"/>
          <w:szCs w:val="24"/>
        </w:rPr>
        <w:tab/>
        <w:t>Allowance Strategy</w:t>
      </w:r>
      <w:bookmarkEnd w:id="236"/>
      <w:bookmarkEnd w:id="237"/>
      <w:r>
        <w:rPr>
          <w:rFonts w:ascii="Arial" w:hAnsi="Arial" w:cs="Arial"/>
          <w:b/>
          <w:bCs/>
          <w:color w:val="000080"/>
          <w:sz w:val="24"/>
          <w:szCs w:val="24"/>
        </w:rPr>
        <w:t xml:space="preserve"> </w:t>
      </w:r>
    </w:p>
    <w:p w14:paraId="321868EA" w14:textId="77777777" w:rsidR="00690D7A" w:rsidRDefault="00690D7A" w:rsidP="00DB7156">
      <w:pPr>
        <w:keepNext/>
        <w:tabs>
          <w:tab w:val="left" w:pos="720"/>
          <w:tab w:val="left" w:pos="1428"/>
          <w:tab w:val="left" w:pos="4716"/>
          <w:tab w:val="left" w:pos="4896"/>
          <w:tab w:val="left" w:pos="6718"/>
        </w:tabs>
        <w:suppressAutoHyphens/>
        <w:spacing w:after="0" w:line="240" w:lineRule="auto"/>
        <w:ind w:right="-180"/>
        <w:jc w:val="both"/>
        <w:rPr>
          <w:rFonts w:ascii="Arial" w:hAnsi="Arial" w:cs="Arial"/>
          <w:sz w:val="24"/>
          <w:szCs w:val="24"/>
        </w:rPr>
      </w:pPr>
    </w:p>
    <w:p w14:paraId="22BA5243" w14:textId="7DEE17EA" w:rsidR="00752263" w:rsidRPr="00DB7156" w:rsidRDefault="00752263" w:rsidP="00DB7156">
      <w:pPr>
        <w:keepNext/>
        <w:tabs>
          <w:tab w:val="left" w:pos="720"/>
          <w:tab w:val="left" w:pos="1428"/>
          <w:tab w:val="left" w:pos="4716"/>
          <w:tab w:val="left" w:pos="4896"/>
          <w:tab w:val="left" w:pos="6718"/>
        </w:tabs>
        <w:suppressAutoHyphens/>
        <w:spacing w:after="0" w:line="240" w:lineRule="auto"/>
        <w:ind w:right="-180"/>
        <w:jc w:val="both"/>
        <w:rPr>
          <w:rFonts w:ascii="Arial" w:hAnsi="Arial" w:cs="Arial"/>
          <w:sz w:val="24"/>
          <w:szCs w:val="24"/>
        </w:rPr>
      </w:pPr>
      <w:r w:rsidRPr="00DB7156">
        <w:rPr>
          <w:rFonts w:ascii="Arial" w:hAnsi="Arial" w:cs="Arial"/>
          <w:sz w:val="24"/>
          <w:szCs w:val="24"/>
        </w:rPr>
        <w:t>Southern Company and G</w:t>
      </w:r>
      <w:r w:rsidR="00AF4B83">
        <w:rPr>
          <w:rFonts w:ascii="Arial" w:hAnsi="Arial" w:cs="Arial"/>
          <w:sz w:val="24"/>
          <w:szCs w:val="24"/>
        </w:rPr>
        <w:t>eorgia Power</w:t>
      </w:r>
      <w:r w:rsidRPr="00DB7156">
        <w:rPr>
          <w:rFonts w:ascii="Arial" w:hAnsi="Arial" w:cs="Arial"/>
          <w:sz w:val="24"/>
          <w:szCs w:val="24"/>
        </w:rPr>
        <w:t xml:space="preserve"> manage allowance resources by balancing compliance with value. It is imperative to ensure sufficient allowances are available and allocated to the correct generating unit accounts to satisfy the requirements of the CAAA and </w:t>
      </w:r>
      <w:r w:rsidR="007966AA" w:rsidRPr="00DB7156">
        <w:rPr>
          <w:rFonts w:ascii="Arial" w:hAnsi="Arial" w:cs="Arial"/>
          <w:sz w:val="24"/>
          <w:szCs w:val="24"/>
        </w:rPr>
        <w:t>CSAPR</w:t>
      </w:r>
      <w:r w:rsidRPr="00DB7156">
        <w:rPr>
          <w:rFonts w:ascii="Arial" w:hAnsi="Arial" w:cs="Arial"/>
          <w:sz w:val="24"/>
          <w:szCs w:val="24"/>
        </w:rPr>
        <w:t xml:space="preserve">. The planning process outputs projected allowance needs over time for GPC. However, the volume of allowances surrendered for compliance will depend upon the individual unit operations realized within that compliance year. </w:t>
      </w:r>
      <w:r w:rsidR="00AF4B83">
        <w:rPr>
          <w:rFonts w:ascii="Arial" w:hAnsi="Arial" w:cs="Arial"/>
          <w:sz w:val="24"/>
          <w:szCs w:val="24"/>
        </w:rPr>
        <w:t xml:space="preserve">The </w:t>
      </w:r>
      <w:r w:rsidRPr="00DB7156">
        <w:rPr>
          <w:rFonts w:ascii="Arial" w:hAnsi="Arial" w:cs="Arial"/>
          <w:sz w:val="24"/>
          <w:szCs w:val="24"/>
        </w:rPr>
        <w:t>Southern Company</w:t>
      </w:r>
      <w:r w:rsidR="00AF4B83">
        <w:rPr>
          <w:rFonts w:ascii="Arial" w:hAnsi="Arial" w:cs="Arial"/>
          <w:sz w:val="24"/>
          <w:szCs w:val="24"/>
        </w:rPr>
        <w:t xml:space="preserve"> system</w:t>
      </w:r>
      <w:r w:rsidRPr="00DB7156">
        <w:rPr>
          <w:rFonts w:ascii="Arial" w:hAnsi="Arial" w:cs="Arial"/>
          <w:sz w:val="24"/>
          <w:szCs w:val="24"/>
        </w:rPr>
        <w:t xml:space="preserve">, </w:t>
      </w:r>
      <w:r w:rsidR="000F77C9">
        <w:rPr>
          <w:rFonts w:ascii="Arial" w:hAnsi="Arial" w:cs="Arial"/>
          <w:sz w:val="24"/>
          <w:szCs w:val="24"/>
        </w:rPr>
        <w:t xml:space="preserve">which </w:t>
      </w:r>
      <w:r w:rsidRPr="00DB7156">
        <w:rPr>
          <w:rFonts w:ascii="Arial" w:hAnsi="Arial" w:cs="Arial"/>
          <w:sz w:val="24"/>
          <w:szCs w:val="24"/>
        </w:rPr>
        <w:t>function</w:t>
      </w:r>
      <w:r w:rsidR="000F77C9">
        <w:rPr>
          <w:rFonts w:ascii="Arial" w:hAnsi="Arial" w:cs="Arial"/>
          <w:sz w:val="24"/>
          <w:szCs w:val="24"/>
        </w:rPr>
        <w:t xml:space="preserve">s </w:t>
      </w:r>
      <w:r w:rsidRPr="00DB7156">
        <w:rPr>
          <w:rFonts w:ascii="Arial" w:hAnsi="Arial" w:cs="Arial"/>
          <w:sz w:val="24"/>
          <w:szCs w:val="24"/>
        </w:rPr>
        <w:t xml:space="preserve">as a centrally dispatched system, has a mechanism in place to track unit operations. At the end of a compliance period, any reallocation of allowances between or among units </w:t>
      </w:r>
      <w:r w:rsidRPr="00DB7156">
        <w:rPr>
          <w:rFonts w:ascii="Arial" w:hAnsi="Arial" w:cs="Arial"/>
          <w:bCs/>
          <w:sz w:val="24"/>
          <w:szCs w:val="24"/>
        </w:rPr>
        <w:t>only</w:t>
      </w:r>
      <w:r w:rsidRPr="00DB7156">
        <w:rPr>
          <w:rFonts w:ascii="Arial" w:hAnsi="Arial" w:cs="Arial"/>
          <w:sz w:val="24"/>
          <w:szCs w:val="24"/>
        </w:rPr>
        <w:t xml:space="preserve"> takes place at the operating company level.</w:t>
      </w:r>
    </w:p>
    <w:p w14:paraId="22BA5244" w14:textId="77777777" w:rsidR="00752263" w:rsidRPr="00DB7156" w:rsidRDefault="00752263"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p>
    <w:p w14:paraId="22BA5245" w14:textId="330F5283" w:rsidR="00752263" w:rsidRPr="00DB7156" w:rsidRDefault="00752263" w:rsidP="00DB7156">
      <w:pPr>
        <w:tabs>
          <w:tab w:val="left" w:pos="720"/>
          <w:tab w:val="left" w:pos="1428"/>
          <w:tab w:val="left" w:pos="4716"/>
          <w:tab w:val="left" w:pos="4896"/>
          <w:tab w:val="left" w:pos="6718"/>
        </w:tabs>
        <w:suppressAutoHyphens/>
        <w:spacing w:after="0" w:line="240" w:lineRule="auto"/>
        <w:jc w:val="both"/>
        <w:rPr>
          <w:rFonts w:ascii="Arial" w:hAnsi="Arial" w:cs="Arial"/>
          <w:sz w:val="24"/>
          <w:szCs w:val="24"/>
        </w:rPr>
      </w:pPr>
      <w:r w:rsidRPr="00DB7156">
        <w:rPr>
          <w:rFonts w:ascii="Arial" w:hAnsi="Arial" w:cs="Arial"/>
          <w:sz w:val="24"/>
          <w:szCs w:val="24"/>
        </w:rPr>
        <w:t>Value</w:t>
      </w:r>
      <w:r w:rsidR="00E21E9D">
        <w:rPr>
          <w:rFonts w:ascii="Arial" w:hAnsi="Arial" w:cs="Arial"/>
          <w:sz w:val="24"/>
          <w:szCs w:val="24"/>
        </w:rPr>
        <w:t xml:space="preserve"> </w:t>
      </w:r>
      <w:r w:rsidRPr="00DB7156">
        <w:rPr>
          <w:rFonts w:ascii="Arial" w:hAnsi="Arial" w:cs="Arial"/>
          <w:sz w:val="24"/>
          <w:szCs w:val="24"/>
        </w:rPr>
        <w:t xml:space="preserve">management focuses on optimizing the use of the allowances available to </w:t>
      </w:r>
      <w:r w:rsidR="00C2318B" w:rsidRPr="00DB7156">
        <w:rPr>
          <w:rFonts w:ascii="Arial" w:hAnsi="Arial" w:cs="Arial"/>
          <w:sz w:val="24"/>
          <w:szCs w:val="24"/>
        </w:rPr>
        <w:t>Georgia Power</w:t>
      </w:r>
      <w:r w:rsidRPr="00DB7156">
        <w:rPr>
          <w:rFonts w:ascii="Arial" w:hAnsi="Arial" w:cs="Arial"/>
          <w:sz w:val="24"/>
          <w:szCs w:val="24"/>
        </w:rPr>
        <w:t>.  The goal of value management is to plan for the ultimate disposition of allowances in a manner that will serve in the best interest of G</w:t>
      </w:r>
      <w:r w:rsidR="00AF4B83">
        <w:rPr>
          <w:rFonts w:ascii="Arial" w:hAnsi="Arial" w:cs="Arial"/>
          <w:sz w:val="24"/>
          <w:szCs w:val="24"/>
        </w:rPr>
        <w:t>eorgia Power</w:t>
      </w:r>
      <w:r w:rsidRPr="00DB7156">
        <w:rPr>
          <w:rFonts w:ascii="Arial" w:hAnsi="Arial" w:cs="Arial"/>
          <w:sz w:val="24"/>
          <w:szCs w:val="24"/>
        </w:rPr>
        <w:t xml:space="preserve">’s customers.  </w:t>
      </w:r>
    </w:p>
    <w:p w14:paraId="22BA5246" w14:textId="77777777" w:rsidR="00752263" w:rsidRPr="00DB7156" w:rsidRDefault="00752263" w:rsidP="00DB7156">
      <w:pPr>
        <w:tabs>
          <w:tab w:val="left" w:pos="720"/>
        </w:tabs>
        <w:spacing w:after="0" w:line="240" w:lineRule="auto"/>
        <w:jc w:val="both"/>
        <w:rPr>
          <w:rFonts w:ascii="Arial" w:hAnsi="Arial" w:cs="Arial"/>
          <w:sz w:val="24"/>
          <w:szCs w:val="24"/>
        </w:rPr>
      </w:pPr>
    </w:p>
    <w:p w14:paraId="0BB1DF7A" w14:textId="28A9E760" w:rsidR="00852DD2" w:rsidRPr="00DB7156" w:rsidRDefault="00852DD2" w:rsidP="00852DD2">
      <w:pPr>
        <w:spacing w:after="0" w:line="240" w:lineRule="auto"/>
        <w:jc w:val="both"/>
        <w:outlineLvl w:val="2"/>
        <w:rPr>
          <w:rFonts w:ascii="Arial" w:hAnsi="Arial" w:cs="Arial"/>
          <w:b/>
          <w:bCs/>
          <w:color w:val="000080"/>
          <w:sz w:val="24"/>
          <w:szCs w:val="24"/>
        </w:rPr>
      </w:pPr>
      <w:bookmarkStart w:id="238" w:name="_Toc535908162"/>
      <w:r>
        <w:rPr>
          <w:rFonts w:ascii="Arial" w:hAnsi="Arial" w:cs="Arial"/>
          <w:b/>
          <w:bCs/>
          <w:color w:val="000080"/>
          <w:sz w:val="24"/>
          <w:szCs w:val="24"/>
        </w:rPr>
        <w:t>4.5.</w:t>
      </w:r>
      <w:r w:rsidR="00F04D46">
        <w:rPr>
          <w:rFonts w:ascii="Arial" w:hAnsi="Arial" w:cs="Arial"/>
          <w:b/>
          <w:bCs/>
          <w:color w:val="000080"/>
          <w:sz w:val="24"/>
          <w:szCs w:val="24"/>
        </w:rPr>
        <w:t>2</w:t>
      </w:r>
      <w:r>
        <w:rPr>
          <w:rFonts w:ascii="Arial" w:hAnsi="Arial" w:cs="Arial"/>
          <w:b/>
          <w:bCs/>
          <w:color w:val="000080"/>
          <w:sz w:val="24"/>
          <w:szCs w:val="24"/>
        </w:rPr>
        <w:tab/>
        <w:t>CCR Asset Retirement Obligations</w:t>
      </w:r>
      <w:bookmarkEnd w:id="238"/>
      <w:r>
        <w:rPr>
          <w:rFonts w:ascii="Arial" w:hAnsi="Arial" w:cs="Arial"/>
          <w:b/>
          <w:bCs/>
          <w:color w:val="000080"/>
          <w:sz w:val="24"/>
          <w:szCs w:val="24"/>
        </w:rPr>
        <w:t xml:space="preserve">  </w:t>
      </w:r>
    </w:p>
    <w:p w14:paraId="09180DF5" w14:textId="77777777" w:rsidR="00690D7A" w:rsidRDefault="00690D7A" w:rsidP="00852DD2">
      <w:pPr>
        <w:spacing w:after="0" w:line="240" w:lineRule="auto"/>
        <w:jc w:val="both"/>
        <w:rPr>
          <w:rFonts w:ascii="Arial" w:eastAsia="Calibri" w:hAnsi="Arial" w:cs="Arial"/>
          <w:color w:val="000000"/>
          <w:sz w:val="24"/>
          <w:szCs w:val="24"/>
        </w:rPr>
      </w:pPr>
    </w:p>
    <w:p w14:paraId="41D6FE46" w14:textId="6D7DAB0D" w:rsidR="00852DD2" w:rsidRPr="00DB7156" w:rsidRDefault="00852DD2" w:rsidP="00852DD2">
      <w:pPr>
        <w:spacing w:after="0" w:line="240" w:lineRule="auto"/>
        <w:jc w:val="both"/>
        <w:rPr>
          <w:rFonts w:ascii="Arial" w:eastAsia="Calibri" w:hAnsi="Arial" w:cs="Arial"/>
          <w:color w:val="000000"/>
          <w:sz w:val="24"/>
          <w:szCs w:val="24"/>
        </w:rPr>
      </w:pPr>
      <w:r w:rsidRPr="00DB7156">
        <w:rPr>
          <w:rFonts w:ascii="Arial" w:eastAsia="Calibri" w:hAnsi="Arial" w:cs="Arial"/>
          <w:color w:val="000000"/>
          <w:sz w:val="24"/>
          <w:szCs w:val="24"/>
        </w:rPr>
        <w:t xml:space="preserve">In accordance with </w:t>
      </w:r>
      <w:r w:rsidRPr="00671791">
        <w:rPr>
          <w:rFonts w:ascii="Arial" w:eastAsia="Calibri" w:hAnsi="Arial" w:cs="Arial"/>
          <w:sz w:val="24"/>
          <w:szCs w:val="24"/>
        </w:rPr>
        <w:t xml:space="preserve">Financial Accounting </w:t>
      </w:r>
      <w:r w:rsidRPr="00671791">
        <w:rPr>
          <w:rFonts w:ascii="Arial" w:hAnsi="Arial" w:cs="Arial"/>
          <w:sz w:val="24"/>
          <w:szCs w:val="24"/>
        </w:rPr>
        <w:t>Standards Board (</w:t>
      </w:r>
      <w:r>
        <w:rPr>
          <w:rFonts w:ascii="Arial" w:hAnsi="Arial" w:cs="Arial"/>
          <w:sz w:val="24"/>
          <w:szCs w:val="24"/>
        </w:rPr>
        <w:t>“</w:t>
      </w:r>
      <w:r w:rsidRPr="00671791">
        <w:rPr>
          <w:rFonts w:ascii="Arial" w:hAnsi="Arial" w:cs="Arial"/>
          <w:sz w:val="24"/>
          <w:szCs w:val="24"/>
        </w:rPr>
        <w:t>FASB</w:t>
      </w:r>
      <w:r>
        <w:rPr>
          <w:rFonts w:ascii="Arial" w:hAnsi="Arial" w:cs="Arial"/>
          <w:sz w:val="24"/>
          <w:szCs w:val="24"/>
        </w:rPr>
        <w:t>”</w:t>
      </w:r>
      <w:r w:rsidRPr="00671791">
        <w:rPr>
          <w:rFonts w:ascii="Arial" w:hAnsi="Arial" w:cs="Arial"/>
          <w:sz w:val="24"/>
          <w:szCs w:val="24"/>
        </w:rPr>
        <w:t>) Statement No.</w:t>
      </w:r>
      <w:r w:rsidRPr="00671791">
        <w:rPr>
          <w:rFonts w:ascii="Arial" w:eastAsia="Calibri" w:hAnsi="Arial" w:cs="Arial"/>
          <w:sz w:val="24"/>
          <w:szCs w:val="24"/>
        </w:rPr>
        <w:t xml:space="preserve"> 143</w:t>
      </w:r>
      <w:r w:rsidRPr="00671791">
        <w:rPr>
          <w:rFonts w:ascii="Arial" w:hAnsi="Arial" w:cs="Arial"/>
          <w:sz w:val="24"/>
          <w:szCs w:val="24"/>
        </w:rPr>
        <w:t xml:space="preserve"> </w:t>
      </w:r>
      <w:r w:rsidRPr="00671791">
        <w:rPr>
          <w:rFonts w:ascii="Arial" w:eastAsia="Calibri" w:hAnsi="Arial" w:cs="Arial"/>
          <w:sz w:val="24"/>
          <w:szCs w:val="24"/>
        </w:rPr>
        <w:t xml:space="preserve">and </w:t>
      </w:r>
      <w:r w:rsidRPr="00671791">
        <w:rPr>
          <w:rFonts w:ascii="Arial" w:hAnsi="Arial" w:cs="Arial"/>
          <w:sz w:val="24"/>
          <w:szCs w:val="24"/>
        </w:rPr>
        <w:t>FASB Interpretation No. 47</w:t>
      </w:r>
      <w:r w:rsidRPr="00671791">
        <w:rPr>
          <w:rFonts w:ascii="Arial" w:eastAsia="Calibri" w:hAnsi="Arial" w:cs="Arial"/>
          <w:sz w:val="24"/>
          <w:szCs w:val="24"/>
        </w:rPr>
        <w:t xml:space="preserve">, </w:t>
      </w:r>
      <w:r w:rsidRPr="00DB7156">
        <w:rPr>
          <w:rFonts w:ascii="Arial" w:eastAsia="Calibri" w:hAnsi="Arial" w:cs="Arial"/>
          <w:color w:val="000000"/>
          <w:sz w:val="24"/>
          <w:szCs w:val="24"/>
        </w:rPr>
        <w:t xml:space="preserve">Georgia Power is required to capture costs </w:t>
      </w:r>
      <w:r>
        <w:rPr>
          <w:rFonts w:ascii="Arial" w:eastAsia="Calibri" w:hAnsi="Arial" w:cs="Arial"/>
          <w:color w:val="000000"/>
          <w:sz w:val="24"/>
          <w:szCs w:val="24"/>
        </w:rPr>
        <w:t>incurred for</w:t>
      </w:r>
      <w:r w:rsidRPr="00DB7156">
        <w:rPr>
          <w:rFonts w:ascii="Arial" w:eastAsia="Calibri" w:hAnsi="Arial" w:cs="Arial"/>
          <w:color w:val="000000"/>
          <w:sz w:val="24"/>
          <w:szCs w:val="24"/>
        </w:rPr>
        <w:t xml:space="preserve"> </w:t>
      </w:r>
      <w:r>
        <w:rPr>
          <w:rFonts w:ascii="Arial" w:eastAsia="Calibri" w:hAnsi="Arial" w:cs="Arial"/>
          <w:color w:val="000000"/>
          <w:sz w:val="24"/>
          <w:szCs w:val="24"/>
        </w:rPr>
        <w:t>the legal obligations associated with the retirement of certain fixed assets</w:t>
      </w:r>
      <w:r w:rsidRPr="00DB7156">
        <w:rPr>
          <w:rFonts w:ascii="Arial" w:eastAsia="Calibri" w:hAnsi="Arial" w:cs="Arial"/>
          <w:color w:val="000000"/>
          <w:sz w:val="24"/>
          <w:szCs w:val="24"/>
        </w:rPr>
        <w:t xml:space="preserve">. </w:t>
      </w:r>
      <w:r>
        <w:rPr>
          <w:rFonts w:ascii="Arial" w:eastAsia="Calibri" w:hAnsi="Arial" w:cs="Arial"/>
          <w:color w:val="000000"/>
          <w:sz w:val="24"/>
          <w:szCs w:val="24"/>
        </w:rPr>
        <w:t xml:space="preserve">Expenditures </w:t>
      </w:r>
      <w:r w:rsidRPr="00E32944">
        <w:rPr>
          <w:rFonts w:ascii="Arial" w:eastAsia="Calibri" w:hAnsi="Arial" w:cs="Arial"/>
          <w:color w:val="000000"/>
          <w:sz w:val="24"/>
          <w:szCs w:val="24"/>
        </w:rPr>
        <w:t xml:space="preserve">associated with </w:t>
      </w:r>
      <w:r>
        <w:rPr>
          <w:rFonts w:ascii="Arial" w:eastAsia="Calibri" w:hAnsi="Arial" w:cs="Arial"/>
          <w:color w:val="000000"/>
          <w:sz w:val="24"/>
          <w:szCs w:val="24"/>
        </w:rPr>
        <w:t xml:space="preserve">the </w:t>
      </w:r>
      <w:r w:rsidRPr="00E32944">
        <w:rPr>
          <w:rFonts w:ascii="Arial" w:eastAsia="Calibri" w:hAnsi="Arial" w:cs="Arial"/>
          <w:color w:val="000000"/>
          <w:sz w:val="24"/>
          <w:szCs w:val="24"/>
        </w:rPr>
        <w:t>closure</w:t>
      </w:r>
      <w:r>
        <w:rPr>
          <w:rFonts w:ascii="Arial" w:eastAsia="Calibri" w:hAnsi="Arial" w:cs="Arial"/>
          <w:color w:val="000000"/>
          <w:sz w:val="24"/>
          <w:szCs w:val="24"/>
        </w:rPr>
        <w:t xml:space="preserve"> and post closure care</w:t>
      </w:r>
      <w:r w:rsidRPr="00E32944">
        <w:rPr>
          <w:rFonts w:ascii="Arial" w:eastAsia="Calibri" w:hAnsi="Arial" w:cs="Arial"/>
          <w:color w:val="000000"/>
          <w:sz w:val="24"/>
          <w:szCs w:val="24"/>
        </w:rPr>
        <w:t xml:space="preserve"> </w:t>
      </w:r>
      <w:r>
        <w:rPr>
          <w:rFonts w:ascii="Arial" w:eastAsia="Calibri" w:hAnsi="Arial" w:cs="Arial"/>
          <w:color w:val="000000"/>
          <w:sz w:val="24"/>
          <w:szCs w:val="24"/>
        </w:rPr>
        <w:t xml:space="preserve">of CCR units </w:t>
      </w:r>
      <w:r w:rsidRPr="00E32944">
        <w:rPr>
          <w:rFonts w:ascii="Arial" w:eastAsia="Calibri" w:hAnsi="Arial" w:cs="Arial"/>
          <w:color w:val="000000"/>
          <w:sz w:val="24"/>
          <w:szCs w:val="24"/>
        </w:rPr>
        <w:t xml:space="preserve">under the </w:t>
      </w:r>
      <w:r w:rsidR="005A3585">
        <w:rPr>
          <w:rFonts w:ascii="Arial" w:eastAsia="Calibri" w:hAnsi="Arial" w:cs="Arial"/>
          <w:color w:val="000000"/>
          <w:sz w:val="24"/>
          <w:szCs w:val="24"/>
        </w:rPr>
        <w:t>f</w:t>
      </w:r>
      <w:r>
        <w:rPr>
          <w:rFonts w:ascii="Arial" w:eastAsia="Calibri" w:hAnsi="Arial" w:cs="Arial"/>
          <w:color w:val="000000"/>
          <w:sz w:val="24"/>
          <w:szCs w:val="24"/>
        </w:rPr>
        <w:t xml:space="preserve">ederal and </w:t>
      </w:r>
      <w:r w:rsidR="005A3585">
        <w:rPr>
          <w:rFonts w:ascii="Arial" w:eastAsia="Calibri" w:hAnsi="Arial" w:cs="Arial"/>
          <w:color w:val="000000"/>
          <w:sz w:val="24"/>
          <w:szCs w:val="24"/>
        </w:rPr>
        <w:t>s</w:t>
      </w:r>
      <w:r>
        <w:rPr>
          <w:rFonts w:ascii="Arial" w:eastAsia="Calibri" w:hAnsi="Arial" w:cs="Arial"/>
          <w:color w:val="000000"/>
          <w:sz w:val="24"/>
          <w:szCs w:val="24"/>
        </w:rPr>
        <w:t>tate CCR Rules are therefore reflected in the Company’s Asset Retirements Obligation (“ARO”) liabilities.</w:t>
      </w:r>
    </w:p>
    <w:p w14:paraId="6FE58AAF" w14:textId="77777777" w:rsidR="00852DD2" w:rsidRPr="00DB7156" w:rsidRDefault="00852DD2" w:rsidP="00852DD2">
      <w:pPr>
        <w:spacing w:after="0" w:line="240" w:lineRule="auto"/>
        <w:jc w:val="both"/>
        <w:rPr>
          <w:rFonts w:ascii="Arial" w:eastAsia="Calibri" w:hAnsi="Arial" w:cs="Arial"/>
          <w:color w:val="000000"/>
          <w:sz w:val="24"/>
          <w:szCs w:val="24"/>
        </w:rPr>
      </w:pPr>
    </w:p>
    <w:p w14:paraId="540651CF" w14:textId="68A5A7DE" w:rsidR="00852DD2" w:rsidRPr="00DB7156" w:rsidRDefault="00852DD2" w:rsidP="00DB1C2D">
      <w:pPr>
        <w:spacing w:after="0" w:line="240" w:lineRule="auto"/>
        <w:jc w:val="both"/>
        <w:rPr>
          <w:rFonts w:ascii="Arial" w:eastAsia="Calibri" w:hAnsi="Arial" w:cs="Arial"/>
          <w:color w:val="000000"/>
          <w:sz w:val="24"/>
          <w:szCs w:val="24"/>
        </w:rPr>
      </w:pPr>
      <w:r w:rsidRPr="00DB7156">
        <w:rPr>
          <w:rFonts w:ascii="Arial" w:eastAsia="Calibri" w:hAnsi="Arial" w:cs="Arial"/>
          <w:color w:val="000000"/>
          <w:sz w:val="24"/>
          <w:szCs w:val="24"/>
        </w:rPr>
        <w:t xml:space="preserve">As a result, and as part of the ongoing strategy process, Georgia Power evaluated the costs connected with </w:t>
      </w:r>
      <w:r>
        <w:rPr>
          <w:rFonts w:ascii="Arial" w:eastAsia="Calibri" w:hAnsi="Arial" w:cs="Arial"/>
          <w:color w:val="000000"/>
          <w:sz w:val="24"/>
          <w:szCs w:val="24"/>
        </w:rPr>
        <w:t xml:space="preserve">CCR </w:t>
      </w:r>
      <w:r w:rsidRPr="00DB7156">
        <w:rPr>
          <w:rFonts w:ascii="Arial" w:eastAsia="Calibri" w:hAnsi="Arial" w:cs="Arial"/>
          <w:color w:val="000000"/>
          <w:sz w:val="24"/>
          <w:szCs w:val="24"/>
        </w:rPr>
        <w:t xml:space="preserve">AROs related to </w:t>
      </w:r>
      <w:r>
        <w:rPr>
          <w:rFonts w:ascii="Arial" w:eastAsia="Calibri" w:hAnsi="Arial" w:cs="Arial"/>
          <w:color w:val="000000"/>
          <w:sz w:val="24"/>
          <w:szCs w:val="24"/>
        </w:rPr>
        <w:t xml:space="preserve">compliance with </w:t>
      </w:r>
      <w:r w:rsidRPr="00DB7156">
        <w:rPr>
          <w:rFonts w:ascii="Arial" w:eastAsia="Calibri" w:hAnsi="Arial" w:cs="Arial"/>
          <w:color w:val="000000"/>
          <w:sz w:val="24"/>
          <w:szCs w:val="24"/>
        </w:rPr>
        <w:t xml:space="preserve">the </w:t>
      </w:r>
      <w:r w:rsidR="005A3585">
        <w:rPr>
          <w:rFonts w:ascii="Arial" w:eastAsia="Calibri" w:hAnsi="Arial" w:cs="Arial"/>
          <w:color w:val="000000"/>
          <w:sz w:val="24"/>
          <w:szCs w:val="24"/>
        </w:rPr>
        <w:t>f</w:t>
      </w:r>
      <w:r>
        <w:rPr>
          <w:rFonts w:ascii="Arial" w:eastAsia="Calibri" w:hAnsi="Arial" w:cs="Arial"/>
          <w:color w:val="000000"/>
          <w:sz w:val="24"/>
          <w:szCs w:val="24"/>
        </w:rPr>
        <w:t xml:space="preserve">ederal and </w:t>
      </w:r>
      <w:r w:rsidR="00690D7A">
        <w:rPr>
          <w:rFonts w:ascii="Arial" w:eastAsia="Calibri" w:hAnsi="Arial" w:cs="Arial"/>
          <w:color w:val="000000"/>
          <w:sz w:val="24"/>
          <w:szCs w:val="24"/>
        </w:rPr>
        <w:t>state</w:t>
      </w:r>
      <w:r>
        <w:rPr>
          <w:rFonts w:ascii="Arial" w:eastAsia="Calibri" w:hAnsi="Arial" w:cs="Arial"/>
          <w:color w:val="000000"/>
          <w:sz w:val="24"/>
          <w:szCs w:val="24"/>
        </w:rPr>
        <w:t xml:space="preserve"> </w:t>
      </w:r>
      <w:r w:rsidRPr="00DB7156">
        <w:rPr>
          <w:rFonts w:ascii="Arial" w:eastAsia="Calibri" w:hAnsi="Arial" w:cs="Arial"/>
          <w:color w:val="000000"/>
          <w:sz w:val="24"/>
          <w:szCs w:val="24"/>
        </w:rPr>
        <w:t xml:space="preserve">CCR Rule </w:t>
      </w:r>
      <w:r>
        <w:rPr>
          <w:rFonts w:ascii="Arial" w:eastAsia="Calibri" w:hAnsi="Arial" w:cs="Arial"/>
          <w:color w:val="000000"/>
          <w:sz w:val="24"/>
          <w:szCs w:val="24"/>
        </w:rPr>
        <w:t xml:space="preserve">requirements </w:t>
      </w:r>
      <w:r w:rsidRPr="00DB7156">
        <w:rPr>
          <w:rFonts w:ascii="Arial" w:eastAsia="Calibri" w:hAnsi="Arial" w:cs="Arial"/>
          <w:color w:val="000000"/>
          <w:sz w:val="24"/>
          <w:szCs w:val="24"/>
        </w:rPr>
        <w:t xml:space="preserve">associated with </w:t>
      </w:r>
      <w:r>
        <w:rPr>
          <w:rFonts w:ascii="Arial" w:eastAsia="Calibri" w:hAnsi="Arial" w:cs="Arial"/>
          <w:color w:val="000000"/>
          <w:sz w:val="24"/>
          <w:szCs w:val="24"/>
        </w:rPr>
        <w:t xml:space="preserve">CCR landfill closures, </w:t>
      </w:r>
      <w:r w:rsidRPr="00DB7156">
        <w:rPr>
          <w:rFonts w:ascii="Arial" w:eastAsia="Calibri" w:hAnsi="Arial" w:cs="Arial"/>
          <w:color w:val="000000"/>
          <w:sz w:val="24"/>
          <w:szCs w:val="24"/>
        </w:rPr>
        <w:t>ash pond closures</w:t>
      </w:r>
      <w:r>
        <w:rPr>
          <w:rFonts w:ascii="Arial" w:eastAsia="Calibri" w:hAnsi="Arial" w:cs="Arial"/>
          <w:color w:val="000000"/>
          <w:sz w:val="24"/>
          <w:szCs w:val="24"/>
        </w:rPr>
        <w:t>, and post closure care</w:t>
      </w:r>
      <w:r w:rsidRPr="00DB7156">
        <w:rPr>
          <w:rFonts w:ascii="Arial" w:eastAsia="Calibri" w:hAnsi="Arial" w:cs="Arial"/>
          <w:color w:val="000000"/>
          <w:sz w:val="24"/>
          <w:szCs w:val="24"/>
        </w:rPr>
        <w:t>. The evaluation include</w:t>
      </w:r>
      <w:r>
        <w:rPr>
          <w:rFonts w:ascii="Arial" w:eastAsia="Calibri" w:hAnsi="Arial" w:cs="Arial"/>
          <w:color w:val="000000"/>
          <w:sz w:val="24"/>
          <w:szCs w:val="24"/>
        </w:rPr>
        <w:t>d</w:t>
      </w:r>
      <w:r w:rsidRPr="00DB7156">
        <w:rPr>
          <w:rFonts w:ascii="Arial" w:eastAsia="Calibri" w:hAnsi="Arial" w:cs="Arial"/>
          <w:color w:val="000000"/>
          <w:sz w:val="24"/>
          <w:szCs w:val="24"/>
        </w:rPr>
        <w:t xml:space="preserve"> project-specific engineering assessments</w:t>
      </w:r>
      <w:r>
        <w:rPr>
          <w:rFonts w:ascii="Arial" w:eastAsia="Calibri" w:hAnsi="Arial" w:cs="Arial"/>
          <w:color w:val="000000"/>
          <w:sz w:val="24"/>
          <w:szCs w:val="24"/>
        </w:rPr>
        <w:t>,</w:t>
      </w:r>
      <w:r w:rsidRPr="00DB7156">
        <w:rPr>
          <w:rFonts w:ascii="Arial" w:eastAsia="Calibri" w:hAnsi="Arial" w:cs="Arial"/>
          <w:color w:val="000000"/>
          <w:sz w:val="24"/>
          <w:szCs w:val="24"/>
        </w:rPr>
        <w:t xml:space="preserve"> closure studies</w:t>
      </w:r>
      <w:r>
        <w:rPr>
          <w:rFonts w:ascii="Arial" w:eastAsia="Calibri" w:hAnsi="Arial" w:cs="Arial"/>
          <w:color w:val="000000"/>
          <w:sz w:val="24"/>
          <w:szCs w:val="24"/>
        </w:rPr>
        <w:t xml:space="preserve">, constructability reviews, </w:t>
      </w:r>
      <w:r w:rsidRPr="00DB7156">
        <w:rPr>
          <w:rFonts w:ascii="Arial" w:eastAsia="Calibri" w:hAnsi="Arial" w:cs="Arial"/>
          <w:color w:val="000000"/>
          <w:sz w:val="24"/>
          <w:szCs w:val="24"/>
        </w:rPr>
        <w:t xml:space="preserve">and various assumptions related to timing and methods for complying with CCR </w:t>
      </w:r>
      <w:r>
        <w:rPr>
          <w:rFonts w:ascii="Arial" w:eastAsia="Calibri" w:hAnsi="Arial" w:cs="Arial"/>
          <w:color w:val="000000"/>
          <w:sz w:val="24"/>
          <w:szCs w:val="24"/>
        </w:rPr>
        <w:t>R</w:t>
      </w:r>
      <w:r w:rsidRPr="00DB7156">
        <w:rPr>
          <w:rFonts w:ascii="Arial" w:eastAsia="Calibri" w:hAnsi="Arial" w:cs="Arial"/>
          <w:color w:val="000000"/>
          <w:sz w:val="24"/>
          <w:szCs w:val="24"/>
        </w:rPr>
        <w:t xml:space="preserve">ule </w:t>
      </w:r>
      <w:r>
        <w:rPr>
          <w:rFonts w:ascii="Arial" w:eastAsia="Calibri" w:hAnsi="Arial" w:cs="Arial"/>
          <w:color w:val="000000"/>
          <w:sz w:val="24"/>
          <w:szCs w:val="24"/>
        </w:rPr>
        <w:t xml:space="preserve">closure </w:t>
      </w:r>
      <w:r w:rsidRPr="00DB7156">
        <w:rPr>
          <w:rFonts w:ascii="Arial" w:eastAsia="Calibri" w:hAnsi="Arial" w:cs="Arial"/>
          <w:color w:val="000000"/>
          <w:sz w:val="24"/>
          <w:szCs w:val="24"/>
        </w:rPr>
        <w:t xml:space="preserve">requirements. Projected </w:t>
      </w:r>
      <w:r>
        <w:rPr>
          <w:rFonts w:ascii="Arial" w:eastAsia="Calibri" w:hAnsi="Arial" w:cs="Arial"/>
          <w:color w:val="000000"/>
          <w:sz w:val="24"/>
          <w:szCs w:val="24"/>
        </w:rPr>
        <w:t>CCR unit</w:t>
      </w:r>
      <w:r w:rsidRPr="00DB7156">
        <w:rPr>
          <w:rFonts w:ascii="Arial" w:eastAsia="Calibri" w:hAnsi="Arial" w:cs="Arial"/>
          <w:color w:val="000000"/>
          <w:sz w:val="24"/>
          <w:szCs w:val="24"/>
        </w:rPr>
        <w:t xml:space="preserve"> closure costs</w:t>
      </w:r>
      <w:r>
        <w:rPr>
          <w:rFonts w:ascii="Arial" w:eastAsia="Calibri" w:hAnsi="Arial" w:cs="Arial"/>
          <w:color w:val="000000"/>
          <w:sz w:val="24"/>
          <w:szCs w:val="24"/>
        </w:rPr>
        <w:t xml:space="preserve"> and post closure care costs</w:t>
      </w:r>
      <w:r w:rsidRPr="00DB7156">
        <w:rPr>
          <w:rFonts w:ascii="Arial" w:eastAsia="Calibri" w:hAnsi="Arial" w:cs="Arial"/>
          <w:color w:val="000000"/>
          <w:sz w:val="24"/>
          <w:szCs w:val="24"/>
        </w:rPr>
        <w:t xml:space="preserve"> </w:t>
      </w:r>
      <w:r>
        <w:rPr>
          <w:rFonts w:ascii="Arial" w:eastAsia="Calibri" w:hAnsi="Arial" w:cs="Arial"/>
          <w:color w:val="000000"/>
          <w:sz w:val="24"/>
          <w:szCs w:val="24"/>
        </w:rPr>
        <w:t xml:space="preserve">necessary to comply with the </w:t>
      </w:r>
      <w:r w:rsidR="005A3585">
        <w:rPr>
          <w:rFonts w:ascii="Arial" w:eastAsia="Calibri" w:hAnsi="Arial" w:cs="Arial"/>
          <w:color w:val="000000"/>
          <w:sz w:val="24"/>
          <w:szCs w:val="24"/>
        </w:rPr>
        <w:t>f</w:t>
      </w:r>
      <w:r>
        <w:rPr>
          <w:rFonts w:ascii="Arial" w:eastAsia="Calibri" w:hAnsi="Arial" w:cs="Arial"/>
          <w:color w:val="000000"/>
          <w:sz w:val="24"/>
          <w:szCs w:val="24"/>
        </w:rPr>
        <w:t xml:space="preserve">ederal and </w:t>
      </w:r>
      <w:r w:rsidR="00690D7A">
        <w:rPr>
          <w:rFonts w:ascii="Arial" w:eastAsia="Calibri" w:hAnsi="Arial" w:cs="Arial"/>
          <w:color w:val="000000"/>
          <w:sz w:val="24"/>
          <w:szCs w:val="24"/>
        </w:rPr>
        <w:t>state</w:t>
      </w:r>
      <w:r>
        <w:rPr>
          <w:rFonts w:ascii="Arial" w:eastAsia="Calibri" w:hAnsi="Arial" w:cs="Arial"/>
          <w:color w:val="000000"/>
          <w:sz w:val="24"/>
          <w:szCs w:val="24"/>
        </w:rPr>
        <w:t xml:space="preserve"> CCR Rules </w:t>
      </w:r>
      <w:r w:rsidRPr="00DB7156">
        <w:rPr>
          <w:rFonts w:ascii="Arial" w:eastAsia="Calibri" w:hAnsi="Arial" w:cs="Arial"/>
          <w:color w:val="000000"/>
          <w:sz w:val="24"/>
          <w:szCs w:val="24"/>
        </w:rPr>
        <w:t>are identified as ARO</w:t>
      </w:r>
      <w:r>
        <w:rPr>
          <w:rFonts w:ascii="Arial" w:eastAsia="Calibri" w:hAnsi="Arial" w:cs="Arial"/>
          <w:color w:val="000000"/>
          <w:sz w:val="24"/>
          <w:szCs w:val="24"/>
        </w:rPr>
        <w:t>s</w:t>
      </w:r>
      <w:r w:rsidRPr="00DB7156">
        <w:rPr>
          <w:rFonts w:ascii="Arial" w:eastAsia="Calibri" w:hAnsi="Arial" w:cs="Arial"/>
          <w:color w:val="000000"/>
          <w:sz w:val="24"/>
          <w:szCs w:val="24"/>
        </w:rPr>
        <w:t xml:space="preserve"> and are included </w:t>
      </w:r>
      <w:r w:rsidR="00DE385C" w:rsidRPr="00DE385C">
        <w:rPr>
          <w:rFonts w:ascii="Arial" w:eastAsia="Calibri" w:hAnsi="Arial" w:cs="Arial"/>
          <w:color w:val="000000"/>
          <w:sz w:val="24"/>
          <w:szCs w:val="24"/>
        </w:rPr>
        <w:t>in</w:t>
      </w:r>
      <w:r w:rsidR="00DB1C2D">
        <w:rPr>
          <w:rFonts w:ascii="Arial" w:eastAsia="Calibri" w:hAnsi="Arial" w:cs="Arial"/>
          <w:color w:val="000000"/>
          <w:sz w:val="24"/>
          <w:szCs w:val="24"/>
        </w:rPr>
        <w:t xml:space="preserve"> the</w:t>
      </w:r>
      <w:r w:rsidR="00DE385C" w:rsidRPr="00DE385C">
        <w:rPr>
          <w:rFonts w:ascii="Arial" w:eastAsia="Calibri" w:hAnsi="Arial" w:cs="Arial"/>
          <w:color w:val="000000"/>
          <w:sz w:val="24"/>
          <w:szCs w:val="24"/>
        </w:rPr>
        <w:t xml:space="preserve"> Selected Supporting Information section of Technical Appendix Volume 1</w:t>
      </w:r>
      <w:r w:rsidRPr="00DB7156">
        <w:rPr>
          <w:rFonts w:ascii="Arial" w:eastAsia="Calibri" w:hAnsi="Arial" w:cs="Arial"/>
          <w:color w:val="000000"/>
          <w:sz w:val="24"/>
          <w:szCs w:val="24"/>
        </w:rPr>
        <w:t>.</w:t>
      </w:r>
    </w:p>
    <w:p w14:paraId="117D6451" w14:textId="77777777" w:rsidR="00852DD2" w:rsidRPr="00DB7156" w:rsidRDefault="00852DD2" w:rsidP="00852DD2">
      <w:pPr>
        <w:spacing w:after="0" w:line="240" w:lineRule="auto"/>
        <w:jc w:val="both"/>
        <w:rPr>
          <w:rFonts w:ascii="Arial" w:eastAsia="Calibri" w:hAnsi="Arial" w:cs="Arial"/>
          <w:color w:val="000000"/>
          <w:sz w:val="24"/>
          <w:szCs w:val="24"/>
        </w:rPr>
      </w:pPr>
    </w:p>
    <w:p w14:paraId="127E4368" w14:textId="77777777" w:rsidR="00852DD2" w:rsidRPr="00DB7156" w:rsidRDefault="00852DD2" w:rsidP="00852DD2">
      <w:pPr>
        <w:spacing w:after="0" w:line="240" w:lineRule="auto"/>
        <w:jc w:val="both"/>
        <w:rPr>
          <w:rFonts w:ascii="Arial" w:hAnsi="Arial" w:cs="Arial"/>
          <w:sz w:val="24"/>
          <w:szCs w:val="24"/>
        </w:rPr>
      </w:pPr>
      <w:r w:rsidRPr="00DB7156">
        <w:rPr>
          <w:rFonts w:ascii="Arial" w:hAnsi="Arial" w:cs="Arial"/>
          <w:sz w:val="24"/>
          <w:szCs w:val="24"/>
        </w:rPr>
        <w:t xml:space="preserve">Georgia Power will continue to comply with all applicable state and federal regulatory requirements and is continually seeking to increase appropriate beneficial uses of CCR.  </w:t>
      </w:r>
      <w:r w:rsidRPr="00DB7156">
        <w:rPr>
          <w:rFonts w:ascii="Arial" w:eastAsia="Calibri" w:hAnsi="Arial" w:cs="Arial"/>
          <w:color w:val="000000"/>
          <w:sz w:val="24"/>
          <w:szCs w:val="24"/>
        </w:rPr>
        <w:t>Georgia Power continues to evaluate these options and will consider market opportunities to determine the most cost-effective strategy</w:t>
      </w:r>
      <w:r>
        <w:rPr>
          <w:rFonts w:ascii="Arial" w:eastAsia="Calibri" w:hAnsi="Arial" w:cs="Arial"/>
          <w:color w:val="000000"/>
          <w:sz w:val="24"/>
          <w:szCs w:val="24"/>
        </w:rPr>
        <w:t>, as evidenced by the ash beneficiation demonstration project</w:t>
      </w:r>
      <w:r w:rsidRPr="00DB7156">
        <w:rPr>
          <w:rFonts w:ascii="Arial" w:eastAsia="Calibri" w:hAnsi="Arial" w:cs="Arial"/>
          <w:color w:val="000000"/>
          <w:sz w:val="24"/>
          <w:szCs w:val="24"/>
        </w:rPr>
        <w:t>.</w:t>
      </w:r>
      <w:r w:rsidRPr="00DB7156">
        <w:rPr>
          <w:rFonts w:ascii="Arial" w:hAnsi="Arial" w:cs="Arial"/>
          <w:sz w:val="24"/>
          <w:szCs w:val="24"/>
        </w:rPr>
        <w:t xml:space="preserve"> </w:t>
      </w:r>
    </w:p>
    <w:p w14:paraId="22BA5248" w14:textId="77777777" w:rsidR="001A0309" w:rsidRPr="00DB7156" w:rsidRDefault="001A0309" w:rsidP="00DB7156">
      <w:pPr>
        <w:spacing w:after="0" w:line="240" w:lineRule="auto"/>
        <w:jc w:val="both"/>
        <w:rPr>
          <w:rFonts w:ascii="Arial" w:hAnsi="Arial" w:cs="Arial"/>
          <w:b/>
          <w:color w:val="000080"/>
          <w:sz w:val="24"/>
          <w:szCs w:val="24"/>
        </w:rPr>
      </w:pPr>
    </w:p>
    <w:p w14:paraId="22BA5249" w14:textId="77777777" w:rsidR="001A0309" w:rsidRPr="00DB7156" w:rsidRDefault="001A0309" w:rsidP="00DB7156">
      <w:pPr>
        <w:spacing w:after="0" w:line="240" w:lineRule="auto"/>
        <w:jc w:val="both"/>
        <w:rPr>
          <w:rFonts w:ascii="Arial" w:hAnsi="Arial" w:cs="Arial"/>
          <w:b/>
          <w:color w:val="000080"/>
          <w:sz w:val="24"/>
          <w:szCs w:val="24"/>
        </w:rPr>
      </w:pPr>
    </w:p>
    <w:p w14:paraId="22BA5252" w14:textId="7D8B6057" w:rsidR="009F6D91" w:rsidRPr="00DB7156" w:rsidRDefault="009F6D91" w:rsidP="00DB7156">
      <w:pPr>
        <w:spacing w:after="0" w:line="240" w:lineRule="auto"/>
        <w:jc w:val="both"/>
        <w:rPr>
          <w:rFonts w:ascii="Arial" w:hAnsi="Arial" w:cs="Arial"/>
          <w:b/>
          <w:color w:val="000080"/>
          <w:sz w:val="24"/>
          <w:szCs w:val="24"/>
        </w:rPr>
      </w:pPr>
    </w:p>
    <w:p w14:paraId="3E132B12" w14:textId="77777777" w:rsidR="0033469D" w:rsidRDefault="0033469D" w:rsidP="00DB7156">
      <w:pPr>
        <w:spacing w:after="0" w:line="240" w:lineRule="auto"/>
        <w:jc w:val="both"/>
        <w:outlineLvl w:val="0"/>
        <w:rPr>
          <w:rFonts w:ascii="Arial" w:hAnsi="Arial" w:cs="Arial"/>
          <w:b/>
          <w:color w:val="000080"/>
          <w:sz w:val="24"/>
          <w:szCs w:val="24"/>
        </w:rPr>
      </w:pPr>
      <w:bookmarkStart w:id="239" w:name="_Toc496107767"/>
      <w:bookmarkStart w:id="240" w:name="_Toc527987360"/>
      <w:bookmarkStart w:id="241" w:name="_Toc527983907"/>
      <w:bookmarkStart w:id="242" w:name="_Toc530487294"/>
    </w:p>
    <w:p w14:paraId="22BA5253" w14:textId="40D4C841" w:rsidR="00752263" w:rsidRPr="00DB7156" w:rsidRDefault="00B67C6E" w:rsidP="00DB7156">
      <w:pPr>
        <w:spacing w:after="0" w:line="240" w:lineRule="auto"/>
        <w:jc w:val="both"/>
        <w:outlineLvl w:val="0"/>
        <w:rPr>
          <w:rFonts w:ascii="Arial" w:hAnsi="Arial" w:cs="Arial"/>
          <w:b/>
          <w:color w:val="000080"/>
          <w:sz w:val="24"/>
          <w:szCs w:val="24"/>
        </w:rPr>
      </w:pPr>
      <w:bookmarkStart w:id="243" w:name="_Toc535908163"/>
      <w:r w:rsidRPr="00DB7156">
        <w:rPr>
          <w:rFonts w:ascii="Arial" w:hAnsi="Arial" w:cs="Arial"/>
          <w:b/>
          <w:color w:val="000080"/>
          <w:sz w:val="24"/>
          <w:szCs w:val="24"/>
        </w:rPr>
        <w:t>ECS-</w:t>
      </w:r>
      <w:r w:rsidR="00752263" w:rsidRPr="00DB7156">
        <w:rPr>
          <w:rFonts w:ascii="Arial" w:hAnsi="Arial" w:cs="Arial"/>
          <w:b/>
          <w:color w:val="000080"/>
          <w:sz w:val="24"/>
          <w:szCs w:val="24"/>
        </w:rPr>
        <w:t xml:space="preserve">APPENDIX </w:t>
      </w:r>
      <w:r w:rsidRPr="00DB7156">
        <w:rPr>
          <w:rFonts w:ascii="Arial" w:hAnsi="Arial" w:cs="Arial"/>
          <w:b/>
          <w:color w:val="000080"/>
          <w:sz w:val="24"/>
          <w:szCs w:val="24"/>
        </w:rPr>
        <w:t>A</w:t>
      </w:r>
      <w:bookmarkEnd w:id="239"/>
      <w:bookmarkEnd w:id="240"/>
      <w:bookmarkEnd w:id="241"/>
      <w:bookmarkEnd w:id="242"/>
      <w:bookmarkEnd w:id="243"/>
    </w:p>
    <w:p w14:paraId="22BA5254" w14:textId="77777777" w:rsidR="00752263" w:rsidRPr="00DB7156" w:rsidRDefault="00752263" w:rsidP="00DB7156">
      <w:pPr>
        <w:spacing w:after="0" w:line="240" w:lineRule="auto"/>
        <w:jc w:val="both"/>
        <w:rPr>
          <w:rFonts w:ascii="Arial" w:hAnsi="Arial" w:cs="Arial"/>
          <w:color w:val="000080"/>
          <w:sz w:val="24"/>
          <w:szCs w:val="24"/>
        </w:rPr>
      </w:pPr>
    </w:p>
    <w:p w14:paraId="22BA5255" w14:textId="77777777" w:rsidR="00752263" w:rsidRPr="00DB7156" w:rsidRDefault="00752263" w:rsidP="00DB7156">
      <w:pPr>
        <w:spacing w:after="0" w:line="240" w:lineRule="auto"/>
        <w:jc w:val="both"/>
        <w:rPr>
          <w:rFonts w:ascii="Arial" w:hAnsi="Arial" w:cs="Arial"/>
          <w:b/>
          <w:caps/>
          <w:color w:val="000080"/>
          <w:sz w:val="24"/>
          <w:szCs w:val="24"/>
          <w:u w:val="single"/>
        </w:rPr>
      </w:pPr>
      <w:r w:rsidRPr="00DB7156">
        <w:rPr>
          <w:rFonts w:ascii="Arial" w:hAnsi="Arial" w:cs="Arial"/>
          <w:b/>
          <w:caps/>
          <w:color w:val="000080"/>
          <w:sz w:val="24"/>
          <w:szCs w:val="24"/>
          <w:u w:val="single"/>
        </w:rPr>
        <w:t>Acronyms/ABBREVIATIONS and Terminology</w:t>
      </w:r>
    </w:p>
    <w:p w14:paraId="22BA5257" w14:textId="77777777" w:rsidR="00752263" w:rsidRPr="00DB7156" w:rsidRDefault="00752263" w:rsidP="00DB7156">
      <w:pPr>
        <w:tabs>
          <w:tab w:val="left" w:pos="3060"/>
        </w:tabs>
        <w:spacing w:after="0" w:line="240" w:lineRule="auto"/>
        <w:jc w:val="both"/>
        <w:rPr>
          <w:rFonts w:ascii="Arial" w:hAnsi="Arial" w:cs="Arial"/>
          <w:sz w:val="24"/>
          <w:szCs w:val="24"/>
        </w:rPr>
      </w:pPr>
    </w:p>
    <w:tbl>
      <w:tblPr>
        <w:tblW w:w="85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6822"/>
        <w:gridCol w:w="18"/>
      </w:tblGrid>
      <w:tr w:rsidR="004C6839" w:rsidRPr="00DB7156" w14:paraId="7AB38810" w14:textId="77777777" w:rsidTr="0049164F">
        <w:tc>
          <w:tcPr>
            <w:tcW w:w="1710" w:type="dxa"/>
          </w:tcPr>
          <w:p w14:paraId="5FEFF3D8" w14:textId="597D373D" w:rsidR="004C6839" w:rsidRPr="00DB7156" w:rsidRDefault="004C6839" w:rsidP="00DB7156">
            <w:pPr>
              <w:spacing w:after="0" w:line="240" w:lineRule="auto"/>
              <w:ind w:left="-105" w:right="-202"/>
              <w:jc w:val="both"/>
              <w:rPr>
                <w:rFonts w:ascii="Arial" w:hAnsi="Arial" w:cs="Arial"/>
                <w:b/>
                <w:color w:val="000080"/>
                <w:sz w:val="24"/>
                <w:szCs w:val="24"/>
              </w:rPr>
            </w:pPr>
            <w:r w:rsidRPr="00DB7156">
              <w:rPr>
                <w:rFonts w:ascii="Arial" w:hAnsi="Arial" w:cs="Arial"/>
                <w:b/>
                <w:color w:val="000080"/>
                <w:sz w:val="24"/>
                <w:szCs w:val="24"/>
              </w:rPr>
              <w:t>A/C</w:t>
            </w:r>
          </w:p>
        </w:tc>
        <w:tc>
          <w:tcPr>
            <w:tcW w:w="6840" w:type="dxa"/>
            <w:gridSpan w:val="2"/>
          </w:tcPr>
          <w:p w14:paraId="136A93C4" w14:textId="530739CF" w:rsidR="004C6839" w:rsidRPr="00DB7156" w:rsidRDefault="004C6839" w:rsidP="00DB7156">
            <w:pPr>
              <w:spacing w:after="0" w:line="240" w:lineRule="auto"/>
              <w:ind w:right="-198"/>
              <w:jc w:val="both"/>
              <w:rPr>
                <w:rFonts w:ascii="Arial" w:hAnsi="Arial" w:cs="Arial"/>
                <w:color w:val="000080"/>
                <w:sz w:val="24"/>
                <w:szCs w:val="24"/>
              </w:rPr>
            </w:pPr>
            <w:r w:rsidRPr="00DB7156">
              <w:rPr>
                <w:rFonts w:ascii="Arial" w:hAnsi="Arial" w:cs="Arial"/>
                <w:color w:val="000080"/>
                <w:sz w:val="24"/>
                <w:szCs w:val="24"/>
              </w:rPr>
              <w:t>Air-to-Cloth Ratio</w:t>
            </w:r>
          </w:p>
        </w:tc>
      </w:tr>
      <w:tr w:rsidR="000E4071" w:rsidRPr="00DB7156" w14:paraId="15582028" w14:textId="77777777" w:rsidTr="0049164F">
        <w:tc>
          <w:tcPr>
            <w:tcW w:w="1710" w:type="dxa"/>
          </w:tcPr>
          <w:p w14:paraId="0CD57750" w14:textId="77777777" w:rsidR="000E4071" w:rsidRPr="00DB7156" w:rsidRDefault="000E4071" w:rsidP="00DB7156">
            <w:pPr>
              <w:spacing w:after="0" w:line="240" w:lineRule="auto"/>
              <w:ind w:left="-105" w:right="-202"/>
              <w:jc w:val="both"/>
              <w:rPr>
                <w:rFonts w:ascii="Arial" w:hAnsi="Arial" w:cs="Arial"/>
                <w:b/>
                <w:color w:val="000080"/>
                <w:sz w:val="24"/>
                <w:szCs w:val="24"/>
              </w:rPr>
            </w:pPr>
          </w:p>
        </w:tc>
        <w:tc>
          <w:tcPr>
            <w:tcW w:w="6840" w:type="dxa"/>
            <w:gridSpan w:val="2"/>
          </w:tcPr>
          <w:p w14:paraId="744EFD4B" w14:textId="77777777" w:rsidR="000E4071" w:rsidRPr="00DB7156" w:rsidRDefault="000E4071" w:rsidP="00DB7156">
            <w:pPr>
              <w:spacing w:after="0" w:line="240" w:lineRule="auto"/>
              <w:ind w:right="-198"/>
              <w:jc w:val="both"/>
              <w:rPr>
                <w:rFonts w:ascii="Arial" w:hAnsi="Arial" w:cs="Arial"/>
                <w:color w:val="000080"/>
                <w:sz w:val="24"/>
                <w:szCs w:val="24"/>
              </w:rPr>
            </w:pPr>
          </w:p>
        </w:tc>
      </w:tr>
      <w:tr w:rsidR="00CC5AA4" w:rsidRPr="00DB7156" w14:paraId="4D34C031" w14:textId="77777777" w:rsidTr="0049164F">
        <w:tc>
          <w:tcPr>
            <w:tcW w:w="1710" w:type="dxa"/>
          </w:tcPr>
          <w:p w14:paraId="4B556312" w14:textId="16F4D985" w:rsidR="00CC5AA4" w:rsidRPr="00DB7156" w:rsidRDefault="00CC5AA4" w:rsidP="00DB7156">
            <w:pPr>
              <w:spacing w:after="0" w:line="240" w:lineRule="auto"/>
              <w:ind w:left="-105" w:right="-202"/>
              <w:jc w:val="both"/>
              <w:rPr>
                <w:rFonts w:ascii="Arial" w:hAnsi="Arial" w:cs="Arial"/>
                <w:b/>
                <w:color w:val="000080"/>
                <w:sz w:val="24"/>
                <w:szCs w:val="24"/>
              </w:rPr>
            </w:pPr>
            <w:r>
              <w:rPr>
                <w:rFonts w:ascii="Arial" w:hAnsi="Arial" w:cs="Arial"/>
                <w:b/>
                <w:color w:val="000080"/>
                <w:sz w:val="24"/>
                <w:szCs w:val="24"/>
              </w:rPr>
              <w:t>ACE</w:t>
            </w:r>
          </w:p>
        </w:tc>
        <w:tc>
          <w:tcPr>
            <w:tcW w:w="6840" w:type="dxa"/>
            <w:gridSpan w:val="2"/>
          </w:tcPr>
          <w:p w14:paraId="25C68DA5" w14:textId="3E19E816" w:rsidR="00CC5AA4" w:rsidRPr="00DB7156" w:rsidRDefault="00CC5AA4" w:rsidP="00DB7156">
            <w:pPr>
              <w:spacing w:after="0" w:line="240" w:lineRule="auto"/>
              <w:ind w:right="-198"/>
              <w:jc w:val="both"/>
              <w:rPr>
                <w:rFonts w:ascii="Arial" w:hAnsi="Arial" w:cs="Arial"/>
                <w:color w:val="000080"/>
                <w:sz w:val="24"/>
                <w:szCs w:val="24"/>
              </w:rPr>
            </w:pPr>
            <w:r>
              <w:rPr>
                <w:rFonts w:ascii="Arial" w:hAnsi="Arial" w:cs="Arial"/>
                <w:color w:val="000080"/>
                <w:sz w:val="24"/>
                <w:szCs w:val="24"/>
              </w:rPr>
              <w:t xml:space="preserve">Affordable Clean Energy </w:t>
            </w:r>
          </w:p>
        </w:tc>
      </w:tr>
      <w:tr w:rsidR="00CC5AA4" w:rsidRPr="00DB7156" w14:paraId="00A7AEDB" w14:textId="77777777" w:rsidTr="0049164F">
        <w:tc>
          <w:tcPr>
            <w:tcW w:w="1710" w:type="dxa"/>
          </w:tcPr>
          <w:p w14:paraId="062C1B06" w14:textId="77777777" w:rsidR="00CC5AA4" w:rsidRPr="00DB7156" w:rsidRDefault="00CC5AA4" w:rsidP="00DB7156">
            <w:pPr>
              <w:spacing w:after="0" w:line="240" w:lineRule="auto"/>
              <w:ind w:left="-108" w:right="-202"/>
              <w:jc w:val="both"/>
              <w:rPr>
                <w:rFonts w:ascii="Arial" w:hAnsi="Arial" w:cs="Arial"/>
                <w:b/>
                <w:color w:val="000080"/>
                <w:sz w:val="24"/>
                <w:szCs w:val="24"/>
              </w:rPr>
            </w:pPr>
          </w:p>
        </w:tc>
        <w:tc>
          <w:tcPr>
            <w:tcW w:w="6840" w:type="dxa"/>
            <w:gridSpan w:val="2"/>
          </w:tcPr>
          <w:p w14:paraId="651563EF" w14:textId="77777777" w:rsidR="00CC5AA4" w:rsidRPr="00DB7156" w:rsidRDefault="00CC5AA4" w:rsidP="00DB7156">
            <w:pPr>
              <w:spacing w:after="0" w:line="240" w:lineRule="auto"/>
              <w:ind w:right="-202"/>
              <w:jc w:val="both"/>
              <w:rPr>
                <w:rFonts w:ascii="Arial" w:hAnsi="Arial" w:cs="Arial"/>
                <w:color w:val="000080"/>
                <w:sz w:val="24"/>
                <w:szCs w:val="24"/>
              </w:rPr>
            </w:pPr>
          </w:p>
        </w:tc>
      </w:tr>
      <w:tr w:rsidR="00D220AC" w:rsidRPr="00DB7156" w14:paraId="22BA5266" w14:textId="77777777" w:rsidTr="0049164F">
        <w:tc>
          <w:tcPr>
            <w:tcW w:w="1710" w:type="dxa"/>
          </w:tcPr>
          <w:p w14:paraId="22BA5264" w14:textId="77777777" w:rsidR="00D220AC" w:rsidRPr="00DB7156" w:rsidRDefault="00D220AC" w:rsidP="00DB7156">
            <w:pPr>
              <w:spacing w:after="0" w:line="240" w:lineRule="auto"/>
              <w:ind w:left="-108" w:right="-202"/>
              <w:jc w:val="both"/>
              <w:rPr>
                <w:rFonts w:ascii="Arial" w:hAnsi="Arial" w:cs="Arial"/>
                <w:b/>
                <w:color w:val="000080"/>
                <w:sz w:val="24"/>
                <w:szCs w:val="24"/>
              </w:rPr>
            </w:pPr>
            <w:r w:rsidRPr="00DB7156">
              <w:rPr>
                <w:rFonts w:ascii="Arial" w:hAnsi="Arial" w:cs="Arial"/>
                <w:b/>
                <w:color w:val="000080"/>
                <w:sz w:val="24"/>
                <w:szCs w:val="24"/>
              </w:rPr>
              <w:t>ACI</w:t>
            </w:r>
          </w:p>
        </w:tc>
        <w:tc>
          <w:tcPr>
            <w:tcW w:w="6840" w:type="dxa"/>
            <w:gridSpan w:val="2"/>
          </w:tcPr>
          <w:p w14:paraId="22BA5265" w14:textId="77777777" w:rsidR="00D220AC" w:rsidRPr="00DB7156" w:rsidRDefault="00D220AC" w:rsidP="00DB7156">
            <w:pPr>
              <w:spacing w:after="0" w:line="240" w:lineRule="auto"/>
              <w:ind w:right="-202"/>
              <w:jc w:val="both"/>
              <w:rPr>
                <w:rFonts w:ascii="Arial" w:hAnsi="Arial" w:cs="Arial"/>
                <w:color w:val="000080"/>
                <w:sz w:val="24"/>
                <w:szCs w:val="24"/>
              </w:rPr>
            </w:pPr>
            <w:r w:rsidRPr="00DB7156">
              <w:rPr>
                <w:rFonts w:ascii="Arial" w:hAnsi="Arial" w:cs="Arial"/>
                <w:color w:val="000080"/>
                <w:sz w:val="24"/>
                <w:szCs w:val="24"/>
              </w:rPr>
              <w:t>Activated Carbon Injection</w:t>
            </w:r>
          </w:p>
        </w:tc>
      </w:tr>
      <w:tr w:rsidR="00D220AC" w:rsidRPr="00DB7156" w14:paraId="22BA5269" w14:textId="77777777" w:rsidTr="0049164F">
        <w:tc>
          <w:tcPr>
            <w:tcW w:w="1710" w:type="dxa"/>
          </w:tcPr>
          <w:p w14:paraId="22BA5267" w14:textId="77777777" w:rsidR="00D220AC" w:rsidRPr="00DB7156" w:rsidRDefault="00D220AC" w:rsidP="00DB7156">
            <w:pPr>
              <w:spacing w:after="0" w:line="240" w:lineRule="auto"/>
              <w:ind w:left="-108" w:right="-202"/>
              <w:jc w:val="both"/>
              <w:rPr>
                <w:rFonts w:ascii="Arial" w:hAnsi="Arial" w:cs="Arial"/>
                <w:b/>
                <w:color w:val="000080"/>
                <w:sz w:val="24"/>
                <w:szCs w:val="24"/>
              </w:rPr>
            </w:pPr>
          </w:p>
        </w:tc>
        <w:tc>
          <w:tcPr>
            <w:tcW w:w="6840" w:type="dxa"/>
            <w:gridSpan w:val="2"/>
          </w:tcPr>
          <w:p w14:paraId="22BA5268" w14:textId="77777777" w:rsidR="00D220AC" w:rsidRPr="00DB7156" w:rsidRDefault="00D220AC" w:rsidP="00DB7156">
            <w:pPr>
              <w:spacing w:after="0" w:line="240" w:lineRule="auto"/>
              <w:ind w:right="-202"/>
              <w:jc w:val="both"/>
              <w:rPr>
                <w:rFonts w:ascii="Arial" w:hAnsi="Arial" w:cs="Arial"/>
                <w:color w:val="000080"/>
                <w:sz w:val="24"/>
                <w:szCs w:val="24"/>
              </w:rPr>
            </w:pPr>
          </w:p>
        </w:tc>
      </w:tr>
      <w:tr w:rsidR="00DC1996" w:rsidRPr="00DB7156" w14:paraId="22BA526C" w14:textId="77777777" w:rsidTr="0049164F">
        <w:tc>
          <w:tcPr>
            <w:tcW w:w="1710" w:type="dxa"/>
          </w:tcPr>
          <w:p w14:paraId="22BA526A" w14:textId="77777777" w:rsidR="00DC1996" w:rsidRPr="00DB7156" w:rsidRDefault="00DC1996" w:rsidP="00DB7156">
            <w:pPr>
              <w:spacing w:after="0" w:line="240" w:lineRule="auto"/>
              <w:ind w:left="-108" w:right="-202"/>
              <w:jc w:val="both"/>
              <w:rPr>
                <w:rFonts w:ascii="Arial" w:hAnsi="Arial" w:cs="Arial"/>
                <w:b/>
                <w:color w:val="000080"/>
                <w:sz w:val="24"/>
                <w:szCs w:val="24"/>
              </w:rPr>
            </w:pPr>
            <w:r w:rsidRPr="00DB7156">
              <w:rPr>
                <w:rFonts w:ascii="Arial" w:hAnsi="Arial" w:cs="Arial"/>
                <w:b/>
                <w:color w:val="000080"/>
                <w:sz w:val="24"/>
                <w:szCs w:val="24"/>
              </w:rPr>
              <w:t>ALK</w:t>
            </w:r>
          </w:p>
        </w:tc>
        <w:tc>
          <w:tcPr>
            <w:tcW w:w="6840" w:type="dxa"/>
            <w:gridSpan w:val="2"/>
          </w:tcPr>
          <w:p w14:paraId="22BA526B" w14:textId="77777777" w:rsidR="00DC1996" w:rsidRPr="00DB7156" w:rsidRDefault="00DC1996" w:rsidP="00DB7156">
            <w:pPr>
              <w:spacing w:after="0" w:line="240" w:lineRule="auto"/>
              <w:ind w:right="-202"/>
              <w:jc w:val="both"/>
              <w:rPr>
                <w:rFonts w:ascii="Arial" w:hAnsi="Arial" w:cs="Arial"/>
                <w:color w:val="000080"/>
                <w:sz w:val="24"/>
                <w:szCs w:val="24"/>
              </w:rPr>
            </w:pPr>
            <w:r w:rsidRPr="00DB7156">
              <w:rPr>
                <w:rFonts w:ascii="Arial" w:hAnsi="Arial" w:cs="Arial"/>
                <w:color w:val="000080"/>
                <w:sz w:val="24"/>
                <w:szCs w:val="24"/>
              </w:rPr>
              <w:t>Alkali Sorbent Injection</w:t>
            </w:r>
          </w:p>
        </w:tc>
      </w:tr>
      <w:tr w:rsidR="00DC1996" w:rsidRPr="00DB7156" w14:paraId="22BA526F" w14:textId="77777777" w:rsidTr="0049164F">
        <w:tc>
          <w:tcPr>
            <w:tcW w:w="1710" w:type="dxa"/>
          </w:tcPr>
          <w:p w14:paraId="22BA526D" w14:textId="77777777" w:rsidR="00DC1996" w:rsidRPr="00DB7156" w:rsidRDefault="00DC1996" w:rsidP="00DB7156">
            <w:pPr>
              <w:spacing w:after="0" w:line="240" w:lineRule="auto"/>
              <w:ind w:left="-108" w:right="-202"/>
              <w:jc w:val="both"/>
              <w:rPr>
                <w:rFonts w:ascii="Arial" w:hAnsi="Arial" w:cs="Arial"/>
                <w:b/>
                <w:color w:val="000080"/>
                <w:sz w:val="24"/>
                <w:szCs w:val="24"/>
              </w:rPr>
            </w:pPr>
          </w:p>
        </w:tc>
        <w:tc>
          <w:tcPr>
            <w:tcW w:w="6840" w:type="dxa"/>
            <w:gridSpan w:val="2"/>
          </w:tcPr>
          <w:p w14:paraId="22BA526E" w14:textId="77777777" w:rsidR="00DC1996" w:rsidRPr="00DB7156" w:rsidRDefault="00DC1996" w:rsidP="00DB7156">
            <w:pPr>
              <w:spacing w:after="0" w:line="240" w:lineRule="auto"/>
              <w:ind w:right="-202"/>
              <w:jc w:val="both"/>
              <w:rPr>
                <w:rFonts w:ascii="Arial" w:hAnsi="Arial" w:cs="Arial"/>
                <w:color w:val="000080"/>
                <w:sz w:val="24"/>
                <w:szCs w:val="24"/>
              </w:rPr>
            </w:pPr>
          </w:p>
        </w:tc>
      </w:tr>
      <w:tr w:rsidR="006474FB" w:rsidRPr="00DB7156" w14:paraId="6182B27B" w14:textId="77777777" w:rsidTr="0049164F">
        <w:tc>
          <w:tcPr>
            <w:tcW w:w="1710" w:type="dxa"/>
          </w:tcPr>
          <w:p w14:paraId="35D471B8" w14:textId="7985225D" w:rsidR="006474FB" w:rsidRPr="00DB7156" w:rsidRDefault="006474FB" w:rsidP="00DB7156">
            <w:pPr>
              <w:spacing w:after="0" w:line="240" w:lineRule="auto"/>
              <w:ind w:left="-108" w:right="-202"/>
              <w:jc w:val="both"/>
              <w:rPr>
                <w:rFonts w:ascii="Arial" w:hAnsi="Arial" w:cs="Arial"/>
                <w:b/>
                <w:color w:val="000080"/>
                <w:sz w:val="24"/>
                <w:szCs w:val="24"/>
              </w:rPr>
            </w:pPr>
            <w:r>
              <w:rPr>
                <w:rFonts w:ascii="Arial" w:hAnsi="Arial" w:cs="Arial"/>
                <w:b/>
                <w:color w:val="000080"/>
                <w:sz w:val="24"/>
                <w:szCs w:val="24"/>
              </w:rPr>
              <w:t>ANPRM</w:t>
            </w:r>
          </w:p>
        </w:tc>
        <w:tc>
          <w:tcPr>
            <w:tcW w:w="6840" w:type="dxa"/>
            <w:gridSpan w:val="2"/>
          </w:tcPr>
          <w:p w14:paraId="321B6F1E" w14:textId="29C030AA" w:rsidR="006474FB" w:rsidRPr="00DB7156" w:rsidRDefault="006474FB" w:rsidP="00DB7156">
            <w:pPr>
              <w:spacing w:after="0" w:line="240" w:lineRule="auto"/>
              <w:ind w:right="-198"/>
              <w:jc w:val="both"/>
              <w:rPr>
                <w:rFonts w:ascii="Arial" w:hAnsi="Arial" w:cs="Arial"/>
                <w:color w:val="000080"/>
                <w:sz w:val="24"/>
                <w:szCs w:val="24"/>
              </w:rPr>
            </w:pPr>
            <w:r>
              <w:rPr>
                <w:rFonts w:ascii="Arial" w:hAnsi="Arial" w:cs="Arial"/>
                <w:color w:val="000080"/>
                <w:sz w:val="24"/>
                <w:szCs w:val="24"/>
              </w:rPr>
              <w:t>Advanced Notice of Proposed Rulemaking</w:t>
            </w:r>
          </w:p>
        </w:tc>
      </w:tr>
      <w:tr w:rsidR="006474FB" w:rsidRPr="00DB7156" w14:paraId="6581709D" w14:textId="77777777" w:rsidTr="0049164F">
        <w:tc>
          <w:tcPr>
            <w:tcW w:w="1710" w:type="dxa"/>
          </w:tcPr>
          <w:p w14:paraId="6E05F7B1" w14:textId="77777777" w:rsidR="006474FB" w:rsidRPr="00DB7156" w:rsidRDefault="006474FB" w:rsidP="00DB7156">
            <w:pPr>
              <w:spacing w:after="0" w:line="240" w:lineRule="auto"/>
              <w:ind w:left="-108" w:right="-202"/>
              <w:jc w:val="both"/>
              <w:rPr>
                <w:rFonts w:ascii="Arial" w:hAnsi="Arial" w:cs="Arial"/>
                <w:b/>
                <w:color w:val="000080"/>
                <w:sz w:val="24"/>
                <w:szCs w:val="24"/>
              </w:rPr>
            </w:pPr>
          </w:p>
        </w:tc>
        <w:tc>
          <w:tcPr>
            <w:tcW w:w="6840" w:type="dxa"/>
            <w:gridSpan w:val="2"/>
          </w:tcPr>
          <w:p w14:paraId="75FC276D" w14:textId="77777777" w:rsidR="006474FB" w:rsidRPr="00DB7156" w:rsidRDefault="006474FB" w:rsidP="00DB7156">
            <w:pPr>
              <w:spacing w:after="0" w:line="240" w:lineRule="auto"/>
              <w:ind w:right="-198"/>
              <w:jc w:val="both"/>
              <w:rPr>
                <w:rFonts w:ascii="Arial" w:hAnsi="Arial" w:cs="Arial"/>
                <w:color w:val="000080"/>
                <w:sz w:val="24"/>
                <w:szCs w:val="24"/>
              </w:rPr>
            </w:pPr>
          </w:p>
        </w:tc>
      </w:tr>
      <w:tr w:rsidR="00CF3FC1" w:rsidRPr="00DB7156" w14:paraId="0ACBBA4D" w14:textId="77777777" w:rsidTr="0049164F">
        <w:tc>
          <w:tcPr>
            <w:tcW w:w="1710" w:type="dxa"/>
          </w:tcPr>
          <w:p w14:paraId="5071DA7E" w14:textId="750FBCA9" w:rsidR="00CF3FC1" w:rsidRPr="00DB7156" w:rsidRDefault="00CF3FC1" w:rsidP="00DB7156">
            <w:pPr>
              <w:spacing w:after="0" w:line="240" w:lineRule="auto"/>
              <w:ind w:left="-108" w:right="-202"/>
              <w:jc w:val="both"/>
              <w:rPr>
                <w:rFonts w:ascii="Arial" w:hAnsi="Arial" w:cs="Arial"/>
                <w:b/>
                <w:color w:val="000080"/>
                <w:sz w:val="24"/>
                <w:szCs w:val="24"/>
              </w:rPr>
            </w:pPr>
            <w:r w:rsidRPr="00DB7156">
              <w:rPr>
                <w:rFonts w:ascii="Arial" w:hAnsi="Arial" w:cs="Arial"/>
                <w:b/>
                <w:color w:val="000080"/>
                <w:sz w:val="24"/>
                <w:szCs w:val="24"/>
              </w:rPr>
              <w:t>ARO</w:t>
            </w:r>
          </w:p>
        </w:tc>
        <w:tc>
          <w:tcPr>
            <w:tcW w:w="6840" w:type="dxa"/>
            <w:gridSpan w:val="2"/>
          </w:tcPr>
          <w:p w14:paraId="3AD7FB2D" w14:textId="25663EAF" w:rsidR="00CF3FC1" w:rsidRPr="00DB7156" w:rsidRDefault="00CF3FC1" w:rsidP="00DB7156">
            <w:pPr>
              <w:spacing w:after="0" w:line="240" w:lineRule="auto"/>
              <w:ind w:right="-198"/>
              <w:jc w:val="both"/>
              <w:rPr>
                <w:rFonts w:ascii="Arial" w:hAnsi="Arial" w:cs="Arial"/>
                <w:color w:val="000080"/>
                <w:sz w:val="24"/>
                <w:szCs w:val="24"/>
              </w:rPr>
            </w:pPr>
            <w:r w:rsidRPr="00DB7156">
              <w:rPr>
                <w:rFonts w:ascii="Arial" w:hAnsi="Arial" w:cs="Arial"/>
                <w:color w:val="000080"/>
                <w:sz w:val="24"/>
                <w:szCs w:val="24"/>
              </w:rPr>
              <w:t xml:space="preserve">Asset Retirement Obligation </w:t>
            </w:r>
          </w:p>
        </w:tc>
      </w:tr>
      <w:tr w:rsidR="00CF3FC1" w:rsidRPr="00DB7156" w14:paraId="3EBB32EA" w14:textId="77777777" w:rsidTr="0049164F">
        <w:tc>
          <w:tcPr>
            <w:tcW w:w="1710" w:type="dxa"/>
          </w:tcPr>
          <w:p w14:paraId="27A82D02" w14:textId="77777777" w:rsidR="00CF3FC1" w:rsidRPr="00DB7156" w:rsidRDefault="00CF3FC1" w:rsidP="00DB7156">
            <w:pPr>
              <w:spacing w:after="0" w:line="240" w:lineRule="auto"/>
              <w:ind w:left="-108" w:right="-202"/>
              <w:jc w:val="both"/>
              <w:rPr>
                <w:rFonts w:ascii="Arial" w:hAnsi="Arial" w:cs="Arial"/>
                <w:b/>
                <w:color w:val="000080"/>
                <w:sz w:val="24"/>
                <w:szCs w:val="24"/>
              </w:rPr>
            </w:pPr>
          </w:p>
        </w:tc>
        <w:tc>
          <w:tcPr>
            <w:tcW w:w="6840" w:type="dxa"/>
            <w:gridSpan w:val="2"/>
          </w:tcPr>
          <w:p w14:paraId="79D36AF5" w14:textId="77777777" w:rsidR="00CF3FC1" w:rsidRPr="00DB7156" w:rsidRDefault="00CF3FC1" w:rsidP="00DB7156">
            <w:pPr>
              <w:spacing w:after="0" w:line="240" w:lineRule="auto"/>
              <w:ind w:right="-198"/>
              <w:jc w:val="both"/>
              <w:rPr>
                <w:rFonts w:ascii="Arial" w:hAnsi="Arial" w:cs="Arial"/>
                <w:color w:val="000080"/>
                <w:sz w:val="24"/>
                <w:szCs w:val="24"/>
              </w:rPr>
            </w:pPr>
          </w:p>
        </w:tc>
      </w:tr>
      <w:tr w:rsidR="00752263" w:rsidRPr="00DB7156" w14:paraId="22BA5278" w14:textId="77777777" w:rsidTr="0049164F">
        <w:tc>
          <w:tcPr>
            <w:tcW w:w="1710" w:type="dxa"/>
          </w:tcPr>
          <w:p w14:paraId="22BA5276" w14:textId="77777777" w:rsidR="00752263" w:rsidRPr="00DB7156" w:rsidRDefault="00752263" w:rsidP="00DB7156">
            <w:pPr>
              <w:spacing w:after="0" w:line="240" w:lineRule="auto"/>
              <w:ind w:left="-108" w:right="-202"/>
              <w:jc w:val="both"/>
              <w:rPr>
                <w:rFonts w:ascii="Arial" w:hAnsi="Arial" w:cs="Arial"/>
                <w:b/>
                <w:color w:val="000080"/>
                <w:sz w:val="24"/>
                <w:szCs w:val="24"/>
              </w:rPr>
            </w:pPr>
            <w:r w:rsidRPr="00DB7156">
              <w:rPr>
                <w:rFonts w:ascii="Arial" w:hAnsi="Arial" w:cs="Arial"/>
                <w:b/>
                <w:color w:val="000080"/>
                <w:sz w:val="24"/>
                <w:szCs w:val="24"/>
              </w:rPr>
              <w:t>BACT</w:t>
            </w:r>
          </w:p>
        </w:tc>
        <w:tc>
          <w:tcPr>
            <w:tcW w:w="6840" w:type="dxa"/>
            <w:gridSpan w:val="2"/>
          </w:tcPr>
          <w:p w14:paraId="22BA5277" w14:textId="77777777" w:rsidR="00752263" w:rsidRPr="00DB7156" w:rsidRDefault="00752263" w:rsidP="00DB7156">
            <w:pPr>
              <w:spacing w:after="0" w:line="240" w:lineRule="auto"/>
              <w:ind w:right="-198"/>
              <w:jc w:val="both"/>
              <w:rPr>
                <w:rFonts w:ascii="Arial" w:hAnsi="Arial" w:cs="Arial"/>
                <w:color w:val="000080"/>
                <w:sz w:val="24"/>
                <w:szCs w:val="24"/>
              </w:rPr>
            </w:pPr>
            <w:r w:rsidRPr="00DB7156">
              <w:rPr>
                <w:rFonts w:ascii="Arial" w:hAnsi="Arial" w:cs="Arial"/>
                <w:color w:val="000080"/>
                <w:sz w:val="24"/>
                <w:szCs w:val="24"/>
              </w:rPr>
              <w:t>Be</w:t>
            </w:r>
            <w:r w:rsidR="000653E1" w:rsidRPr="00DB7156">
              <w:rPr>
                <w:rFonts w:ascii="Arial" w:hAnsi="Arial" w:cs="Arial"/>
                <w:color w:val="000080"/>
                <w:sz w:val="24"/>
                <w:szCs w:val="24"/>
              </w:rPr>
              <w:t>st Available Control Technology</w:t>
            </w:r>
          </w:p>
        </w:tc>
      </w:tr>
      <w:tr w:rsidR="00752263" w:rsidRPr="00DB7156" w14:paraId="22BA527B" w14:textId="77777777" w:rsidTr="0049164F">
        <w:tc>
          <w:tcPr>
            <w:tcW w:w="1710" w:type="dxa"/>
          </w:tcPr>
          <w:p w14:paraId="22BA5279" w14:textId="77777777" w:rsidR="00752263" w:rsidRPr="00DB7156" w:rsidRDefault="00752263" w:rsidP="00DB7156">
            <w:pPr>
              <w:spacing w:after="0" w:line="240" w:lineRule="auto"/>
              <w:ind w:left="-108" w:right="-202"/>
              <w:jc w:val="both"/>
              <w:rPr>
                <w:rFonts w:ascii="Arial" w:hAnsi="Arial" w:cs="Arial"/>
                <w:b/>
                <w:color w:val="000080"/>
                <w:sz w:val="24"/>
                <w:szCs w:val="24"/>
              </w:rPr>
            </w:pPr>
          </w:p>
        </w:tc>
        <w:tc>
          <w:tcPr>
            <w:tcW w:w="6840" w:type="dxa"/>
            <w:gridSpan w:val="2"/>
          </w:tcPr>
          <w:p w14:paraId="22BA527A" w14:textId="77777777" w:rsidR="00752263" w:rsidRPr="00DB7156" w:rsidRDefault="00752263" w:rsidP="00DB7156">
            <w:pPr>
              <w:spacing w:after="0" w:line="240" w:lineRule="auto"/>
              <w:ind w:right="-198"/>
              <w:jc w:val="both"/>
              <w:rPr>
                <w:rFonts w:ascii="Arial" w:hAnsi="Arial" w:cs="Arial"/>
                <w:color w:val="000080"/>
                <w:sz w:val="24"/>
                <w:szCs w:val="24"/>
              </w:rPr>
            </w:pPr>
          </w:p>
        </w:tc>
      </w:tr>
      <w:tr w:rsidR="00752263" w:rsidRPr="00DB7156" w14:paraId="22BA527E" w14:textId="77777777" w:rsidTr="0049164F">
        <w:tc>
          <w:tcPr>
            <w:tcW w:w="1710" w:type="dxa"/>
          </w:tcPr>
          <w:p w14:paraId="22BA527C" w14:textId="77777777" w:rsidR="00752263" w:rsidRPr="00DB7156" w:rsidRDefault="00752263" w:rsidP="00DB7156">
            <w:pPr>
              <w:spacing w:after="0" w:line="240" w:lineRule="auto"/>
              <w:ind w:left="-108" w:right="-202"/>
              <w:jc w:val="both"/>
              <w:rPr>
                <w:rFonts w:ascii="Arial" w:hAnsi="Arial" w:cs="Arial"/>
                <w:b/>
                <w:color w:val="000080"/>
                <w:sz w:val="24"/>
                <w:szCs w:val="24"/>
              </w:rPr>
            </w:pPr>
            <w:r w:rsidRPr="00DB7156">
              <w:rPr>
                <w:rFonts w:ascii="Arial" w:hAnsi="Arial" w:cs="Arial"/>
                <w:b/>
                <w:color w:val="000080"/>
                <w:sz w:val="24"/>
                <w:szCs w:val="24"/>
              </w:rPr>
              <w:t>BART</w:t>
            </w:r>
          </w:p>
        </w:tc>
        <w:tc>
          <w:tcPr>
            <w:tcW w:w="6840" w:type="dxa"/>
            <w:gridSpan w:val="2"/>
          </w:tcPr>
          <w:p w14:paraId="22BA527D" w14:textId="77777777" w:rsidR="00752263" w:rsidRPr="00DB7156" w:rsidRDefault="00752263" w:rsidP="00DB7156">
            <w:pPr>
              <w:spacing w:after="0" w:line="240" w:lineRule="auto"/>
              <w:ind w:right="-198"/>
              <w:jc w:val="both"/>
              <w:rPr>
                <w:rFonts w:ascii="Arial" w:hAnsi="Arial" w:cs="Arial"/>
                <w:color w:val="000080"/>
                <w:sz w:val="24"/>
                <w:szCs w:val="24"/>
              </w:rPr>
            </w:pPr>
            <w:r w:rsidRPr="00DB7156">
              <w:rPr>
                <w:rFonts w:ascii="Arial" w:hAnsi="Arial" w:cs="Arial"/>
                <w:color w:val="000080"/>
                <w:sz w:val="24"/>
                <w:szCs w:val="24"/>
              </w:rPr>
              <w:t>Bes</w:t>
            </w:r>
            <w:r w:rsidR="000653E1" w:rsidRPr="00DB7156">
              <w:rPr>
                <w:rFonts w:ascii="Arial" w:hAnsi="Arial" w:cs="Arial"/>
                <w:color w:val="000080"/>
                <w:sz w:val="24"/>
                <w:szCs w:val="24"/>
              </w:rPr>
              <w:t>t Available Retrofit Technology</w:t>
            </w:r>
          </w:p>
        </w:tc>
      </w:tr>
      <w:tr w:rsidR="000E4071" w:rsidRPr="00DB7156" w14:paraId="30A3D1DD" w14:textId="77777777" w:rsidTr="0049164F">
        <w:tc>
          <w:tcPr>
            <w:tcW w:w="1710" w:type="dxa"/>
          </w:tcPr>
          <w:p w14:paraId="55FC159E" w14:textId="77777777" w:rsidR="000E4071" w:rsidRPr="00DB7156" w:rsidRDefault="000E4071" w:rsidP="00DB7156">
            <w:pPr>
              <w:spacing w:after="0" w:line="240" w:lineRule="auto"/>
              <w:ind w:left="-108" w:right="-202"/>
              <w:jc w:val="both"/>
              <w:rPr>
                <w:rFonts w:ascii="Arial" w:hAnsi="Arial" w:cs="Arial"/>
                <w:b/>
                <w:color w:val="000080"/>
                <w:sz w:val="24"/>
                <w:szCs w:val="24"/>
              </w:rPr>
            </w:pPr>
          </w:p>
        </w:tc>
        <w:tc>
          <w:tcPr>
            <w:tcW w:w="6840" w:type="dxa"/>
            <w:gridSpan w:val="2"/>
          </w:tcPr>
          <w:p w14:paraId="42D641B7" w14:textId="77777777" w:rsidR="000E4071" w:rsidRPr="00DB7156" w:rsidRDefault="000E4071" w:rsidP="00DB7156">
            <w:pPr>
              <w:spacing w:after="0" w:line="240" w:lineRule="auto"/>
              <w:ind w:right="-198"/>
              <w:jc w:val="both"/>
              <w:rPr>
                <w:rFonts w:ascii="Arial" w:hAnsi="Arial" w:cs="Arial"/>
                <w:color w:val="000080"/>
                <w:sz w:val="24"/>
                <w:szCs w:val="24"/>
              </w:rPr>
            </w:pPr>
          </w:p>
        </w:tc>
      </w:tr>
      <w:tr w:rsidR="00752263" w:rsidRPr="00DB7156" w14:paraId="22BA5281" w14:textId="77777777" w:rsidTr="0049164F">
        <w:tc>
          <w:tcPr>
            <w:tcW w:w="1710" w:type="dxa"/>
          </w:tcPr>
          <w:p w14:paraId="22BA527F" w14:textId="590AE23E" w:rsidR="00752263" w:rsidRPr="00DB7156" w:rsidRDefault="00F306E4" w:rsidP="00DB7156">
            <w:pPr>
              <w:spacing w:after="0" w:line="240" w:lineRule="auto"/>
              <w:ind w:left="-108" w:right="-202"/>
              <w:jc w:val="both"/>
              <w:rPr>
                <w:rFonts w:ascii="Arial" w:hAnsi="Arial" w:cs="Arial"/>
                <w:b/>
                <w:color w:val="000080"/>
                <w:sz w:val="24"/>
                <w:szCs w:val="24"/>
              </w:rPr>
            </w:pPr>
            <w:r w:rsidRPr="00DB7156">
              <w:rPr>
                <w:rFonts w:ascii="Arial" w:hAnsi="Arial" w:cs="Arial"/>
                <w:b/>
                <w:color w:val="000080"/>
                <w:sz w:val="24"/>
                <w:szCs w:val="24"/>
              </w:rPr>
              <w:t>BAT</w:t>
            </w:r>
          </w:p>
        </w:tc>
        <w:tc>
          <w:tcPr>
            <w:tcW w:w="6840" w:type="dxa"/>
            <w:gridSpan w:val="2"/>
          </w:tcPr>
          <w:p w14:paraId="22BA5280" w14:textId="1340EA45" w:rsidR="00752263" w:rsidRPr="00DB7156" w:rsidRDefault="00F306E4" w:rsidP="00DB7156">
            <w:pPr>
              <w:spacing w:after="0" w:line="240" w:lineRule="auto"/>
              <w:ind w:right="-198"/>
              <w:jc w:val="both"/>
              <w:rPr>
                <w:rFonts w:ascii="Arial" w:hAnsi="Arial" w:cs="Arial"/>
                <w:color w:val="000080"/>
                <w:sz w:val="24"/>
                <w:szCs w:val="24"/>
              </w:rPr>
            </w:pPr>
            <w:r w:rsidRPr="00DB7156">
              <w:rPr>
                <w:rFonts w:ascii="Arial" w:hAnsi="Arial" w:cs="Arial"/>
                <w:color w:val="000080"/>
                <w:sz w:val="24"/>
                <w:szCs w:val="24"/>
              </w:rPr>
              <w:t>Best Available Technology</w:t>
            </w:r>
          </w:p>
        </w:tc>
      </w:tr>
      <w:tr w:rsidR="00DA58F0" w:rsidRPr="00DB7156" w14:paraId="563338A9" w14:textId="77777777" w:rsidTr="0049164F">
        <w:tc>
          <w:tcPr>
            <w:tcW w:w="1710" w:type="dxa"/>
          </w:tcPr>
          <w:p w14:paraId="73319817" w14:textId="77777777" w:rsidR="00DA58F0" w:rsidRPr="00DB7156" w:rsidRDefault="00DA58F0" w:rsidP="00DB7156">
            <w:pPr>
              <w:spacing w:after="0" w:line="240" w:lineRule="auto"/>
              <w:ind w:left="-108" w:right="-202"/>
              <w:jc w:val="both"/>
              <w:rPr>
                <w:rFonts w:ascii="Arial" w:hAnsi="Arial" w:cs="Arial"/>
                <w:b/>
                <w:color w:val="000080"/>
                <w:sz w:val="24"/>
                <w:szCs w:val="24"/>
              </w:rPr>
            </w:pPr>
          </w:p>
        </w:tc>
        <w:tc>
          <w:tcPr>
            <w:tcW w:w="6840" w:type="dxa"/>
            <w:gridSpan w:val="2"/>
          </w:tcPr>
          <w:p w14:paraId="50A49D4B" w14:textId="77777777" w:rsidR="00DA58F0" w:rsidRPr="00DB7156" w:rsidRDefault="00DA58F0" w:rsidP="00DB7156">
            <w:pPr>
              <w:spacing w:after="0" w:line="240" w:lineRule="auto"/>
              <w:ind w:right="-198"/>
              <w:jc w:val="both"/>
              <w:rPr>
                <w:rFonts w:ascii="Arial" w:hAnsi="Arial" w:cs="Arial"/>
                <w:color w:val="000080"/>
                <w:sz w:val="24"/>
                <w:szCs w:val="24"/>
              </w:rPr>
            </w:pPr>
          </w:p>
        </w:tc>
      </w:tr>
      <w:tr w:rsidR="00DA58F0" w:rsidRPr="00DB7156" w14:paraId="2A26CE8A" w14:textId="77777777" w:rsidTr="0049164F">
        <w:tc>
          <w:tcPr>
            <w:tcW w:w="1710" w:type="dxa"/>
          </w:tcPr>
          <w:p w14:paraId="06119340" w14:textId="5E3A8AAF" w:rsidR="00DA58F0" w:rsidRPr="00DB7156" w:rsidRDefault="00DA58F0" w:rsidP="00DB7156">
            <w:pPr>
              <w:spacing w:after="0" w:line="240" w:lineRule="auto"/>
              <w:ind w:left="-108" w:right="-202"/>
              <w:jc w:val="both"/>
              <w:rPr>
                <w:rFonts w:ascii="Arial" w:hAnsi="Arial" w:cs="Arial"/>
                <w:b/>
                <w:color w:val="000080"/>
                <w:sz w:val="24"/>
                <w:szCs w:val="24"/>
              </w:rPr>
            </w:pPr>
            <w:r>
              <w:rPr>
                <w:rFonts w:ascii="Arial" w:hAnsi="Arial" w:cs="Arial"/>
                <w:b/>
                <w:color w:val="000080"/>
                <w:sz w:val="24"/>
                <w:szCs w:val="24"/>
              </w:rPr>
              <w:t>BO</w:t>
            </w:r>
          </w:p>
        </w:tc>
        <w:tc>
          <w:tcPr>
            <w:tcW w:w="6840" w:type="dxa"/>
            <w:gridSpan w:val="2"/>
          </w:tcPr>
          <w:p w14:paraId="6B4AA848" w14:textId="7DB1263B" w:rsidR="00DA58F0" w:rsidRPr="00DB7156" w:rsidRDefault="00DA58F0" w:rsidP="00DB7156">
            <w:pPr>
              <w:spacing w:after="0" w:line="240" w:lineRule="auto"/>
              <w:ind w:right="-198"/>
              <w:jc w:val="both"/>
              <w:rPr>
                <w:rFonts w:ascii="Arial" w:hAnsi="Arial" w:cs="Arial"/>
                <w:color w:val="000080"/>
                <w:sz w:val="24"/>
                <w:szCs w:val="24"/>
              </w:rPr>
            </w:pPr>
            <w:r>
              <w:rPr>
                <w:rFonts w:ascii="Arial" w:hAnsi="Arial" w:cs="Arial"/>
                <w:color w:val="000080"/>
                <w:sz w:val="24"/>
                <w:szCs w:val="24"/>
              </w:rPr>
              <w:t xml:space="preserve">Biological Opinion </w:t>
            </w:r>
          </w:p>
        </w:tc>
      </w:tr>
      <w:tr w:rsidR="000E4071" w:rsidRPr="00DB7156" w14:paraId="1F4CBA7C" w14:textId="77777777" w:rsidTr="0049164F">
        <w:tc>
          <w:tcPr>
            <w:tcW w:w="1710" w:type="dxa"/>
          </w:tcPr>
          <w:p w14:paraId="3D4E7583" w14:textId="77777777" w:rsidR="000E4071" w:rsidRPr="00DB7156" w:rsidRDefault="000E4071" w:rsidP="00DB7156">
            <w:pPr>
              <w:spacing w:after="0" w:line="240" w:lineRule="auto"/>
              <w:ind w:left="-108" w:right="-202"/>
              <w:jc w:val="both"/>
              <w:rPr>
                <w:rFonts w:ascii="Arial" w:hAnsi="Arial" w:cs="Arial"/>
                <w:b/>
                <w:color w:val="000080"/>
                <w:sz w:val="24"/>
                <w:szCs w:val="24"/>
              </w:rPr>
            </w:pPr>
          </w:p>
        </w:tc>
        <w:tc>
          <w:tcPr>
            <w:tcW w:w="6840" w:type="dxa"/>
            <w:gridSpan w:val="2"/>
          </w:tcPr>
          <w:p w14:paraId="05FEE967" w14:textId="77777777" w:rsidR="000E4071" w:rsidRPr="00DB7156" w:rsidRDefault="000E4071" w:rsidP="00DB7156">
            <w:pPr>
              <w:spacing w:after="0" w:line="240" w:lineRule="auto"/>
              <w:ind w:right="-198"/>
              <w:jc w:val="both"/>
              <w:rPr>
                <w:rFonts w:ascii="Arial" w:hAnsi="Arial" w:cs="Arial"/>
                <w:color w:val="000080"/>
                <w:sz w:val="24"/>
                <w:szCs w:val="24"/>
              </w:rPr>
            </w:pPr>
          </w:p>
        </w:tc>
      </w:tr>
      <w:tr w:rsidR="004845AF" w:rsidRPr="00DB7156" w14:paraId="209EDFEF" w14:textId="77777777" w:rsidTr="0049164F">
        <w:tc>
          <w:tcPr>
            <w:tcW w:w="1710" w:type="dxa"/>
          </w:tcPr>
          <w:p w14:paraId="6BC817EA" w14:textId="730F44F3" w:rsidR="004845AF" w:rsidRPr="00DB7156" w:rsidRDefault="004845AF"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BPT</w:t>
            </w:r>
          </w:p>
        </w:tc>
        <w:tc>
          <w:tcPr>
            <w:tcW w:w="6840" w:type="dxa"/>
            <w:gridSpan w:val="2"/>
          </w:tcPr>
          <w:p w14:paraId="764A6F5B" w14:textId="7E9B606C" w:rsidR="004845AF"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Best Practicable Control Technology</w:t>
            </w:r>
          </w:p>
        </w:tc>
      </w:tr>
      <w:tr w:rsidR="000E4071" w:rsidRPr="00DB7156" w14:paraId="3838CACF" w14:textId="77777777" w:rsidTr="0049164F">
        <w:tc>
          <w:tcPr>
            <w:tcW w:w="1710" w:type="dxa"/>
          </w:tcPr>
          <w:p w14:paraId="7A32EE64"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0EF06AAB" w14:textId="77777777" w:rsidR="000E4071" w:rsidRPr="00DB7156" w:rsidRDefault="000E4071" w:rsidP="00DB7156">
            <w:pPr>
              <w:spacing w:after="0" w:line="240" w:lineRule="auto"/>
              <w:jc w:val="both"/>
              <w:rPr>
                <w:rFonts w:ascii="Arial" w:hAnsi="Arial" w:cs="Arial"/>
                <w:color w:val="000080"/>
                <w:sz w:val="24"/>
                <w:szCs w:val="24"/>
              </w:rPr>
            </w:pPr>
          </w:p>
        </w:tc>
      </w:tr>
      <w:tr w:rsidR="00F306E4" w:rsidRPr="00DB7156" w14:paraId="1392CBA6" w14:textId="77777777" w:rsidTr="0049164F">
        <w:tc>
          <w:tcPr>
            <w:tcW w:w="1710" w:type="dxa"/>
          </w:tcPr>
          <w:p w14:paraId="3A9FC3BE" w14:textId="108DF2B9" w:rsidR="00F306E4" w:rsidRPr="00DB7156" w:rsidRDefault="00F306E4"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BTA</w:t>
            </w:r>
          </w:p>
        </w:tc>
        <w:tc>
          <w:tcPr>
            <w:tcW w:w="6840" w:type="dxa"/>
            <w:gridSpan w:val="2"/>
          </w:tcPr>
          <w:p w14:paraId="1E252F42" w14:textId="2399FC62" w:rsidR="00F306E4" w:rsidRPr="00DB7156" w:rsidRDefault="00F306E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Best Technology Available</w:t>
            </w:r>
          </w:p>
        </w:tc>
      </w:tr>
      <w:tr w:rsidR="000E4071" w:rsidRPr="00DB7156" w14:paraId="417CBE2D" w14:textId="77777777" w:rsidTr="0049164F">
        <w:tc>
          <w:tcPr>
            <w:tcW w:w="1710" w:type="dxa"/>
          </w:tcPr>
          <w:p w14:paraId="118AC015"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12F7A4DF" w14:textId="77777777" w:rsidR="000E4071" w:rsidRPr="00DB7156" w:rsidRDefault="000E4071" w:rsidP="00DB7156">
            <w:pPr>
              <w:spacing w:after="0" w:line="240" w:lineRule="auto"/>
              <w:jc w:val="both"/>
              <w:rPr>
                <w:rFonts w:ascii="Arial" w:hAnsi="Arial" w:cs="Arial"/>
                <w:color w:val="000080"/>
                <w:sz w:val="24"/>
                <w:szCs w:val="24"/>
              </w:rPr>
            </w:pPr>
          </w:p>
        </w:tc>
      </w:tr>
      <w:tr w:rsidR="00752263" w:rsidRPr="00DB7156" w14:paraId="22BA5284" w14:textId="77777777" w:rsidTr="0049164F">
        <w:tc>
          <w:tcPr>
            <w:tcW w:w="1710" w:type="dxa"/>
          </w:tcPr>
          <w:p w14:paraId="22BA5282"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CAA</w:t>
            </w:r>
          </w:p>
        </w:tc>
        <w:tc>
          <w:tcPr>
            <w:tcW w:w="6840" w:type="dxa"/>
            <w:gridSpan w:val="2"/>
          </w:tcPr>
          <w:p w14:paraId="22BA5283" w14:textId="77777777" w:rsidR="00752263" w:rsidRPr="00DB7156" w:rsidRDefault="000653E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Clean Air Act</w:t>
            </w:r>
          </w:p>
        </w:tc>
      </w:tr>
      <w:tr w:rsidR="00752263" w:rsidRPr="00DB7156" w14:paraId="22BA5287" w14:textId="77777777" w:rsidTr="0049164F">
        <w:tc>
          <w:tcPr>
            <w:tcW w:w="1710" w:type="dxa"/>
          </w:tcPr>
          <w:p w14:paraId="22BA5285" w14:textId="77777777" w:rsidR="00752263" w:rsidRPr="00DB7156" w:rsidRDefault="00752263" w:rsidP="00DB7156">
            <w:pPr>
              <w:spacing w:after="0" w:line="240" w:lineRule="auto"/>
              <w:ind w:left="-108"/>
              <w:jc w:val="both"/>
              <w:rPr>
                <w:rFonts w:ascii="Arial" w:hAnsi="Arial" w:cs="Arial"/>
                <w:b/>
                <w:color w:val="000080"/>
                <w:sz w:val="24"/>
                <w:szCs w:val="24"/>
              </w:rPr>
            </w:pPr>
          </w:p>
        </w:tc>
        <w:tc>
          <w:tcPr>
            <w:tcW w:w="6840" w:type="dxa"/>
            <w:gridSpan w:val="2"/>
          </w:tcPr>
          <w:p w14:paraId="22BA5286" w14:textId="77777777" w:rsidR="00752263" w:rsidRPr="00DB7156" w:rsidRDefault="00752263" w:rsidP="00DB7156">
            <w:pPr>
              <w:spacing w:after="0" w:line="240" w:lineRule="auto"/>
              <w:jc w:val="both"/>
              <w:rPr>
                <w:rFonts w:ascii="Arial" w:hAnsi="Arial" w:cs="Arial"/>
                <w:color w:val="000080"/>
                <w:sz w:val="24"/>
                <w:szCs w:val="24"/>
              </w:rPr>
            </w:pPr>
          </w:p>
        </w:tc>
      </w:tr>
      <w:tr w:rsidR="00752263" w:rsidRPr="00DB7156" w14:paraId="22BA528A" w14:textId="77777777" w:rsidTr="0049164F">
        <w:tc>
          <w:tcPr>
            <w:tcW w:w="1710" w:type="dxa"/>
          </w:tcPr>
          <w:p w14:paraId="22BA5288"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CAAA</w:t>
            </w:r>
          </w:p>
        </w:tc>
        <w:tc>
          <w:tcPr>
            <w:tcW w:w="6840" w:type="dxa"/>
            <w:gridSpan w:val="2"/>
          </w:tcPr>
          <w:p w14:paraId="22BA5289" w14:textId="77777777" w:rsidR="00752263" w:rsidRPr="00DB7156" w:rsidRDefault="00752263"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Cle</w:t>
            </w:r>
            <w:r w:rsidR="000653E1" w:rsidRPr="00DB7156">
              <w:rPr>
                <w:rFonts w:ascii="Arial" w:hAnsi="Arial" w:cs="Arial"/>
                <w:color w:val="000080"/>
                <w:sz w:val="24"/>
                <w:szCs w:val="24"/>
              </w:rPr>
              <w:t>an Air Act Amendments (of 1990)</w:t>
            </w:r>
          </w:p>
        </w:tc>
      </w:tr>
      <w:tr w:rsidR="00752263" w:rsidRPr="00DB7156" w14:paraId="22BA528D" w14:textId="77777777" w:rsidTr="0049164F">
        <w:tc>
          <w:tcPr>
            <w:tcW w:w="1710" w:type="dxa"/>
          </w:tcPr>
          <w:p w14:paraId="22BA528B" w14:textId="77777777" w:rsidR="00752263" w:rsidRPr="00DB7156" w:rsidRDefault="00752263" w:rsidP="00DB7156">
            <w:pPr>
              <w:spacing w:after="0" w:line="240" w:lineRule="auto"/>
              <w:ind w:left="-108"/>
              <w:jc w:val="both"/>
              <w:rPr>
                <w:rFonts w:ascii="Arial" w:hAnsi="Arial" w:cs="Arial"/>
                <w:b/>
                <w:color w:val="000080"/>
                <w:sz w:val="24"/>
                <w:szCs w:val="24"/>
              </w:rPr>
            </w:pPr>
          </w:p>
        </w:tc>
        <w:tc>
          <w:tcPr>
            <w:tcW w:w="6840" w:type="dxa"/>
            <w:gridSpan w:val="2"/>
          </w:tcPr>
          <w:p w14:paraId="22BA528C" w14:textId="77777777" w:rsidR="00752263" w:rsidRPr="00DB7156" w:rsidRDefault="00752263" w:rsidP="00DB7156">
            <w:pPr>
              <w:spacing w:after="0" w:line="240" w:lineRule="auto"/>
              <w:jc w:val="both"/>
              <w:rPr>
                <w:rFonts w:ascii="Arial" w:hAnsi="Arial" w:cs="Arial"/>
                <w:color w:val="000080"/>
                <w:sz w:val="24"/>
                <w:szCs w:val="24"/>
              </w:rPr>
            </w:pPr>
          </w:p>
        </w:tc>
      </w:tr>
      <w:tr w:rsidR="00854C6D" w:rsidRPr="00DB7156" w14:paraId="22BA5290" w14:textId="77777777" w:rsidTr="0049164F">
        <w:tc>
          <w:tcPr>
            <w:tcW w:w="1710" w:type="dxa"/>
          </w:tcPr>
          <w:p w14:paraId="22BA528E" w14:textId="77777777" w:rsidR="00854C6D" w:rsidRPr="00DB7156" w:rsidRDefault="00854C6D"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CaBr</w:t>
            </w:r>
            <w:r w:rsidRPr="00DB7156">
              <w:rPr>
                <w:rFonts w:ascii="Arial" w:hAnsi="Arial" w:cs="Arial"/>
                <w:b/>
                <w:color w:val="000080"/>
                <w:sz w:val="24"/>
                <w:szCs w:val="24"/>
                <w:vertAlign w:val="subscript"/>
              </w:rPr>
              <w:t>2</w:t>
            </w:r>
          </w:p>
        </w:tc>
        <w:tc>
          <w:tcPr>
            <w:tcW w:w="6840" w:type="dxa"/>
            <w:gridSpan w:val="2"/>
          </w:tcPr>
          <w:p w14:paraId="22BA528F" w14:textId="77777777" w:rsidR="00854C6D" w:rsidRPr="00DB7156" w:rsidRDefault="00854C6D"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Calcium Bromide</w:t>
            </w:r>
          </w:p>
        </w:tc>
      </w:tr>
      <w:tr w:rsidR="00854C6D" w:rsidRPr="00DB7156" w14:paraId="22BA5293" w14:textId="77777777" w:rsidTr="0049164F">
        <w:tc>
          <w:tcPr>
            <w:tcW w:w="1710" w:type="dxa"/>
          </w:tcPr>
          <w:p w14:paraId="22BA5291" w14:textId="77777777" w:rsidR="00854C6D" w:rsidRPr="00DB7156" w:rsidRDefault="00854C6D" w:rsidP="00DB7156">
            <w:pPr>
              <w:spacing w:after="0" w:line="240" w:lineRule="auto"/>
              <w:ind w:left="-108"/>
              <w:jc w:val="both"/>
              <w:rPr>
                <w:rFonts w:ascii="Arial" w:hAnsi="Arial" w:cs="Arial"/>
                <w:b/>
                <w:color w:val="000080"/>
                <w:sz w:val="24"/>
                <w:szCs w:val="24"/>
              </w:rPr>
            </w:pPr>
          </w:p>
        </w:tc>
        <w:tc>
          <w:tcPr>
            <w:tcW w:w="6840" w:type="dxa"/>
            <w:gridSpan w:val="2"/>
          </w:tcPr>
          <w:p w14:paraId="22BA5292" w14:textId="77777777" w:rsidR="00854C6D" w:rsidRPr="00DB7156" w:rsidRDefault="00854C6D" w:rsidP="00DB7156">
            <w:pPr>
              <w:spacing w:after="0" w:line="240" w:lineRule="auto"/>
              <w:jc w:val="both"/>
              <w:rPr>
                <w:rFonts w:ascii="Arial" w:hAnsi="Arial" w:cs="Arial"/>
                <w:color w:val="000080"/>
                <w:sz w:val="24"/>
                <w:szCs w:val="24"/>
              </w:rPr>
            </w:pPr>
          </w:p>
        </w:tc>
      </w:tr>
      <w:tr w:rsidR="00752263" w:rsidRPr="00DB7156" w14:paraId="22BA5296" w14:textId="77777777" w:rsidTr="0049164F">
        <w:tc>
          <w:tcPr>
            <w:tcW w:w="1710" w:type="dxa"/>
          </w:tcPr>
          <w:p w14:paraId="22BA5294"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CAIR</w:t>
            </w:r>
          </w:p>
        </w:tc>
        <w:tc>
          <w:tcPr>
            <w:tcW w:w="6840" w:type="dxa"/>
            <w:gridSpan w:val="2"/>
          </w:tcPr>
          <w:p w14:paraId="22BA5295" w14:textId="77777777" w:rsidR="00752263" w:rsidRPr="00DB7156" w:rsidRDefault="000653E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Clean Air Interstate Rule</w:t>
            </w:r>
          </w:p>
        </w:tc>
      </w:tr>
      <w:tr w:rsidR="000E4071" w:rsidRPr="00DB7156" w14:paraId="24B2026D" w14:textId="77777777" w:rsidTr="0049164F">
        <w:tc>
          <w:tcPr>
            <w:tcW w:w="1710" w:type="dxa"/>
          </w:tcPr>
          <w:p w14:paraId="7D08B776"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527319CF" w14:textId="77777777" w:rsidR="000E4071" w:rsidRPr="00DB7156" w:rsidRDefault="000E4071" w:rsidP="00DB7156">
            <w:pPr>
              <w:spacing w:after="0" w:line="240" w:lineRule="auto"/>
              <w:jc w:val="both"/>
              <w:rPr>
                <w:rFonts w:ascii="Arial" w:hAnsi="Arial" w:cs="Arial"/>
                <w:color w:val="000080"/>
                <w:sz w:val="24"/>
                <w:szCs w:val="24"/>
              </w:rPr>
            </w:pPr>
          </w:p>
        </w:tc>
      </w:tr>
      <w:tr w:rsidR="00752263" w:rsidRPr="00DB7156" w14:paraId="22BA5299" w14:textId="77777777" w:rsidTr="0049164F">
        <w:tc>
          <w:tcPr>
            <w:tcW w:w="1710" w:type="dxa"/>
          </w:tcPr>
          <w:p w14:paraId="22BA5297" w14:textId="7A0AB628" w:rsidR="00752263" w:rsidRPr="00DB7156" w:rsidRDefault="004845AF"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CAMR</w:t>
            </w:r>
          </w:p>
        </w:tc>
        <w:tc>
          <w:tcPr>
            <w:tcW w:w="6840" w:type="dxa"/>
            <w:gridSpan w:val="2"/>
          </w:tcPr>
          <w:p w14:paraId="22BA5298" w14:textId="5FC10473"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Clean Air Mercury Rule</w:t>
            </w:r>
          </w:p>
        </w:tc>
      </w:tr>
      <w:tr w:rsidR="000E4071" w:rsidRPr="00DB7156" w14:paraId="67460DF2" w14:textId="77777777" w:rsidTr="0049164F">
        <w:tc>
          <w:tcPr>
            <w:tcW w:w="1710" w:type="dxa"/>
          </w:tcPr>
          <w:p w14:paraId="03D94BFD"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4244DFAF" w14:textId="77777777" w:rsidR="000E4071" w:rsidRPr="00DB7156" w:rsidRDefault="000E4071" w:rsidP="00DB7156">
            <w:pPr>
              <w:spacing w:after="0" w:line="240" w:lineRule="auto"/>
              <w:jc w:val="both"/>
              <w:rPr>
                <w:rFonts w:ascii="Arial" w:hAnsi="Arial" w:cs="Arial"/>
                <w:color w:val="000080"/>
                <w:sz w:val="24"/>
                <w:szCs w:val="24"/>
              </w:rPr>
            </w:pPr>
          </w:p>
        </w:tc>
      </w:tr>
      <w:tr w:rsidR="00752263" w:rsidRPr="00DB7156" w14:paraId="22BA529C" w14:textId="77777777" w:rsidTr="0049164F">
        <w:tc>
          <w:tcPr>
            <w:tcW w:w="1710" w:type="dxa"/>
          </w:tcPr>
          <w:p w14:paraId="22BA529A"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CAVR</w:t>
            </w:r>
          </w:p>
        </w:tc>
        <w:tc>
          <w:tcPr>
            <w:tcW w:w="6840" w:type="dxa"/>
            <w:gridSpan w:val="2"/>
          </w:tcPr>
          <w:p w14:paraId="22BA529B" w14:textId="77777777" w:rsidR="00752263" w:rsidRPr="00DB7156" w:rsidRDefault="00752263"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 xml:space="preserve">Clean Air Visibility </w:t>
            </w:r>
            <w:r w:rsidR="000653E1" w:rsidRPr="00DB7156">
              <w:rPr>
                <w:rFonts w:ascii="Arial" w:hAnsi="Arial" w:cs="Arial"/>
                <w:color w:val="000080"/>
                <w:sz w:val="24"/>
                <w:szCs w:val="24"/>
              </w:rPr>
              <w:t>Rule</w:t>
            </w:r>
          </w:p>
        </w:tc>
      </w:tr>
      <w:tr w:rsidR="00752263" w:rsidRPr="00DB7156" w14:paraId="22BA529F" w14:textId="77777777" w:rsidTr="0049164F">
        <w:tc>
          <w:tcPr>
            <w:tcW w:w="1710" w:type="dxa"/>
          </w:tcPr>
          <w:p w14:paraId="22BA529D" w14:textId="77777777" w:rsidR="00752263" w:rsidRPr="00DB7156" w:rsidRDefault="00752263" w:rsidP="00DB7156">
            <w:pPr>
              <w:spacing w:after="0" w:line="240" w:lineRule="auto"/>
              <w:ind w:left="-108"/>
              <w:jc w:val="both"/>
              <w:rPr>
                <w:rFonts w:ascii="Arial" w:hAnsi="Arial" w:cs="Arial"/>
                <w:b/>
                <w:color w:val="000080"/>
                <w:sz w:val="24"/>
                <w:szCs w:val="24"/>
              </w:rPr>
            </w:pPr>
          </w:p>
        </w:tc>
        <w:tc>
          <w:tcPr>
            <w:tcW w:w="6840" w:type="dxa"/>
            <w:gridSpan w:val="2"/>
          </w:tcPr>
          <w:p w14:paraId="22BA529E" w14:textId="77777777" w:rsidR="00752263" w:rsidRPr="00DB7156" w:rsidRDefault="00752263" w:rsidP="00DB7156">
            <w:pPr>
              <w:spacing w:after="0" w:line="240" w:lineRule="auto"/>
              <w:jc w:val="both"/>
              <w:rPr>
                <w:rFonts w:ascii="Arial" w:hAnsi="Arial" w:cs="Arial"/>
                <w:color w:val="000080"/>
                <w:sz w:val="24"/>
                <w:szCs w:val="24"/>
              </w:rPr>
            </w:pPr>
          </w:p>
        </w:tc>
      </w:tr>
      <w:tr w:rsidR="00752263" w:rsidRPr="00DB7156" w14:paraId="22BA52A2" w14:textId="77777777" w:rsidTr="0049164F">
        <w:tc>
          <w:tcPr>
            <w:tcW w:w="1710" w:type="dxa"/>
          </w:tcPr>
          <w:p w14:paraId="22BA52A0"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CCOFA</w:t>
            </w:r>
          </w:p>
        </w:tc>
        <w:tc>
          <w:tcPr>
            <w:tcW w:w="6840" w:type="dxa"/>
            <w:gridSpan w:val="2"/>
          </w:tcPr>
          <w:p w14:paraId="22BA52A1" w14:textId="77777777" w:rsidR="00752263" w:rsidRPr="00DB7156" w:rsidRDefault="00752263"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Close-Coupled Overfire Air</w:t>
            </w:r>
          </w:p>
        </w:tc>
      </w:tr>
      <w:tr w:rsidR="00752263" w:rsidRPr="00DB7156" w14:paraId="22BA52A5" w14:textId="77777777" w:rsidTr="0049164F">
        <w:tc>
          <w:tcPr>
            <w:tcW w:w="1710" w:type="dxa"/>
          </w:tcPr>
          <w:p w14:paraId="22BA52A3" w14:textId="7B357135" w:rsidR="00752263" w:rsidRPr="00DB7156" w:rsidRDefault="004845AF"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CCR</w:t>
            </w:r>
          </w:p>
        </w:tc>
        <w:tc>
          <w:tcPr>
            <w:tcW w:w="6840" w:type="dxa"/>
            <w:gridSpan w:val="2"/>
          </w:tcPr>
          <w:p w14:paraId="22BA52A4" w14:textId="26DBEB65"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Coal Combustion Residuals</w:t>
            </w:r>
          </w:p>
        </w:tc>
      </w:tr>
      <w:tr w:rsidR="000E4071" w:rsidRPr="00DB7156" w14:paraId="77208412" w14:textId="77777777" w:rsidTr="0049164F">
        <w:tc>
          <w:tcPr>
            <w:tcW w:w="1710" w:type="dxa"/>
          </w:tcPr>
          <w:p w14:paraId="545C5AE1"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76174E37" w14:textId="77777777" w:rsidR="000E4071" w:rsidRPr="00DB7156" w:rsidRDefault="000E4071" w:rsidP="00DB7156">
            <w:pPr>
              <w:spacing w:after="0" w:line="240" w:lineRule="auto"/>
              <w:jc w:val="both"/>
              <w:rPr>
                <w:rFonts w:ascii="Arial" w:hAnsi="Arial" w:cs="Arial"/>
                <w:color w:val="000080"/>
                <w:sz w:val="24"/>
                <w:szCs w:val="24"/>
              </w:rPr>
            </w:pPr>
          </w:p>
        </w:tc>
      </w:tr>
      <w:tr w:rsidR="002D4CD4" w:rsidRPr="00DB7156" w14:paraId="2CD20E80" w14:textId="77777777" w:rsidTr="0049164F">
        <w:tc>
          <w:tcPr>
            <w:tcW w:w="1710" w:type="dxa"/>
          </w:tcPr>
          <w:p w14:paraId="11BCB172" w14:textId="11C6F9F4" w:rsidR="002D4CD4" w:rsidRPr="00DB7156" w:rsidRDefault="002D4CD4" w:rsidP="00DB7156">
            <w:pPr>
              <w:spacing w:after="0" w:line="240" w:lineRule="auto"/>
              <w:ind w:left="-108"/>
              <w:jc w:val="both"/>
              <w:rPr>
                <w:rFonts w:ascii="Arial" w:hAnsi="Arial" w:cs="Arial"/>
                <w:b/>
                <w:color w:val="000080"/>
                <w:sz w:val="24"/>
                <w:szCs w:val="24"/>
              </w:rPr>
            </w:pPr>
            <w:r>
              <w:rPr>
                <w:rFonts w:ascii="Arial" w:hAnsi="Arial" w:cs="Arial"/>
                <w:b/>
                <w:color w:val="000080"/>
                <w:sz w:val="24"/>
                <w:szCs w:val="24"/>
              </w:rPr>
              <w:t>CCS</w:t>
            </w:r>
          </w:p>
        </w:tc>
        <w:tc>
          <w:tcPr>
            <w:tcW w:w="6840" w:type="dxa"/>
            <w:gridSpan w:val="2"/>
          </w:tcPr>
          <w:p w14:paraId="0EF01E96" w14:textId="2BDDA7C3" w:rsidR="002D4CD4" w:rsidRPr="00DB7156" w:rsidRDefault="002D4CD4" w:rsidP="00DB7156">
            <w:pPr>
              <w:spacing w:after="0" w:line="240" w:lineRule="auto"/>
              <w:jc w:val="both"/>
              <w:rPr>
                <w:rFonts w:ascii="Arial" w:hAnsi="Arial" w:cs="Arial"/>
                <w:color w:val="000080"/>
                <w:sz w:val="24"/>
                <w:szCs w:val="24"/>
              </w:rPr>
            </w:pPr>
            <w:r>
              <w:rPr>
                <w:rFonts w:ascii="Arial" w:hAnsi="Arial" w:cs="Arial"/>
                <w:color w:val="000080"/>
                <w:sz w:val="24"/>
                <w:szCs w:val="24"/>
              </w:rPr>
              <w:t xml:space="preserve">Carbon Capture and Sequestration </w:t>
            </w:r>
          </w:p>
        </w:tc>
      </w:tr>
      <w:tr w:rsidR="002D4CD4" w:rsidRPr="00DB7156" w14:paraId="7A8680A4" w14:textId="77777777" w:rsidTr="0049164F">
        <w:tc>
          <w:tcPr>
            <w:tcW w:w="1710" w:type="dxa"/>
          </w:tcPr>
          <w:p w14:paraId="11830C36" w14:textId="77777777" w:rsidR="002D4CD4" w:rsidRPr="00DB7156" w:rsidRDefault="002D4CD4" w:rsidP="00DB7156">
            <w:pPr>
              <w:spacing w:after="0" w:line="240" w:lineRule="auto"/>
              <w:ind w:left="-108"/>
              <w:jc w:val="both"/>
              <w:rPr>
                <w:rFonts w:ascii="Arial" w:hAnsi="Arial" w:cs="Arial"/>
                <w:b/>
                <w:color w:val="000080"/>
                <w:sz w:val="24"/>
                <w:szCs w:val="24"/>
              </w:rPr>
            </w:pPr>
          </w:p>
        </w:tc>
        <w:tc>
          <w:tcPr>
            <w:tcW w:w="6840" w:type="dxa"/>
            <w:gridSpan w:val="2"/>
          </w:tcPr>
          <w:p w14:paraId="6B782092" w14:textId="77777777" w:rsidR="002D4CD4" w:rsidRPr="00DB7156" w:rsidRDefault="002D4CD4" w:rsidP="00DB7156">
            <w:pPr>
              <w:spacing w:after="0" w:line="240" w:lineRule="auto"/>
              <w:jc w:val="both"/>
              <w:rPr>
                <w:rFonts w:ascii="Arial" w:hAnsi="Arial" w:cs="Arial"/>
                <w:color w:val="000080"/>
                <w:sz w:val="24"/>
                <w:szCs w:val="24"/>
              </w:rPr>
            </w:pPr>
          </w:p>
        </w:tc>
      </w:tr>
      <w:tr w:rsidR="004845AF" w:rsidRPr="00DB7156" w14:paraId="5554F7B6" w14:textId="77777777" w:rsidTr="0049164F">
        <w:tc>
          <w:tcPr>
            <w:tcW w:w="1710" w:type="dxa"/>
          </w:tcPr>
          <w:p w14:paraId="5806A5EF" w14:textId="6DC096D5" w:rsidR="004845AF" w:rsidRPr="00DB7156" w:rsidRDefault="004845AF"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CEIP</w:t>
            </w:r>
          </w:p>
        </w:tc>
        <w:tc>
          <w:tcPr>
            <w:tcW w:w="6840" w:type="dxa"/>
            <w:gridSpan w:val="2"/>
          </w:tcPr>
          <w:p w14:paraId="12189D3D" w14:textId="01ABB54B" w:rsidR="004845AF"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Clean Energy Incentive Program</w:t>
            </w:r>
          </w:p>
        </w:tc>
      </w:tr>
      <w:tr w:rsidR="000E4071" w:rsidRPr="00DB7156" w14:paraId="77389A64" w14:textId="77777777" w:rsidTr="0049164F">
        <w:tc>
          <w:tcPr>
            <w:tcW w:w="1710" w:type="dxa"/>
          </w:tcPr>
          <w:p w14:paraId="7C605198"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16272810" w14:textId="77777777" w:rsidR="000E4071" w:rsidRPr="00DB7156" w:rsidRDefault="000E4071" w:rsidP="00DB7156">
            <w:pPr>
              <w:spacing w:after="0" w:line="240" w:lineRule="auto"/>
              <w:jc w:val="both"/>
              <w:rPr>
                <w:rFonts w:ascii="Arial" w:hAnsi="Arial" w:cs="Arial"/>
                <w:color w:val="000080"/>
                <w:sz w:val="24"/>
                <w:szCs w:val="24"/>
              </w:rPr>
            </w:pPr>
          </w:p>
        </w:tc>
      </w:tr>
      <w:tr w:rsidR="00752263" w:rsidRPr="00DB7156" w14:paraId="22BA52A8" w14:textId="77777777" w:rsidTr="0049164F">
        <w:tc>
          <w:tcPr>
            <w:tcW w:w="1710" w:type="dxa"/>
          </w:tcPr>
          <w:p w14:paraId="22BA52A6"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CEM</w:t>
            </w:r>
            <w:r w:rsidR="00685B5C" w:rsidRPr="00DB7156">
              <w:rPr>
                <w:rFonts w:ascii="Arial" w:hAnsi="Arial" w:cs="Arial"/>
                <w:b/>
                <w:color w:val="000080"/>
                <w:sz w:val="24"/>
                <w:szCs w:val="24"/>
              </w:rPr>
              <w:t>S</w:t>
            </w:r>
          </w:p>
        </w:tc>
        <w:tc>
          <w:tcPr>
            <w:tcW w:w="6840" w:type="dxa"/>
            <w:gridSpan w:val="2"/>
          </w:tcPr>
          <w:p w14:paraId="22BA52A7" w14:textId="77777777" w:rsidR="00752263" w:rsidRPr="00DB7156" w:rsidRDefault="00752263"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Continu</w:t>
            </w:r>
            <w:r w:rsidR="000653E1" w:rsidRPr="00DB7156">
              <w:rPr>
                <w:rFonts w:ascii="Arial" w:hAnsi="Arial" w:cs="Arial"/>
                <w:color w:val="000080"/>
                <w:sz w:val="24"/>
                <w:szCs w:val="24"/>
              </w:rPr>
              <w:t>ous Emissions Monitoring System</w:t>
            </w:r>
          </w:p>
        </w:tc>
      </w:tr>
      <w:tr w:rsidR="000E4071" w:rsidRPr="00DB7156" w14:paraId="12E0B522" w14:textId="77777777" w:rsidTr="0049164F">
        <w:tc>
          <w:tcPr>
            <w:tcW w:w="1710" w:type="dxa"/>
          </w:tcPr>
          <w:p w14:paraId="3D8FECE2"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557F6208" w14:textId="77777777" w:rsidR="000E4071" w:rsidRPr="00DB7156" w:rsidRDefault="000E4071" w:rsidP="00DB7156">
            <w:pPr>
              <w:spacing w:after="0" w:line="240" w:lineRule="auto"/>
              <w:jc w:val="both"/>
              <w:rPr>
                <w:rFonts w:ascii="Arial" w:hAnsi="Arial" w:cs="Arial"/>
                <w:color w:val="000080"/>
                <w:sz w:val="24"/>
                <w:szCs w:val="24"/>
              </w:rPr>
            </w:pPr>
          </w:p>
        </w:tc>
      </w:tr>
      <w:tr w:rsidR="00752263" w:rsidRPr="00DB7156" w14:paraId="22BA52AB" w14:textId="77777777" w:rsidTr="0049164F">
        <w:tc>
          <w:tcPr>
            <w:tcW w:w="1710" w:type="dxa"/>
          </w:tcPr>
          <w:p w14:paraId="22BA52A9" w14:textId="31648EAE" w:rsidR="00752263" w:rsidRPr="00DB7156" w:rsidRDefault="004845AF"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CERCLA</w:t>
            </w:r>
          </w:p>
        </w:tc>
        <w:tc>
          <w:tcPr>
            <w:tcW w:w="6840" w:type="dxa"/>
            <w:gridSpan w:val="2"/>
          </w:tcPr>
          <w:p w14:paraId="22BA52AA" w14:textId="04E99D2A"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Comprehensive Environmental Response, Compensation, and Liability Act</w:t>
            </w:r>
          </w:p>
        </w:tc>
      </w:tr>
      <w:tr w:rsidR="00500594" w:rsidRPr="00DB7156" w14:paraId="6A5C1518" w14:textId="77777777" w:rsidTr="0049164F">
        <w:tc>
          <w:tcPr>
            <w:tcW w:w="1710" w:type="dxa"/>
          </w:tcPr>
          <w:p w14:paraId="1A7BD984" w14:textId="77777777" w:rsidR="00500594" w:rsidRPr="00DB7156" w:rsidRDefault="00500594" w:rsidP="00DB7156">
            <w:pPr>
              <w:spacing w:after="0" w:line="240" w:lineRule="auto"/>
              <w:ind w:left="-108"/>
              <w:jc w:val="both"/>
              <w:rPr>
                <w:rFonts w:ascii="Arial" w:hAnsi="Arial" w:cs="Arial"/>
                <w:b/>
                <w:color w:val="000080"/>
                <w:sz w:val="24"/>
                <w:szCs w:val="24"/>
              </w:rPr>
            </w:pPr>
          </w:p>
        </w:tc>
        <w:tc>
          <w:tcPr>
            <w:tcW w:w="6840" w:type="dxa"/>
            <w:gridSpan w:val="2"/>
          </w:tcPr>
          <w:p w14:paraId="1C545560" w14:textId="77777777" w:rsidR="00500594" w:rsidRPr="00DB7156" w:rsidRDefault="00500594" w:rsidP="00DB7156">
            <w:pPr>
              <w:spacing w:after="0" w:line="240" w:lineRule="auto"/>
              <w:jc w:val="both"/>
              <w:rPr>
                <w:rFonts w:ascii="Arial" w:hAnsi="Arial" w:cs="Arial"/>
                <w:color w:val="000080"/>
                <w:sz w:val="24"/>
                <w:szCs w:val="24"/>
              </w:rPr>
            </w:pPr>
          </w:p>
        </w:tc>
      </w:tr>
      <w:tr w:rsidR="00752263" w:rsidRPr="00DB7156" w14:paraId="22BA52AE" w14:textId="77777777" w:rsidTr="0049164F">
        <w:tc>
          <w:tcPr>
            <w:tcW w:w="1710" w:type="dxa"/>
          </w:tcPr>
          <w:p w14:paraId="22BA52AC"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CFS</w:t>
            </w:r>
          </w:p>
        </w:tc>
        <w:tc>
          <w:tcPr>
            <w:tcW w:w="6840" w:type="dxa"/>
            <w:gridSpan w:val="2"/>
          </w:tcPr>
          <w:p w14:paraId="22BA52AD" w14:textId="77777777" w:rsidR="00752263" w:rsidRPr="00DB7156" w:rsidRDefault="000653E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Concentric Firing System</w:t>
            </w:r>
          </w:p>
        </w:tc>
      </w:tr>
      <w:tr w:rsidR="00752263" w:rsidRPr="00DB7156" w14:paraId="22BA52B1" w14:textId="77777777" w:rsidTr="0049164F">
        <w:tc>
          <w:tcPr>
            <w:tcW w:w="1710" w:type="dxa"/>
          </w:tcPr>
          <w:p w14:paraId="22BA52AF" w14:textId="77777777" w:rsidR="00752263" w:rsidRPr="00DB7156" w:rsidRDefault="00752263" w:rsidP="00DB7156">
            <w:pPr>
              <w:spacing w:after="0" w:line="240" w:lineRule="auto"/>
              <w:ind w:left="-108"/>
              <w:jc w:val="both"/>
              <w:rPr>
                <w:rFonts w:ascii="Arial" w:hAnsi="Arial" w:cs="Arial"/>
                <w:b/>
                <w:color w:val="000080"/>
                <w:sz w:val="24"/>
                <w:szCs w:val="24"/>
              </w:rPr>
            </w:pPr>
          </w:p>
        </w:tc>
        <w:tc>
          <w:tcPr>
            <w:tcW w:w="6840" w:type="dxa"/>
            <w:gridSpan w:val="2"/>
          </w:tcPr>
          <w:p w14:paraId="22BA52B0" w14:textId="77777777" w:rsidR="00752263" w:rsidRPr="00DB7156" w:rsidRDefault="00752263" w:rsidP="00DB7156">
            <w:pPr>
              <w:spacing w:after="0" w:line="240" w:lineRule="auto"/>
              <w:jc w:val="both"/>
              <w:rPr>
                <w:rFonts w:ascii="Arial" w:hAnsi="Arial" w:cs="Arial"/>
                <w:color w:val="000080"/>
                <w:sz w:val="24"/>
                <w:szCs w:val="24"/>
              </w:rPr>
            </w:pPr>
          </w:p>
        </w:tc>
      </w:tr>
      <w:tr w:rsidR="00752263" w:rsidRPr="00DB7156" w14:paraId="22BA52B4" w14:textId="77777777" w:rsidTr="0049164F">
        <w:tc>
          <w:tcPr>
            <w:tcW w:w="1710" w:type="dxa"/>
          </w:tcPr>
          <w:p w14:paraId="22BA52B2" w14:textId="77777777" w:rsidR="00752263" w:rsidRPr="00DB7156" w:rsidRDefault="00752263"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CO</w:t>
            </w:r>
          </w:p>
        </w:tc>
        <w:tc>
          <w:tcPr>
            <w:tcW w:w="6840" w:type="dxa"/>
            <w:gridSpan w:val="2"/>
          </w:tcPr>
          <w:p w14:paraId="22BA52B3" w14:textId="77777777" w:rsidR="00752263" w:rsidRPr="00DB7156" w:rsidRDefault="000653E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Carbon Monoxide</w:t>
            </w:r>
          </w:p>
        </w:tc>
      </w:tr>
      <w:tr w:rsidR="00752263" w:rsidRPr="00DB7156" w14:paraId="22BA52B7" w14:textId="77777777" w:rsidTr="0049164F">
        <w:tc>
          <w:tcPr>
            <w:tcW w:w="1710" w:type="dxa"/>
          </w:tcPr>
          <w:p w14:paraId="22BA52B5" w14:textId="77777777" w:rsidR="00752263" w:rsidRPr="00DB7156" w:rsidRDefault="00752263" w:rsidP="00DB7156">
            <w:pPr>
              <w:spacing w:after="0" w:line="240" w:lineRule="auto"/>
              <w:jc w:val="both"/>
              <w:rPr>
                <w:rFonts w:ascii="Arial" w:hAnsi="Arial" w:cs="Arial"/>
                <w:b/>
                <w:color w:val="000080"/>
                <w:sz w:val="24"/>
                <w:szCs w:val="24"/>
              </w:rPr>
            </w:pPr>
          </w:p>
        </w:tc>
        <w:tc>
          <w:tcPr>
            <w:tcW w:w="6840" w:type="dxa"/>
            <w:gridSpan w:val="2"/>
          </w:tcPr>
          <w:p w14:paraId="22BA52B6" w14:textId="77777777" w:rsidR="00752263" w:rsidRPr="00DB7156" w:rsidRDefault="00752263" w:rsidP="00DB7156">
            <w:pPr>
              <w:spacing w:after="0" w:line="240" w:lineRule="auto"/>
              <w:jc w:val="both"/>
              <w:rPr>
                <w:rFonts w:ascii="Arial" w:hAnsi="Arial" w:cs="Arial"/>
                <w:color w:val="000080"/>
                <w:sz w:val="24"/>
                <w:szCs w:val="24"/>
              </w:rPr>
            </w:pPr>
          </w:p>
        </w:tc>
      </w:tr>
      <w:tr w:rsidR="00752263" w:rsidRPr="00DB7156" w14:paraId="22BA52BA" w14:textId="77777777" w:rsidTr="002D4CD4">
        <w:tc>
          <w:tcPr>
            <w:tcW w:w="1710" w:type="dxa"/>
          </w:tcPr>
          <w:p w14:paraId="22BA52B8" w14:textId="77777777" w:rsidR="00752263" w:rsidRPr="00DB7156" w:rsidRDefault="00752263"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CO</w:t>
            </w:r>
            <w:r w:rsidRPr="00DB7156">
              <w:rPr>
                <w:rFonts w:ascii="Arial" w:hAnsi="Arial" w:cs="Arial"/>
                <w:b/>
                <w:smallCaps/>
                <w:color w:val="000080"/>
                <w:sz w:val="24"/>
                <w:szCs w:val="24"/>
                <w:vertAlign w:val="subscript"/>
              </w:rPr>
              <w:t>2</w:t>
            </w:r>
          </w:p>
        </w:tc>
        <w:tc>
          <w:tcPr>
            <w:tcW w:w="6840" w:type="dxa"/>
            <w:gridSpan w:val="2"/>
          </w:tcPr>
          <w:p w14:paraId="22BA52B9" w14:textId="77777777" w:rsidR="00752263" w:rsidRPr="00DB7156" w:rsidRDefault="000653E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Carbon Dioxide</w:t>
            </w:r>
          </w:p>
        </w:tc>
      </w:tr>
      <w:tr w:rsidR="002D4CD4" w:rsidRPr="00DB7156" w14:paraId="26EACA71" w14:textId="77777777" w:rsidTr="002D4CD4">
        <w:tc>
          <w:tcPr>
            <w:tcW w:w="1710" w:type="dxa"/>
          </w:tcPr>
          <w:p w14:paraId="0CC6BB72" w14:textId="77777777" w:rsidR="002D4CD4" w:rsidRPr="00DB7156" w:rsidRDefault="002D4CD4" w:rsidP="00DB7156">
            <w:pPr>
              <w:spacing w:after="0" w:line="240" w:lineRule="auto"/>
              <w:ind w:left="-90"/>
              <w:jc w:val="both"/>
              <w:rPr>
                <w:rFonts w:ascii="Arial" w:hAnsi="Arial" w:cs="Arial"/>
                <w:b/>
                <w:color w:val="000080"/>
                <w:sz w:val="24"/>
                <w:szCs w:val="24"/>
              </w:rPr>
            </w:pPr>
          </w:p>
        </w:tc>
        <w:tc>
          <w:tcPr>
            <w:tcW w:w="6840" w:type="dxa"/>
            <w:gridSpan w:val="2"/>
          </w:tcPr>
          <w:p w14:paraId="3F11BF75" w14:textId="77777777" w:rsidR="002D4CD4" w:rsidRPr="00DB7156" w:rsidRDefault="002D4CD4" w:rsidP="00DB7156">
            <w:pPr>
              <w:spacing w:after="0" w:line="240" w:lineRule="auto"/>
              <w:jc w:val="both"/>
              <w:rPr>
                <w:rFonts w:ascii="Arial" w:hAnsi="Arial" w:cs="Arial"/>
                <w:color w:val="000080"/>
                <w:sz w:val="24"/>
                <w:szCs w:val="24"/>
              </w:rPr>
            </w:pPr>
          </w:p>
        </w:tc>
      </w:tr>
      <w:tr w:rsidR="002D4CD4" w14:paraId="6617AA43" w14:textId="77777777" w:rsidTr="005A0AB9">
        <w:trPr>
          <w:gridAfter w:val="1"/>
          <w:wAfter w:w="18" w:type="dxa"/>
        </w:trPr>
        <w:tc>
          <w:tcPr>
            <w:tcW w:w="1710" w:type="dxa"/>
          </w:tcPr>
          <w:p w14:paraId="354E2E4A" w14:textId="77777777" w:rsidR="002D4CD4" w:rsidRDefault="002D4CD4" w:rsidP="005A0AB9">
            <w:pPr>
              <w:spacing w:after="0" w:line="240" w:lineRule="auto"/>
              <w:ind w:left="-108"/>
              <w:jc w:val="both"/>
              <w:rPr>
                <w:rFonts w:ascii="Arial" w:hAnsi="Arial" w:cs="Arial"/>
                <w:b/>
                <w:color w:val="000080"/>
                <w:sz w:val="24"/>
                <w:szCs w:val="24"/>
              </w:rPr>
            </w:pPr>
            <w:r>
              <w:rPr>
                <w:rFonts w:ascii="Arial" w:hAnsi="Arial" w:cs="Arial"/>
                <w:b/>
                <w:color w:val="000080"/>
                <w:sz w:val="24"/>
                <w:szCs w:val="24"/>
              </w:rPr>
              <w:t>COHPAC</w:t>
            </w:r>
          </w:p>
        </w:tc>
        <w:tc>
          <w:tcPr>
            <w:tcW w:w="6822" w:type="dxa"/>
          </w:tcPr>
          <w:p w14:paraId="1352AF31" w14:textId="77777777" w:rsidR="002D4CD4" w:rsidRDefault="002D4CD4" w:rsidP="005A0AB9">
            <w:pPr>
              <w:spacing w:after="0" w:line="240" w:lineRule="auto"/>
              <w:jc w:val="both"/>
              <w:rPr>
                <w:rFonts w:ascii="Arial" w:hAnsi="Arial" w:cs="Arial"/>
                <w:snapToGrid w:val="0"/>
                <w:color w:val="000080"/>
                <w:sz w:val="24"/>
                <w:szCs w:val="24"/>
              </w:rPr>
            </w:pPr>
            <w:r>
              <w:rPr>
                <w:rFonts w:ascii="Arial" w:hAnsi="Arial" w:cs="Arial"/>
                <w:snapToGrid w:val="0"/>
                <w:color w:val="000080"/>
                <w:sz w:val="24"/>
                <w:szCs w:val="24"/>
              </w:rPr>
              <w:t>Compact Hybrid Particulate Collector</w:t>
            </w:r>
          </w:p>
        </w:tc>
      </w:tr>
      <w:tr w:rsidR="002D4CD4" w14:paraId="2081EB6F" w14:textId="77777777" w:rsidTr="005A0AB9">
        <w:trPr>
          <w:gridAfter w:val="1"/>
          <w:wAfter w:w="18" w:type="dxa"/>
        </w:trPr>
        <w:tc>
          <w:tcPr>
            <w:tcW w:w="1710" w:type="dxa"/>
          </w:tcPr>
          <w:p w14:paraId="34EBC6C6" w14:textId="77777777" w:rsidR="002D4CD4" w:rsidRDefault="002D4CD4" w:rsidP="005A0AB9">
            <w:pPr>
              <w:spacing w:after="0" w:line="240" w:lineRule="auto"/>
              <w:ind w:left="-108"/>
              <w:jc w:val="both"/>
              <w:rPr>
                <w:rFonts w:ascii="Arial" w:hAnsi="Arial" w:cs="Arial"/>
                <w:b/>
                <w:color w:val="000080"/>
                <w:sz w:val="24"/>
                <w:szCs w:val="24"/>
              </w:rPr>
            </w:pPr>
          </w:p>
        </w:tc>
        <w:tc>
          <w:tcPr>
            <w:tcW w:w="6822" w:type="dxa"/>
          </w:tcPr>
          <w:p w14:paraId="54356C20" w14:textId="77777777" w:rsidR="002D4CD4" w:rsidRDefault="002D4CD4" w:rsidP="005A0AB9">
            <w:pPr>
              <w:spacing w:after="0" w:line="240" w:lineRule="auto"/>
              <w:jc w:val="both"/>
              <w:rPr>
                <w:rFonts w:ascii="Arial" w:hAnsi="Arial" w:cs="Arial"/>
                <w:snapToGrid w:val="0"/>
                <w:color w:val="000080"/>
                <w:sz w:val="24"/>
                <w:szCs w:val="24"/>
              </w:rPr>
            </w:pPr>
          </w:p>
        </w:tc>
      </w:tr>
      <w:tr w:rsidR="002D4CD4" w:rsidRPr="00DB7156" w14:paraId="109645E5" w14:textId="77777777" w:rsidTr="005A0AB9">
        <w:trPr>
          <w:gridAfter w:val="1"/>
          <w:wAfter w:w="18" w:type="dxa"/>
        </w:trPr>
        <w:tc>
          <w:tcPr>
            <w:tcW w:w="1710" w:type="dxa"/>
          </w:tcPr>
          <w:p w14:paraId="3331B2B4" w14:textId="77777777" w:rsidR="002D4CD4" w:rsidRPr="00CC5AA4" w:rsidRDefault="002D4CD4" w:rsidP="005A0AB9">
            <w:pPr>
              <w:spacing w:after="0" w:line="240" w:lineRule="auto"/>
              <w:ind w:left="-108"/>
              <w:jc w:val="both"/>
              <w:rPr>
                <w:rFonts w:ascii="Arial" w:hAnsi="Arial" w:cs="Arial"/>
                <w:b/>
                <w:color w:val="000080"/>
                <w:sz w:val="24"/>
                <w:szCs w:val="24"/>
              </w:rPr>
            </w:pPr>
            <w:r>
              <w:rPr>
                <w:rFonts w:ascii="Arial" w:hAnsi="Arial" w:cs="Arial"/>
                <w:b/>
                <w:color w:val="000080"/>
                <w:sz w:val="24"/>
                <w:szCs w:val="24"/>
              </w:rPr>
              <w:t>COP</w:t>
            </w:r>
          </w:p>
        </w:tc>
        <w:tc>
          <w:tcPr>
            <w:tcW w:w="6822" w:type="dxa"/>
          </w:tcPr>
          <w:p w14:paraId="14A171C5" w14:textId="77777777" w:rsidR="002D4CD4" w:rsidRPr="00DB7156" w:rsidRDefault="002D4CD4" w:rsidP="005A0AB9">
            <w:pPr>
              <w:spacing w:after="0" w:line="240" w:lineRule="auto"/>
              <w:jc w:val="both"/>
              <w:rPr>
                <w:rFonts w:ascii="Arial" w:hAnsi="Arial" w:cs="Arial"/>
                <w:snapToGrid w:val="0"/>
                <w:color w:val="000080"/>
                <w:sz w:val="24"/>
                <w:szCs w:val="24"/>
              </w:rPr>
            </w:pPr>
            <w:r>
              <w:rPr>
                <w:rFonts w:ascii="Arial" w:hAnsi="Arial" w:cs="Arial"/>
                <w:snapToGrid w:val="0"/>
                <w:color w:val="000080"/>
                <w:sz w:val="24"/>
                <w:szCs w:val="24"/>
              </w:rPr>
              <w:t>Conference of Parties</w:t>
            </w:r>
          </w:p>
        </w:tc>
      </w:tr>
      <w:tr w:rsidR="002D4CD4" w:rsidRPr="00DB7156" w14:paraId="484D917C" w14:textId="77777777" w:rsidTr="005A0AB9">
        <w:trPr>
          <w:gridAfter w:val="1"/>
          <w:wAfter w:w="18" w:type="dxa"/>
        </w:trPr>
        <w:tc>
          <w:tcPr>
            <w:tcW w:w="1710" w:type="dxa"/>
          </w:tcPr>
          <w:p w14:paraId="700425ED" w14:textId="77777777" w:rsidR="002D4CD4" w:rsidRPr="00CC5AA4" w:rsidRDefault="002D4CD4" w:rsidP="005A0AB9">
            <w:pPr>
              <w:spacing w:after="0" w:line="240" w:lineRule="auto"/>
              <w:ind w:left="-108"/>
              <w:jc w:val="both"/>
              <w:rPr>
                <w:rFonts w:ascii="Arial" w:hAnsi="Arial" w:cs="Arial"/>
                <w:b/>
                <w:color w:val="000080"/>
                <w:sz w:val="24"/>
                <w:szCs w:val="24"/>
              </w:rPr>
            </w:pPr>
          </w:p>
        </w:tc>
        <w:tc>
          <w:tcPr>
            <w:tcW w:w="6822" w:type="dxa"/>
          </w:tcPr>
          <w:p w14:paraId="6A2FD6BA" w14:textId="77777777" w:rsidR="002D4CD4" w:rsidRPr="00DB7156" w:rsidRDefault="002D4CD4" w:rsidP="005A0AB9">
            <w:pPr>
              <w:spacing w:after="0" w:line="240" w:lineRule="auto"/>
              <w:jc w:val="both"/>
              <w:rPr>
                <w:rFonts w:ascii="Arial" w:hAnsi="Arial" w:cs="Arial"/>
                <w:snapToGrid w:val="0"/>
                <w:color w:val="000080"/>
                <w:sz w:val="24"/>
                <w:szCs w:val="24"/>
              </w:rPr>
            </w:pPr>
          </w:p>
        </w:tc>
      </w:tr>
      <w:tr w:rsidR="002D4CD4" w:rsidRPr="00DB7156" w14:paraId="18429F37" w14:textId="77777777" w:rsidTr="005A0AB9">
        <w:trPr>
          <w:gridAfter w:val="1"/>
          <w:wAfter w:w="18" w:type="dxa"/>
        </w:trPr>
        <w:tc>
          <w:tcPr>
            <w:tcW w:w="1710" w:type="dxa"/>
          </w:tcPr>
          <w:p w14:paraId="62D31BCF" w14:textId="77777777" w:rsidR="002D4CD4" w:rsidRPr="00CC5AA4" w:rsidRDefault="002D4CD4" w:rsidP="005A0AB9">
            <w:pPr>
              <w:spacing w:after="0" w:line="240" w:lineRule="auto"/>
              <w:ind w:left="-108"/>
              <w:jc w:val="both"/>
              <w:rPr>
                <w:rFonts w:ascii="Arial" w:hAnsi="Arial" w:cs="Arial"/>
                <w:b/>
                <w:color w:val="000080"/>
                <w:sz w:val="24"/>
                <w:szCs w:val="24"/>
              </w:rPr>
            </w:pPr>
            <w:r>
              <w:rPr>
                <w:rFonts w:ascii="Arial" w:hAnsi="Arial" w:cs="Arial"/>
                <w:b/>
                <w:color w:val="000080"/>
                <w:sz w:val="24"/>
                <w:szCs w:val="24"/>
              </w:rPr>
              <w:t>CMP</w:t>
            </w:r>
          </w:p>
        </w:tc>
        <w:tc>
          <w:tcPr>
            <w:tcW w:w="6822" w:type="dxa"/>
          </w:tcPr>
          <w:p w14:paraId="57DEC544" w14:textId="77777777" w:rsidR="002D4CD4" w:rsidRPr="00DB7156" w:rsidRDefault="002D4CD4" w:rsidP="005A0AB9">
            <w:pPr>
              <w:spacing w:after="0" w:line="240" w:lineRule="auto"/>
              <w:jc w:val="both"/>
              <w:rPr>
                <w:rFonts w:ascii="Arial" w:hAnsi="Arial" w:cs="Arial"/>
                <w:snapToGrid w:val="0"/>
                <w:color w:val="000080"/>
                <w:sz w:val="24"/>
                <w:szCs w:val="24"/>
              </w:rPr>
            </w:pPr>
            <w:r>
              <w:rPr>
                <w:rFonts w:ascii="Arial" w:hAnsi="Arial" w:cs="Arial"/>
                <w:snapToGrid w:val="0"/>
                <w:color w:val="000080"/>
                <w:sz w:val="24"/>
                <w:szCs w:val="24"/>
              </w:rPr>
              <w:t>Meeting of the Parties to the Kyoto Protocol</w:t>
            </w:r>
          </w:p>
        </w:tc>
      </w:tr>
      <w:tr w:rsidR="00752263" w:rsidRPr="00DB7156" w14:paraId="22BA52BD" w14:textId="77777777" w:rsidTr="002D4CD4">
        <w:tc>
          <w:tcPr>
            <w:tcW w:w="1710" w:type="dxa"/>
          </w:tcPr>
          <w:p w14:paraId="22BA52BB" w14:textId="77777777" w:rsidR="00752263" w:rsidRPr="00DB7156" w:rsidRDefault="00752263" w:rsidP="00DB7156">
            <w:pPr>
              <w:spacing w:after="0" w:line="240" w:lineRule="auto"/>
              <w:ind w:left="-90"/>
              <w:jc w:val="both"/>
              <w:rPr>
                <w:rFonts w:ascii="Arial" w:hAnsi="Arial" w:cs="Arial"/>
                <w:b/>
                <w:color w:val="000080"/>
                <w:sz w:val="24"/>
                <w:szCs w:val="24"/>
              </w:rPr>
            </w:pPr>
          </w:p>
        </w:tc>
        <w:tc>
          <w:tcPr>
            <w:tcW w:w="6840" w:type="dxa"/>
            <w:gridSpan w:val="2"/>
          </w:tcPr>
          <w:p w14:paraId="22BA52BC" w14:textId="77777777" w:rsidR="00752263" w:rsidRPr="00DB7156" w:rsidRDefault="00752263" w:rsidP="00DB7156">
            <w:pPr>
              <w:spacing w:after="0" w:line="240" w:lineRule="auto"/>
              <w:jc w:val="both"/>
              <w:rPr>
                <w:rFonts w:ascii="Arial" w:hAnsi="Arial" w:cs="Arial"/>
                <w:color w:val="000080"/>
                <w:sz w:val="24"/>
                <w:szCs w:val="24"/>
              </w:rPr>
            </w:pPr>
          </w:p>
        </w:tc>
      </w:tr>
      <w:tr w:rsidR="004845AF" w:rsidRPr="00DB7156" w14:paraId="2C57AD9D" w14:textId="77777777" w:rsidTr="002D4CD4">
        <w:tc>
          <w:tcPr>
            <w:tcW w:w="1710" w:type="dxa"/>
          </w:tcPr>
          <w:p w14:paraId="3CDA17F0" w14:textId="7B9ED90A" w:rsidR="004845AF" w:rsidRPr="00DB7156" w:rsidRDefault="004845AF" w:rsidP="00CC5AA4">
            <w:pPr>
              <w:spacing w:after="0" w:line="240" w:lineRule="auto"/>
              <w:ind w:left="-108"/>
              <w:jc w:val="both"/>
              <w:rPr>
                <w:rFonts w:ascii="Arial" w:hAnsi="Arial" w:cs="Arial"/>
                <w:b/>
                <w:snapToGrid w:val="0"/>
                <w:color w:val="000080"/>
                <w:sz w:val="24"/>
                <w:szCs w:val="24"/>
              </w:rPr>
            </w:pPr>
            <w:r w:rsidRPr="00CC5AA4">
              <w:rPr>
                <w:rFonts w:ascii="Arial" w:hAnsi="Arial" w:cs="Arial"/>
                <w:b/>
                <w:color w:val="000080"/>
                <w:sz w:val="24"/>
                <w:szCs w:val="24"/>
              </w:rPr>
              <w:t>CPP</w:t>
            </w:r>
          </w:p>
        </w:tc>
        <w:tc>
          <w:tcPr>
            <w:tcW w:w="6840" w:type="dxa"/>
            <w:gridSpan w:val="2"/>
          </w:tcPr>
          <w:p w14:paraId="15D520CA" w14:textId="17D89285" w:rsidR="004845AF" w:rsidRPr="00DB7156" w:rsidRDefault="004845AF" w:rsidP="00DB7156">
            <w:pPr>
              <w:spacing w:after="0" w:line="240" w:lineRule="auto"/>
              <w:jc w:val="both"/>
              <w:rPr>
                <w:rFonts w:ascii="Arial" w:hAnsi="Arial" w:cs="Arial"/>
                <w:snapToGrid w:val="0"/>
                <w:color w:val="000080"/>
                <w:sz w:val="24"/>
                <w:szCs w:val="24"/>
              </w:rPr>
            </w:pPr>
            <w:r w:rsidRPr="00DB7156">
              <w:rPr>
                <w:rFonts w:ascii="Arial" w:hAnsi="Arial" w:cs="Arial"/>
                <w:snapToGrid w:val="0"/>
                <w:color w:val="000080"/>
                <w:sz w:val="24"/>
                <w:szCs w:val="24"/>
              </w:rPr>
              <w:t>Clean Power Plan</w:t>
            </w:r>
          </w:p>
        </w:tc>
      </w:tr>
      <w:tr w:rsidR="000E4071" w:rsidRPr="00DB7156" w14:paraId="4DF540EC" w14:textId="77777777" w:rsidTr="002D4CD4">
        <w:tc>
          <w:tcPr>
            <w:tcW w:w="1710" w:type="dxa"/>
          </w:tcPr>
          <w:p w14:paraId="0843385D" w14:textId="77777777" w:rsidR="000E4071" w:rsidRPr="00DB7156" w:rsidRDefault="000E4071" w:rsidP="00DB7156">
            <w:pPr>
              <w:keepNext/>
              <w:keepLines/>
              <w:spacing w:after="0" w:line="240" w:lineRule="auto"/>
              <w:ind w:left="-86"/>
              <w:jc w:val="both"/>
              <w:rPr>
                <w:rFonts w:ascii="Arial" w:hAnsi="Arial" w:cs="Arial"/>
                <w:b/>
                <w:snapToGrid w:val="0"/>
                <w:color w:val="000080"/>
                <w:sz w:val="24"/>
                <w:szCs w:val="24"/>
              </w:rPr>
            </w:pPr>
          </w:p>
        </w:tc>
        <w:tc>
          <w:tcPr>
            <w:tcW w:w="6840" w:type="dxa"/>
            <w:gridSpan w:val="2"/>
          </w:tcPr>
          <w:p w14:paraId="15D6011C" w14:textId="77777777" w:rsidR="000E4071" w:rsidRPr="00DB7156" w:rsidRDefault="000E4071" w:rsidP="00DB7156">
            <w:pPr>
              <w:spacing w:after="0" w:line="240" w:lineRule="auto"/>
              <w:jc w:val="both"/>
              <w:rPr>
                <w:rFonts w:ascii="Arial" w:hAnsi="Arial" w:cs="Arial"/>
                <w:snapToGrid w:val="0"/>
                <w:color w:val="000080"/>
                <w:sz w:val="24"/>
                <w:szCs w:val="24"/>
              </w:rPr>
            </w:pPr>
          </w:p>
        </w:tc>
      </w:tr>
      <w:tr w:rsidR="00752263" w:rsidRPr="00DB7156" w14:paraId="22BA52C3" w14:textId="77777777" w:rsidTr="002D4CD4">
        <w:tc>
          <w:tcPr>
            <w:tcW w:w="1710" w:type="dxa"/>
          </w:tcPr>
          <w:p w14:paraId="22BA52C1" w14:textId="6F7C6C1D" w:rsidR="00752263" w:rsidRPr="00DB7156" w:rsidRDefault="004845AF" w:rsidP="00DB7156">
            <w:pPr>
              <w:keepNext/>
              <w:keepLines/>
              <w:spacing w:after="0" w:line="240" w:lineRule="auto"/>
              <w:ind w:left="-86"/>
              <w:jc w:val="both"/>
              <w:rPr>
                <w:rFonts w:ascii="Arial" w:hAnsi="Arial" w:cs="Arial"/>
                <w:b/>
                <w:snapToGrid w:val="0"/>
                <w:color w:val="000080"/>
                <w:sz w:val="24"/>
                <w:szCs w:val="24"/>
              </w:rPr>
            </w:pPr>
            <w:r w:rsidRPr="00DB7156">
              <w:rPr>
                <w:rFonts w:ascii="Arial" w:hAnsi="Arial" w:cs="Arial"/>
                <w:b/>
                <w:snapToGrid w:val="0"/>
                <w:color w:val="000080"/>
                <w:sz w:val="24"/>
                <w:szCs w:val="24"/>
              </w:rPr>
              <w:t>CSAPR</w:t>
            </w:r>
          </w:p>
        </w:tc>
        <w:tc>
          <w:tcPr>
            <w:tcW w:w="6840" w:type="dxa"/>
            <w:gridSpan w:val="2"/>
          </w:tcPr>
          <w:p w14:paraId="22BA52C2" w14:textId="713B6A7F" w:rsidR="00752263" w:rsidRPr="00DB7156" w:rsidRDefault="004845AF" w:rsidP="00DB7156">
            <w:pPr>
              <w:spacing w:after="0" w:line="240" w:lineRule="auto"/>
              <w:jc w:val="both"/>
              <w:rPr>
                <w:rFonts w:ascii="Arial" w:hAnsi="Arial" w:cs="Arial"/>
                <w:snapToGrid w:val="0"/>
                <w:color w:val="000080"/>
                <w:sz w:val="24"/>
                <w:szCs w:val="24"/>
              </w:rPr>
            </w:pPr>
            <w:r w:rsidRPr="00DB7156">
              <w:rPr>
                <w:rFonts w:ascii="Arial" w:hAnsi="Arial" w:cs="Arial"/>
                <w:snapToGrid w:val="0"/>
                <w:color w:val="000080"/>
                <w:sz w:val="24"/>
                <w:szCs w:val="24"/>
              </w:rPr>
              <w:t>Cross State Air Pollution Rule</w:t>
            </w:r>
          </w:p>
        </w:tc>
      </w:tr>
      <w:tr w:rsidR="000E4071" w:rsidRPr="00DB7156" w14:paraId="796CEB30" w14:textId="77777777" w:rsidTr="002D4CD4">
        <w:tc>
          <w:tcPr>
            <w:tcW w:w="1710" w:type="dxa"/>
          </w:tcPr>
          <w:p w14:paraId="3F22289C" w14:textId="77777777" w:rsidR="000E4071" w:rsidRPr="00DB7156" w:rsidRDefault="000E4071" w:rsidP="00DB7156">
            <w:pPr>
              <w:keepNext/>
              <w:keepLines/>
              <w:spacing w:after="0" w:line="240" w:lineRule="auto"/>
              <w:ind w:left="-86"/>
              <w:jc w:val="both"/>
              <w:rPr>
                <w:rFonts w:ascii="Arial" w:hAnsi="Arial" w:cs="Arial"/>
                <w:b/>
                <w:snapToGrid w:val="0"/>
                <w:color w:val="000080"/>
                <w:sz w:val="24"/>
                <w:szCs w:val="24"/>
              </w:rPr>
            </w:pPr>
          </w:p>
        </w:tc>
        <w:tc>
          <w:tcPr>
            <w:tcW w:w="6840" w:type="dxa"/>
            <w:gridSpan w:val="2"/>
          </w:tcPr>
          <w:p w14:paraId="1C7CC3B6" w14:textId="77777777" w:rsidR="000E4071" w:rsidRPr="00DB7156" w:rsidRDefault="000E4071" w:rsidP="00DB7156">
            <w:pPr>
              <w:spacing w:after="0" w:line="240" w:lineRule="auto"/>
              <w:jc w:val="both"/>
              <w:rPr>
                <w:rFonts w:ascii="Arial" w:hAnsi="Arial" w:cs="Arial"/>
                <w:snapToGrid w:val="0"/>
                <w:color w:val="000080"/>
                <w:sz w:val="24"/>
                <w:szCs w:val="24"/>
              </w:rPr>
            </w:pPr>
          </w:p>
        </w:tc>
      </w:tr>
      <w:tr w:rsidR="00752263" w:rsidRPr="00DB7156" w14:paraId="22BA52C6" w14:textId="77777777" w:rsidTr="002D4CD4">
        <w:tc>
          <w:tcPr>
            <w:tcW w:w="1710" w:type="dxa"/>
          </w:tcPr>
          <w:p w14:paraId="22BA52C4" w14:textId="77777777" w:rsidR="00752263" w:rsidRPr="00DB7156" w:rsidRDefault="00752263" w:rsidP="00DB7156">
            <w:pPr>
              <w:spacing w:after="0" w:line="240" w:lineRule="auto"/>
              <w:ind w:left="-90"/>
              <w:jc w:val="both"/>
              <w:rPr>
                <w:rFonts w:ascii="Arial" w:hAnsi="Arial" w:cs="Arial"/>
                <w:b/>
                <w:snapToGrid w:val="0"/>
                <w:color w:val="000080"/>
                <w:sz w:val="24"/>
                <w:szCs w:val="24"/>
              </w:rPr>
            </w:pPr>
            <w:r w:rsidRPr="00DB7156">
              <w:rPr>
                <w:rFonts w:ascii="Arial" w:hAnsi="Arial" w:cs="Arial"/>
                <w:b/>
                <w:snapToGrid w:val="0"/>
                <w:color w:val="000080"/>
                <w:sz w:val="24"/>
                <w:szCs w:val="24"/>
              </w:rPr>
              <w:t>CWA</w:t>
            </w:r>
          </w:p>
        </w:tc>
        <w:tc>
          <w:tcPr>
            <w:tcW w:w="6840" w:type="dxa"/>
            <w:gridSpan w:val="2"/>
          </w:tcPr>
          <w:p w14:paraId="22BA52C5" w14:textId="77777777" w:rsidR="00752263" w:rsidRPr="00DB7156" w:rsidRDefault="00752263" w:rsidP="00DB7156">
            <w:pPr>
              <w:spacing w:after="0" w:line="240" w:lineRule="auto"/>
              <w:jc w:val="both"/>
              <w:rPr>
                <w:rFonts w:ascii="Arial" w:hAnsi="Arial" w:cs="Arial"/>
                <w:color w:val="000080"/>
                <w:sz w:val="24"/>
                <w:szCs w:val="24"/>
              </w:rPr>
            </w:pPr>
            <w:r w:rsidRPr="00DB7156">
              <w:rPr>
                <w:rFonts w:ascii="Arial" w:hAnsi="Arial" w:cs="Arial"/>
                <w:snapToGrid w:val="0"/>
                <w:color w:val="000080"/>
                <w:sz w:val="24"/>
                <w:szCs w:val="24"/>
              </w:rPr>
              <w:t>Clean Water Act</w:t>
            </w:r>
          </w:p>
        </w:tc>
      </w:tr>
      <w:tr w:rsidR="000E4071" w:rsidRPr="00DB7156" w14:paraId="74E608FD" w14:textId="77777777" w:rsidTr="002D4CD4">
        <w:tc>
          <w:tcPr>
            <w:tcW w:w="1710" w:type="dxa"/>
          </w:tcPr>
          <w:p w14:paraId="63F4C01E" w14:textId="77777777" w:rsidR="000E4071" w:rsidRPr="00DB7156" w:rsidRDefault="000E4071" w:rsidP="00DB7156">
            <w:pPr>
              <w:spacing w:after="0" w:line="240" w:lineRule="auto"/>
              <w:ind w:left="-90"/>
              <w:jc w:val="both"/>
              <w:rPr>
                <w:rFonts w:ascii="Arial" w:hAnsi="Arial" w:cs="Arial"/>
                <w:b/>
                <w:snapToGrid w:val="0"/>
                <w:color w:val="000080"/>
                <w:sz w:val="24"/>
                <w:szCs w:val="24"/>
              </w:rPr>
            </w:pPr>
          </w:p>
        </w:tc>
        <w:tc>
          <w:tcPr>
            <w:tcW w:w="6840" w:type="dxa"/>
            <w:gridSpan w:val="2"/>
          </w:tcPr>
          <w:p w14:paraId="3F7B367C" w14:textId="77777777" w:rsidR="000E4071" w:rsidRPr="00DB7156" w:rsidRDefault="000E4071" w:rsidP="00DB7156">
            <w:pPr>
              <w:spacing w:after="0" w:line="240" w:lineRule="auto"/>
              <w:jc w:val="both"/>
              <w:rPr>
                <w:rFonts w:ascii="Arial" w:hAnsi="Arial" w:cs="Arial"/>
                <w:snapToGrid w:val="0"/>
                <w:color w:val="000080"/>
                <w:sz w:val="24"/>
                <w:szCs w:val="24"/>
              </w:rPr>
            </w:pPr>
          </w:p>
        </w:tc>
      </w:tr>
      <w:tr w:rsidR="00752263" w:rsidRPr="00DB7156" w14:paraId="22BA52C9" w14:textId="77777777" w:rsidTr="002D4CD4">
        <w:tc>
          <w:tcPr>
            <w:tcW w:w="1710" w:type="dxa"/>
          </w:tcPr>
          <w:p w14:paraId="22BA52C7" w14:textId="05F91255" w:rsidR="00752263" w:rsidRPr="00DB7156" w:rsidRDefault="004845AF"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CWIS</w:t>
            </w:r>
          </w:p>
        </w:tc>
        <w:tc>
          <w:tcPr>
            <w:tcW w:w="6840" w:type="dxa"/>
            <w:gridSpan w:val="2"/>
          </w:tcPr>
          <w:p w14:paraId="22BA52C8" w14:textId="1983DE54"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Cooling Water Intake Structure</w:t>
            </w:r>
          </w:p>
        </w:tc>
      </w:tr>
      <w:tr w:rsidR="000E4071" w:rsidRPr="00DB7156" w14:paraId="3F1705E0" w14:textId="77777777" w:rsidTr="002D4CD4">
        <w:tc>
          <w:tcPr>
            <w:tcW w:w="1710" w:type="dxa"/>
          </w:tcPr>
          <w:p w14:paraId="352F71D7"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782F0671" w14:textId="77777777" w:rsidR="000E4071" w:rsidRPr="00DB7156" w:rsidRDefault="000E4071" w:rsidP="00DB7156">
            <w:pPr>
              <w:spacing w:after="0" w:line="240" w:lineRule="auto"/>
              <w:jc w:val="both"/>
              <w:rPr>
                <w:rFonts w:ascii="Arial" w:hAnsi="Arial" w:cs="Arial"/>
                <w:color w:val="000080"/>
                <w:sz w:val="24"/>
                <w:szCs w:val="24"/>
              </w:rPr>
            </w:pPr>
          </w:p>
        </w:tc>
      </w:tr>
      <w:tr w:rsidR="00935BB1" w:rsidRPr="00DB7156" w14:paraId="22BA52CC" w14:textId="77777777" w:rsidTr="002D4CD4">
        <w:tc>
          <w:tcPr>
            <w:tcW w:w="1710" w:type="dxa"/>
          </w:tcPr>
          <w:p w14:paraId="22BA52CA" w14:textId="77777777" w:rsidR="00935BB1" w:rsidRPr="00DB7156" w:rsidRDefault="00935BB1"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CWWS</w:t>
            </w:r>
          </w:p>
        </w:tc>
        <w:tc>
          <w:tcPr>
            <w:tcW w:w="6840" w:type="dxa"/>
            <w:gridSpan w:val="2"/>
          </w:tcPr>
          <w:p w14:paraId="22BA52CB" w14:textId="77777777" w:rsidR="00935BB1" w:rsidRPr="00DB7156" w:rsidRDefault="00935BB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Cylindrical Wedge Wire Screens</w:t>
            </w:r>
          </w:p>
        </w:tc>
      </w:tr>
      <w:tr w:rsidR="00935BB1" w:rsidRPr="00DB7156" w14:paraId="22BA52CF" w14:textId="77777777" w:rsidTr="002D4CD4">
        <w:tc>
          <w:tcPr>
            <w:tcW w:w="1710" w:type="dxa"/>
          </w:tcPr>
          <w:p w14:paraId="22BA52CD" w14:textId="77777777" w:rsidR="00935BB1" w:rsidRPr="00DB7156" w:rsidRDefault="00935BB1" w:rsidP="00DB7156">
            <w:pPr>
              <w:spacing w:after="0" w:line="240" w:lineRule="auto"/>
              <w:ind w:left="-90"/>
              <w:jc w:val="both"/>
              <w:rPr>
                <w:rFonts w:ascii="Arial" w:hAnsi="Arial" w:cs="Arial"/>
                <w:b/>
                <w:color w:val="000080"/>
                <w:sz w:val="24"/>
                <w:szCs w:val="24"/>
              </w:rPr>
            </w:pPr>
          </w:p>
        </w:tc>
        <w:tc>
          <w:tcPr>
            <w:tcW w:w="6840" w:type="dxa"/>
            <w:gridSpan w:val="2"/>
          </w:tcPr>
          <w:p w14:paraId="22BA52CE" w14:textId="77777777" w:rsidR="00935BB1" w:rsidRPr="00DB7156" w:rsidRDefault="00935BB1" w:rsidP="00DB7156">
            <w:pPr>
              <w:spacing w:after="0" w:line="240" w:lineRule="auto"/>
              <w:jc w:val="both"/>
              <w:rPr>
                <w:rFonts w:ascii="Arial" w:hAnsi="Arial" w:cs="Arial"/>
                <w:color w:val="000080"/>
                <w:sz w:val="24"/>
                <w:szCs w:val="24"/>
              </w:rPr>
            </w:pPr>
          </w:p>
        </w:tc>
      </w:tr>
      <w:tr w:rsidR="00752263" w:rsidRPr="00DB7156" w14:paraId="22BA52D2" w14:textId="77777777" w:rsidTr="002D4CD4">
        <w:tc>
          <w:tcPr>
            <w:tcW w:w="1710" w:type="dxa"/>
          </w:tcPr>
          <w:p w14:paraId="22BA52D0" w14:textId="77777777" w:rsidR="00752263" w:rsidRPr="00DB7156" w:rsidRDefault="00752263"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DOE</w:t>
            </w:r>
          </w:p>
        </w:tc>
        <w:tc>
          <w:tcPr>
            <w:tcW w:w="6840" w:type="dxa"/>
            <w:gridSpan w:val="2"/>
          </w:tcPr>
          <w:p w14:paraId="22BA52D1" w14:textId="77777777" w:rsidR="00752263" w:rsidRPr="00DB7156" w:rsidRDefault="000653E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Department of Energy</w:t>
            </w:r>
          </w:p>
        </w:tc>
      </w:tr>
      <w:tr w:rsidR="000E4071" w:rsidRPr="00DB7156" w14:paraId="5E3613A2" w14:textId="77777777" w:rsidTr="002D4CD4">
        <w:tc>
          <w:tcPr>
            <w:tcW w:w="1710" w:type="dxa"/>
          </w:tcPr>
          <w:p w14:paraId="45A33C9F"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22597DA6" w14:textId="77777777" w:rsidR="000E4071" w:rsidRPr="00DB7156" w:rsidRDefault="000E4071" w:rsidP="00DB7156">
            <w:pPr>
              <w:spacing w:after="0" w:line="240" w:lineRule="auto"/>
              <w:jc w:val="both"/>
              <w:rPr>
                <w:rFonts w:ascii="Arial" w:hAnsi="Arial" w:cs="Arial"/>
                <w:color w:val="000080"/>
                <w:sz w:val="24"/>
                <w:szCs w:val="24"/>
              </w:rPr>
            </w:pPr>
          </w:p>
        </w:tc>
      </w:tr>
      <w:tr w:rsidR="00752263" w:rsidRPr="00DB7156" w14:paraId="22BA52D5" w14:textId="77777777" w:rsidTr="002D4CD4">
        <w:tc>
          <w:tcPr>
            <w:tcW w:w="1710" w:type="dxa"/>
          </w:tcPr>
          <w:p w14:paraId="22BA52D3" w14:textId="63FD05FA" w:rsidR="00752263" w:rsidRPr="00DB7156" w:rsidRDefault="004845AF"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DSI</w:t>
            </w:r>
          </w:p>
        </w:tc>
        <w:tc>
          <w:tcPr>
            <w:tcW w:w="6840" w:type="dxa"/>
            <w:gridSpan w:val="2"/>
          </w:tcPr>
          <w:p w14:paraId="22BA52D4" w14:textId="74CE3B7A"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Dry Sorbent Injection</w:t>
            </w:r>
          </w:p>
        </w:tc>
      </w:tr>
      <w:tr w:rsidR="00752263" w:rsidRPr="00DB7156" w14:paraId="22BA52D8" w14:textId="77777777" w:rsidTr="002D4CD4">
        <w:tc>
          <w:tcPr>
            <w:tcW w:w="1710" w:type="dxa"/>
          </w:tcPr>
          <w:p w14:paraId="22BA52D6" w14:textId="6F6018C1" w:rsidR="00752263" w:rsidRPr="00DB7156" w:rsidRDefault="00752263" w:rsidP="00DB7156">
            <w:pPr>
              <w:spacing w:after="0" w:line="240" w:lineRule="auto"/>
              <w:ind w:left="-90"/>
              <w:jc w:val="both"/>
              <w:rPr>
                <w:rFonts w:ascii="Arial" w:hAnsi="Arial" w:cs="Arial"/>
                <w:b/>
                <w:color w:val="000080"/>
                <w:sz w:val="24"/>
                <w:szCs w:val="24"/>
              </w:rPr>
            </w:pPr>
          </w:p>
        </w:tc>
        <w:tc>
          <w:tcPr>
            <w:tcW w:w="6840" w:type="dxa"/>
            <w:gridSpan w:val="2"/>
          </w:tcPr>
          <w:p w14:paraId="22BA52D7" w14:textId="54A28E96" w:rsidR="00752263" w:rsidRPr="00DB7156" w:rsidRDefault="00752263" w:rsidP="00DB7156">
            <w:pPr>
              <w:spacing w:after="0" w:line="240" w:lineRule="auto"/>
              <w:jc w:val="both"/>
              <w:rPr>
                <w:rFonts w:ascii="Arial" w:hAnsi="Arial" w:cs="Arial"/>
                <w:color w:val="000080"/>
                <w:sz w:val="24"/>
                <w:szCs w:val="24"/>
              </w:rPr>
            </w:pPr>
          </w:p>
        </w:tc>
      </w:tr>
      <w:tr w:rsidR="002D4CD4" w:rsidRPr="00DB7156" w14:paraId="5878BA00" w14:textId="77777777" w:rsidTr="002D4CD4">
        <w:tc>
          <w:tcPr>
            <w:tcW w:w="1710" w:type="dxa"/>
          </w:tcPr>
          <w:p w14:paraId="29557213" w14:textId="7E1C8C13" w:rsidR="002D4CD4" w:rsidRPr="00DB7156" w:rsidRDefault="002D4CD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ECS</w:t>
            </w:r>
          </w:p>
        </w:tc>
        <w:tc>
          <w:tcPr>
            <w:tcW w:w="6840" w:type="dxa"/>
            <w:gridSpan w:val="2"/>
          </w:tcPr>
          <w:p w14:paraId="4E060849" w14:textId="3774A029" w:rsidR="002D4CD4" w:rsidRPr="00DB7156" w:rsidRDefault="002D4CD4" w:rsidP="00DB7156">
            <w:pPr>
              <w:spacing w:after="0" w:line="240" w:lineRule="auto"/>
              <w:jc w:val="both"/>
              <w:rPr>
                <w:rFonts w:ascii="Arial" w:hAnsi="Arial" w:cs="Arial"/>
                <w:color w:val="000080"/>
                <w:sz w:val="24"/>
                <w:szCs w:val="24"/>
              </w:rPr>
            </w:pPr>
            <w:r>
              <w:rPr>
                <w:rFonts w:ascii="Arial" w:hAnsi="Arial" w:cs="Arial"/>
                <w:color w:val="000080"/>
                <w:sz w:val="24"/>
                <w:szCs w:val="24"/>
              </w:rPr>
              <w:t xml:space="preserve">Environmental Compliance Strategy </w:t>
            </w:r>
          </w:p>
        </w:tc>
      </w:tr>
      <w:tr w:rsidR="002D4CD4" w:rsidRPr="00DB7156" w14:paraId="619057B8" w14:textId="77777777" w:rsidTr="002D4CD4">
        <w:tc>
          <w:tcPr>
            <w:tcW w:w="1710" w:type="dxa"/>
          </w:tcPr>
          <w:p w14:paraId="3713F2F6" w14:textId="77777777" w:rsidR="002D4CD4" w:rsidRPr="00DB7156" w:rsidRDefault="002D4CD4" w:rsidP="00DB7156">
            <w:pPr>
              <w:spacing w:after="0" w:line="240" w:lineRule="auto"/>
              <w:ind w:left="-90"/>
              <w:jc w:val="both"/>
              <w:rPr>
                <w:rFonts w:ascii="Arial" w:hAnsi="Arial" w:cs="Arial"/>
                <w:b/>
                <w:color w:val="000080"/>
                <w:sz w:val="24"/>
                <w:szCs w:val="24"/>
              </w:rPr>
            </w:pPr>
          </w:p>
        </w:tc>
        <w:tc>
          <w:tcPr>
            <w:tcW w:w="6840" w:type="dxa"/>
            <w:gridSpan w:val="2"/>
          </w:tcPr>
          <w:p w14:paraId="135C936C" w14:textId="77777777" w:rsidR="002D4CD4" w:rsidRPr="00DB7156" w:rsidRDefault="002D4CD4" w:rsidP="00DB7156">
            <w:pPr>
              <w:spacing w:after="0" w:line="240" w:lineRule="auto"/>
              <w:jc w:val="both"/>
              <w:rPr>
                <w:rFonts w:ascii="Arial" w:hAnsi="Arial" w:cs="Arial"/>
                <w:color w:val="000080"/>
                <w:sz w:val="24"/>
                <w:szCs w:val="24"/>
              </w:rPr>
            </w:pPr>
          </w:p>
        </w:tc>
      </w:tr>
      <w:tr w:rsidR="00752263" w:rsidRPr="00DB7156" w14:paraId="22BA52DB" w14:textId="77777777" w:rsidTr="002D4CD4">
        <w:tc>
          <w:tcPr>
            <w:tcW w:w="1710" w:type="dxa"/>
          </w:tcPr>
          <w:p w14:paraId="22BA52D9" w14:textId="1012A42E" w:rsidR="00752263" w:rsidRPr="00DB7156" w:rsidRDefault="004845AF"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ELG</w:t>
            </w:r>
          </w:p>
        </w:tc>
        <w:tc>
          <w:tcPr>
            <w:tcW w:w="6840" w:type="dxa"/>
            <w:gridSpan w:val="2"/>
          </w:tcPr>
          <w:p w14:paraId="22BA52DA" w14:textId="546BB867"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Effluent Limitation</w:t>
            </w:r>
            <w:r w:rsidR="00DC1985" w:rsidRPr="00DB7156">
              <w:rPr>
                <w:rFonts w:ascii="Arial" w:hAnsi="Arial" w:cs="Arial"/>
                <w:color w:val="000080"/>
                <w:sz w:val="24"/>
                <w:szCs w:val="24"/>
              </w:rPr>
              <w:t>s</w:t>
            </w:r>
            <w:r w:rsidRPr="00DB7156">
              <w:rPr>
                <w:rFonts w:ascii="Arial" w:hAnsi="Arial" w:cs="Arial"/>
                <w:color w:val="000080"/>
                <w:sz w:val="24"/>
                <w:szCs w:val="24"/>
              </w:rPr>
              <w:t xml:space="preserve"> Guidelines</w:t>
            </w:r>
          </w:p>
        </w:tc>
      </w:tr>
      <w:tr w:rsidR="000E4071" w:rsidRPr="00DB7156" w14:paraId="2D2F06CF" w14:textId="77777777" w:rsidTr="002D4CD4">
        <w:tc>
          <w:tcPr>
            <w:tcW w:w="1710" w:type="dxa"/>
          </w:tcPr>
          <w:p w14:paraId="5E46FB75"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6429A86B" w14:textId="77777777" w:rsidR="000E4071" w:rsidRPr="00DB7156" w:rsidRDefault="000E4071" w:rsidP="00DB7156">
            <w:pPr>
              <w:spacing w:after="0" w:line="240" w:lineRule="auto"/>
              <w:jc w:val="both"/>
              <w:rPr>
                <w:rFonts w:ascii="Arial" w:hAnsi="Arial" w:cs="Arial"/>
                <w:color w:val="000080"/>
                <w:sz w:val="24"/>
                <w:szCs w:val="24"/>
              </w:rPr>
            </w:pPr>
          </w:p>
        </w:tc>
      </w:tr>
      <w:tr w:rsidR="00752263" w:rsidRPr="00DB7156" w14:paraId="22BA52DE" w14:textId="77777777" w:rsidTr="002D4CD4">
        <w:tc>
          <w:tcPr>
            <w:tcW w:w="1710" w:type="dxa"/>
          </w:tcPr>
          <w:p w14:paraId="22BA52DC" w14:textId="77777777" w:rsidR="00752263" w:rsidRPr="00DB7156" w:rsidRDefault="00752263"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EPA</w:t>
            </w:r>
          </w:p>
        </w:tc>
        <w:tc>
          <w:tcPr>
            <w:tcW w:w="6840" w:type="dxa"/>
            <w:gridSpan w:val="2"/>
          </w:tcPr>
          <w:p w14:paraId="22BA52DD" w14:textId="6BC224AE"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 xml:space="preserve">U.S. </w:t>
            </w:r>
            <w:r w:rsidR="00752263" w:rsidRPr="00DB7156">
              <w:rPr>
                <w:rFonts w:ascii="Arial" w:hAnsi="Arial" w:cs="Arial"/>
                <w:color w:val="000080"/>
                <w:sz w:val="24"/>
                <w:szCs w:val="24"/>
              </w:rPr>
              <w:t>Environm</w:t>
            </w:r>
            <w:r w:rsidR="000653E1" w:rsidRPr="00DB7156">
              <w:rPr>
                <w:rFonts w:ascii="Arial" w:hAnsi="Arial" w:cs="Arial"/>
                <w:color w:val="000080"/>
                <w:sz w:val="24"/>
                <w:szCs w:val="24"/>
              </w:rPr>
              <w:t>ental Protection Agency</w:t>
            </w:r>
          </w:p>
        </w:tc>
      </w:tr>
      <w:tr w:rsidR="00752263" w:rsidRPr="00DB7156" w14:paraId="22BA52E1" w14:textId="77777777" w:rsidTr="002D4CD4">
        <w:tc>
          <w:tcPr>
            <w:tcW w:w="1710" w:type="dxa"/>
          </w:tcPr>
          <w:p w14:paraId="22BA52DF" w14:textId="2714E4A7" w:rsidR="00752263" w:rsidRPr="00DB7156" w:rsidRDefault="004845AF"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EPCRA</w:t>
            </w:r>
          </w:p>
        </w:tc>
        <w:tc>
          <w:tcPr>
            <w:tcW w:w="6840" w:type="dxa"/>
            <w:gridSpan w:val="2"/>
          </w:tcPr>
          <w:p w14:paraId="22BA52E0" w14:textId="255E3D55" w:rsidR="00752263"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Emergency Planning and Community Right-to-Know Act</w:t>
            </w:r>
          </w:p>
        </w:tc>
      </w:tr>
      <w:tr w:rsidR="000E4071" w:rsidRPr="00DB7156" w14:paraId="018FDB19" w14:textId="77777777" w:rsidTr="002D4CD4">
        <w:tc>
          <w:tcPr>
            <w:tcW w:w="1710" w:type="dxa"/>
          </w:tcPr>
          <w:p w14:paraId="7345539E"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45A5B7FA" w14:textId="77777777" w:rsidR="000E4071" w:rsidRPr="00DB7156" w:rsidRDefault="000E4071" w:rsidP="00DB7156">
            <w:pPr>
              <w:spacing w:after="0" w:line="240" w:lineRule="auto"/>
              <w:jc w:val="both"/>
              <w:rPr>
                <w:rFonts w:ascii="Arial" w:hAnsi="Arial" w:cs="Arial"/>
                <w:color w:val="000080"/>
                <w:sz w:val="24"/>
                <w:szCs w:val="24"/>
              </w:rPr>
            </w:pPr>
          </w:p>
        </w:tc>
      </w:tr>
      <w:tr w:rsidR="00894342" w:rsidRPr="00DB7156" w14:paraId="550C59EB" w14:textId="77777777" w:rsidTr="002D4CD4">
        <w:tc>
          <w:tcPr>
            <w:tcW w:w="1710" w:type="dxa"/>
          </w:tcPr>
          <w:p w14:paraId="6E9FAC98" w14:textId="02F3DD81" w:rsidR="00894342" w:rsidRPr="00DB7156" w:rsidRDefault="00894342"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EPD</w:t>
            </w:r>
          </w:p>
        </w:tc>
        <w:tc>
          <w:tcPr>
            <w:tcW w:w="6840" w:type="dxa"/>
            <w:gridSpan w:val="2"/>
          </w:tcPr>
          <w:p w14:paraId="7EAD2FB6" w14:textId="0528D919"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Georgia Environmental Protection Division</w:t>
            </w:r>
          </w:p>
        </w:tc>
      </w:tr>
      <w:tr w:rsidR="00894342" w:rsidRPr="00DB7156" w14:paraId="456246F3" w14:textId="77777777" w:rsidTr="002D4CD4">
        <w:tc>
          <w:tcPr>
            <w:tcW w:w="1710" w:type="dxa"/>
          </w:tcPr>
          <w:p w14:paraId="7CF4AC68" w14:textId="66E548DB" w:rsidR="00894342" w:rsidRPr="00DB7156" w:rsidRDefault="00894342" w:rsidP="00DB7156">
            <w:pPr>
              <w:spacing w:after="0" w:line="240" w:lineRule="auto"/>
              <w:ind w:left="-90"/>
              <w:jc w:val="both"/>
              <w:rPr>
                <w:rFonts w:ascii="Arial" w:hAnsi="Arial" w:cs="Arial"/>
                <w:b/>
                <w:color w:val="000080"/>
                <w:sz w:val="24"/>
                <w:szCs w:val="24"/>
              </w:rPr>
            </w:pPr>
          </w:p>
        </w:tc>
        <w:tc>
          <w:tcPr>
            <w:tcW w:w="6840" w:type="dxa"/>
            <w:gridSpan w:val="2"/>
          </w:tcPr>
          <w:p w14:paraId="51870F49" w14:textId="35CBCF87" w:rsidR="00894342" w:rsidRPr="00DB7156" w:rsidRDefault="00894342" w:rsidP="00DB7156">
            <w:pPr>
              <w:spacing w:after="0" w:line="240" w:lineRule="auto"/>
              <w:jc w:val="both"/>
              <w:rPr>
                <w:rFonts w:ascii="Arial" w:hAnsi="Arial" w:cs="Arial"/>
                <w:color w:val="000080"/>
                <w:sz w:val="24"/>
                <w:szCs w:val="24"/>
              </w:rPr>
            </w:pPr>
          </w:p>
        </w:tc>
      </w:tr>
      <w:tr w:rsidR="00894342" w:rsidRPr="00DB7156" w14:paraId="22BA52E4" w14:textId="77777777" w:rsidTr="002D4CD4">
        <w:tc>
          <w:tcPr>
            <w:tcW w:w="1710" w:type="dxa"/>
          </w:tcPr>
          <w:p w14:paraId="22BA52E2" w14:textId="77777777" w:rsidR="00894342" w:rsidRPr="00DB7156" w:rsidRDefault="00894342"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EGU</w:t>
            </w:r>
          </w:p>
        </w:tc>
        <w:tc>
          <w:tcPr>
            <w:tcW w:w="6840" w:type="dxa"/>
            <w:gridSpan w:val="2"/>
          </w:tcPr>
          <w:p w14:paraId="22BA52E3" w14:textId="77777777"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Electric Generating Unit</w:t>
            </w:r>
          </w:p>
        </w:tc>
      </w:tr>
      <w:tr w:rsidR="002D4CD4" w:rsidRPr="00DB7156" w14:paraId="3F5665B3" w14:textId="77777777" w:rsidTr="002D4CD4">
        <w:tc>
          <w:tcPr>
            <w:tcW w:w="1710" w:type="dxa"/>
          </w:tcPr>
          <w:p w14:paraId="062117F6" w14:textId="77777777" w:rsidR="002D4CD4" w:rsidRPr="00DB7156" w:rsidRDefault="002D4CD4" w:rsidP="00DB7156">
            <w:pPr>
              <w:spacing w:after="0" w:line="240" w:lineRule="auto"/>
              <w:ind w:left="-90"/>
              <w:jc w:val="both"/>
              <w:rPr>
                <w:rFonts w:ascii="Arial" w:hAnsi="Arial" w:cs="Arial"/>
                <w:b/>
                <w:color w:val="000080"/>
                <w:sz w:val="24"/>
                <w:szCs w:val="24"/>
              </w:rPr>
            </w:pPr>
          </w:p>
        </w:tc>
        <w:tc>
          <w:tcPr>
            <w:tcW w:w="6840" w:type="dxa"/>
            <w:gridSpan w:val="2"/>
          </w:tcPr>
          <w:p w14:paraId="3EA0F150" w14:textId="77777777" w:rsidR="002D4CD4" w:rsidRPr="00DB7156" w:rsidRDefault="002D4CD4" w:rsidP="00DB7156">
            <w:pPr>
              <w:spacing w:after="0" w:line="240" w:lineRule="auto"/>
              <w:jc w:val="both"/>
              <w:rPr>
                <w:rFonts w:ascii="Arial" w:hAnsi="Arial" w:cs="Arial"/>
                <w:color w:val="000080"/>
                <w:sz w:val="24"/>
                <w:szCs w:val="24"/>
              </w:rPr>
            </w:pPr>
          </w:p>
        </w:tc>
      </w:tr>
      <w:tr w:rsidR="002D4CD4" w:rsidRPr="00DB7156" w14:paraId="0B762C0F" w14:textId="77777777" w:rsidTr="002D4CD4">
        <w:tc>
          <w:tcPr>
            <w:tcW w:w="1710" w:type="dxa"/>
          </w:tcPr>
          <w:p w14:paraId="7088637C" w14:textId="3792C582" w:rsidR="002D4CD4" w:rsidRPr="00DB7156" w:rsidRDefault="002D4CD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EO</w:t>
            </w:r>
          </w:p>
        </w:tc>
        <w:tc>
          <w:tcPr>
            <w:tcW w:w="6840" w:type="dxa"/>
            <w:gridSpan w:val="2"/>
          </w:tcPr>
          <w:p w14:paraId="3B5D759F" w14:textId="7419B7F1" w:rsidR="002D4CD4" w:rsidRPr="00DB7156" w:rsidRDefault="002D4CD4" w:rsidP="00DB7156">
            <w:pPr>
              <w:spacing w:after="0" w:line="240" w:lineRule="auto"/>
              <w:jc w:val="both"/>
              <w:rPr>
                <w:rFonts w:ascii="Arial" w:hAnsi="Arial" w:cs="Arial"/>
                <w:color w:val="000080"/>
                <w:sz w:val="24"/>
                <w:szCs w:val="24"/>
              </w:rPr>
            </w:pPr>
            <w:r>
              <w:rPr>
                <w:rFonts w:ascii="Arial" w:hAnsi="Arial" w:cs="Arial"/>
                <w:color w:val="000080"/>
                <w:sz w:val="24"/>
                <w:szCs w:val="24"/>
              </w:rPr>
              <w:t>Executive Order</w:t>
            </w:r>
          </w:p>
        </w:tc>
      </w:tr>
      <w:tr w:rsidR="00894342" w:rsidRPr="00DB7156" w14:paraId="22BA52E7" w14:textId="77777777" w:rsidTr="002D4CD4">
        <w:tc>
          <w:tcPr>
            <w:tcW w:w="1710" w:type="dxa"/>
          </w:tcPr>
          <w:p w14:paraId="22BA52E5" w14:textId="77777777" w:rsidR="00894342" w:rsidRPr="00DB7156" w:rsidRDefault="00894342" w:rsidP="00DB7156">
            <w:pPr>
              <w:spacing w:after="0" w:line="240" w:lineRule="auto"/>
              <w:ind w:left="-90"/>
              <w:jc w:val="both"/>
              <w:rPr>
                <w:rFonts w:ascii="Arial" w:hAnsi="Arial" w:cs="Arial"/>
                <w:b/>
                <w:color w:val="000080"/>
                <w:sz w:val="24"/>
                <w:szCs w:val="24"/>
              </w:rPr>
            </w:pPr>
          </w:p>
        </w:tc>
        <w:tc>
          <w:tcPr>
            <w:tcW w:w="6840" w:type="dxa"/>
            <w:gridSpan w:val="2"/>
          </w:tcPr>
          <w:p w14:paraId="22BA52E6" w14:textId="77777777" w:rsidR="00894342" w:rsidRPr="00DB7156" w:rsidRDefault="00894342" w:rsidP="00DB7156">
            <w:pPr>
              <w:spacing w:after="0" w:line="240" w:lineRule="auto"/>
              <w:jc w:val="both"/>
              <w:rPr>
                <w:rFonts w:ascii="Arial" w:hAnsi="Arial" w:cs="Arial"/>
                <w:color w:val="000080"/>
                <w:sz w:val="24"/>
                <w:szCs w:val="24"/>
              </w:rPr>
            </w:pPr>
          </w:p>
        </w:tc>
      </w:tr>
      <w:tr w:rsidR="00894342" w:rsidRPr="00DB7156" w14:paraId="22BA52EA" w14:textId="77777777" w:rsidTr="002D4CD4">
        <w:tc>
          <w:tcPr>
            <w:tcW w:w="1710" w:type="dxa"/>
          </w:tcPr>
          <w:p w14:paraId="22BA52E8" w14:textId="77777777" w:rsidR="00894342" w:rsidRPr="00DB7156" w:rsidRDefault="00894342"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EPRI</w:t>
            </w:r>
          </w:p>
        </w:tc>
        <w:tc>
          <w:tcPr>
            <w:tcW w:w="6840" w:type="dxa"/>
            <w:gridSpan w:val="2"/>
          </w:tcPr>
          <w:p w14:paraId="22BA52E9" w14:textId="77777777"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Electric Power Research Institute</w:t>
            </w:r>
          </w:p>
        </w:tc>
      </w:tr>
      <w:tr w:rsidR="000E4071" w:rsidRPr="00DB7156" w14:paraId="43E3D573" w14:textId="77777777" w:rsidTr="002D4CD4">
        <w:tc>
          <w:tcPr>
            <w:tcW w:w="1710" w:type="dxa"/>
          </w:tcPr>
          <w:p w14:paraId="556302D5"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527093D3" w14:textId="77777777" w:rsidR="000E4071" w:rsidRPr="00DB7156" w:rsidRDefault="000E4071" w:rsidP="00DB7156">
            <w:pPr>
              <w:spacing w:after="0" w:line="240" w:lineRule="auto"/>
              <w:jc w:val="both"/>
              <w:rPr>
                <w:rFonts w:ascii="Arial" w:hAnsi="Arial" w:cs="Arial"/>
                <w:color w:val="000080"/>
                <w:sz w:val="24"/>
                <w:szCs w:val="24"/>
              </w:rPr>
            </w:pPr>
          </w:p>
        </w:tc>
      </w:tr>
      <w:tr w:rsidR="00894342" w:rsidRPr="00DB7156" w14:paraId="22BA52ED" w14:textId="77777777" w:rsidTr="0049164F">
        <w:tc>
          <w:tcPr>
            <w:tcW w:w="1710" w:type="dxa"/>
          </w:tcPr>
          <w:p w14:paraId="22BA52EB" w14:textId="02B7F9BC" w:rsidR="00894342" w:rsidRPr="00DB7156" w:rsidRDefault="004845AF"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ESA</w:t>
            </w:r>
          </w:p>
        </w:tc>
        <w:tc>
          <w:tcPr>
            <w:tcW w:w="6840" w:type="dxa"/>
            <w:gridSpan w:val="2"/>
          </w:tcPr>
          <w:p w14:paraId="22BA52EC" w14:textId="342D07C6" w:rsidR="00894342"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Endangered Species Act</w:t>
            </w:r>
          </w:p>
        </w:tc>
      </w:tr>
      <w:tr w:rsidR="000E4071" w:rsidRPr="00DB7156" w14:paraId="50AF0187" w14:textId="77777777" w:rsidTr="0049164F">
        <w:tc>
          <w:tcPr>
            <w:tcW w:w="1710" w:type="dxa"/>
          </w:tcPr>
          <w:p w14:paraId="68EB5F83" w14:textId="77777777" w:rsidR="000E4071" w:rsidRPr="00DB7156" w:rsidRDefault="000E4071" w:rsidP="00DB7156">
            <w:pPr>
              <w:spacing w:after="0" w:line="240" w:lineRule="auto"/>
              <w:ind w:left="-108"/>
              <w:jc w:val="both"/>
              <w:rPr>
                <w:rFonts w:ascii="Arial" w:hAnsi="Arial" w:cs="Arial"/>
                <w:b/>
                <w:color w:val="000080"/>
                <w:sz w:val="24"/>
                <w:szCs w:val="24"/>
              </w:rPr>
            </w:pPr>
          </w:p>
        </w:tc>
        <w:tc>
          <w:tcPr>
            <w:tcW w:w="6840" w:type="dxa"/>
            <w:gridSpan w:val="2"/>
          </w:tcPr>
          <w:p w14:paraId="28BC08EC" w14:textId="77777777" w:rsidR="000E4071" w:rsidRPr="00DB7156" w:rsidRDefault="000E4071" w:rsidP="00DB7156">
            <w:pPr>
              <w:spacing w:after="0" w:line="240" w:lineRule="auto"/>
              <w:jc w:val="both"/>
              <w:rPr>
                <w:rFonts w:ascii="Arial" w:hAnsi="Arial" w:cs="Arial"/>
                <w:color w:val="000080"/>
                <w:sz w:val="24"/>
                <w:szCs w:val="24"/>
              </w:rPr>
            </w:pPr>
          </w:p>
        </w:tc>
      </w:tr>
      <w:tr w:rsidR="00894342" w:rsidRPr="00DB7156" w14:paraId="22BA52F0" w14:textId="77777777" w:rsidTr="002D4CD4">
        <w:tc>
          <w:tcPr>
            <w:tcW w:w="1710" w:type="dxa"/>
          </w:tcPr>
          <w:p w14:paraId="22BA52EE" w14:textId="77777777" w:rsidR="00894342" w:rsidRPr="00DB7156" w:rsidRDefault="00894342"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ESP</w:t>
            </w:r>
          </w:p>
        </w:tc>
        <w:tc>
          <w:tcPr>
            <w:tcW w:w="6840" w:type="dxa"/>
            <w:gridSpan w:val="2"/>
          </w:tcPr>
          <w:p w14:paraId="22BA52EF" w14:textId="77777777"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Electrostatic Precipitator</w:t>
            </w:r>
          </w:p>
        </w:tc>
      </w:tr>
      <w:tr w:rsidR="00B77877" w:rsidRPr="00DB7156" w14:paraId="5455EAC7" w14:textId="77777777" w:rsidTr="002D4CD4">
        <w:tc>
          <w:tcPr>
            <w:tcW w:w="1710" w:type="dxa"/>
          </w:tcPr>
          <w:p w14:paraId="2F8F6878" w14:textId="77777777" w:rsidR="00B77877" w:rsidRPr="00DB7156" w:rsidRDefault="00B77877" w:rsidP="00DB7156">
            <w:pPr>
              <w:spacing w:after="0" w:line="240" w:lineRule="auto"/>
              <w:ind w:left="-90"/>
              <w:jc w:val="both"/>
              <w:rPr>
                <w:rFonts w:ascii="Arial" w:hAnsi="Arial" w:cs="Arial"/>
                <w:b/>
                <w:color w:val="000080"/>
                <w:sz w:val="24"/>
                <w:szCs w:val="24"/>
              </w:rPr>
            </w:pPr>
          </w:p>
        </w:tc>
        <w:tc>
          <w:tcPr>
            <w:tcW w:w="6840" w:type="dxa"/>
            <w:gridSpan w:val="2"/>
          </w:tcPr>
          <w:p w14:paraId="2BA782E9" w14:textId="77777777" w:rsidR="00B77877" w:rsidRPr="00DB7156" w:rsidRDefault="00B77877" w:rsidP="00DB7156">
            <w:pPr>
              <w:spacing w:after="0" w:line="240" w:lineRule="auto"/>
              <w:jc w:val="both"/>
              <w:rPr>
                <w:rFonts w:ascii="Arial" w:hAnsi="Arial" w:cs="Arial"/>
                <w:color w:val="000080"/>
                <w:sz w:val="24"/>
                <w:szCs w:val="24"/>
              </w:rPr>
            </w:pPr>
          </w:p>
        </w:tc>
      </w:tr>
      <w:tr w:rsidR="00B77877" w:rsidRPr="00DB7156" w14:paraId="5779AED8" w14:textId="77777777" w:rsidTr="002D4CD4">
        <w:tc>
          <w:tcPr>
            <w:tcW w:w="1710" w:type="dxa"/>
          </w:tcPr>
          <w:p w14:paraId="7F1CAEBA" w14:textId="762FF6B3" w:rsidR="00B77877" w:rsidRPr="00DB7156" w:rsidRDefault="00B77877"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FASB</w:t>
            </w:r>
          </w:p>
        </w:tc>
        <w:tc>
          <w:tcPr>
            <w:tcW w:w="6840" w:type="dxa"/>
            <w:gridSpan w:val="2"/>
          </w:tcPr>
          <w:p w14:paraId="0A681EFE" w14:textId="5A96FB8F" w:rsidR="00B77877" w:rsidRPr="00DB7156" w:rsidRDefault="00B77877" w:rsidP="00DB7156">
            <w:pPr>
              <w:spacing w:after="0" w:line="240" w:lineRule="auto"/>
              <w:jc w:val="both"/>
              <w:rPr>
                <w:rFonts w:ascii="Arial" w:hAnsi="Arial" w:cs="Arial"/>
                <w:color w:val="000080"/>
                <w:sz w:val="24"/>
                <w:szCs w:val="24"/>
              </w:rPr>
            </w:pPr>
            <w:r w:rsidRPr="00B77877">
              <w:rPr>
                <w:rFonts w:ascii="Arial" w:hAnsi="Arial" w:cs="Arial"/>
                <w:color w:val="000080"/>
                <w:sz w:val="24"/>
                <w:szCs w:val="24"/>
              </w:rPr>
              <w:t>Financial Accounting Standards Board</w:t>
            </w:r>
          </w:p>
        </w:tc>
      </w:tr>
      <w:tr w:rsidR="000E4071" w:rsidRPr="00DB7156" w14:paraId="60879A3C" w14:textId="77777777" w:rsidTr="002D4CD4">
        <w:tc>
          <w:tcPr>
            <w:tcW w:w="1710" w:type="dxa"/>
          </w:tcPr>
          <w:p w14:paraId="139E51D7"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3BB66D30" w14:textId="77777777" w:rsidR="000E4071" w:rsidRPr="00DB7156" w:rsidRDefault="000E4071" w:rsidP="00DB7156">
            <w:pPr>
              <w:spacing w:after="0" w:line="240" w:lineRule="auto"/>
              <w:jc w:val="both"/>
              <w:rPr>
                <w:rFonts w:ascii="Arial" w:hAnsi="Arial" w:cs="Arial"/>
                <w:color w:val="000080"/>
                <w:sz w:val="24"/>
                <w:szCs w:val="24"/>
              </w:rPr>
            </w:pPr>
          </w:p>
        </w:tc>
      </w:tr>
      <w:tr w:rsidR="00894342" w:rsidRPr="00DB7156" w14:paraId="22BA5302" w14:textId="77777777" w:rsidTr="002D4CD4">
        <w:tc>
          <w:tcPr>
            <w:tcW w:w="1710" w:type="dxa"/>
          </w:tcPr>
          <w:p w14:paraId="22BA5300" w14:textId="0C25F3BD" w:rsidR="00894342" w:rsidRPr="00DB7156" w:rsidRDefault="00894342"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FGD</w:t>
            </w:r>
          </w:p>
        </w:tc>
        <w:tc>
          <w:tcPr>
            <w:tcW w:w="6840" w:type="dxa"/>
            <w:gridSpan w:val="2"/>
          </w:tcPr>
          <w:p w14:paraId="22BA5301" w14:textId="77777777"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Flue Gas Desulfurization</w:t>
            </w:r>
          </w:p>
        </w:tc>
      </w:tr>
      <w:tr w:rsidR="000E4071" w:rsidRPr="00DB7156" w14:paraId="7BF92729" w14:textId="77777777" w:rsidTr="002D4CD4">
        <w:tc>
          <w:tcPr>
            <w:tcW w:w="1710" w:type="dxa"/>
          </w:tcPr>
          <w:p w14:paraId="5E7EFCD0"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48B5A7F4" w14:textId="77777777" w:rsidR="000E4071" w:rsidRPr="00DB7156" w:rsidRDefault="000E4071" w:rsidP="00DB7156">
            <w:pPr>
              <w:spacing w:after="0" w:line="240" w:lineRule="auto"/>
              <w:jc w:val="both"/>
              <w:rPr>
                <w:rFonts w:ascii="Arial" w:hAnsi="Arial" w:cs="Arial"/>
                <w:color w:val="000080"/>
                <w:sz w:val="24"/>
                <w:szCs w:val="24"/>
              </w:rPr>
            </w:pPr>
          </w:p>
        </w:tc>
      </w:tr>
      <w:tr w:rsidR="00EB1841" w:rsidRPr="00DB7156" w14:paraId="53914597" w14:textId="77777777" w:rsidTr="002D4CD4">
        <w:tc>
          <w:tcPr>
            <w:tcW w:w="1710" w:type="dxa"/>
          </w:tcPr>
          <w:p w14:paraId="12BBE46E" w14:textId="1F8A49B9" w:rsidR="00EB1841" w:rsidRPr="00DB7156" w:rsidRDefault="00EB1841"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FGMC</w:t>
            </w:r>
          </w:p>
        </w:tc>
        <w:tc>
          <w:tcPr>
            <w:tcW w:w="6840" w:type="dxa"/>
            <w:gridSpan w:val="2"/>
          </w:tcPr>
          <w:p w14:paraId="4D370A41" w14:textId="066155F7" w:rsidR="00EB1841" w:rsidRPr="00DB7156" w:rsidRDefault="00EB184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Flue Gas Mercury Control</w:t>
            </w:r>
          </w:p>
        </w:tc>
      </w:tr>
      <w:tr w:rsidR="000E4071" w:rsidRPr="00DB7156" w14:paraId="154D4FA0" w14:textId="77777777" w:rsidTr="002D4CD4">
        <w:tc>
          <w:tcPr>
            <w:tcW w:w="1710" w:type="dxa"/>
          </w:tcPr>
          <w:p w14:paraId="4648AB7E" w14:textId="77777777" w:rsidR="000E4071" w:rsidRPr="00DB7156" w:rsidRDefault="000E4071" w:rsidP="00DB7156">
            <w:pPr>
              <w:spacing w:after="0" w:line="240" w:lineRule="auto"/>
              <w:ind w:left="-90"/>
              <w:jc w:val="both"/>
              <w:rPr>
                <w:rFonts w:ascii="Arial" w:hAnsi="Arial" w:cs="Arial"/>
                <w:b/>
                <w:color w:val="000080"/>
                <w:sz w:val="24"/>
                <w:szCs w:val="24"/>
              </w:rPr>
            </w:pPr>
          </w:p>
        </w:tc>
        <w:tc>
          <w:tcPr>
            <w:tcW w:w="6840" w:type="dxa"/>
            <w:gridSpan w:val="2"/>
          </w:tcPr>
          <w:p w14:paraId="6CE7D7C3" w14:textId="77777777" w:rsidR="000E4071" w:rsidRPr="00DB7156" w:rsidRDefault="000E4071" w:rsidP="00DB7156">
            <w:pPr>
              <w:spacing w:after="0" w:line="240" w:lineRule="auto"/>
              <w:jc w:val="both"/>
              <w:rPr>
                <w:rFonts w:ascii="Arial" w:hAnsi="Arial" w:cs="Arial"/>
                <w:color w:val="000080"/>
                <w:sz w:val="24"/>
                <w:szCs w:val="24"/>
              </w:rPr>
            </w:pPr>
          </w:p>
        </w:tc>
      </w:tr>
      <w:tr w:rsidR="00894342" w:rsidRPr="00DB7156" w14:paraId="22BA5305" w14:textId="77777777" w:rsidTr="002D4CD4">
        <w:tc>
          <w:tcPr>
            <w:tcW w:w="1710" w:type="dxa"/>
          </w:tcPr>
          <w:p w14:paraId="22BA5303" w14:textId="5C9CC6A4" w:rsidR="00894342" w:rsidRPr="00DB7156" w:rsidRDefault="004845AF"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FIP</w:t>
            </w:r>
          </w:p>
        </w:tc>
        <w:tc>
          <w:tcPr>
            <w:tcW w:w="6840" w:type="dxa"/>
            <w:gridSpan w:val="2"/>
          </w:tcPr>
          <w:p w14:paraId="22BA5304" w14:textId="30FDE0C6" w:rsidR="00894342" w:rsidRPr="00DB7156" w:rsidRDefault="004845A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Federal Implementation Plan</w:t>
            </w:r>
          </w:p>
        </w:tc>
      </w:tr>
      <w:tr w:rsidR="00894342" w:rsidRPr="00DB7156" w14:paraId="22BA5308" w14:textId="77777777" w:rsidTr="002D4CD4">
        <w:tc>
          <w:tcPr>
            <w:tcW w:w="1710" w:type="dxa"/>
          </w:tcPr>
          <w:p w14:paraId="22BA5306" w14:textId="42D9F8F4" w:rsidR="00894342" w:rsidRPr="00DB7156" w:rsidRDefault="00894342" w:rsidP="00DB7156">
            <w:pPr>
              <w:spacing w:after="0" w:line="240" w:lineRule="auto"/>
              <w:ind w:left="-90"/>
              <w:jc w:val="both"/>
              <w:rPr>
                <w:rFonts w:ascii="Arial" w:hAnsi="Arial" w:cs="Arial"/>
                <w:b/>
                <w:color w:val="000080"/>
                <w:sz w:val="24"/>
                <w:szCs w:val="24"/>
              </w:rPr>
            </w:pPr>
          </w:p>
        </w:tc>
        <w:tc>
          <w:tcPr>
            <w:tcW w:w="6840" w:type="dxa"/>
            <w:gridSpan w:val="2"/>
          </w:tcPr>
          <w:p w14:paraId="22BA5307" w14:textId="44F6043E" w:rsidR="00894342" w:rsidRPr="00DB7156" w:rsidRDefault="00894342" w:rsidP="00DB7156">
            <w:pPr>
              <w:spacing w:after="0" w:line="240" w:lineRule="auto"/>
              <w:jc w:val="both"/>
              <w:rPr>
                <w:rFonts w:ascii="Arial" w:hAnsi="Arial" w:cs="Arial"/>
                <w:color w:val="000080"/>
                <w:sz w:val="24"/>
                <w:szCs w:val="24"/>
              </w:rPr>
            </w:pPr>
          </w:p>
        </w:tc>
      </w:tr>
      <w:tr w:rsidR="00EB1841" w:rsidRPr="00DB7156" w14:paraId="50BCE459" w14:textId="77777777" w:rsidTr="002D4CD4">
        <w:tc>
          <w:tcPr>
            <w:tcW w:w="1710" w:type="dxa"/>
          </w:tcPr>
          <w:p w14:paraId="053E025E" w14:textId="218567C8" w:rsidR="00EB1841" w:rsidRPr="00DB7156" w:rsidRDefault="00EB1841"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GHG</w:t>
            </w:r>
          </w:p>
        </w:tc>
        <w:tc>
          <w:tcPr>
            <w:tcW w:w="6840" w:type="dxa"/>
            <w:gridSpan w:val="2"/>
          </w:tcPr>
          <w:p w14:paraId="36ED82BA" w14:textId="1CD04874" w:rsidR="00EB1841" w:rsidRPr="00DB7156" w:rsidRDefault="00EB1841"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Greenhouse Gas</w:t>
            </w:r>
          </w:p>
        </w:tc>
      </w:tr>
      <w:tr w:rsidR="00596822" w:rsidRPr="00DB7156" w14:paraId="3956E3E6" w14:textId="77777777" w:rsidTr="002D4CD4">
        <w:tc>
          <w:tcPr>
            <w:tcW w:w="1710" w:type="dxa"/>
          </w:tcPr>
          <w:p w14:paraId="67466141" w14:textId="77777777" w:rsidR="00596822" w:rsidRPr="00DB7156" w:rsidRDefault="00596822" w:rsidP="00DB7156">
            <w:pPr>
              <w:spacing w:after="0" w:line="240" w:lineRule="auto"/>
              <w:ind w:left="-90"/>
              <w:jc w:val="both"/>
              <w:rPr>
                <w:rFonts w:ascii="Arial" w:hAnsi="Arial" w:cs="Arial"/>
                <w:b/>
                <w:color w:val="000080"/>
                <w:sz w:val="24"/>
                <w:szCs w:val="24"/>
              </w:rPr>
            </w:pPr>
          </w:p>
        </w:tc>
        <w:tc>
          <w:tcPr>
            <w:tcW w:w="6840" w:type="dxa"/>
            <w:gridSpan w:val="2"/>
          </w:tcPr>
          <w:p w14:paraId="120DDFFF" w14:textId="77777777" w:rsidR="00596822" w:rsidRPr="00DB7156" w:rsidRDefault="00596822" w:rsidP="00DB7156">
            <w:pPr>
              <w:spacing w:after="0" w:line="240" w:lineRule="auto"/>
              <w:jc w:val="both"/>
              <w:rPr>
                <w:rFonts w:ascii="Arial" w:hAnsi="Arial" w:cs="Arial"/>
                <w:color w:val="000080"/>
                <w:sz w:val="24"/>
                <w:szCs w:val="24"/>
              </w:rPr>
            </w:pPr>
          </w:p>
        </w:tc>
      </w:tr>
      <w:tr w:rsidR="00894342" w:rsidRPr="00DB7156" w14:paraId="22BA5314" w14:textId="77777777" w:rsidTr="002D4CD4">
        <w:tc>
          <w:tcPr>
            <w:tcW w:w="1710" w:type="dxa"/>
          </w:tcPr>
          <w:p w14:paraId="22BA5312" w14:textId="77777777" w:rsidR="00894342" w:rsidRPr="00DB7156" w:rsidRDefault="00894342"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GPC</w:t>
            </w:r>
          </w:p>
        </w:tc>
        <w:tc>
          <w:tcPr>
            <w:tcW w:w="6840" w:type="dxa"/>
            <w:gridSpan w:val="2"/>
          </w:tcPr>
          <w:p w14:paraId="22BA5313" w14:textId="77777777"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Georgia Power Company</w:t>
            </w:r>
          </w:p>
        </w:tc>
      </w:tr>
      <w:tr w:rsidR="00B7348D" w:rsidRPr="00DB7156" w14:paraId="3BD10403" w14:textId="77777777" w:rsidTr="002D4CD4">
        <w:trPr>
          <w:trHeight w:val="216"/>
        </w:trPr>
        <w:tc>
          <w:tcPr>
            <w:tcW w:w="1710" w:type="dxa"/>
          </w:tcPr>
          <w:p w14:paraId="78E20110" w14:textId="77777777" w:rsidR="00B7348D" w:rsidRPr="00DB7156" w:rsidRDefault="00B7348D" w:rsidP="00DB7156">
            <w:pPr>
              <w:spacing w:after="0" w:line="240" w:lineRule="auto"/>
              <w:ind w:left="-90"/>
              <w:jc w:val="both"/>
              <w:rPr>
                <w:rFonts w:ascii="Arial" w:hAnsi="Arial" w:cs="Arial"/>
                <w:b/>
                <w:color w:val="000080"/>
                <w:sz w:val="24"/>
                <w:szCs w:val="24"/>
              </w:rPr>
            </w:pPr>
          </w:p>
        </w:tc>
        <w:tc>
          <w:tcPr>
            <w:tcW w:w="6840" w:type="dxa"/>
            <w:gridSpan w:val="2"/>
          </w:tcPr>
          <w:p w14:paraId="114FC1F8" w14:textId="77777777" w:rsidR="00B7348D" w:rsidRPr="00DB7156" w:rsidRDefault="00B7348D" w:rsidP="00DB7156">
            <w:pPr>
              <w:spacing w:after="0" w:line="240" w:lineRule="auto"/>
              <w:jc w:val="both"/>
              <w:rPr>
                <w:rFonts w:ascii="Arial" w:hAnsi="Arial" w:cs="Arial"/>
                <w:color w:val="000080"/>
                <w:sz w:val="24"/>
                <w:szCs w:val="24"/>
              </w:rPr>
            </w:pPr>
          </w:p>
        </w:tc>
      </w:tr>
      <w:tr w:rsidR="00B7348D" w:rsidRPr="00DB7156" w14:paraId="42E9AA00" w14:textId="77777777" w:rsidTr="002D4CD4">
        <w:trPr>
          <w:trHeight w:val="216"/>
        </w:trPr>
        <w:tc>
          <w:tcPr>
            <w:tcW w:w="1710" w:type="dxa"/>
          </w:tcPr>
          <w:p w14:paraId="5C93B46A" w14:textId="39681462" w:rsidR="00B7348D" w:rsidRPr="00DB7156" w:rsidRDefault="00B7348D"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GW</w:t>
            </w:r>
          </w:p>
        </w:tc>
        <w:tc>
          <w:tcPr>
            <w:tcW w:w="6840" w:type="dxa"/>
            <w:gridSpan w:val="2"/>
          </w:tcPr>
          <w:p w14:paraId="297D31BB" w14:textId="129F3CD3" w:rsidR="00B7348D" w:rsidRPr="00DB7156" w:rsidRDefault="00B7348D" w:rsidP="00DB7156">
            <w:pPr>
              <w:spacing w:after="0" w:line="240" w:lineRule="auto"/>
              <w:jc w:val="both"/>
              <w:rPr>
                <w:rFonts w:ascii="Arial" w:hAnsi="Arial" w:cs="Arial"/>
                <w:color w:val="000080"/>
                <w:sz w:val="24"/>
                <w:szCs w:val="24"/>
              </w:rPr>
            </w:pPr>
            <w:r>
              <w:rPr>
                <w:rFonts w:ascii="Arial" w:hAnsi="Arial" w:cs="Arial"/>
                <w:color w:val="000080"/>
                <w:sz w:val="24"/>
                <w:szCs w:val="24"/>
              </w:rPr>
              <w:t>Gigawatt</w:t>
            </w:r>
          </w:p>
        </w:tc>
      </w:tr>
      <w:tr w:rsidR="00894342" w:rsidRPr="00DB7156" w14:paraId="22BA5317" w14:textId="77777777" w:rsidTr="002D4CD4">
        <w:trPr>
          <w:trHeight w:val="216"/>
        </w:trPr>
        <w:tc>
          <w:tcPr>
            <w:tcW w:w="1710" w:type="dxa"/>
          </w:tcPr>
          <w:p w14:paraId="22BA5315" w14:textId="77777777" w:rsidR="00894342" w:rsidRPr="00DB7156" w:rsidRDefault="00894342" w:rsidP="00DB7156">
            <w:pPr>
              <w:spacing w:after="0" w:line="240" w:lineRule="auto"/>
              <w:ind w:left="-90"/>
              <w:jc w:val="both"/>
              <w:rPr>
                <w:rFonts w:ascii="Arial" w:hAnsi="Arial" w:cs="Arial"/>
                <w:b/>
                <w:color w:val="000080"/>
                <w:sz w:val="24"/>
                <w:szCs w:val="24"/>
              </w:rPr>
            </w:pPr>
          </w:p>
        </w:tc>
        <w:tc>
          <w:tcPr>
            <w:tcW w:w="6840" w:type="dxa"/>
            <w:gridSpan w:val="2"/>
          </w:tcPr>
          <w:p w14:paraId="22BA5316" w14:textId="77777777" w:rsidR="00894342" w:rsidRPr="00DB7156" w:rsidRDefault="00894342" w:rsidP="00DB7156">
            <w:pPr>
              <w:spacing w:after="0" w:line="240" w:lineRule="auto"/>
              <w:jc w:val="both"/>
              <w:rPr>
                <w:rFonts w:ascii="Arial" w:hAnsi="Arial" w:cs="Arial"/>
                <w:color w:val="000080"/>
                <w:sz w:val="24"/>
                <w:szCs w:val="24"/>
              </w:rPr>
            </w:pPr>
          </w:p>
        </w:tc>
      </w:tr>
      <w:tr w:rsidR="00894342" w:rsidRPr="00DB7156" w14:paraId="22BA531A" w14:textId="77777777" w:rsidTr="002D4CD4">
        <w:tc>
          <w:tcPr>
            <w:tcW w:w="1710" w:type="dxa"/>
          </w:tcPr>
          <w:p w14:paraId="22BA5318" w14:textId="77777777" w:rsidR="00894342" w:rsidRPr="00DB7156" w:rsidRDefault="00894342"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HAP</w:t>
            </w:r>
          </w:p>
        </w:tc>
        <w:tc>
          <w:tcPr>
            <w:tcW w:w="6840" w:type="dxa"/>
            <w:gridSpan w:val="2"/>
          </w:tcPr>
          <w:p w14:paraId="22BA5319" w14:textId="77777777"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Hazardous Air Pollutant</w:t>
            </w:r>
          </w:p>
        </w:tc>
      </w:tr>
      <w:tr w:rsidR="00596822" w:rsidRPr="00DB7156" w14:paraId="071ABAA8" w14:textId="77777777" w:rsidTr="002D4CD4">
        <w:tc>
          <w:tcPr>
            <w:tcW w:w="1710" w:type="dxa"/>
          </w:tcPr>
          <w:p w14:paraId="30E9B5E8" w14:textId="77777777" w:rsidR="00596822" w:rsidRPr="00DB7156" w:rsidRDefault="00596822" w:rsidP="00DB7156">
            <w:pPr>
              <w:spacing w:after="0" w:line="240" w:lineRule="auto"/>
              <w:ind w:left="-90"/>
              <w:jc w:val="both"/>
              <w:rPr>
                <w:rFonts w:ascii="Arial" w:hAnsi="Arial" w:cs="Arial"/>
                <w:b/>
                <w:color w:val="000080"/>
                <w:sz w:val="24"/>
                <w:szCs w:val="24"/>
              </w:rPr>
            </w:pPr>
          </w:p>
        </w:tc>
        <w:tc>
          <w:tcPr>
            <w:tcW w:w="6840" w:type="dxa"/>
            <w:gridSpan w:val="2"/>
          </w:tcPr>
          <w:p w14:paraId="10F44C2B" w14:textId="77777777" w:rsidR="00596822" w:rsidRPr="00DB7156" w:rsidRDefault="00596822" w:rsidP="00DB7156">
            <w:pPr>
              <w:spacing w:after="0" w:line="240" w:lineRule="auto"/>
              <w:jc w:val="both"/>
              <w:rPr>
                <w:rFonts w:ascii="Arial" w:hAnsi="Arial" w:cs="Arial"/>
                <w:color w:val="000080"/>
                <w:sz w:val="24"/>
                <w:szCs w:val="24"/>
              </w:rPr>
            </w:pPr>
          </w:p>
        </w:tc>
      </w:tr>
      <w:tr w:rsidR="00894342" w:rsidRPr="00DB7156" w14:paraId="22BA531D" w14:textId="77777777" w:rsidTr="002D4CD4">
        <w:tc>
          <w:tcPr>
            <w:tcW w:w="1710" w:type="dxa"/>
          </w:tcPr>
          <w:p w14:paraId="22BA531B" w14:textId="1C7A6202" w:rsidR="00894342" w:rsidRPr="00DB7156" w:rsidRDefault="004C6839"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HCl</w:t>
            </w:r>
          </w:p>
        </w:tc>
        <w:tc>
          <w:tcPr>
            <w:tcW w:w="6840" w:type="dxa"/>
            <w:gridSpan w:val="2"/>
          </w:tcPr>
          <w:p w14:paraId="22BA531C" w14:textId="19267B21" w:rsidR="00894342" w:rsidRPr="00DB7156" w:rsidRDefault="004C6839"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Hydrogen Chloride</w:t>
            </w:r>
          </w:p>
        </w:tc>
      </w:tr>
      <w:tr w:rsidR="00596822" w:rsidRPr="00DB7156" w14:paraId="2E68F405" w14:textId="77777777" w:rsidTr="002D4CD4">
        <w:tc>
          <w:tcPr>
            <w:tcW w:w="1710" w:type="dxa"/>
          </w:tcPr>
          <w:p w14:paraId="1026EE53" w14:textId="77777777" w:rsidR="00596822" w:rsidRPr="00DB7156" w:rsidRDefault="00596822" w:rsidP="00DB7156">
            <w:pPr>
              <w:spacing w:after="0" w:line="240" w:lineRule="auto"/>
              <w:ind w:left="-90"/>
              <w:jc w:val="both"/>
              <w:rPr>
                <w:rFonts w:ascii="Arial" w:hAnsi="Arial" w:cs="Arial"/>
                <w:b/>
                <w:color w:val="000080"/>
                <w:sz w:val="24"/>
                <w:szCs w:val="24"/>
              </w:rPr>
            </w:pPr>
          </w:p>
        </w:tc>
        <w:tc>
          <w:tcPr>
            <w:tcW w:w="6840" w:type="dxa"/>
            <w:gridSpan w:val="2"/>
          </w:tcPr>
          <w:p w14:paraId="4091A4B8" w14:textId="77777777" w:rsidR="00596822" w:rsidRPr="00DB7156" w:rsidRDefault="00596822" w:rsidP="00DB7156">
            <w:pPr>
              <w:spacing w:after="0" w:line="240" w:lineRule="auto"/>
              <w:jc w:val="both"/>
              <w:rPr>
                <w:rFonts w:ascii="Arial" w:hAnsi="Arial" w:cs="Arial"/>
                <w:color w:val="000080"/>
                <w:sz w:val="24"/>
                <w:szCs w:val="24"/>
              </w:rPr>
            </w:pPr>
          </w:p>
        </w:tc>
      </w:tr>
      <w:tr w:rsidR="00894342" w:rsidRPr="00DB7156" w14:paraId="22BA5320" w14:textId="77777777" w:rsidTr="002D4CD4">
        <w:tc>
          <w:tcPr>
            <w:tcW w:w="1710" w:type="dxa"/>
          </w:tcPr>
          <w:p w14:paraId="22BA531E" w14:textId="77777777" w:rsidR="00894342" w:rsidRPr="00DB7156" w:rsidRDefault="00894342" w:rsidP="00DB7156">
            <w:pPr>
              <w:keepNext/>
              <w:keepLines/>
              <w:spacing w:after="0" w:line="240" w:lineRule="auto"/>
              <w:ind w:left="-86"/>
              <w:jc w:val="both"/>
              <w:rPr>
                <w:rFonts w:ascii="Arial" w:hAnsi="Arial" w:cs="Arial"/>
                <w:b/>
                <w:color w:val="000080"/>
                <w:sz w:val="24"/>
                <w:szCs w:val="24"/>
              </w:rPr>
            </w:pPr>
            <w:r w:rsidRPr="00DB7156">
              <w:rPr>
                <w:rFonts w:ascii="Arial" w:hAnsi="Arial" w:cs="Arial"/>
                <w:b/>
                <w:color w:val="000080"/>
                <w:sz w:val="24"/>
                <w:szCs w:val="24"/>
              </w:rPr>
              <w:t>HDPE</w:t>
            </w:r>
          </w:p>
        </w:tc>
        <w:tc>
          <w:tcPr>
            <w:tcW w:w="6840" w:type="dxa"/>
            <w:gridSpan w:val="2"/>
          </w:tcPr>
          <w:p w14:paraId="22BA531F" w14:textId="77777777" w:rsidR="00894342" w:rsidRPr="00DB7156" w:rsidRDefault="00894342"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High-Density Polyethylene</w:t>
            </w:r>
          </w:p>
        </w:tc>
      </w:tr>
      <w:tr w:rsidR="00500594" w:rsidRPr="00DB7156" w14:paraId="22BA5323" w14:textId="77777777" w:rsidTr="002D4CD4">
        <w:tc>
          <w:tcPr>
            <w:tcW w:w="1710" w:type="dxa"/>
          </w:tcPr>
          <w:p w14:paraId="22BA5321" w14:textId="77777777" w:rsidR="00500594" w:rsidRPr="00DB7156" w:rsidRDefault="00500594" w:rsidP="00DB7156">
            <w:pPr>
              <w:keepNext/>
              <w:keepLines/>
              <w:spacing w:after="0" w:line="240" w:lineRule="auto"/>
              <w:ind w:left="-86"/>
              <w:jc w:val="both"/>
              <w:rPr>
                <w:rFonts w:ascii="Arial" w:hAnsi="Arial" w:cs="Arial"/>
                <w:b/>
                <w:color w:val="000080"/>
                <w:sz w:val="24"/>
                <w:szCs w:val="24"/>
              </w:rPr>
            </w:pPr>
          </w:p>
        </w:tc>
        <w:tc>
          <w:tcPr>
            <w:tcW w:w="6840" w:type="dxa"/>
            <w:gridSpan w:val="2"/>
          </w:tcPr>
          <w:p w14:paraId="22BA5322"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26" w14:textId="77777777" w:rsidTr="002D4CD4">
        <w:tc>
          <w:tcPr>
            <w:tcW w:w="1710" w:type="dxa"/>
          </w:tcPr>
          <w:p w14:paraId="22BA5324" w14:textId="1FF16150"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IB</w:t>
            </w:r>
          </w:p>
        </w:tc>
        <w:tc>
          <w:tcPr>
            <w:tcW w:w="6840" w:type="dxa"/>
            <w:gridSpan w:val="2"/>
          </w:tcPr>
          <w:p w14:paraId="22BA5325" w14:textId="45D17381"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Industrial Boiler</w:t>
            </w:r>
          </w:p>
        </w:tc>
      </w:tr>
      <w:tr w:rsidR="00500594" w:rsidRPr="00DB7156" w14:paraId="0C079B55" w14:textId="77777777" w:rsidTr="002D4CD4">
        <w:tc>
          <w:tcPr>
            <w:tcW w:w="1710" w:type="dxa"/>
          </w:tcPr>
          <w:p w14:paraId="3A18DF10"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7323427"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29" w14:textId="77777777" w:rsidTr="002D4CD4">
        <w:tc>
          <w:tcPr>
            <w:tcW w:w="1710" w:type="dxa"/>
          </w:tcPr>
          <w:p w14:paraId="22BA5327" w14:textId="7AA2879B"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ICR</w:t>
            </w:r>
          </w:p>
        </w:tc>
        <w:tc>
          <w:tcPr>
            <w:tcW w:w="6840" w:type="dxa"/>
            <w:gridSpan w:val="2"/>
          </w:tcPr>
          <w:p w14:paraId="22BA5328" w14:textId="576BECED"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Information Collection Request</w:t>
            </w:r>
          </w:p>
        </w:tc>
      </w:tr>
      <w:tr w:rsidR="00500594" w:rsidRPr="00DB7156" w14:paraId="51B70B2E" w14:textId="77777777" w:rsidTr="002D4CD4">
        <w:tc>
          <w:tcPr>
            <w:tcW w:w="1710" w:type="dxa"/>
          </w:tcPr>
          <w:p w14:paraId="38060D68"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5B3D1763" w14:textId="77777777" w:rsidR="00500594" w:rsidRPr="00DB7156" w:rsidRDefault="00500594" w:rsidP="00DB7156">
            <w:pPr>
              <w:spacing w:after="0" w:line="240" w:lineRule="auto"/>
              <w:jc w:val="both"/>
              <w:rPr>
                <w:rFonts w:ascii="Arial" w:hAnsi="Arial" w:cs="Arial"/>
                <w:color w:val="000080"/>
                <w:sz w:val="24"/>
                <w:szCs w:val="24"/>
              </w:rPr>
            </w:pPr>
          </w:p>
        </w:tc>
      </w:tr>
      <w:tr w:rsidR="00500594" w14:paraId="15A6D2F7" w14:textId="77777777" w:rsidTr="005A0AB9">
        <w:trPr>
          <w:gridAfter w:val="1"/>
          <w:wAfter w:w="18" w:type="dxa"/>
        </w:trPr>
        <w:tc>
          <w:tcPr>
            <w:tcW w:w="1710" w:type="dxa"/>
          </w:tcPr>
          <w:p w14:paraId="13019AA7" w14:textId="0F99F194" w:rsidR="00500594" w:rsidRDefault="00500594" w:rsidP="005A0AB9">
            <w:pPr>
              <w:spacing w:after="0" w:line="240" w:lineRule="auto"/>
              <w:ind w:left="-90"/>
              <w:jc w:val="both"/>
              <w:rPr>
                <w:rFonts w:ascii="Arial" w:hAnsi="Arial" w:cs="Arial"/>
                <w:b/>
                <w:color w:val="000080"/>
                <w:sz w:val="24"/>
                <w:szCs w:val="24"/>
              </w:rPr>
            </w:pPr>
            <w:r>
              <w:rPr>
                <w:rFonts w:ascii="Arial" w:hAnsi="Arial" w:cs="Arial"/>
                <w:b/>
                <w:color w:val="000080"/>
                <w:sz w:val="24"/>
                <w:szCs w:val="24"/>
              </w:rPr>
              <w:t>IGCC</w:t>
            </w:r>
          </w:p>
        </w:tc>
        <w:tc>
          <w:tcPr>
            <w:tcW w:w="6822" w:type="dxa"/>
          </w:tcPr>
          <w:p w14:paraId="3F96C23F" w14:textId="58B4008D" w:rsidR="00500594" w:rsidRDefault="00500594" w:rsidP="005A0AB9">
            <w:pPr>
              <w:spacing w:after="0" w:line="240" w:lineRule="auto"/>
              <w:jc w:val="both"/>
              <w:rPr>
                <w:rFonts w:ascii="Arial" w:hAnsi="Arial" w:cs="Arial"/>
                <w:color w:val="000080"/>
                <w:sz w:val="24"/>
                <w:szCs w:val="24"/>
              </w:rPr>
            </w:pPr>
            <w:r>
              <w:rPr>
                <w:rFonts w:ascii="Arial" w:hAnsi="Arial" w:cs="Arial"/>
                <w:color w:val="000080"/>
                <w:sz w:val="24"/>
                <w:szCs w:val="24"/>
              </w:rPr>
              <w:t>Integrated Gasification Combined Cycle</w:t>
            </w:r>
          </w:p>
        </w:tc>
      </w:tr>
      <w:tr w:rsidR="00500594" w14:paraId="5C11E9C2" w14:textId="77777777" w:rsidTr="005A0AB9">
        <w:trPr>
          <w:gridAfter w:val="1"/>
          <w:wAfter w:w="18" w:type="dxa"/>
        </w:trPr>
        <w:tc>
          <w:tcPr>
            <w:tcW w:w="1710" w:type="dxa"/>
          </w:tcPr>
          <w:p w14:paraId="3BF80CAC" w14:textId="77777777" w:rsidR="00500594" w:rsidRDefault="00500594" w:rsidP="005A0AB9">
            <w:pPr>
              <w:spacing w:after="0" w:line="240" w:lineRule="auto"/>
              <w:ind w:left="-90"/>
              <w:jc w:val="both"/>
              <w:rPr>
                <w:rFonts w:ascii="Arial" w:hAnsi="Arial" w:cs="Arial"/>
                <w:b/>
                <w:color w:val="000080"/>
                <w:sz w:val="24"/>
                <w:szCs w:val="24"/>
              </w:rPr>
            </w:pPr>
          </w:p>
        </w:tc>
        <w:tc>
          <w:tcPr>
            <w:tcW w:w="6822" w:type="dxa"/>
          </w:tcPr>
          <w:p w14:paraId="360AEC24" w14:textId="77777777" w:rsidR="00500594" w:rsidRDefault="00500594" w:rsidP="005A0AB9">
            <w:pPr>
              <w:spacing w:after="0" w:line="240" w:lineRule="auto"/>
              <w:jc w:val="both"/>
              <w:rPr>
                <w:rFonts w:ascii="Arial" w:hAnsi="Arial" w:cs="Arial"/>
                <w:color w:val="000080"/>
                <w:sz w:val="24"/>
                <w:szCs w:val="24"/>
              </w:rPr>
            </w:pPr>
          </w:p>
        </w:tc>
      </w:tr>
      <w:tr w:rsidR="00500594" w:rsidRPr="00DB7156" w14:paraId="0EFBFBC3" w14:textId="77777777" w:rsidTr="005A0AB9">
        <w:trPr>
          <w:gridAfter w:val="1"/>
          <w:wAfter w:w="18" w:type="dxa"/>
        </w:trPr>
        <w:tc>
          <w:tcPr>
            <w:tcW w:w="1710" w:type="dxa"/>
          </w:tcPr>
          <w:p w14:paraId="364198A9" w14:textId="0A7C0C4F" w:rsidR="00500594" w:rsidRPr="00DB7156" w:rsidRDefault="00500594" w:rsidP="005A0AB9">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IPP</w:t>
            </w:r>
          </w:p>
        </w:tc>
        <w:tc>
          <w:tcPr>
            <w:tcW w:w="6822" w:type="dxa"/>
          </w:tcPr>
          <w:p w14:paraId="0D8A556D" w14:textId="5AB589C9" w:rsidR="00500594" w:rsidRPr="00DB7156" w:rsidRDefault="00500594" w:rsidP="005A0AB9">
            <w:pPr>
              <w:spacing w:after="0" w:line="240" w:lineRule="auto"/>
              <w:jc w:val="both"/>
              <w:rPr>
                <w:rFonts w:ascii="Arial" w:hAnsi="Arial" w:cs="Arial"/>
                <w:color w:val="000080"/>
                <w:sz w:val="24"/>
                <w:szCs w:val="24"/>
              </w:rPr>
            </w:pPr>
            <w:r w:rsidRPr="00DB7156">
              <w:rPr>
                <w:rFonts w:ascii="Arial" w:hAnsi="Arial" w:cs="Arial"/>
                <w:color w:val="000080"/>
                <w:sz w:val="24"/>
                <w:szCs w:val="24"/>
              </w:rPr>
              <w:t>Independent Power Producers</w:t>
            </w:r>
          </w:p>
        </w:tc>
      </w:tr>
      <w:tr w:rsidR="00500594" w:rsidRPr="00DB7156" w14:paraId="0E8485CF" w14:textId="77777777" w:rsidTr="002D4CD4">
        <w:tc>
          <w:tcPr>
            <w:tcW w:w="1710" w:type="dxa"/>
          </w:tcPr>
          <w:p w14:paraId="36708308"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155F9284"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67CEBEA" w14:textId="77777777" w:rsidTr="002D4CD4">
        <w:tc>
          <w:tcPr>
            <w:tcW w:w="1710" w:type="dxa"/>
          </w:tcPr>
          <w:p w14:paraId="5FFE42B1" w14:textId="54AB6007"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IRP</w:t>
            </w:r>
          </w:p>
        </w:tc>
        <w:tc>
          <w:tcPr>
            <w:tcW w:w="6840" w:type="dxa"/>
            <w:gridSpan w:val="2"/>
          </w:tcPr>
          <w:p w14:paraId="38516AD9" w14:textId="1FA65BA5"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Integrated Resource Plan</w:t>
            </w:r>
          </w:p>
        </w:tc>
      </w:tr>
      <w:tr w:rsidR="00500594" w:rsidRPr="00DB7156" w14:paraId="1B93F7AA" w14:textId="77777777" w:rsidTr="002D4CD4">
        <w:tc>
          <w:tcPr>
            <w:tcW w:w="1710" w:type="dxa"/>
          </w:tcPr>
          <w:p w14:paraId="3ED3C7CE"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5DA4EFE4"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78C01498" w14:textId="77777777" w:rsidTr="002D4CD4">
        <w:tc>
          <w:tcPr>
            <w:tcW w:w="1710" w:type="dxa"/>
          </w:tcPr>
          <w:p w14:paraId="2CF4FE2B" w14:textId="18BDC35E"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LNB</w:t>
            </w:r>
          </w:p>
        </w:tc>
        <w:tc>
          <w:tcPr>
            <w:tcW w:w="6840" w:type="dxa"/>
            <w:gridSpan w:val="2"/>
          </w:tcPr>
          <w:p w14:paraId="4DC77AD5" w14:textId="751778D7"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Low-NO</w:t>
            </w:r>
            <w:r w:rsidRPr="00DB7156">
              <w:rPr>
                <w:rFonts w:ascii="Arial" w:hAnsi="Arial" w:cs="Arial"/>
                <w:color w:val="000080"/>
                <w:sz w:val="24"/>
                <w:szCs w:val="24"/>
                <w:vertAlign w:val="subscript"/>
              </w:rPr>
              <w:t>X</w:t>
            </w:r>
            <w:r w:rsidRPr="00DB7156">
              <w:rPr>
                <w:rFonts w:ascii="Arial" w:hAnsi="Arial" w:cs="Arial"/>
                <w:color w:val="000080"/>
                <w:sz w:val="24"/>
                <w:szCs w:val="24"/>
              </w:rPr>
              <w:t xml:space="preserve"> Burner</w:t>
            </w:r>
          </w:p>
        </w:tc>
      </w:tr>
      <w:tr w:rsidR="00500594" w:rsidRPr="00DB7156" w14:paraId="6E4DAB79" w14:textId="77777777" w:rsidTr="002D4CD4">
        <w:tc>
          <w:tcPr>
            <w:tcW w:w="1710" w:type="dxa"/>
          </w:tcPr>
          <w:p w14:paraId="24D1D1D8"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06C1AD2"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2C" w14:textId="77777777" w:rsidTr="002D4CD4">
        <w:tc>
          <w:tcPr>
            <w:tcW w:w="1710" w:type="dxa"/>
          </w:tcPr>
          <w:p w14:paraId="22BA532A" w14:textId="79ECCEB0"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LNCFS</w:t>
            </w:r>
          </w:p>
        </w:tc>
        <w:tc>
          <w:tcPr>
            <w:tcW w:w="6840" w:type="dxa"/>
            <w:gridSpan w:val="2"/>
          </w:tcPr>
          <w:p w14:paraId="22BA532B" w14:textId="0F9B8C50"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Low-NO</w:t>
            </w:r>
            <w:r w:rsidRPr="00DB7156">
              <w:rPr>
                <w:rFonts w:ascii="Arial" w:hAnsi="Arial" w:cs="Arial"/>
                <w:color w:val="000080"/>
                <w:sz w:val="24"/>
                <w:szCs w:val="24"/>
                <w:vertAlign w:val="subscript"/>
              </w:rPr>
              <w:t>X</w:t>
            </w:r>
            <w:r w:rsidRPr="00DB7156">
              <w:rPr>
                <w:rFonts w:ascii="Arial" w:hAnsi="Arial" w:cs="Arial"/>
                <w:sz w:val="24"/>
                <w:szCs w:val="24"/>
              </w:rPr>
              <w:t xml:space="preserve"> </w:t>
            </w:r>
            <w:r w:rsidRPr="00DB7156">
              <w:rPr>
                <w:rFonts w:ascii="Arial" w:hAnsi="Arial" w:cs="Arial"/>
                <w:color w:val="000080"/>
                <w:sz w:val="24"/>
                <w:szCs w:val="24"/>
              </w:rPr>
              <w:t>Concentric Firing System</w:t>
            </w:r>
          </w:p>
        </w:tc>
      </w:tr>
      <w:tr w:rsidR="00500594" w:rsidRPr="00DB7156" w14:paraId="22BA532F" w14:textId="77777777" w:rsidTr="002D4CD4">
        <w:tc>
          <w:tcPr>
            <w:tcW w:w="1710" w:type="dxa"/>
          </w:tcPr>
          <w:p w14:paraId="22BA532D"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2E"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32" w14:textId="77777777" w:rsidTr="002D4CD4">
        <w:tc>
          <w:tcPr>
            <w:tcW w:w="1710" w:type="dxa"/>
          </w:tcPr>
          <w:p w14:paraId="22BA5330" w14:textId="27888963"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LNCFS I</w:t>
            </w:r>
          </w:p>
        </w:tc>
        <w:tc>
          <w:tcPr>
            <w:tcW w:w="6840" w:type="dxa"/>
            <w:gridSpan w:val="2"/>
          </w:tcPr>
          <w:p w14:paraId="22BA5331" w14:textId="1A56E502"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LNCFS + CCOFA</w:t>
            </w:r>
          </w:p>
        </w:tc>
      </w:tr>
      <w:tr w:rsidR="00500594" w:rsidRPr="00DB7156" w14:paraId="22BA5335" w14:textId="77777777" w:rsidTr="002D4CD4">
        <w:tc>
          <w:tcPr>
            <w:tcW w:w="1710" w:type="dxa"/>
          </w:tcPr>
          <w:p w14:paraId="22BA5333"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34"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38" w14:textId="77777777" w:rsidTr="002D4CD4">
        <w:tc>
          <w:tcPr>
            <w:tcW w:w="1710" w:type="dxa"/>
          </w:tcPr>
          <w:p w14:paraId="22BA5336" w14:textId="0EA7F797"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LNCFS II</w:t>
            </w:r>
          </w:p>
        </w:tc>
        <w:tc>
          <w:tcPr>
            <w:tcW w:w="6840" w:type="dxa"/>
            <w:gridSpan w:val="2"/>
          </w:tcPr>
          <w:p w14:paraId="22BA5337" w14:textId="01F65DCE"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LNCFS + SOFA</w:t>
            </w:r>
          </w:p>
        </w:tc>
      </w:tr>
      <w:tr w:rsidR="00500594" w:rsidRPr="00DB7156" w14:paraId="22BA533B" w14:textId="77777777" w:rsidTr="002D4CD4">
        <w:tc>
          <w:tcPr>
            <w:tcW w:w="1710" w:type="dxa"/>
          </w:tcPr>
          <w:p w14:paraId="22BA5339"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3A"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3E" w14:textId="77777777" w:rsidTr="002D4CD4">
        <w:tc>
          <w:tcPr>
            <w:tcW w:w="1710" w:type="dxa"/>
          </w:tcPr>
          <w:p w14:paraId="22BA533C" w14:textId="40F60625"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LNCFS III</w:t>
            </w:r>
          </w:p>
        </w:tc>
        <w:tc>
          <w:tcPr>
            <w:tcW w:w="6840" w:type="dxa"/>
            <w:gridSpan w:val="2"/>
          </w:tcPr>
          <w:p w14:paraId="22BA533D" w14:textId="46E49F48"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LNCFS + CCOFA + SOFA</w:t>
            </w:r>
          </w:p>
        </w:tc>
      </w:tr>
      <w:tr w:rsidR="00500594" w:rsidRPr="00DB7156" w14:paraId="22BA5341" w14:textId="77777777" w:rsidTr="002D4CD4">
        <w:tc>
          <w:tcPr>
            <w:tcW w:w="1710" w:type="dxa"/>
          </w:tcPr>
          <w:p w14:paraId="22BA533F"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40"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44" w14:textId="77777777" w:rsidTr="002D4CD4">
        <w:tc>
          <w:tcPr>
            <w:tcW w:w="1710" w:type="dxa"/>
          </w:tcPr>
          <w:p w14:paraId="22BA5342" w14:textId="06B16F67"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LVW</w:t>
            </w:r>
          </w:p>
        </w:tc>
        <w:tc>
          <w:tcPr>
            <w:tcW w:w="6840" w:type="dxa"/>
            <w:gridSpan w:val="2"/>
          </w:tcPr>
          <w:p w14:paraId="22BA5343" w14:textId="31B9AF3F"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Low Volume Wastewater</w:t>
            </w:r>
          </w:p>
        </w:tc>
      </w:tr>
      <w:tr w:rsidR="00500594" w:rsidRPr="00DB7156" w14:paraId="734F0F13" w14:textId="77777777" w:rsidTr="002D4CD4">
        <w:tc>
          <w:tcPr>
            <w:tcW w:w="1710" w:type="dxa"/>
          </w:tcPr>
          <w:p w14:paraId="4DB7585C"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0DC5AB73"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47" w14:textId="77777777" w:rsidTr="002D4CD4">
        <w:tc>
          <w:tcPr>
            <w:tcW w:w="1710" w:type="dxa"/>
          </w:tcPr>
          <w:p w14:paraId="22BA5345" w14:textId="7004DF3A"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MACT</w:t>
            </w:r>
          </w:p>
        </w:tc>
        <w:tc>
          <w:tcPr>
            <w:tcW w:w="6840" w:type="dxa"/>
            <w:gridSpan w:val="2"/>
          </w:tcPr>
          <w:p w14:paraId="22BA5346" w14:textId="160B4652"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Maximum Achievable Control Technology</w:t>
            </w:r>
          </w:p>
        </w:tc>
      </w:tr>
      <w:tr w:rsidR="00500594" w:rsidRPr="00DB7156" w14:paraId="26621904" w14:textId="77777777" w:rsidTr="002D4CD4">
        <w:tc>
          <w:tcPr>
            <w:tcW w:w="1710" w:type="dxa"/>
          </w:tcPr>
          <w:p w14:paraId="1524AC67"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3AF6BA9E"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4A" w14:textId="77777777" w:rsidTr="002D4CD4">
        <w:tc>
          <w:tcPr>
            <w:tcW w:w="1710" w:type="dxa"/>
          </w:tcPr>
          <w:p w14:paraId="22BA5348" w14:textId="04A57CDA"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MATS</w:t>
            </w:r>
          </w:p>
        </w:tc>
        <w:tc>
          <w:tcPr>
            <w:tcW w:w="6840" w:type="dxa"/>
            <w:gridSpan w:val="2"/>
          </w:tcPr>
          <w:p w14:paraId="22BA5349" w14:textId="0E606B07"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Mercury and Air Toxics Standards</w:t>
            </w:r>
          </w:p>
        </w:tc>
      </w:tr>
      <w:tr w:rsidR="00500594" w:rsidRPr="00DB7156" w14:paraId="22BA534D" w14:textId="77777777" w:rsidTr="002D4CD4">
        <w:tc>
          <w:tcPr>
            <w:tcW w:w="1710" w:type="dxa"/>
          </w:tcPr>
          <w:p w14:paraId="22BA534B"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4C"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50" w14:textId="77777777" w:rsidTr="002D4CD4">
        <w:tc>
          <w:tcPr>
            <w:tcW w:w="1710" w:type="dxa"/>
          </w:tcPr>
          <w:p w14:paraId="22BA534E" w14:textId="49A958AF"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MRCS</w:t>
            </w:r>
          </w:p>
        </w:tc>
        <w:tc>
          <w:tcPr>
            <w:tcW w:w="6840" w:type="dxa"/>
            <w:gridSpan w:val="2"/>
          </w:tcPr>
          <w:p w14:paraId="22BA534F" w14:textId="48709A4B"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Mercury Re-emission Control System</w:t>
            </w:r>
          </w:p>
        </w:tc>
      </w:tr>
      <w:tr w:rsidR="00500594" w:rsidRPr="00DB7156" w14:paraId="22BA5353" w14:textId="77777777" w:rsidTr="002D4CD4">
        <w:tc>
          <w:tcPr>
            <w:tcW w:w="1710" w:type="dxa"/>
          </w:tcPr>
          <w:p w14:paraId="22BA5351"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52"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56" w14:textId="77777777" w:rsidTr="002D4CD4">
        <w:tc>
          <w:tcPr>
            <w:tcW w:w="1710" w:type="dxa"/>
          </w:tcPr>
          <w:p w14:paraId="22BA5354" w14:textId="6DBD14FB"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MW</w:t>
            </w:r>
          </w:p>
        </w:tc>
        <w:tc>
          <w:tcPr>
            <w:tcW w:w="6840" w:type="dxa"/>
            <w:gridSpan w:val="2"/>
          </w:tcPr>
          <w:p w14:paraId="22BA5355" w14:textId="29FD47A2"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Megawatt</w:t>
            </w:r>
          </w:p>
        </w:tc>
      </w:tr>
      <w:tr w:rsidR="00500594" w:rsidRPr="00DB7156" w14:paraId="515B1BD7" w14:textId="77777777" w:rsidTr="002D4CD4">
        <w:tc>
          <w:tcPr>
            <w:tcW w:w="1710" w:type="dxa"/>
          </w:tcPr>
          <w:p w14:paraId="4C6C13B2"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93C822E"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59" w14:textId="77777777" w:rsidTr="002D4CD4">
        <w:tc>
          <w:tcPr>
            <w:tcW w:w="1710" w:type="dxa"/>
          </w:tcPr>
          <w:p w14:paraId="22BA5357" w14:textId="63EBCDAD"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w:t>
            </w:r>
            <w:r w:rsidRPr="00DB7156">
              <w:rPr>
                <w:rFonts w:ascii="Arial" w:hAnsi="Arial" w:cs="Arial"/>
                <w:b/>
                <w:color w:val="000080"/>
                <w:sz w:val="24"/>
                <w:szCs w:val="24"/>
                <w:vertAlign w:val="subscript"/>
              </w:rPr>
              <w:t>2</w:t>
            </w:r>
          </w:p>
        </w:tc>
        <w:tc>
          <w:tcPr>
            <w:tcW w:w="6840" w:type="dxa"/>
            <w:gridSpan w:val="2"/>
          </w:tcPr>
          <w:p w14:paraId="22BA5358" w14:textId="39967829"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Nitrogen</w:t>
            </w:r>
          </w:p>
        </w:tc>
      </w:tr>
      <w:tr w:rsidR="00500594" w:rsidRPr="00DB7156" w14:paraId="2D5DE5FD" w14:textId="77777777" w:rsidTr="002D4CD4">
        <w:tc>
          <w:tcPr>
            <w:tcW w:w="1710" w:type="dxa"/>
          </w:tcPr>
          <w:p w14:paraId="47CA95D3"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1E29AEA"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45367475" w14:textId="77777777" w:rsidTr="002D4CD4">
        <w:tc>
          <w:tcPr>
            <w:tcW w:w="1710" w:type="dxa"/>
          </w:tcPr>
          <w:p w14:paraId="5CAD30C8" w14:textId="14CAE6A6"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NAAQS</w:t>
            </w:r>
          </w:p>
        </w:tc>
        <w:tc>
          <w:tcPr>
            <w:tcW w:w="6840" w:type="dxa"/>
            <w:gridSpan w:val="2"/>
          </w:tcPr>
          <w:p w14:paraId="7B35421E" w14:textId="4743AA5C"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National Ambient Air Quality Standards</w:t>
            </w:r>
          </w:p>
        </w:tc>
      </w:tr>
      <w:tr w:rsidR="00500594" w:rsidRPr="00DB7156" w14:paraId="27627C2C" w14:textId="77777777" w:rsidTr="002D4CD4">
        <w:tc>
          <w:tcPr>
            <w:tcW w:w="1710" w:type="dxa"/>
          </w:tcPr>
          <w:p w14:paraId="353D150B"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035D2509"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5C" w14:textId="77777777" w:rsidTr="002D4CD4">
        <w:tc>
          <w:tcPr>
            <w:tcW w:w="1710" w:type="dxa"/>
          </w:tcPr>
          <w:p w14:paraId="22BA535A" w14:textId="262B51EE"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NCMCW</w:t>
            </w:r>
          </w:p>
        </w:tc>
        <w:tc>
          <w:tcPr>
            <w:tcW w:w="6840" w:type="dxa"/>
            <w:gridSpan w:val="2"/>
          </w:tcPr>
          <w:p w14:paraId="22BA535B" w14:textId="0BC7A635"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Nonchemical Metal Cleaning Waste</w:t>
            </w:r>
          </w:p>
        </w:tc>
      </w:tr>
      <w:tr w:rsidR="00500594" w:rsidRPr="00DB7156" w14:paraId="3C445477" w14:textId="77777777" w:rsidTr="002D4CD4">
        <w:tc>
          <w:tcPr>
            <w:tcW w:w="1710" w:type="dxa"/>
          </w:tcPr>
          <w:p w14:paraId="5BE2C45D"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594105C"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5F" w14:textId="77777777" w:rsidTr="002D4CD4">
        <w:tc>
          <w:tcPr>
            <w:tcW w:w="1710" w:type="dxa"/>
          </w:tcPr>
          <w:p w14:paraId="22BA535D" w14:textId="0201F997"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NGCC</w:t>
            </w:r>
          </w:p>
        </w:tc>
        <w:tc>
          <w:tcPr>
            <w:tcW w:w="6840" w:type="dxa"/>
            <w:gridSpan w:val="2"/>
          </w:tcPr>
          <w:p w14:paraId="22BA535E" w14:textId="06AB7DD5"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 xml:space="preserve">Natural Gas Combined Cycle </w:t>
            </w:r>
          </w:p>
        </w:tc>
      </w:tr>
      <w:tr w:rsidR="00500594" w:rsidRPr="00DB7156" w14:paraId="27B5E5BC" w14:textId="77777777" w:rsidTr="002D4CD4">
        <w:tc>
          <w:tcPr>
            <w:tcW w:w="1710" w:type="dxa"/>
          </w:tcPr>
          <w:p w14:paraId="6B1D0AD6"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54359C31"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744085B3" w14:textId="77777777" w:rsidTr="002D4CD4">
        <w:tc>
          <w:tcPr>
            <w:tcW w:w="1710" w:type="dxa"/>
          </w:tcPr>
          <w:p w14:paraId="083B2049" w14:textId="3221ACA0"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NO</w:t>
            </w:r>
            <w:r w:rsidRPr="00DB7156">
              <w:rPr>
                <w:rFonts w:ascii="Arial" w:hAnsi="Arial" w:cs="Arial"/>
                <w:b/>
                <w:color w:val="000080"/>
                <w:sz w:val="24"/>
                <w:szCs w:val="24"/>
                <w:vertAlign w:val="subscript"/>
              </w:rPr>
              <w:t>2</w:t>
            </w:r>
          </w:p>
        </w:tc>
        <w:tc>
          <w:tcPr>
            <w:tcW w:w="6840" w:type="dxa"/>
            <w:gridSpan w:val="2"/>
          </w:tcPr>
          <w:p w14:paraId="5F5252D4" w14:textId="76E9BB18"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Nitrogen Dioxide</w:t>
            </w:r>
          </w:p>
        </w:tc>
      </w:tr>
      <w:tr w:rsidR="00500594" w:rsidRPr="00DB7156" w14:paraId="22BA5365" w14:textId="77777777" w:rsidTr="002D4CD4">
        <w:tc>
          <w:tcPr>
            <w:tcW w:w="1710" w:type="dxa"/>
          </w:tcPr>
          <w:p w14:paraId="22BA5363"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64"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68" w14:textId="77777777" w:rsidTr="002D4CD4">
        <w:tc>
          <w:tcPr>
            <w:tcW w:w="1710" w:type="dxa"/>
          </w:tcPr>
          <w:p w14:paraId="22BA5366" w14:textId="58E9F403"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NO</w:t>
            </w:r>
            <w:r w:rsidRPr="00DB7156">
              <w:rPr>
                <w:rFonts w:ascii="Arial" w:hAnsi="Arial" w:cs="Arial"/>
                <w:b/>
                <w:color w:val="000080"/>
                <w:sz w:val="24"/>
                <w:szCs w:val="24"/>
                <w:vertAlign w:val="subscript"/>
              </w:rPr>
              <w:t>X</w:t>
            </w:r>
          </w:p>
        </w:tc>
        <w:tc>
          <w:tcPr>
            <w:tcW w:w="6840" w:type="dxa"/>
            <w:gridSpan w:val="2"/>
          </w:tcPr>
          <w:p w14:paraId="22BA5367" w14:textId="01BC371D"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Nitrogen Oxide</w:t>
            </w:r>
          </w:p>
        </w:tc>
      </w:tr>
      <w:tr w:rsidR="00500594" w:rsidRPr="00DB7156" w14:paraId="22BA536B" w14:textId="77777777" w:rsidTr="002D4CD4">
        <w:tc>
          <w:tcPr>
            <w:tcW w:w="1710" w:type="dxa"/>
          </w:tcPr>
          <w:p w14:paraId="22BA5369"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6A"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6E" w14:textId="77777777" w:rsidTr="002D4CD4">
        <w:tc>
          <w:tcPr>
            <w:tcW w:w="1710" w:type="dxa"/>
          </w:tcPr>
          <w:p w14:paraId="22BA536C" w14:textId="52185362"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NPDES</w:t>
            </w:r>
          </w:p>
        </w:tc>
        <w:tc>
          <w:tcPr>
            <w:tcW w:w="6840" w:type="dxa"/>
            <w:gridSpan w:val="2"/>
          </w:tcPr>
          <w:p w14:paraId="22BA536D" w14:textId="65416947"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National Pollution Discharge Elimination System</w:t>
            </w:r>
          </w:p>
        </w:tc>
      </w:tr>
      <w:tr w:rsidR="00500594" w:rsidRPr="00DB7156" w14:paraId="22BA5371" w14:textId="77777777" w:rsidTr="002D4CD4">
        <w:tc>
          <w:tcPr>
            <w:tcW w:w="1710" w:type="dxa"/>
          </w:tcPr>
          <w:p w14:paraId="22BA536F"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70"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74" w14:textId="77777777" w:rsidTr="002D4CD4">
        <w:tc>
          <w:tcPr>
            <w:tcW w:w="1710" w:type="dxa"/>
          </w:tcPr>
          <w:p w14:paraId="22BA5372" w14:textId="126683A7"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NSPS</w:t>
            </w:r>
          </w:p>
        </w:tc>
        <w:tc>
          <w:tcPr>
            <w:tcW w:w="6840" w:type="dxa"/>
            <w:gridSpan w:val="2"/>
          </w:tcPr>
          <w:p w14:paraId="22BA5373" w14:textId="733D0014"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New Source Performance Standards</w:t>
            </w:r>
          </w:p>
        </w:tc>
      </w:tr>
      <w:tr w:rsidR="00500594" w:rsidRPr="00DB7156" w14:paraId="22BA5377" w14:textId="77777777" w:rsidTr="002D4CD4">
        <w:tc>
          <w:tcPr>
            <w:tcW w:w="1710" w:type="dxa"/>
          </w:tcPr>
          <w:p w14:paraId="22BA5375"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76"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7D" w14:textId="77777777" w:rsidTr="002D4CD4">
        <w:trPr>
          <w:trHeight w:val="99"/>
        </w:trPr>
        <w:tc>
          <w:tcPr>
            <w:tcW w:w="1710" w:type="dxa"/>
          </w:tcPr>
          <w:p w14:paraId="22BA537B" w14:textId="541DA24D"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NSR</w:t>
            </w:r>
          </w:p>
        </w:tc>
        <w:tc>
          <w:tcPr>
            <w:tcW w:w="6840" w:type="dxa"/>
            <w:gridSpan w:val="2"/>
          </w:tcPr>
          <w:p w14:paraId="22BA537C" w14:textId="5A1F972D"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New Source Review</w:t>
            </w:r>
          </w:p>
        </w:tc>
      </w:tr>
      <w:tr w:rsidR="00500594" w:rsidRPr="00DB7156" w14:paraId="47EC58E3" w14:textId="77777777" w:rsidTr="002D4CD4">
        <w:trPr>
          <w:trHeight w:val="99"/>
        </w:trPr>
        <w:tc>
          <w:tcPr>
            <w:tcW w:w="1710" w:type="dxa"/>
          </w:tcPr>
          <w:p w14:paraId="653C5F85"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58296AA0"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80" w14:textId="77777777" w:rsidTr="002D4CD4">
        <w:tc>
          <w:tcPr>
            <w:tcW w:w="1710" w:type="dxa"/>
          </w:tcPr>
          <w:p w14:paraId="22BA537E" w14:textId="1863E61A"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OFA</w:t>
            </w:r>
          </w:p>
        </w:tc>
        <w:tc>
          <w:tcPr>
            <w:tcW w:w="6840" w:type="dxa"/>
            <w:gridSpan w:val="2"/>
          </w:tcPr>
          <w:p w14:paraId="22BA537F" w14:textId="6BCDB1D2"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Overfire Air</w:t>
            </w:r>
          </w:p>
        </w:tc>
      </w:tr>
      <w:tr w:rsidR="00500594" w:rsidRPr="00DB7156" w14:paraId="22BA5383" w14:textId="77777777" w:rsidTr="002D4CD4">
        <w:tc>
          <w:tcPr>
            <w:tcW w:w="1710" w:type="dxa"/>
          </w:tcPr>
          <w:p w14:paraId="22BA5381"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82"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86" w14:textId="77777777" w:rsidTr="002D4CD4">
        <w:tc>
          <w:tcPr>
            <w:tcW w:w="1710" w:type="dxa"/>
          </w:tcPr>
          <w:p w14:paraId="22BA5384" w14:textId="220AF2B2" w:rsidR="00500594" w:rsidRPr="00DB7156" w:rsidRDefault="00500594" w:rsidP="00DB7156">
            <w:pPr>
              <w:keepNext/>
              <w:keepLines/>
              <w:spacing w:after="0" w:line="240" w:lineRule="auto"/>
              <w:ind w:left="-86"/>
              <w:jc w:val="both"/>
              <w:rPr>
                <w:rFonts w:ascii="Arial" w:hAnsi="Arial" w:cs="Arial"/>
                <w:b/>
                <w:color w:val="000080"/>
                <w:sz w:val="24"/>
                <w:szCs w:val="24"/>
              </w:rPr>
            </w:pPr>
            <w:r>
              <w:rPr>
                <w:rFonts w:ascii="Arial" w:hAnsi="Arial" w:cs="Arial"/>
                <w:b/>
                <w:color w:val="000080"/>
                <w:sz w:val="24"/>
                <w:szCs w:val="24"/>
              </w:rPr>
              <w:t>O&amp;M</w:t>
            </w:r>
          </w:p>
        </w:tc>
        <w:tc>
          <w:tcPr>
            <w:tcW w:w="6840" w:type="dxa"/>
            <w:gridSpan w:val="2"/>
          </w:tcPr>
          <w:p w14:paraId="22BA5385" w14:textId="2E3B34BE" w:rsidR="00500594" w:rsidRPr="00DB7156" w:rsidRDefault="00500594" w:rsidP="00DB7156">
            <w:pPr>
              <w:keepNext/>
              <w:keepLines/>
              <w:spacing w:after="0" w:line="240" w:lineRule="auto"/>
              <w:jc w:val="both"/>
              <w:rPr>
                <w:rFonts w:ascii="Arial" w:hAnsi="Arial" w:cs="Arial"/>
                <w:color w:val="000080"/>
                <w:sz w:val="24"/>
                <w:szCs w:val="24"/>
              </w:rPr>
            </w:pPr>
            <w:r>
              <w:rPr>
                <w:rFonts w:ascii="Arial" w:hAnsi="Arial" w:cs="Arial"/>
                <w:color w:val="000080"/>
                <w:sz w:val="24"/>
                <w:szCs w:val="24"/>
              </w:rPr>
              <w:t xml:space="preserve">Operating and Maintenance </w:t>
            </w:r>
          </w:p>
        </w:tc>
      </w:tr>
      <w:tr w:rsidR="00500594" w:rsidRPr="00DB7156" w14:paraId="049677F2" w14:textId="77777777" w:rsidTr="002D4CD4">
        <w:tc>
          <w:tcPr>
            <w:tcW w:w="1710" w:type="dxa"/>
          </w:tcPr>
          <w:p w14:paraId="43CEDC03" w14:textId="77777777" w:rsidR="00500594" w:rsidRPr="00DB7156" w:rsidRDefault="00500594" w:rsidP="00DB7156">
            <w:pPr>
              <w:keepNext/>
              <w:keepLines/>
              <w:spacing w:after="0" w:line="240" w:lineRule="auto"/>
              <w:ind w:left="-86"/>
              <w:jc w:val="both"/>
              <w:rPr>
                <w:rFonts w:ascii="Arial" w:hAnsi="Arial" w:cs="Arial"/>
                <w:b/>
                <w:color w:val="000080"/>
                <w:sz w:val="24"/>
                <w:szCs w:val="24"/>
              </w:rPr>
            </w:pPr>
          </w:p>
        </w:tc>
        <w:tc>
          <w:tcPr>
            <w:tcW w:w="6840" w:type="dxa"/>
            <w:gridSpan w:val="2"/>
          </w:tcPr>
          <w:p w14:paraId="71DB4943" w14:textId="77777777" w:rsidR="00500594" w:rsidRPr="00DB7156" w:rsidRDefault="00500594" w:rsidP="00DB7156">
            <w:pPr>
              <w:keepNext/>
              <w:keepLines/>
              <w:spacing w:after="0" w:line="240" w:lineRule="auto"/>
              <w:jc w:val="both"/>
              <w:rPr>
                <w:rFonts w:ascii="Arial" w:hAnsi="Arial" w:cs="Arial"/>
                <w:color w:val="000080"/>
                <w:sz w:val="24"/>
                <w:szCs w:val="24"/>
              </w:rPr>
            </w:pPr>
          </w:p>
        </w:tc>
      </w:tr>
      <w:tr w:rsidR="00500594" w:rsidRPr="00DB7156" w14:paraId="51ECF171" w14:textId="77777777" w:rsidTr="002D4CD4">
        <w:tc>
          <w:tcPr>
            <w:tcW w:w="1710" w:type="dxa"/>
          </w:tcPr>
          <w:p w14:paraId="1B8421E8" w14:textId="67458496" w:rsidR="00500594" w:rsidRPr="00DB7156" w:rsidRDefault="00500594" w:rsidP="00DB7156">
            <w:pPr>
              <w:keepNext/>
              <w:keepLines/>
              <w:spacing w:after="0" w:line="240" w:lineRule="auto"/>
              <w:ind w:left="-86"/>
              <w:jc w:val="both"/>
              <w:rPr>
                <w:rFonts w:ascii="Arial" w:hAnsi="Arial" w:cs="Arial"/>
                <w:b/>
                <w:color w:val="000080"/>
                <w:sz w:val="24"/>
                <w:szCs w:val="24"/>
              </w:rPr>
            </w:pPr>
            <w:r w:rsidRPr="00DB7156">
              <w:rPr>
                <w:rFonts w:ascii="Arial" w:hAnsi="Arial" w:cs="Arial"/>
                <w:b/>
                <w:color w:val="000080"/>
                <w:sz w:val="24"/>
                <w:szCs w:val="24"/>
              </w:rPr>
              <w:t>OMB</w:t>
            </w:r>
          </w:p>
        </w:tc>
        <w:tc>
          <w:tcPr>
            <w:tcW w:w="6840" w:type="dxa"/>
            <w:gridSpan w:val="2"/>
          </w:tcPr>
          <w:p w14:paraId="37159474" w14:textId="1DF6226F" w:rsidR="00500594" w:rsidRPr="00DB7156" w:rsidRDefault="00500594" w:rsidP="00DB7156">
            <w:pPr>
              <w:keepNext/>
              <w:keepLines/>
              <w:spacing w:after="0" w:line="240" w:lineRule="auto"/>
              <w:jc w:val="both"/>
              <w:rPr>
                <w:rFonts w:ascii="Arial" w:hAnsi="Arial" w:cs="Arial"/>
                <w:color w:val="000080"/>
                <w:sz w:val="24"/>
                <w:szCs w:val="24"/>
              </w:rPr>
            </w:pPr>
            <w:r w:rsidRPr="00DB7156">
              <w:rPr>
                <w:rFonts w:ascii="Arial" w:hAnsi="Arial" w:cs="Arial"/>
                <w:color w:val="000080"/>
                <w:sz w:val="24"/>
                <w:szCs w:val="24"/>
              </w:rPr>
              <w:t>Office of Management and Budget</w:t>
            </w:r>
          </w:p>
        </w:tc>
      </w:tr>
      <w:tr w:rsidR="00500594" w:rsidRPr="00DB7156" w14:paraId="6C88A718" w14:textId="77777777" w:rsidTr="002D4CD4">
        <w:tc>
          <w:tcPr>
            <w:tcW w:w="1710" w:type="dxa"/>
          </w:tcPr>
          <w:p w14:paraId="66A53479" w14:textId="77777777" w:rsidR="00500594" w:rsidRPr="00DB7156" w:rsidRDefault="00500594" w:rsidP="00DB7156">
            <w:pPr>
              <w:keepNext/>
              <w:keepLines/>
              <w:spacing w:after="0" w:line="240" w:lineRule="auto"/>
              <w:ind w:left="-86"/>
              <w:jc w:val="both"/>
              <w:rPr>
                <w:rFonts w:ascii="Arial" w:hAnsi="Arial" w:cs="Arial"/>
                <w:b/>
                <w:color w:val="000080"/>
                <w:sz w:val="24"/>
                <w:szCs w:val="24"/>
              </w:rPr>
            </w:pPr>
          </w:p>
        </w:tc>
        <w:tc>
          <w:tcPr>
            <w:tcW w:w="6840" w:type="dxa"/>
            <w:gridSpan w:val="2"/>
          </w:tcPr>
          <w:p w14:paraId="6ADAF227" w14:textId="77777777" w:rsidR="00500594" w:rsidRPr="00DB7156" w:rsidRDefault="00500594" w:rsidP="00DB7156">
            <w:pPr>
              <w:keepNext/>
              <w:keepLines/>
              <w:spacing w:after="0" w:line="240" w:lineRule="auto"/>
              <w:jc w:val="both"/>
              <w:rPr>
                <w:rFonts w:ascii="Arial" w:hAnsi="Arial" w:cs="Arial"/>
                <w:color w:val="000080"/>
                <w:sz w:val="24"/>
                <w:szCs w:val="24"/>
              </w:rPr>
            </w:pPr>
          </w:p>
        </w:tc>
      </w:tr>
      <w:tr w:rsidR="00500594" w:rsidRPr="00DB7156" w14:paraId="7E0B2099" w14:textId="77777777" w:rsidTr="002D4CD4">
        <w:tc>
          <w:tcPr>
            <w:tcW w:w="1710" w:type="dxa"/>
          </w:tcPr>
          <w:p w14:paraId="2C26514F" w14:textId="6ED12ED8" w:rsidR="00500594" w:rsidRPr="00DB7156" w:rsidRDefault="00500594" w:rsidP="00DB7156">
            <w:pPr>
              <w:keepNext/>
              <w:keepLines/>
              <w:spacing w:after="0" w:line="240" w:lineRule="auto"/>
              <w:ind w:left="-86"/>
              <w:jc w:val="both"/>
              <w:rPr>
                <w:rFonts w:ascii="Arial" w:hAnsi="Arial" w:cs="Arial"/>
                <w:b/>
                <w:color w:val="000080"/>
                <w:sz w:val="24"/>
                <w:szCs w:val="24"/>
              </w:rPr>
            </w:pPr>
            <w:r w:rsidRPr="00DB7156">
              <w:rPr>
                <w:rFonts w:ascii="Arial" w:hAnsi="Arial" w:cs="Arial"/>
                <w:b/>
                <w:color w:val="000080"/>
                <w:sz w:val="24"/>
                <w:szCs w:val="24"/>
              </w:rPr>
              <w:t>PJFF</w:t>
            </w:r>
          </w:p>
        </w:tc>
        <w:tc>
          <w:tcPr>
            <w:tcW w:w="6840" w:type="dxa"/>
            <w:gridSpan w:val="2"/>
          </w:tcPr>
          <w:p w14:paraId="550A0FC0" w14:textId="7716FB44" w:rsidR="00500594" w:rsidRPr="00DB7156" w:rsidRDefault="00500594" w:rsidP="00DB7156">
            <w:pPr>
              <w:keepNext/>
              <w:keepLines/>
              <w:spacing w:after="0" w:line="240" w:lineRule="auto"/>
              <w:jc w:val="both"/>
              <w:rPr>
                <w:rFonts w:ascii="Arial" w:hAnsi="Arial" w:cs="Arial"/>
                <w:color w:val="000080"/>
                <w:sz w:val="24"/>
                <w:szCs w:val="24"/>
              </w:rPr>
            </w:pPr>
            <w:r w:rsidRPr="00DB7156">
              <w:rPr>
                <w:rFonts w:ascii="Arial" w:hAnsi="Arial" w:cs="Arial"/>
                <w:color w:val="000080"/>
                <w:sz w:val="24"/>
                <w:szCs w:val="24"/>
              </w:rPr>
              <w:t>Pulse-Jet Fabric Filter</w:t>
            </w:r>
          </w:p>
        </w:tc>
      </w:tr>
      <w:tr w:rsidR="00500594" w:rsidRPr="00DB7156" w14:paraId="22BA5389" w14:textId="77777777" w:rsidTr="002D4CD4">
        <w:tc>
          <w:tcPr>
            <w:tcW w:w="1710" w:type="dxa"/>
          </w:tcPr>
          <w:p w14:paraId="22BA5387" w14:textId="77777777" w:rsidR="00500594" w:rsidRPr="00DB7156" w:rsidRDefault="00500594" w:rsidP="00DB7156">
            <w:pPr>
              <w:spacing w:after="0" w:line="240" w:lineRule="auto"/>
              <w:ind w:left="-90"/>
              <w:jc w:val="both"/>
              <w:rPr>
                <w:rFonts w:ascii="Arial" w:hAnsi="Arial" w:cs="Arial"/>
                <w:b/>
                <w:color w:val="333399"/>
                <w:sz w:val="24"/>
                <w:szCs w:val="24"/>
              </w:rPr>
            </w:pPr>
          </w:p>
        </w:tc>
        <w:tc>
          <w:tcPr>
            <w:tcW w:w="6840" w:type="dxa"/>
            <w:gridSpan w:val="2"/>
          </w:tcPr>
          <w:p w14:paraId="22BA5388" w14:textId="77777777" w:rsidR="00500594" w:rsidRPr="00DB7156" w:rsidRDefault="00500594" w:rsidP="00DB7156">
            <w:pPr>
              <w:spacing w:after="0" w:line="240" w:lineRule="auto"/>
              <w:jc w:val="both"/>
              <w:rPr>
                <w:rFonts w:ascii="Arial" w:hAnsi="Arial" w:cs="Arial"/>
                <w:color w:val="333399"/>
                <w:sz w:val="24"/>
                <w:szCs w:val="24"/>
              </w:rPr>
            </w:pPr>
          </w:p>
        </w:tc>
      </w:tr>
      <w:tr w:rsidR="00500594" w:rsidRPr="00DB7156" w14:paraId="22BA538C" w14:textId="77777777" w:rsidTr="002D4CD4">
        <w:tc>
          <w:tcPr>
            <w:tcW w:w="1710" w:type="dxa"/>
          </w:tcPr>
          <w:p w14:paraId="22BA538A" w14:textId="20CE3C57"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PM</w:t>
            </w:r>
          </w:p>
        </w:tc>
        <w:tc>
          <w:tcPr>
            <w:tcW w:w="6840" w:type="dxa"/>
            <w:gridSpan w:val="2"/>
          </w:tcPr>
          <w:p w14:paraId="22BA538B" w14:textId="0DE759D9"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Particulate Matter</w:t>
            </w:r>
          </w:p>
        </w:tc>
      </w:tr>
      <w:tr w:rsidR="00500594" w:rsidRPr="00DB7156" w14:paraId="22BA538F" w14:textId="77777777" w:rsidTr="002D4CD4">
        <w:tc>
          <w:tcPr>
            <w:tcW w:w="1710" w:type="dxa"/>
          </w:tcPr>
          <w:p w14:paraId="22BA538D"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8E"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92" w14:textId="77777777" w:rsidTr="002D4CD4">
        <w:tc>
          <w:tcPr>
            <w:tcW w:w="1710" w:type="dxa"/>
          </w:tcPr>
          <w:p w14:paraId="22BA5390" w14:textId="4EE244DD"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PM2.5</w:t>
            </w:r>
          </w:p>
        </w:tc>
        <w:tc>
          <w:tcPr>
            <w:tcW w:w="6840" w:type="dxa"/>
            <w:gridSpan w:val="2"/>
          </w:tcPr>
          <w:p w14:paraId="22BA5391" w14:textId="04CF208B"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Particulate Matter less than 2.5 micrometers in size</w:t>
            </w:r>
          </w:p>
        </w:tc>
      </w:tr>
      <w:tr w:rsidR="00500594" w:rsidRPr="00DB7156" w14:paraId="22BA5395" w14:textId="77777777" w:rsidTr="002D4CD4">
        <w:tc>
          <w:tcPr>
            <w:tcW w:w="1710" w:type="dxa"/>
          </w:tcPr>
          <w:p w14:paraId="22BA5393"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94"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98" w14:textId="77777777" w:rsidTr="002D4CD4">
        <w:tc>
          <w:tcPr>
            <w:tcW w:w="1710" w:type="dxa"/>
          </w:tcPr>
          <w:p w14:paraId="22BA5396" w14:textId="01B00CE0"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PPA</w:t>
            </w:r>
          </w:p>
        </w:tc>
        <w:tc>
          <w:tcPr>
            <w:tcW w:w="6840" w:type="dxa"/>
            <w:gridSpan w:val="2"/>
          </w:tcPr>
          <w:p w14:paraId="22BA5397" w14:textId="17DC2BE0"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Power Purchase Agreement</w:t>
            </w:r>
          </w:p>
        </w:tc>
      </w:tr>
      <w:tr w:rsidR="00500594" w:rsidRPr="00DB7156" w14:paraId="5A9B8BD3" w14:textId="77777777" w:rsidTr="002D4CD4">
        <w:tc>
          <w:tcPr>
            <w:tcW w:w="1710" w:type="dxa"/>
          </w:tcPr>
          <w:p w14:paraId="40266A09"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1CBEB111"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9B" w14:textId="77777777" w:rsidTr="002D4CD4">
        <w:tc>
          <w:tcPr>
            <w:tcW w:w="1710" w:type="dxa"/>
          </w:tcPr>
          <w:p w14:paraId="22BA5399" w14:textId="35F8D0A3"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PPB</w:t>
            </w:r>
          </w:p>
        </w:tc>
        <w:tc>
          <w:tcPr>
            <w:tcW w:w="6840" w:type="dxa"/>
            <w:gridSpan w:val="2"/>
          </w:tcPr>
          <w:p w14:paraId="22BA539A" w14:textId="3E0FB3CC"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Parts Per Billion</w:t>
            </w:r>
          </w:p>
        </w:tc>
      </w:tr>
      <w:tr w:rsidR="00500594" w:rsidRPr="00DB7156" w14:paraId="14A8C310" w14:textId="77777777" w:rsidTr="002D4CD4">
        <w:tc>
          <w:tcPr>
            <w:tcW w:w="1710" w:type="dxa"/>
          </w:tcPr>
          <w:p w14:paraId="1553DA2B"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CE552DD"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04F59D20" w14:textId="77777777" w:rsidTr="002D4CD4">
        <w:tc>
          <w:tcPr>
            <w:tcW w:w="1710" w:type="dxa"/>
          </w:tcPr>
          <w:p w14:paraId="78E47F23" w14:textId="4BA6D6B0"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PPM</w:t>
            </w:r>
          </w:p>
        </w:tc>
        <w:tc>
          <w:tcPr>
            <w:tcW w:w="6840" w:type="dxa"/>
            <w:gridSpan w:val="2"/>
          </w:tcPr>
          <w:p w14:paraId="70EE6716" w14:textId="08A84A47"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Parts Per Million</w:t>
            </w:r>
          </w:p>
        </w:tc>
      </w:tr>
      <w:tr w:rsidR="00500594" w:rsidRPr="00DB7156" w14:paraId="4A264B97" w14:textId="77777777" w:rsidTr="002D4CD4">
        <w:tc>
          <w:tcPr>
            <w:tcW w:w="1710" w:type="dxa"/>
          </w:tcPr>
          <w:p w14:paraId="20981C08"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067824BE"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7494A8D1" w14:textId="77777777" w:rsidTr="002D4CD4">
        <w:tc>
          <w:tcPr>
            <w:tcW w:w="1710" w:type="dxa"/>
          </w:tcPr>
          <w:p w14:paraId="5A95EE79" w14:textId="291AAAEE"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PRB</w:t>
            </w:r>
          </w:p>
        </w:tc>
        <w:tc>
          <w:tcPr>
            <w:tcW w:w="6840" w:type="dxa"/>
            <w:gridSpan w:val="2"/>
          </w:tcPr>
          <w:p w14:paraId="44EA88F3" w14:textId="7A714D43"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Powder River Basin</w:t>
            </w:r>
          </w:p>
        </w:tc>
      </w:tr>
      <w:tr w:rsidR="00500594" w:rsidRPr="00DB7156" w14:paraId="608A96B5" w14:textId="77777777" w:rsidTr="002D4CD4">
        <w:tc>
          <w:tcPr>
            <w:tcW w:w="1710" w:type="dxa"/>
          </w:tcPr>
          <w:p w14:paraId="41BB3055"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53A16D4"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9E" w14:textId="77777777" w:rsidTr="002D4CD4">
        <w:tc>
          <w:tcPr>
            <w:tcW w:w="1710" w:type="dxa"/>
          </w:tcPr>
          <w:p w14:paraId="22BA539C" w14:textId="19CABD3F"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PSC</w:t>
            </w:r>
          </w:p>
        </w:tc>
        <w:tc>
          <w:tcPr>
            <w:tcW w:w="6840" w:type="dxa"/>
            <w:gridSpan w:val="2"/>
          </w:tcPr>
          <w:p w14:paraId="22BA539D" w14:textId="2D2F4F35"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Georgia Public Service Commission</w:t>
            </w:r>
          </w:p>
        </w:tc>
      </w:tr>
      <w:tr w:rsidR="00500594" w:rsidRPr="00DB7156" w14:paraId="7A85DCD8" w14:textId="77777777" w:rsidTr="002D4CD4">
        <w:tc>
          <w:tcPr>
            <w:tcW w:w="1710" w:type="dxa"/>
          </w:tcPr>
          <w:p w14:paraId="7845AD1E"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40F503C"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A1" w14:textId="77777777" w:rsidTr="002D4CD4">
        <w:tc>
          <w:tcPr>
            <w:tcW w:w="1710" w:type="dxa"/>
          </w:tcPr>
          <w:p w14:paraId="22BA539F" w14:textId="124F93BB"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PSD</w:t>
            </w:r>
          </w:p>
        </w:tc>
        <w:tc>
          <w:tcPr>
            <w:tcW w:w="6840" w:type="dxa"/>
            <w:gridSpan w:val="2"/>
          </w:tcPr>
          <w:p w14:paraId="22BA53A0" w14:textId="50DAF3C4"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 xml:space="preserve">Prevention of Significant Deterioration </w:t>
            </w:r>
          </w:p>
        </w:tc>
      </w:tr>
      <w:tr w:rsidR="00500594" w:rsidRPr="00DB7156" w14:paraId="319597A0" w14:textId="77777777" w:rsidTr="002D4CD4">
        <w:tc>
          <w:tcPr>
            <w:tcW w:w="1710" w:type="dxa"/>
          </w:tcPr>
          <w:p w14:paraId="716FAC43"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4307216"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060707DA" w14:textId="77777777" w:rsidTr="002D4CD4">
        <w:tc>
          <w:tcPr>
            <w:tcW w:w="1710" w:type="dxa"/>
          </w:tcPr>
          <w:p w14:paraId="52E6A29A" w14:textId="2BC37C53"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PSES</w:t>
            </w:r>
          </w:p>
        </w:tc>
        <w:tc>
          <w:tcPr>
            <w:tcW w:w="6840" w:type="dxa"/>
            <w:gridSpan w:val="2"/>
          </w:tcPr>
          <w:p w14:paraId="74F8C0BD" w14:textId="6671CC41"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Pretreatment Standards for Existing Sources</w:t>
            </w:r>
          </w:p>
        </w:tc>
      </w:tr>
      <w:tr w:rsidR="00500594" w:rsidRPr="00DB7156" w14:paraId="6054DA71" w14:textId="77777777" w:rsidTr="002D4CD4">
        <w:tc>
          <w:tcPr>
            <w:tcW w:w="1710" w:type="dxa"/>
          </w:tcPr>
          <w:p w14:paraId="097BB659"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A0F1992"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388A9CCA" w14:textId="77777777" w:rsidTr="002D4CD4">
        <w:tc>
          <w:tcPr>
            <w:tcW w:w="1710" w:type="dxa"/>
          </w:tcPr>
          <w:p w14:paraId="0AB55562" w14:textId="77D9CAF5"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PSNS</w:t>
            </w:r>
          </w:p>
        </w:tc>
        <w:tc>
          <w:tcPr>
            <w:tcW w:w="6840" w:type="dxa"/>
            <w:gridSpan w:val="2"/>
          </w:tcPr>
          <w:p w14:paraId="699948CC" w14:textId="78D447F6"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Pretreatment Standards for New Sources</w:t>
            </w:r>
          </w:p>
        </w:tc>
      </w:tr>
      <w:tr w:rsidR="00500594" w:rsidRPr="00DB7156" w14:paraId="6604D1F1" w14:textId="77777777" w:rsidTr="002D4CD4">
        <w:tc>
          <w:tcPr>
            <w:tcW w:w="1710" w:type="dxa"/>
          </w:tcPr>
          <w:p w14:paraId="645FCC51"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A2E1C69"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055A83AB" w14:textId="77777777" w:rsidTr="002D4CD4">
        <w:tc>
          <w:tcPr>
            <w:tcW w:w="1710" w:type="dxa"/>
          </w:tcPr>
          <w:p w14:paraId="3DC96332" w14:textId="724A449D"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R&amp;D</w:t>
            </w:r>
          </w:p>
        </w:tc>
        <w:tc>
          <w:tcPr>
            <w:tcW w:w="6840" w:type="dxa"/>
            <w:gridSpan w:val="2"/>
          </w:tcPr>
          <w:p w14:paraId="71EF5345" w14:textId="2C144803"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 xml:space="preserve">Research and Development </w:t>
            </w:r>
          </w:p>
        </w:tc>
      </w:tr>
      <w:tr w:rsidR="00500594" w:rsidRPr="00DB7156" w14:paraId="58D5D995" w14:textId="77777777" w:rsidTr="002D4CD4">
        <w:tc>
          <w:tcPr>
            <w:tcW w:w="1710" w:type="dxa"/>
          </w:tcPr>
          <w:p w14:paraId="4F7C190E"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6DA1EA0"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56040AFE" w14:textId="77777777" w:rsidTr="002D4CD4">
        <w:tc>
          <w:tcPr>
            <w:tcW w:w="1710" w:type="dxa"/>
          </w:tcPr>
          <w:p w14:paraId="1F0913D4" w14:textId="32E09CF9"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RACT</w:t>
            </w:r>
          </w:p>
        </w:tc>
        <w:tc>
          <w:tcPr>
            <w:tcW w:w="6840" w:type="dxa"/>
            <w:gridSpan w:val="2"/>
          </w:tcPr>
          <w:p w14:paraId="3A4A78AB" w14:textId="17C09709"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Reasonably Available Control Technology</w:t>
            </w:r>
          </w:p>
        </w:tc>
      </w:tr>
      <w:tr w:rsidR="00500594" w:rsidRPr="00DB7156" w14:paraId="5AAC5BF9" w14:textId="77777777" w:rsidTr="002D4CD4">
        <w:tc>
          <w:tcPr>
            <w:tcW w:w="1710" w:type="dxa"/>
          </w:tcPr>
          <w:p w14:paraId="6DF631EE"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18E66B3A"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A4" w14:textId="77777777" w:rsidTr="002D4CD4">
        <w:tc>
          <w:tcPr>
            <w:tcW w:w="1710" w:type="dxa"/>
          </w:tcPr>
          <w:p w14:paraId="22BA53A2" w14:textId="04589514"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RCRA</w:t>
            </w:r>
          </w:p>
        </w:tc>
        <w:tc>
          <w:tcPr>
            <w:tcW w:w="6840" w:type="dxa"/>
            <w:gridSpan w:val="2"/>
          </w:tcPr>
          <w:p w14:paraId="22BA53A3" w14:textId="3FEAE548"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Resource Conservation and Recovery Act</w:t>
            </w:r>
          </w:p>
        </w:tc>
      </w:tr>
      <w:tr w:rsidR="00500594" w:rsidRPr="00DB7156" w14:paraId="22BA53A7" w14:textId="77777777" w:rsidTr="002D4CD4">
        <w:tc>
          <w:tcPr>
            <w:tcW w:w="1710" w:type="dxa"/>
          </w:tcPr>
          <w:p w14:paraId="22BA53A5"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A6"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AA" w14:textId="77777777" w:rsidTr="002D4CD4">
        <w:tc>
          <w:tcPr>
            <w:tcW w:w="1710" w:type="dxa"/>
          </w:tcPr>
          <w:p w14:paraId="22BA53A8" w14:textId="689CE1C6"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RTR</w:t>
            </w:r>
          </w:p>
        </w:tc>
        <w:tc>
          <w:tcPr>
            <w:tcW w:w="6840" w:type="dxa"/>
            <w:gridSpan w:val="2"/>
          </w:tcPr>
          <w:p w14:paraId="22BA53A9" w14:textId="225B9AEC"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Risk and Technology Review</w:t>
            </w:r>
          </w:p>
        </w:tc>
      </w:tr>
      <w:tr w:rsidR="00500594" w:rsidRPr="00DB7156" w14:paraId="70F02A17" w14:textId="77777777" w:rsidTr="002D4CD4">
        <w:tc>
          <w:tcPr>
            <w:tcW w:w="1710" w:type="dxa"/>
          </w:tcPr>
          <w:p w14:paraId="5173D3A5"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38B4558"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AD" w14:textId="77777777" w:rsidTr="002D4CD4">
        <w:tc>
          <w:tcPr>
            <w:tcW w:w="1710" w:type="dxa"/>
          </w:tcPr>
          <w:p w14:paraId="22BA53AB" w14:textId="23B1069D"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SAB</w:t>
            </w:r>
          </w:p>
        </w:tc>
        <w:tc>
          <w:tcPr>
            <w:tcW w:w="6840" w:type="dxa"/>
            <w:gridSpan w:val="2"/>
          </w:tcPr>
          <w:p w14:paraId="22BA53AC" w14:textId="09C43618"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Science Advisory Board</w:t>
            </w:r>
          </w:p>
        </w:tc>
      </w:tr>
      <w:tr w:rsidR="00500594" w:rsidRPr="00DB7156" w14:paraId="2177B6E4" w14:textId="77777777" w:rsidTr="002D4CD4">
        <w:tc>
          <w:tcPr>
            <w:tcW w:w="1710" w:type="dxa"/>
          </w:tcPr>
          <w:p w14:paraId="1AC396C8"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5C7C23D6"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6F1FB775" w14:textId="77777777" w:rsidTr="002D4CD4">
        <w:tc>
          <w:tcPr>
            <w:tcW w:w="1710" w:type="dxa"/>
          </w:tcPr>
          <w:p w14:paraId="08AFFCC2" w14:textId="2A6E2645"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SCR</w:t>
            </w:r>
          </w:p>
        </w:tc>
        <w:tc>
          <w:tcPr>
            <w:tcW w:w="6840" w:type="dxa"/>
            <w:gridSpan w:val="2"/>
          </w:tcPr>
          <w:p w14:paraId="62804D3B" w14:textId="600C5E8A"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Selective Catalytic Reduction</w:t>
            </w:r>
          </w:p>
        </w:tc>
      </w:tr>
      <w:tr w:rsidR="00500594" w:rsidRPr="00DB7156" w14:paraId="22BA53B0" w14:textId="77777777" w:rsidTr="002D4CD4">
        <w:tc>
          <w:tcPr>
            <w:tcW w:w="1710" w:type="dxa"/>
          </w:tcPr>
          <w:p w14:paraId="22BA53AE" w14:textId="3BEF346C"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AF" w14:textId="62BAD93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B3" w14:textId="77777777" w:rsidTr="002D4CD4">
        <w:tc>
          <w:tcPr>
            <w:tcW w:w="1710" w:type="dxa"/>
          </w:tcPr>
          <w:p w14:paraId="22BA53B1" w14:textId="1E4F3214"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SEGCO</w:t>
            </w:r>
          </w:p>
        </w:tc>
        <w:tc>
          <w:tcPr>
            <w:tcW w:w="6840" w:type="dxa"/>
            <w:gridSpan w:val="2"/>
          </w:tcPr>
          <w:p w14:paraId="22BA53B2" w14:textId="591317A8"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Southern Electric Generating Company</w:t>
            </w:r>
          </w:p>
        </w:tc>
      </w:tr>
      <w:tr w:rsidR="00500594" w:rsidRPr="00DB7156" w14:paraId="5212F714" w14:textId="77777777" w:rsidTr="002D4CD4">
        <w:tc>
          <w:tcPr>
            <w:tcW w:w="1710" w:type="dxa"/>
          </w:tcPr>
          <w:p w14:paraId="44D9AB8C" w14:textId="2DB4AF3D"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D96ED1A" w14:textId="07B38F81"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6EFBA610" w14:textId="77777777" w:rsidTr="002D4CD4">
        <w:tc>
          <w:tcPr>
            <w:tcW w:w="1710" w:type="dxa"/>
          </w:tcPr>
          <w:p w14:paraId="69CA9B3A" w14:textId="4F0B2BF9"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SER</w:t>
            </w:r>
          </w:p>
        </w:tc>
        <w:tc>
          <w:tcPr>
            <w:tcW w:w="6840" w:type="dxa"/>
            <w:gridSpan w:val="2"/>
          </w:tcPr>
          <w:p w14:paraId="1CB1E06E" w14:textId="55869273"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Significant Emission Rate</w:t>
            </w:r>
          </w:p>
        </w:tc>
      </w:tr>
      <w:tr w:rsidR="00500594" w:rsidRPr="00DB7156" w14:paraId="40A045AE" w14:textId="77777777" w:rsidTr="002D4CD4">
        <w:tc>
          <w:tcPr>
            <w:tcW w:w="1710" w:type="dxa"/>
          </w:tcPr>
          <w:p w14:paraId="6EF82679"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0E8DE2D"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154346D1" w14:textId="77777777" w:rsidTr="002D4CD4">
        <w:tc>
          <w:tcPr>
            <w:tcW w:w="1710" w:type="dxa"/>
          </w:tcPr>
          <w:p w14:paraId="5F9DFC2D" w14:textId="5A18C847"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SIP</w:t>
            </w:r>
          </w:p>
        </w:tc>
        <w:tc>
          <w:tcPr>
            <w:tcW w:w="6840" w:type="dxa"/>
            <w:gridSpan w:val="2"/>
          </w:tcPr>
          <w:p w14:paraId="4AE02DA1" w14:textId="312D3FF4"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State Implementation Plan</w:t>
            </w:r>
          </w:p>
        </w:tc>
      </w:tr>
      <w:tr w:rsidR="00500594" w:rsidRPr="00DB7156" w14:paraId="29B1F5D5" w14:textId="77777777" w:rsidTr="002D4CD4">
        <w:tc>
          <w:tcPr>
            <w:tcW w:w="1710" w:type="dxa"/>
          </w:tcPr>
          <w:p w14:paraId="74D89FF5" w14:textId="0700CC8C"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357D79AF" w14:textId="44B3DC51"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B6" w14:textId="77777777" w:rsidTr="002D4CD4">
        <w:tc>
          <w:tcPr>
            <w:tcW w:w="1710" w:type="dxa"/>
          </w:tcPr>
          <w:p w14:paraId="22BA53B4" w14:textId="5711B6C5"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SNCR</w:t>
            </w:r>
          </w:p>
        </w:tc>
        <w:tc>
          <w:tcPr>
            <w:tcW w:w="6840" w:type="dxa"/>
            <w:gridSpan w:val="2"/>
          </w:tcPr>
          <w:p w14:paraId="22BA53B5" w14:textId="7CF51B0E"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Selective Noncatalytic Reduction</w:t>
            </w:r>
          </w:p>
        </w:tc>
      </w:tr>
      <w:tr w:rsidR="00500594" w:rsidRPr="00DB7156" w14:paraId="5EED8A7D" w14:textId="77777777" w:rsidTr="002D4CD4">
        <w:tc>
          <w:tcPr>
            <w:tcW w:w="1710" w:type="dxa"/>
          </w:tcPr>
          <w:p w14:paraId="4CE22852" w14:textId="08308FF3"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1B31C209" w14:textId="4A0F0178"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35D39224" w14:textId="77777777" w:rsidTr="002D4CD4">
        <w:tc>
          <w:tcPr>
            <w:tcW w:w="1710" w:type="dxa"/>
          </w:tcPr>
          <w:p w14:paraId="658444EB" w14:textId="62803E14"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SO</w:t>
            </w:r>
            <w:r w:rsidRPr="00DB7156">
              <w:rPr>
                <w:rFonts w:ascii="Arial" w:hAnsi="Arial" w:cs="Arial"/>
                <w:b/>
                <w:color w:val="000080"/>
                <w:sz w:val="24"/>
                <w:szCs w:val="24"/>
                <w:vertAlign w:val="subscript"/>
              </w:rPr>
              <w:t>2</w:t>
            </w:r>
          </w:p>
        </w:tc>
        <w:tc>
          <w:tcPr>
            <w:tcW w:w="6840" w:type="dxa"/>
            <w:gridSpan w:val="2"/>
          </w:tcPr>
          <w:p w14:paraId="1E54C9EF" w14:textId="127669DA"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Sulfur Dioxide</w:t>
            </w:r>
          </w:p>
        </w:tc>
      </w:tr>
      <w:tr w:rsidR="00500594" w:rsidRPr="00DB7156" w14:paraId="22BA53B9" w14:textId="77777777" w:rsidTr="002D4CD4">
        <w:tc>
          <w:tcPr>
            <w:tcW w:w="1710" w:type="dxa"/>
          </w:tcPr>
          <w:p w14:paraId="22BA53B7" w14:textId="47D26E01" w:rsidR="00500594" w:rsidRPr="00DB7156" w:rsidRDefault="00500594" w:rsidP="00DB7156">
            <w:pPr>
              <w:spacing w:after="0" w:line="240" w:lineRule="auto"/>
              <w:jc w:val="both"/>
              <w:rPr>
                <w:rFonts w:ascii="Arial" w:hAnsi="Arial" w:cs="Arial"/>
                <w:b/>
                <w:color w:val="000080"/>
                <w:sz w:val="24"/>
                <w:szCs w:val="24"/>
              </w:rPr>
            </w:pPr>
          </w:p>
        </w:tc>
        <w:tc>
          <w:tcPr>
            <w:tcW w:w="6840" w:type="dxa"/>
            <w:gridSpan w:val="2"/>
          </w:tcPr>
          <w:p w14:paraId="22BA53B8" w14:textId="6ED303FD"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BC" w14:textId="77777777" w:rsidTr="002D4CD4">
        <w:tc>
          <w:tcPr>
            <w:tcW w:w="1710" w:type="dxa"/>
          </w:tcPr>
          <w:p w14:paraId="22BA53BA" w14:textId="792CE27B" w:rsidR="00500594" w:rsidRPr="00DB7156" w:rsidRDefault="00500594" w:rsidP="00DB7156">
            <w:pPr>
              <w:spacing w:after="0" w:line="240" w:lineRule="auto"/>
              <w:ind w:left="-108"/>
              <w:jc w:val="both"/>
              <w:rPr>
                <w:rFonts w:ascii="Arial" w:hAnsi="Arial" w:cs="Arial"/>
                <w:b/>
                <w:color w:val="000080"/>
                <w:sz w:val="24"/>
                <w:szCs w:val="24"/>
              </w:rPr>
            </w:pPr>
            <w:r w:rsidRPr="00DB7156">
              <w:rPr>
                <w:rFonts w:ascii="Arial" w:hAnsi="Arial" w:cs="Arial"/>
                <w:b/>
                <w:color w:val="000080"/>
                <w:sz w:val="24"/>
                <w:szCs w:val="24"/>
              </w:rPr>
              <w:t>SO</w:t>
            </w:r>
            <w:r w:rsidRPr="00DB7156">
              <w:rPr>
                <w:rFonts w:ascii="Arial" w:hAnsi="Arial" w:cs="Arial"/>
                <w:b/>
                <w:color w:val="000080"/>
                <w:sz w:val="24"/>
                <w:szCs w:val="24"/>
                <w:vertAlign w:val="subscript"/>
              </w:rPr>
              <w:t>3</w:t>
            </w:r>
          </w:p>
        </w:tc>
        <w:tc>
          <w:tcPr>
            <w:tcW w:w="6840" w:type="dxa"/>
            <w:gridSpan w:val="2"/>
          </w:tcPr>
          <w:p w14:paraId="22BA53BB" w14:textId="01EBE1E9"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Sulfur Trioxide</w:t>
            </w:r>
          </w:p>
        </w:tc>
      </w:tr>
      <w:tr w:rsidR="00500594" w:rsidRPr="00DB7156" w14:paraId="22BA53BF" w14:textId="77777777" w:rsidTr="002D4CD4">
        <w:tc>
          <w:tcPr>
            <w:tcW w:w="1710" w:type="dxa"/>
          </w:tcPr>
          <w:p w14:paraId="22BA53BD" w14:textId="0C600FAB"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BE" w14:textId="5C45DAD3"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C2" w14:textId="77777777" w:rsidTr="002D4CD4">
        <w:tc>
          <w:tcPr>
            <w:tcW w:w="1710" w:type="dxa"/>
          </w:tcPr>
          <w:p w14:paraId="22BA53C0" w14:textId="121731F7"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SO</w:t>
            </w:r>
            <w:r w:rsidRPr="00DB7156">
              <w:rPr>
                <w:rFonts w:ascii="Arial" w:hAnsi="Arial" w:cs="Arial"/>
                <w:b/>
                <w:color w:val="000080"/>
                <w:sz w:val="24"/>
                <w:szCs w:val="24"/>
              </w:rPr>
              <w:softHyphen/>
              <w:t>x</w:t>
            </w:r>
          </w:p>
        </w:tc>
        <w:tc>
          <w:tcPr>
            <w:tcW w:w="6840" w:type="dxa"/>
            <w:gridSpan w:val="2"/>
          </w:tcPr>
          <w:p w14:paraId="22BA53C1" w14:textId="430390A5"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Sulfur Oxides</w:t>
            </w:r>
          </w:p>
        </w:tc>
      </w:tr>
      <w:tr w:rsidR="00500594" w:rsidRPr="00DB7156" w14:paraId="22BA53C5" w14:textId="77777777" w:rsidTr="002D4CD4">
        <w:tc>
          <w:tcPr>
            <w:tcW w:w="1710" w:type="dxa"/>
          </w:tcPr>
          <w:p w14:paraId="22BA53C3" w14:textId="7D493B68"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C4" w14:textId="7D79061B"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C8" w14:textId="77777777" w:rsidTr="002D4CD4">
        <w:tc>
          <w:tcPr>
            <w:tcW w:w="1710" w:type="dxa"/>
          </w:tcPr>
          <w:p w14:paraId="22BA53C6" w14:textId="3BD8F4A8"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SOFA</w:t>
            </w:r>
          </w:p>
        </w:tc>
        <w:tc>
          <w:tcPr>
            <w:tcW w:w="6840" w:type="dxa"/>
            <w:gridSpan w:val="2"/>
          </w:tcPr>
          <w:p w14:paraId="22BA53C7" w14:textId="4F44A260"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Separated Overfire Air</w:t>
            </w:r>
          </w:p>
        </w:tc>
      </w:tr>
      <w:tr w:rsidR="00500594" w:rsidRPr="00DB7156" w14:paraId="22BA53CB" w14:textId="77777777" w:rsidTr="002D4CD4">
        <w:tc>
          <w:tcPr>
            <w:tcW w:w="1710" w:type="dxa"/>
          </w:tcPr>
          <w:p w14:paraId="22BA53C9" w14:textId="4F2B9B3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CA" w14:textId="56EE6D43"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CE" w14:textId="77777777" w:rsidTr="002D4CD4">
        <w:tc>
          <w:tcPr>
            <w:tcW w:w="1710" w:type="dxa"/>
          </w:tcPr>
          <w:p w14:paraId="22BA53CC" w14:textId="491B51FE"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SSM</w:t>
            </w:r>
          </w:p>
        </w:tc>
        <w:tc>
          <w:tcPr>
            <w:tcW w:w="6840" w:type="dxa"/>
            <w:gridSpan w:val="2"/>
          </w:tcPr>
          <w:p w14:paraId="22BA53CD" w14:textId="0B5DC748"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Startup, Shutdown, Malfunction</w:t>
            </w:r>
          </w:p>
        </w:tc>
      </w:tr>
      <w:tr w:rsidR="00500594" w:rsidRPr="00DB7156" w14:paraId="35C7DCC2" w14:textId="77777777" w:rsidTr="002D4CD4">
        <w:tc>
          <w:tcPr>
            <w:tcW w:w="1710" w:type="dxa"/>
          </w:tcPr>
          <w:p w14:paraId="744324CF" w14:textId="7BE23F23"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EE802FF" w14:textId="319D180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D1" w14:textId="77777777" w:rsidTr="002D4CD4">
        <w:tc>
          <w:tcPr>
            <w:tcW w:w="1710" w:type="dxa"/>
          </w:tcPr>
          <w:p w14:paraId="22BA53CF" w14:textId="0F1893ED"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T-Fired</w:t>
            </w:r>
          </w:p>
        </w:tc>
        <w:tc>
          <w:tcPr>
            <w:tcW w:w="6840" w:type="dxa"/>
            <w:gridSpan w:val="2"/>
          </w:tcPr>
          <w:p w14:paraId="22BA53D0" w14:textId="5038B859"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Tangential or tangentially fired</w:t>
            </w:r>
          </w:p>
        </w:tc>
      </w:tr>
      <w:tr w:rsidR="00500594" w:rsidRPr="00DB7156" w14:paraId="2460FC88" w14:textId="77777777" w:rsidTr="002D4CD4">
        <w:tc>
          <w:tcPr>
            <w:tcW w:w="1710" w:type="dxa"/>
          </w:tcPr>
          <w:p w14:paraId="6DA823DC" w14:textId="445C8C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674A814" w14:textId="2D858FCB"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D4" w14:textId="77777777" w:rsidTr="002D4CD4">
        <w:tc>
          <w:tcPr>
            <w:tcW w:w="1710" w:type="dxa"/>
          </w:tcPr>
          <w:p w14:paraId="22BA53D2" w14:textId="7D677703"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TVA</w:t>
            </w:r>
          </w:p>
        </w:tc>
        <w:tc>
          <w:tcPr>
            <w:tcW w:w="6840" w:type="dxa"/>
            <w:gridSpan w:val="2"/>
          </w:tcPr>
          <w:p w14:paraId="22BA53D3" w14:textId="0F554E4F"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 xml:space="preserve">Tennessee Valley Authority </w:t>
            </w:r>
          </w:p>
        </w:tc>
      </w:tr>
      <w:tr w:rsidR="00500594" w:rsidRPr="00DB7156" w14:paraId="754F90AC" w14:textId="77777777" w:rsidTr="002D4CD4">
        <w:tc>
          <w:tcPr>
            <w:tcW w:w="1710" w:type="dxa"/>
          </w:tcPr>
          <w:p w14:paraId="4E4D9AB0"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123423D6"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4052CFEC" w14:textId="77777777" w:rsidTr="002D4CD4">
        <w:tc>
          <w:tcPr>
            <w:tcW w:w="1710" w:type="dxa"/>
          </w:tcPr>
          <w:p w14:paraId="086DFEB7" w14:textId="4D7D165B"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TMDL</w:t>
            </w:r>
          </w:p>
        </w:tc>
        <w:tc>
          <w:tcPr>
            <w:tcW w:w="6840" w:type="dxa"/>
            <w:gridSpan w:val="2"/>
          </w:tcPr>
          <w:p w14:paraId="7ED15911" w14:textId="7E1D6A8A"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Total Maximum Daily Load</w:t>
            </w:r>
          </w:p>
        </w:tc>
      </w:tr>
      <w:tr w:rsidR="00500594" w:rsidRPr="00DB7156" w14:paraId="68C92A06" w14:textId="77777777" w:rsidTr="002D4CD4">
        <w:tc>
          <w:tcPr>
            <w:tcW w:w="1710" w:type="dxa"/>
          </w:tcPr>
          <w:p w14:paraId="7A2E755A" w14:textId="560CBFBA"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35902B1" w14:textId="422416B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D7" w14:textId="77777777" w:rsidTr="002D4CD4">
        <w:tc>
          <w:tcPr>
            <w:tcW w:w="1710" w:type="dxa"/>
          </w:tcPr>
          <w:p w14:paraId="22BA53D5" w14:textId="4944BC66"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TSCA</w:t>
            </w:r>
          </w:p>
        </w:tc>
        <w:tc>
          <w:tcPr>
            <w:tcW w:w="6840" w:type="dxa"/>
            <w:gridSpan w:val="2"/>
          </w:tcPr>
          <w:p w14:paraId="22BA53D6" w14:textId="2C1A2EA6"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Toxic Substances Control Act</w:t>
            </w:r>
          </w:p>
        </w:tc>
      </w:tr>
      <w:tr w:rsidR="00500594" w:rsidRPr="00DB7156" w14:paraId="6E8787AF" w14:textId="77777777" w:rsidTr="002D4CD4">
        <w:tc>
          <w:tcPr>
            <w:tcW w:w="1710" w:type="dxa"/>
          </w:tcPr>
          <w:p w14:paraId="0761723B" w14:textId="32F70251"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067F0A4" w14:textId="4920AF52"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DA" w14:textId="77777777" w:rsidTr="002D4CD4">
        <w:tc>
          <w:tcPr>
            <w:tcW w:w="1710" w:type="dxa"/>
          </w:tcPr>
          <w:p w14:paraId="22BA53D8" w14:textId="550CEDF6"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TWS</w:t>
            </w:r>
          </w:p>
        </w:tc>
        <w:tc>
          <w:tcPr>
            <w:tcW w:w="6840" w:type="dxa"/>
            <w:gridSpan w:val="2"/>
          </w:tcPr>
          <w:p w14:paraId="22BA53D9" w14:textId="03FFC0D3"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Traveling Water Screens</w:t>
            </w:r>
          </w:p>
        </w:tc>
      </w:tr>
      <w:tr w:rsidR="00500594" w:rsidRPr="00DB7156" w14:paraId="22BA53DD" w14:textId="77777777" w:rsidTr="002D4CD4">
        <w:tc>
          <w:tcPr>
            <w:tcW w:w="1710" w:type="dxa"/>
          </w:tcPr>
          <w:p w14:paraId="22BA53DB" w14:textId="3270BA70"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DC" w14:textId="29AD1C1A"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E0" w14:textId="77777777" w:rsidTr="002D4CD4">
        <w:tc>
          <w:tcPr>
            <w:tcW w:w="1710" w:type="dxa"/>
          </w:tcPr>
          <w:p w14:paraId="22BA53DE" w14:textId="42A050C4"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UARG</w:t>
            </w:r>
          </w:p>
        </w:tc>
        <w:tc>
          <w:tcPr>
            <w:tcW w:w="6840" w:type="dxa"/>
            <w:gridSpan w:val="2"/>
          </w:tcPr>
          <w:p w14:paraId="22BA53DF" w14:textId="164BD962"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Utility Air Regulatory Group</w:t>
            </w:r>
          </w:p>
        </w:tc>
      </w:tr>
      <w:tr w:rsidR="00500594" w:rsidRPr="00DB7156" w14:paraId="2F47957D" w14:textId="77777777" w:rsidTr="002D4CD4">
        <w:tc>
          <w:tcPr>
            <w:tcW w:w="1710" w:type="dxa"/>
          </w:tcPr>
          <w:p w14:paraId="13B38AAD" w14:textId="63AF9835"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69DBC5FE" w14:textId="626F1F7D"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E3" w14:textId="77777777" w:rsidTr="002D4CD4">
        <w:tc>
          <w:tcPr>
            <w:tcW w:w="1710" w:type="dxa"/>
          </w:tcPr>
          <w:p w14:paraId="22BA53E1" w14:textId="6B85B3CC"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UNFCCC</w:t>
            </w:r>
          </w:p>
        </w:tc>
        <w:tc>
          <w:tcPr>
            <w:tcW w:w="6840" w:type="dxa"/>
            <w:gridSpan w:val="2"/>
          </w:tcPr>
          <w:p w14:paraId="22BA53E2" w14:textId="1FD062C7"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 xml:space="preserve">United Nations Framework Convention on Climate Change </w:t>
            </w:r>
          </w:p>
        </w:tc>
      </w:tr>
      <w:tr w:rsidR="00500594" w:rsidRPr="00DB7156" w14:paraId="372FE573" w14:textId="77777777" w:rsidTr="002D4CD4">
        <w:tc>
          <w:tcPr>
            <w:tcW w:w="1710" w:type="dxa"/>
          </w:tcPr>
          <w:p w14:paraId="52DEE88C"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4C8C2337"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76CCF2EF" w14:textId="77777777" w:rsidTr="002D4CD4">
        <w:tc>
          <w:tcPr>
            <w:tcW w:w="1710" w:type="dxa"/>
          </w:tcPr>
          <w:p w14:paraId="438238E8" w14:textId="3C1ABCAE"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USWAG</w:t>
            </w:r>
          </w:p>
        </w:tc>
        <w:tc>
          <w:tcPr>
            <w:tcW w:w="6840" w:type="dxa"/>
            <w:gridSpan w:val="2"/>
          </w:tcPr>
          <w:p w14:paraId="75CDE4BC" w14:textId="6F478F1E"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Utility Solid Waste Activities Group</w:t>
            </w:r>
          </w:p>
        </w:tc>
      </w:tr>
      <w:tr w:rsidR="00500594" w:rsidRPr="00DB7156" w14:paraId="1D0C4861" w14:textId="77777777" w:rsidTr="002D4CD4">
        <w:tc>
          <w:tcPr>
            <w:tcW w:w="1710" w:type="dxa"/>
          </w:tcPr>
          <w:p w14:paraId="3D305706" w14:textId="0B85C7EC"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02875674" w14:textId="26535625"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E6" w14:textId="77777777" w:rsidTr="002D4CD4">
        <w:tc>
          <w:tcPr>
            <w:tcW w:w="1710" w:type="dxa"/>
          </w:tcPr>
          <w:p w14:paraId="22BA53E4" w14:textId="6E3BDEDD"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UWAG</w:t>
            </w:r>
          </w:p>
        </w:tc>
        <w:tc>
          <w:tcPr>
            <w:tcW w:w="6840" w:type="dxa"/>
            <w:gridSpan w:val="2"/>
          </w:tcPr>
          <w:p w14:paraId="22BA53E5" w14:textId="30D7D3A6"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Utility Water Act Group</w:t>
            </w:r>
          </w:p>
        </w:tc>
      </w:tr>
      <w:tr w:rsidR="00500594" w:rsidRPr="00DB7156" w14:paraId="22BA53E9" w14:textId="77777777" w:rsidTr="002D4CD4">
        <w:tc>
          <w:tcPr>
            <w:tcW w:w="1710" w:type="dxa"/>
          </w:tcPr>
          <w:p w14:paraId="22BA53E7" w14:textId="3334D83B"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E8" w14:textId="0D582BF9"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EC" w14:textId="77777777" w:rsidTr="002D4CD4">
        <w:tc>
          <w:tcPr>
            <w:tcW w:w="1710" w:type="dxa"/>
          </w:tcPr>
          <w:p w14:paraId="22BA53EA" w14:textId="2E903AC3"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VOC</w:t>
            </w:r>
          </w:p>
        </w:tc>
        <w:tc>
          <w:tcPr>
            <w:tcW w:w="6840" w:type="dxa"/>
            <w:gridSpan w:val="2"/>
          </w:tcPr>
          <w:p w14:paraId="22BA53EB" w14:textId="05707850"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Volatile Organic Compound</w:t>
            </w:r>
          </w:p>
        </w:tc>
      </w:tr>
      <w:tr w:rsidR="00500594" w:rsidRPr="00DB7156" w14:paraId="22BA53F5" w14:textId="77777777" w:rsidTr="002D4CD4">
        <w:tc>
          <w:tcPr>
            <w:tcW w:w="1710" w:type="dxa"/>
          </w:tcPr>
          <w:p w14:paraId="22BA53F3" w14:textId="3C920144"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F4" w14:textId="48477421"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F8" w14:textId="77777777" w:rsidTr="002D4CD4">
        <w:tc>
          <w:tcPr>
            <w:tcW w:w="1710" w:type="dxa"/>
          </w:tcPr>
          <w:p w14:paraId="22BA53F6" w14:textId="0A3FEFAB"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WI</w:t>
            </w:r>
            <w:r>
              <w:rPr>
                <w:rFonts w:ascii="Arial" w:hAnsi="Arial" w:cs="Arial"/>
                <w:b/>
                <w:color w:val="000080"/>
                <w:sz w:val="24"/>
                <w:szCs w:val="24"/>
              </w:rPr>
              <w:t>I</w:t>
            </w:r>
            <w:r w:rsidRPr="00DB7156">
              <w:rPr>
                <w:rFonts w:ascii="Arial" w:hAnsi="Arial" w:cs="Arial"/>
                <w:b/>
                <w:color w:val="000080"/>
                <w:sz w:val="24"/>
                <w:szCs w:val="24"/>
              </w:rPr>
              <w:t>N Act</w:t>
            </w:r>
          </w:p>
        </w:tc>
        <w:tc>
          <w:tcPr>
            <w:tcW w:w="6840" w:type="dxa"/>
            <w:gridSpan w:val="2"/>
          </w:tcPr>
          <w:p w14:paraId="22BA53F7" w14:textId="70BB801A"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Water Infrastructure Improvements for the Nation Act</w:t>
            </w:r>
          </w:p>
        </w:tc>
      </w:tr>
      <w:tr w:rsidR="00500594" w:rsidRPr="00DB7156" w14:paraId="22BA53FB" w14:textId="77777777" w:rsidTr="002D4CD4">
        <w:tc>
          <w:tcPr>
            <w:tcW w:w="1710" w:type="dxa"/>
          </w:tcPr>
          <w:p w14:paraId="22BA53F9" w14:textId="0E1C7B75"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3FA" w14:textId="75B8FA0A"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3FE" w14:textId="77777777" w:rsidTr="002D4CD4">
        <w:tc>
          <w:tcPr>
            <w:tcW w:w="1710" w:type="dxa"/>
          </w:tcPr>
          <w:p w14:paraId="22BA53FC" w14:textId="5F976A29"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WOTUS</w:t>
            </w:r>
          </w:p>
        </w:tc>
        <w:tc>
          <w:tcPr>
            <w:tcW w:w="6840" w:type="dxa"/>
            <w:gridSpan w:val="2"/>
          </w:tcPr>
          <w:p w14:paraId="22BA53FD" w14:textId="32FDFA68"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Waters of the U.S.</w:t>
            </w:r>
          </w:p>
        </w:tc>
      </w:tr>
      <w:tr w:rsidR="00500594" w:rsidRPr="00DB7156" w14:paraId="22BA5401" w14:textId="77777777" w:rsidTr="002D4CD4">
        <w:tc>
          <w:tcPr>
            <w:tcW w:w="1710" w:type="dxa"/>
          </w:tcPr>
          <w:p w14:paraId="22BA53FF" w14:textId="222CC322"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22BA5400" w14:textId="2A46A5AD"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22BA5404" w14:textId="77777777" w:rsidTr="002D4CD4">
        <w:tc>
          <w:tcPr>
            <w:tcW w:w="1710" w:type="dxa"/>
          </w:tcPr>
          <w:p w14:paraId="22BA5402" w14:textId="3AC0C709" w:rsidR="00500594" w:rsidRPr="00DB7156" w:rsidRDefault="00500594" w:rsidP="00DB7156">
            <w:pPr>
              <w:spacing w:after="0" w:line="240" w:lineRule="auto"/>
              <w:ind w:left="-90"/>
              <w:jc w:val="both"/>
              <w:rPr>
                <w:rFonts w:ascii="Arial" w:hAnsi="Arial" w:cs="Arial"/>
                <w:b/>
                <w:color w:val="000080"/>
                <w:sz w:val="24"/>
                <w:szCs w:val="24"/>
              </w:rPr>
            </w:pPr>
            <w:r>
              <w:rPr>
                <w:rFonts w:ascii="Arial" w:hAnsi="Arial" w:cs="Arial"/>
                <w:b/>
                <w:color w:val="000080"/>
                <w:sz w:val="24"/>
                <w:szCs w:val="24"/>
              </w:rPr>
              <w:t>WRC</w:t>
            </w:r>
          </w:p>
        </w:tc>
        <w:tc>
          <w:tcPr>
            <w:tcW w:w="6840" w:type="dxa"/>
            <w:gridSpan w:val="2"/>
          </w:tcPr>
          <w:p w14:paraId="22BA5403" w14:textId="2FBEC515" w:rsidR="00500594" w:rsidRPr="00DB7156" w:rsidRDefault="00500594" w:rsidP="00DB7156">
            <w:pPr>
              <w:spacing w:after="0" w:line="240" w:lineRule="auto"/>
              <w:jc w:val="both"/>
              <w:rPr>
                <w:rFonts w:ascii="Arial" w:hAnsi="Arial" w:cs="Arial"/>
                <w:color w:val="000080"/>
                <w:sz w:val="24"/>
                <w:szCs w:val="24"/>
              </w:rPr>
            </w:pPr>
            <w:r>
              <w:rPr>
                <w:rFonts w:ascii="Arial" w:hAnsi="Arial" w:cs="Arial"/>
                <w:color w:val="000080"/>
                <w:sz w:val="24"/>
                <w:szCs w:val="24"/>
              </w:rPr>
              <w:t>Water Research Center</w:t>
            </w:r>
          </w:p>
        </w:tc>
      </w:tr>
      <w:tr w:rsidR="00500594" w:rsidRPr="00DB7156" w14:paraId="6CCE25DC" w14:textId="77777777" w:rsidTr="002D4CD4">
        <w:tc>
          <w:tcPr>
            <w:tcW w:w="1710" w:type="dxa"/>
          </w:tcPr>
          <w:p w14:paraId="0918E658" w14:textId="77777777" w:rsidR="00500594" w:rsidRPr="00DB7156" w:rsidRDefault="00500594" w:rsidP="00DB7156">
            <w:pPr>
              <w:spacing w:after="0" w:line="240" w:lineRule="auto"/>
              <w:ind w:left="-90"/>
              <w:jc w:val="both"/>
              <w:rPr>
                <w:rFonts w:ascii="Arial" w:hAnsi="Arial" w:cs="Arial"/>
                <w:b/>
                <w:color w:val="000080"/>
                <w:sz w:val="24"/>
                <w:szCs w:val="24"/>
              </w:rPr>
            </w:pPr>
          </w:p>
        </w:tc>
        <w:tc>
          <w:tcPr>
            <w:tcW w:w="6840" w:type="dxa"/>
            <w:gridSpan w:val="2"/>
          </w:tcPr>
          <w:p w14:paraId="1B4979B0" w14:textId="77777777" w:rsidR="00500594" w:rsidRPr="00DB7156" w:rsidRDefault="00500594" w:rsidP="00DB7156">
            <w:pPr>
              <w:spacing w:after="0" w:line="240" w:lineRule="auto"/>
              <w:jc w:val="both"/>
              <w:rPr>
                <w:rFonts w:ascii="Arial" w:hAnsi="Arial" w:cs="Arial"/>
                <w:color w:val="000080"/>
                <w:sz w:val="24"/>
                <w:szCs w:val="24"/>
              </w:rPr>
            </w:pPr>
          </w:p>
        </w:tc>
      </w:tr>
      <w:tr w:rsidR="00500594" w:rsidRPr="00DB7156" w14:paraId="644E353A" w14:textId="77777777" w:rsidTr="002D4CD4">
        <w:tc>
          <w:tcPr>
            <w:tcW w:w="1710" w:type="dxa"/>
          </w:tcPr>
          <w:p w14:paraId="3B8F495B" w14:textId="1CF13510" w:rsidR="00500594" w:rsidRPr="00DB7156" w:rsidRDefault="00500594" w:rsidP="00DB7156">
            <w:pPr>
              <w:spacing w:after="0" w:line="240" w:lineRule="auto"/>
              <w:ind w:left="-90"/>
              <w:jc w:val="both"/>
              <w:rPr>
                <w:rFonts w:ascii="Arial" w:hAnsi="Arial" w:cs="Arial"/>
                <w:b/>
                <w:color w:val="000080"/>
                <w:sz w:val="24"/>
                <w:szCs w:val="24"/>
              </w:rPr>
            </w:pPr>
            <w:r w:rsidRPr="00DB7156">
              <w:rPr>
                <w:rFonts w:ascii="Arial" w:hAnsi="Arial" w:cs="Arial"/>
                <w:b/>
                <w:color w:val="000080"/>
                <w:sz w:val="24"/>
                <w:szCs w:val="24"/>
              </w:rPr>
              <w:t>WQS</w:t>
            </w:r>
          </w:p>
        </w:tc>
        <w:tc>
          <w:tcPr>
            <w:tcW w:w="6840" w:type="dxa"/>
            <w:gridSpan w:val="2"/>
          </w:tcPr>
          <w:p w14:paraId="02FDF936" w14:textId="0A2328A3" w:rsidR="00500594" w:rsidRPr="00DB7156" w:rsidRDefault="00500594"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Water Quality Standards</w:t>
            </w:r>
          </w:p>
        </w:tc>
      </w:tr>
    </w:tbl>
    <w:p w14:paraId="22BA5405" w14:textId="77777777" w:rsidR="00FB6BE7" w:rsidRPr="00DB7156" w:rsidRDefault="00752263" w:rsidP="00DB7156">
      <w:pPr>
        <w:spacing w:after="0" w:line="240" w:lineRule="auto"/>
        <w:jc w:val="both"/>
        <w:outlineLvl w:val="0"/>
        <w:rPr>
          <w:rFonts w:ascii="Arial" w:hAnsi="Arial" w:cs="Arial"/>
          <w:b/>
          <w:color w:val="000080"/>
          <w:sz w:val="24"/>
          <w:szCs w:val="24"/>
        </w:rPr>
      </w:pPr>
      <w:r w:rsidRPr="00DB7156">
        <w:rPr>
          <w:rFonts w:ascii="Arial" w:hAnsi="Arial" w:cs="Arial"/>
        </w:rPr>
        <w:br w:type="page"/>
      </w:r>
      <w:bookmarkStart w:id="244" w:name="_Toc496107768"/>
      <w:bookmarkStart w:id="245" w:name="_Toc527987361"/>
      <w:bookmarkStart w:id="246" w:name="_Toc527983908"/>
      <w:bookmarkStart w:id="247" w:name="_Toc530487295"/>
      <w:bookmarkStart w:id="248" w:name="_Toc535908164"/>
      <w:r w:rsidR="00B67C6E" w:rsidRPr="00DB7156">
        <w:rPr>
          <w:rFonts w:ascii="Arial" w:hAnsi="Arial" w:cs="Arial"/>
          <w:b/>
          <w:color w:val="000080"/>
          <w:sz w:val="24"/>
          <w:szCs w:val="24"/>
        </w:rPr>
        <w:t>ECS-A</w:t>
      </w:r>
      <w:r w:rsidR="00FB6BE7" w:rsidRPr="00DB7156">
        <w:rPr>
          <w:rFonts w:ascii="Arial" w:hAnsi="Arial" w:cs="Arial"/>
          <w:b/>
          <w:color w:val="000080"/>
          <w:sz w:val="24"/>
          <w:szCs w:val="24"/>
        </w:rPr>
        <w:t>PPENDIX B</w:t>
      </w:r>
      <w:bookmarkEnd w:id="244"/>
      <w:bookmarkEnd w:id="245"/>
      <w:bookmarkEnd w:id="246"/>
      <w:bookmarkEnd w:id="247"/>
      <w:bookmarkEnd w:id="248"/>
    </w:p>
    <w:p w14:paraId="22BA5406" w14:textId="77777777" w:rsidR="00FB6BE7" w:rsidRPr="00DB7156" w:rsidRDefault="00FB6BE7" w:rsidP="00DB7156">
      <w:pPr>
        <w:spacing w:after="0" w:line="240" w:lineRule="auto"/>
        <w:jc w:val="both"/>
        <w:rPr>
          <w:rFonts w:ascii="Arial" w:hAnsi="Arial" w:cs="Arial"/>
          <w:b/>
          <w:color w:val="000080"/>
          <w:sz w:val="18"/>
          <w:szCs w:val="24"/>
        </w:rPr>
      </w:pPr>
    </w:p>
    <w:p w14:paraId="22BA5407" w14:textId="1D4DF923" w:rsidR="00FB6BE7" w:rsidRPr="00DB7156" w:rsidRDefault="00630362" w:rsidP="00DB7156">
      <w:pPr>
        <w:spacing w:after="0" w:line="240" w:lineRule="auto"/>
        <w:jc w:val="both"/>
        <w:rPr>
          <w:rFonts w:ascii="Arial" w:hAnsi="Arial" w:cs="Arial"/>
          <w:b/>
          <w:caps/>
          <w:color w:val="000080"/>
          <w:sz w:val="24"/>
          <w:szCs w:val="24"/>
          <w:u w:val="single"/>
        </w:rPr>
      </w:pPr>
      <w:r w:rsidRPr="00DB7156">
        <w:rPr>
          <w:rFonts w:ascii="Arial" w:hAnsi="Arial" w:cs="Arial"/>
          <w:b/>
          <w:caps/>
          <w:color w:val="000080"/>
          <w:sz w:val="24"/>
          <w:szCs w:val="24"/>
          <w:u w:val="single"/>
        </w:rPr>
        <w:t xml:space="preserve">envrionmental </w:t>
      </w:r>
      <w:r w:rsidR="00FB6BE7" w:rsidRPr="00DB7156">
        <w:rPr>
          <w:rFonts w:ascii="Arial" w:hAnsi="Arial" w:cs="Arial"/>
          <w:b/>
          <w:caps/>
          <w:color w:val="000080"/>
          <w:sz w:val="24"/>
          <w:szCs w:val="24"/>
          <w:u w:val="single"/>
        </w:rPr>
        <w:t>Control Alternatives</w:t>
      </w:r>
    </w:p>
    <w:p w14:paraId="22BA5408" w14:textId="77777777" w:rsidR="00FB6BE7" w:rsidRPr="00DB7156" w:rsidRDefault="00FB6BE7" w:rsidP="00DB7156">
      <w:pPr>
        <w:spacing w:after="0" w:line="240" w:lineRule="auto"/>
        <w:jc w:val="both"/>
        <w:rPr>
          <w:rFonts w:ascii="Arial" w:hAnsi="Arial" w:cs="Arial"/>
          <w:color w:val="000080"/>
          <w:sz w:val="18"/>
          <w:szCs w:val="24"/>
          <w:u w:val="single"/>
        </w:rPr>
      </w:pPr>
    </w:p>
    <w:p w14:paraId="22BA5409" w14:textId="77777777" w:rsidR="00FB6BE7" w:rsidRPr="00DB7156" w:rsidRDefault="00FB6BE7" w:rsidP="00DB7156">
      <w:pPr>
        <w:spacing w:after="0" w:line="240" w:lineRule="auto"/>
        <w:jc w:val="both"/>
        <w:rPr>
          <w:rFonts w:ascii="Arial" w:hAnsi="Arial" w:cs="Arial"/>
          <w:b/>
          <w:color w:val="000080"/>
          <w:sz w:val="24"/>
          <w:szCs w:val="24"/>
        </w:rPr>
      </w:pPr>
      <w:r w:rsidRPr="00DB7156">
        <w:rPr>
          <w:rFonts w:ascii="Arial" w:hAnsi="Arial" w:cs="Arial"/>
          <w:b/>
          <w:color w:val="000080"/>
          <w:sz w:val="24"/>
          <w:szCs w:val="24"/>
        </w:rPr>
        <w:t>INDEX</w:t>
      </w:r>
    </w:p>
    <w:p w14:paraId="22BA540A" w14:textId="77777777" w:rsidR="00FB6BE7" w:rsidRPr="00DB7156" w:rsidRDefault="00FB6BE7" w:rsidP="00DB7156">
      <w:pPr>
        <w:spacing w:after="0" w:line="240" w:lineRule="auto"/>
        <w:jc w:val="both"/>
        <w:rPr>
          <w:rFonts w:ascii="Arial" w:hAnsi="Arial" w:cs="Arial"/>
          <w:b/>
          <w:color w:val="333399"/>
          <w:sz w:val="18"/>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770"/>
      </w:tblGrid>
      <w:tr w:rsidR="00FB6BE7" w:rsidRPr="00DB7156" w14:paraId="22BA540D" w14:textId="77777777" w:rsidTr="00E70F27">
        <w:tc>
          <w:tcPr>
            <w:tcW w:w="1086" w:type="dxa"/>
          </w:tcPr>
          <w:p w14:paraId="22BA540B"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I.</w:t>
            </w:r>
          </w:p>
        </w:tc>
        <w:tc>
          <w:tcPr>
            <w:tcW w:w="7770" w:type="dxa"/>
          </w:tcPr>
          <w:p w14:paraId="22BA540C" w14:textId="77777777" w:rsidR="00FB6BE7" w:rsidRPr="00DB7156" w:rsidRDefault="00FB6BE7" w:rsidP="00DB7156">
            <w:pPr>
              <w:spacing w:after="0" w:line="240" w:lineRule="auto"/>
              <w:jc w:val="both"/>
              <w:rPr>
                <w:rFonts w:ascii="Arial" w:hAnsi="Arial" w:cs="Arial"/>
                <w:b/>
                <w:color w:val="000080"/>
                <w:sz w:val="24"/>
                <w:szCs w:val="24"/>
              </w:rPr>
            </w:pPr>
            <w:r w:rsidRPr="00DB7156">
              <w:rPr>
                <w:rFonts w:ascii="Arial" w:hAnsi="Arial" w:cs="Arial"/>
                <w:color w:val="000080"/>
                <w:sz w:val="24"/>
                <w:szCs w:val="24"/>
              </w:rPr>
              <w:t>Selective Catalytic Reduction (SCR)</w:t>
            </w:r>
          </w:p>
        </w:tc>
      </w:tr>
      <w:tr w:rsidR="00FB6BE7" w:rsidRPr="00DB7156" w14:paraId="22BA5410" w14:textId="77777777" w:rsidTr="00E70F27">
        <w:tc>
          <w:tcPr>
            <w:tcW w:w="1086" w:type="dxa"/>
          </w:tcPr>
          <w:p w14:paraId="22BA540E"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0F" w14:textId="77777777" w:rsidR="00FB6BE7" w:rsidRPr="00DB7156" w:rsidRDefault="00FB6BE7" w:rsidP="00DB7156">
            <w:pPr>
              <w:spacing w:after="0" w:line="240" w:lineRule="auto"/>
              <w:jc w:val="both"/>
              <w:rPr>
                <w:rFonts w:ascii="Arial" w:hAnsi="Arial" w:cs="Arial"/>
                <w:b/>
                <w:color w:val="000080"/>
                <w:sz w:val="24"/>
                <w:szCs w:val="24"/>
              </w:rPr>
            </w:pPr>
          </w:p>
        </w:tc>
      </w:tr>
      <w:tr w:rsidR="00FB6BE7" w:rsidRPr="00DB7156" w14:paraId="22BA5413" w14:textId="77777777" w:rsidTr="00E70F27">
        <w:tc>
          <w:tcPr>
            <w:tcW w:w="1086" w:type="dxa"/>
          </w:tcPr>
          <w:p w14:paraId="22BA5411"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II.</w:t>
            </w:r>
          </w:p>
        </w:tc>
        <w:tc>
          <w:tcPr>
            <w:tcW w:w="7770" w:type="dxa"/>
          </w:tcPr>
          <w:p w14:paraId="22BA5412"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Selective Noncatalytic Reduction (SNCR)</w:t>
            </w:r>
          </w:p>
        </w:tc>
      </w:tr>
      <w:tr w:rsidR="00FB6BE7" w:rsidRPr="00DB7156" w14:paraId="22BA5416" w14:textId="77777777" w:rsidTr="00E70F27">
        <w:tc>
          <w:tcPr>
            <w:tcW w:w="1086" w:type="dxa"/>
          </w:tcPr>
          <w:p w14:paraId="22BA5414"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15" w14:textId="77777777" w:rsidR="00FB6BE7" w:rsidRPr="00DB7156" w:rsidRDefault="00FB6BE7" w:rsidP="00DB7156">
            <w:pPr>
              <w:spacing w:after="0" w:line="240" w:lineRule="auto"/>
              <w:jc w:val="both"/>
              <w:rPr>
                <w:rFonts w:ascii="Arial" w:hAnsi="Arial" w:cs="Arial"/>
                <w:b/>
                <w:color w:val="000080"/>
                <w:sz w:val="24"/>
                <w:szCs w:val="24"/>
              </w:rPr>
            </w:pPr>
          </w:p>
        </w:tc>
      </w:tr>
      <w:tr w:rsidR="00FB6BE7" w:rsidRPr="00DB7156" w14:paraId="22BA5419" w14:textId="77777777" w:rsidTr="00E70F27">
        <w:tc>
          <w:tcPr>
            <w:tcW w:w="1086" w:type="dxa"/>
          </w:tcPr>
          <w:p w14:paraId="22BA5417"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III</w:t>
            </w:r>
          </w:p>
        </w:tc>
        <w:tc>
          <w:tcPr>
            <w:tcW w:w="7770" w:type="dxa"/>
          </w:tcPr>
          <w:p w14:paraId="22BA5418"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Fuel Switch to Natural Gas</w:t>
            </w:r>
          </w:p>
        </w:tc>
      </w:tr>
      <w:tr w:rsidR="00FB6BE7" w:rsidRPr="00DB7156" w14:paraId="22BA541C" w14:textId="77777777" w:rsidTr="00E70F27">
        <w:tc>
          <w:tcPr>
            <w:tcW w:w="1086" w:type="dxa"/>
          </w:tcPr>
          <w:p w14:paraId="22BA541A"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1B" w14:textId="77777777" w:rsidR="00FB6BE7" w:rsidRPr="00DB7156" w:rsidRDefault="00FB6BE7" w:rsidP="00DB7156">
            <w:pPr>
              <w:spacing w:after="0" w:line="240" w:lineRule="auto"/>
              <w:jc w:val="both"/>
              <w:rPr>
                <w:rFonts w:ascii="Arial" w:hAnsi="Arial" w:cs="Arial"/>
                <w:b/>
                <w:color w:val="000080"/>
                <w:sz w:val="24"/>
                <w:szCs w:val="24"/>
              </w:rPr>
            </w:pPr>
          </w:p>
        </w:tc>
      </w:tr>
      <w:tr w:rsidR="00FB6BE7" w:rsidRPr="00DB7156" w14:paraId="22BA541F" w14:textId="77777777" w:rsidTr="00E70F27">
        <w:tc>
          <w:tcPr>
            <w:tcW w:w="1086" w:type="dxa"/>
          </w:tcPr>
          <w:p w14:paraId="22BA541D"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IV.</w:t>
            </w:r>
          </w:p>
        </w:tc>
        <w:tc>
          <w:tcPr>
            <w:tcW w:w="7770" w:type="dxa"/>
          </w:tcPr>
          <w:p w14:paraId="22BA541E"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Low-NO</w:t>
            </w:r>
            <w:r w:rsidRPr="00DB7156">
              <w:rPr>
                <w:rFonts w:ascii="Arial" w:hAnsi="Arial" w:cs="Arial"/>
                <w:color w:val="000080"/>
                <w:sz w:val="24"/>
                <w:szCs w:val="24"/>
                <w:vertAlign w:val="subscript"/>
              </w:rPr>
              <w:t>X</w:t>
            </w:r>
            <w:r w:rsidRPr="00DB7156">
              <w:rPr>
                <w:rFonts w:ascii="Arial" w:hAnsi="Arial" w:cs="Arial"/>
                <w:color w:val="000080"/>
                <w:sz w:val="24"/>
                <w:szCs w:val="24"/>
              </w:rPr>
              <w:t xml:space="preserve"> Burners (LNBs) and Overfire Air</w:t>
            </w:r>
          </w:p>
        </w:tc>
      </w:tr>
      <w:tr w:rsidR="00FB6BE7" w:rsidRPr="00DB7156" w14:paraId="22BA5422" w14:textId="77777777" w:rsidTr="00E70F27">
        <w:tc>
          <w:tcPr>
            <w:tcW w:w="1086" w:type="dxa"/>
          </w:tcPr>
          <w:p w14:paraId="22BA5420"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21"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25" w14:textId="77777777" w:rsidTr="00E70F27">
        <w:tc>
          <w:tcPr>
            <w:tcW w:w="1086" w:type="dxa"/>
          </w:tcPr>
          <w:p w14:paraId="22BA5423"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V.</w:t>
            </w:r>
          </w:p>
        </w:tc>
        <w:tc>
          <w:tcPr>
            <w:tcW w:w="7770" w:type="dxa"/>
          </w:tcPr>
          <w:p w14:paraId="22BA5424"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Powder River Basin (PRB) Coal</w:t>
            </w:r>
          </w:p>
        </w:tc>
      </w:tr>
      <w:tr w:rsidR="00FB6BE7" w:rsidRPr="00DB7156" w14:paraId="22BA5428" w14:textId="77777777" w:rsidTr="00E70F27">
        <w:tc>
          <w:tcPr>
            <w:tcW w:w="1086" w:type="dxa"/>
          </w:tcPr>
          <w:p w14:paraId="22BA5426"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27"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2B" w14:textId="77777777" w:rsidTr="00E70F27">
        <w:tc>
          <w:tcPr>
            <w:tcW w:w="1086" w:type="dxa"/>
          </w:tcPr>
          <w:p w14:paraId="22BA5429"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VI.</w:t>
            </w:r>
          </w:p>
        </w:tc>
        <w:tc>
          <w:tcPr>
            <w:tcW w:w="7770" w:type="dxa"/>
          </w:tcPr>
          <w:p w14:paraId="22BA542A"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Flue Gas Desulfurization (FGD)</w:t>
            </w:r>
          </w:p>
        </w:tc>
      </w:tr>
      <w:tr w:rsidR="00FB6BE7" w:rsidRPr="00DB7156" w14:paraId="22BA542E" w14:textId="77777777" w:rsidTr="00E70F27">
        <w:tc>
          <w:tcPr>
            <w:tcW w:w="1086" w:type="dxa"/>
          </w:tcPr>
          <w:p w14:paraId="22BA542C"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2D"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31" w14:textId="77777777" w:rsidTr="00E70F27">
        <w:tc>
          <w:tcPr>
            <w:tcW w:w="1086" w:type="dxa"/>
          </w:tcPr>
          <w:p w14:paraId="22BA542F"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VII.</w:t>
            </w:r>
          </w:p>
        </w:tc>
        <w:tc>
          <w:tcPr>
            <w:tcW w:w="7770" w:type="dxa"/>
          </w:tcPr>
          <w:p w14:paraId="22BA5430" w14:textId="5EFFE24F"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Dry Sorbent Injection</w:t>
            </w:r>
            <w:r w:rsidR="005E2595" w:rsidRPr="00DB7156">
              <w:rPr>
                <w:rFonts w:ascii="Arial" w:hAnsi="Arial" w:cs="Arial"/>
                <w:color w:val="000080"/>
                <w:sz w:val="24"/>
                <w:szCs w:val="24"/>
              </w:rPr>
              <w:t xml:space="preserve"> (DSI)</w:t>
            </w:r>
          </w:p>
        </w:tc>
      </w:tr>
      <w:tr w:rsidR="00FB6BE7" w:rsidRPr="00DB7156" w14:paraId="22BA5434" w14:textId="77777777" w:rsidTr="00E70F27">
        <w:tc>
          <w:tcPr>
            <w:tcW w:w="1086" w:type="dxa"/>
          </w:tcPr>
          <w:p w14:paraId="22BA5432"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33"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37" w14:textId="77777777" w:rsidTr="00E70F27">
        <w:tc>
          <w:tcPr>
            <w:tcW w:w="1086" w:type="dxa"/>
          </w:tcPr>
          <w:p w14:paraId="22BA5435"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VIII.</w:t>
            </w:r>
          </w:p>
        </w:tc>
        <w:tc>
          <w:tcPr>
            <w:tcW w:w="7770" w:type="dxa"/>
          </w:tcPr>
          <w:p w14:paraId="22BA5436"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Baghouses</w:t>
            </w:r>
          </w:p>
        </w:tc>
      </w:tr>
      <w:tr w:rsidR="00FB6BE7" w:rsidRPr="00DB7156" w14:paraId="22BA543A" w14:textId="77777777" w:rsidTr="00E70F27">
        <w:tc>
          <w:tcPr>
            <w:tcW w:w="1086" w:type="dxa"/>
          </w:tcPr>
          <w:p w14:paraId="22BA5438"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39"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3D" w14:textId="77777777" w:rsidTr="00E70F27">
        <w:tc>
          <w:tcPr>
            <w:tcW w:w="1086" w:type="dxa"/>
          </w:tcPr>
          <w:p w14:paraId="22BA543B"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IX.</w:t>
            </w:r>
          </w:p>
        </w:tc>
        <w:tc>
          <w:tcPr>
            <w:tcW w:w="7770" w:type="dxa"/>
          </w:tcPr>
          <w:p w14:paraId="22BA543C" w14:textId="5F3505CB"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Activated Carbon Injection</w:t>
            </w:r>
            <w:r w:rsidR="002F2289" w:rsidRPr="00DB7156">
              <w:rPr>
                <w:rFonts w:ascii="Arial" w:hAnsi="Arial" w:cs="Arial"/>
                <w:color w:val="000080"/>
                <w:sz w:val="24"/>
                <w:szCs w:val="24"/>
              </w:rPr>
              <w:t xml:space="preserve"> </w:t>
            </w:r>
            <w:r w:rsidR="005E2595" w:rsidRPr="00DB7156">
              <w:rPr>
                <w:rFonts w:ascii="Arial" w:hAnsi="Arial" w:cs="Arial"/>
                <w:color w:val="000080"/>
                <w:sz w:val="24"/>
                <w:szCs w:val="24"/>
              </w:rPr>
              <w:t xml:space="preserve">(ACI) </w:t>
            </w:r>
            <w:r w:rsidR="002F2289" w:rsidRPr="00DB7156">
              <w:rPr>
                <w:rFonts w:ascii="Arial" w:hAnsi="Arial" w:cs="Arial"/>
                <w:color w:val="000080"/>
                <w:sz w:val="24"/>
                <w:szCs w:val="24"/>
              </w:rPr>
              <w:t xml:space="preserve">and </w:t>
            </w:r>
            <w:r w:rsidR="00050DFA" w:rsidRPr="00DB7156">
              <w:rPr>
                <w:rFonts w:ascii="Arial" w:hAnsi="Arial" w:cs="Arial"/>
                <w:color w:val="000080"/>
                <w:sz w:val="24"/>
                <w:szCs w:val="24"/>
              </w:rPr>
              <w:t>Alkali Sorbent Injection</w:t>
            </w:r>
            <w:r w:rsidR="005E2595" w:rsidRPr="00DB7156">
              <w:rPr>
                <w:rFonts w:ascii="Arial" w:hAnsi="Arial" w:cs="Arial"/>
                <w:color w:val="000080"/>
                <w:sz w:val="24"/>
                <w:szCs w:val="24"/>
              </w:rPr>
              <w:t xml:space="preserve"> (ALK)</w:t>
            </w:r>
          </w:p>
        </w:tc>
      </w:tr>
      <w:tr w:rsidR="00FB6BE7" w:rsidRPr="00DB7156" w14:paraId="22BA5440" w14:textId="77777777" w:rsidTr="00E70F27">
        <w:tc>
          <w:tcPr>
            <w:tcW w:w="1086" w:type="dxa"/>
          </w:tcPr>
          <w:p w14:paraId="22BA543E"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3F"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43" w14:textId="77777777" w:rsidTr="00E70F27">
        <w:tc>
          <w:tcPr>
            <w:tcW w:w="1086" w:type="dxa"/>
          </w:tcPr>
          <w:p w14:paraId="22BA5441"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w:t>
            </w:r>
          </w:p>
        </w:tc>
        <w:tc>
          <w:tcPr>
            <w:tcW w:w="7770" w:type="dxa"/>
          </w:tcPr>
          <w:p w14:paraId="22BA5442" w14:textId="1E4538F4" w:rsidR="00FB6BE7" w:rsidRPr="00DB7156" w:rsidRDefault="005E2595"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Halogen</w:t>
            </w:r>
            <w:r w:rsidR="00FB6BE7" w:rsidRPr="00DB7156">
              <w:rPr>
                <w:rFonts w:ascii="Arial" w:hAnsi="Arial" w:cs="Arial"/>
                <w:color w:val="000080"/>
                <w:sz w:val="24"/>
                <w:szCs w:val="24"/>
              </w:rPr>
              <w:t xml:space="preserve"> Injection for Mercury Removal</w:t>
            </w:r>
          </w:p>
        </w:tc>
      </w:tr>
      <w:tr w:rsidR="00FB6BE7" w:rsidRPr="00DB7156" w14:paraId="22BA5446" w14:textId="77777777" w:rsidTr="00E70F27">
        <w:tc>
          <w:tcPr>
            <w:tcW w:w="1086" w:type="dxa"/>
          </w:tcPr>
          <w:p w14:paraId="22BA5444"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45"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49" w14:textId="77777777" w:rsidTr="00E70F27">
        <w:tc>
          <w:tcPr>
            <w:tcW w:w="1086" w:type="dxa"/>
          </w:tcPr>
          <w:p w14:paraId="22BA5447"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XI.</w:t>
            </w:r>
          </w:p>
        </w:tc>
        <w:tc>
          <w:tcPr>
            <w:tcW w:w="7770" w:type="dxa"/>
          </w:tcPr>
          <w:p w14:paraId="22BA5448" w14:textId="7746D9BC" w:rsidR="00FB6BE7" w:rsidRPr="00DB7156" w:rsidRDefault="00050DFA"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 xml:space="preserve">Mercury Re-emission Control </w:t>
            </w:r>
            <w:r w:rsidR="002972FF" w:rsidRPr="00DB7156">
              <w:rPr>
                <w:rFonts w:ascii="Arial" w:hAnsi="Arial" w:cs="Arial"/>
                <w:color w:val="000080"/>
                <w:sz w:val="24"/>
                <w:szCs w:val="24"/>
              </w:rPr>
              <w:t>Systems (</w:t>
            </w:r>
            <w:r w:rsidR="005E2595" w:rsidRPr="00DB7156">
              <w:rPr>
                <w:rFonts w:ascii="Arial" w:hAnsi="Arial" w:cs="Arial"/>
                <w:color w:val="000080"/>
                <w:sz w:val="24"/>
                <w:szCs w:val="24"/>
              </w:rPr>
              <w:t>MRCS)</w:t>
            </w:r>
          </w:p>
        </w:tc>
      </w:tr>
      <w:tr w:rsidR="00FB6BE7" w:rsidRPr="00DB7156" w14:paraId="22BA544C" w14:textId="77777777" w:rsidTr="00E70F27">
        <w:tc>
          <w:tcPr>
            <w:tcW w:w="1086" w:type="dxa"/>
          </w:tcPr>
          <w:p w14:paraId="22BA544A"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4B"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55" w14:textId="77777777" w:rsidTr="00E70F27">
        <w:tc>
          <w:tcPr>
            <w:tcW w:w="1086" w:type="dxa"/>
          </w:tcPr>
          <w:p w14:paraId="22BA5453" w14:textId="50B33FCC" w:rsidR="00FB6BE7" w:rsidRPr="00DB7156" w:rsidRDefault="00E64A0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XII</w:t>
            </w:r>
            <w:r w:rsidR="00FB6BE7" w:rsidRPr="00DB7156">
              <w:rPr>
                <w:rFonts w:ascii="Arial" w:hAnsi="Arial" w:cs="Arial"/>
                <w:color w:val="000080"/>
                <w:sz w:val="24"/>
                <w:szCs w:val="24"/>
              </w:rPr>
              <w:t>.</w:t>
            </w:r>
          </w:p>
        </w:tc>
        <w:tc>
          <w:tcPr>
            <w:tcW w:w="7770" w:type="dxa"/>
          </w:tcPr>
          <w:p w14:paraId="22BA5454"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Containment and Control Technologies for Ash Storage Areas</w:t>
            </w:r>
          </w:p>
        </w:tc>
      </w:tr>
      <w:tr w:rsidR="00FB6BE7" w:rsidRPr="00DB7156" w14:paraId="22BA5458" w14:textId="77777777" w:rsidTr="00E70F27">
        <w:tc>
          <w:tcPr>
            <w:tcW w:w="1086" w:type="dxa"/>
          </w:tcPr>
          <w:p w14:paraId="22BA5456"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57" w14:textId="77777777" w:rsidR="00FB6BE7" w:rsidRPr="00DB7156" w:rsidRDefault="00FB6BE7" w:rsidP="00DB7156">
            <w:pPr>
              <w:spacing w:after="0" w:line="240" w:lineRule="auto"/>
              <w:jc w:val="both"/>
              <w:rPr>
                <w:rFonts w:ascii="Arial" w:hAnsi="Arial" w:cs="Arial"/>
                <w:color w:val="000080"/>
                <w:sz w:val="24"/>
                <w:szCs w:val="24"/>
                <w:lang w:val="nl-NL"/>
              </w:rPr>
            </w:pPr>
          </w:p>
        </w:tc>
      </w:tr>
      <w:tr w:rsidR="00FB6BE7" w:rsidRPr="00DB7156" w14:paraId="22BA545B" w14:textId="77777777" w:rsidTr="00E70F27">
        <w:tc>
          <w:tcPr>
            <w:tcW w:w="1086" w:type="dxa"/>
          </w:tcPr>
          <w:p w14:paraId="22BA5459" w14:textId="041388CB" w:rsidR="00FB6BE7" w:rsidRPr="00DB7156" w:rsidRDefault="00E64A0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XIII</w:t>
            </w:r>
            <w:r w:rsidR="00FB6BE7" w:rsidRPr="00DB7156">
              <w:rPr>
                <w:rFonts w:ascii="Arial" w:hAnsi="Arial" w:cs="Arial"/>
                <w:color w:val="000080"/>
                <w:sz w:val="24"/>
                <w:szCs w:val="24"/>
              </w:rPr>
              <w:t>.</w:t>
            </w:r>
          </w:p>
        </w:tc>
        <w:tc>
          <w:tcPr>
            <w:tcW w:w="7770" w:type="dxa"/>
          </w:tcPr>
          <w:p w14:paraId="22BA545A"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Cooling Water Intake Screen Technology</w:t>
            </w:r>
          </w:p>
        </w:tc>
      </w:tr>
      <w:tr w:rsidR="00FB6BE7" w:rsidRPr="00DB7156" w14:paraId="22BA545E" w14:textId="77777777" w:rsidTr="00E70F27">
        <w:tc>
          <w:tcPr>
            <w:tcW w:w="1086" w:type="dxa"/>
          </w:tcPr>
          <w:p w14:paraId="22BA545C"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5D"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61" w14:textId="77777777" w:rsidTr="00E70F27">
        <w:tc>
          <w:tcPr>
            <w:tcW w:w="1086" w:type="dxa"/>
          </w:tcPr>
          <w:p w14:paraId="22BA545F" w14:textId="24649C0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w:t>
            </w:r>
            <w:r w:rsidR="00E64A0F" w:rsidRPr="00DB7156">
              <w:rPr>
                <w:rFonts w:ascii="Arial" w:hAnsi="Arial" w:cs="Arial"/>
                <w:color w:val="000080"/>
                <w:sz w:val="24"/>
                <w:szCs w:val="24"/>
              </w:rPr>
              <w:t>I</w:t>
            </w:r>
            <w:r w:rsidRPr="00DB7156">
              <w:rPr>
                <w:rFonts w:ascii="Arial" w:hAnsi="Arial" w:cs="Arial"/>
                <w:color w:val="000080"/>
                <w:sz w:val="24"/>
                <w:szCs w:val="24"/>
              </w:rPr>
              <w:t>V.</w:t>
            </w:r>
          </w:p>
        </w:tc>
        <w:tc>
          <w:tcPr>
            <w:tcW w:w="7770" w:type="dxa"/>
          </w:tcPr>
          <w:p w14:paraId="22BA5460"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Water Cooling Technologies</w:t>
            </w:r>
          </w:p>
        </w:tc>
      </w:tr>
      <w:tr w:rsidR="00FB6BE7" w:rsidRPr="00DB7156" w14:paraId="22BA5464" w14:textId="77777777" w:rsidTr="00E70F27">
        <w:tc>
          <w:tcPr>
            <w:tcW w:w="1086" w:type="dxa"/>
          </w:tcPr>
          <w:p w14:paraId="22BA5462"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63"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67" w14:textId="77777777" w:rsidTr="00E70F27">
        <w:tc>
          <w:tcPr>
            <w:tcW w:w="1086" w:type="dxa"/>
          </w:tcPr>
          <w:p w14:paraId="22BA5465" w14:textId="09B5A44A" w:rsidR="00FB6BE7" w:rsidRPr="00DB7156" w:rsidRDefault="00E64A0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XV</w:t>
            </w:r>
            <w:r w:rsidR="00FB6BE7" w:rsidRPr="00DB7156">
              <w:rPr>
                <w:rFonts w:ascii="Arial" w:hAnsi="Arial" w:cs="Arial"/>
                <w:color w:val="000080"/>
                <w:sz w:val="24"/>
                <w:szCs w:val="24"/>
              </w:rPr>
              <w:t>.</w:t>
            </w:r>
          </w:p>
        </w:tc>
        <w:tc>
          <w:tcPr>
            <w:tcW w:w="7770" w:type="dxa"/>
          </w:tcPr>
          <w:p w14:paraId="22BA5466"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Water Research Center</w:t>
            </w:r>
          </w:p>
        </w:tc>
      </w:tr>
      <w:tr w:rsidR="00FB6BE7" w:rsidRPr="00DB7156" w14:paraId="22BA546A" w14:textId="77777777" w:rsidTr="00E70F27">
        <w:tc>
          <w:tcPr>
            <w:tcW w:w="1086" w:type="dxa"/>
          </w:tcPr>
          <w:p w14:paraId="22BA5468"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69"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6D" w14:textId="77777777" w:rsidTr="00E70F27">
        <w:tc>
          <w:tcPr>
            <w:tcW w:w="1086" w:type="dxa"/>
          </w:tcPr>
          <w:p w14:paraId="22BA546B" w14:textId="7A529699" w:rsidR="00FB6BE7" w:rsidRPr="00DB7156" w:rsidRDefault="00E64A0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XVI</w:t>
            </w:r>
            <w:r w:rsidR="00FB6BE7" w:rsidRPr="00DB7156">
              <w:rPr>
                <w:rFonts w:ascii="Arial" w:hAnsi="Arial" w:cs="Arial"/>
                <w:color w:val="000080"/>
                <w:sz w:val="24"/>
                <w:szCs w:val="24"/>
              </w:rPr>
              <w:t>.</w:t>
            </w:r>
          </w:p>
        </w:tc>
        <w:tc>
          <w:tcPr>
            <w:tcW w:w="7770" w:type="dxa"/>
          </w:tcPr>
          <w:p w14:paraId="22BA546C"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Ash Handling Methods</w:t>
            </w:r>
          </w:p>
        </w:tc>
      </w:tr>
      <w:tr w:rsidR="00FB6BE7" w:rsidRPr="00DB7156" w14:paraId="22BA5470" w14:textId="77777777" w:rsidTr="00E70F27">
        <w:tc>
          <w:tcPr>
            <w:tcW w:w="1086" w:type="dxa"/>
          </w:tcPr>
          <w:p w14:paraId="22BA546E"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6F"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73" w14:textId="77777777" w:rsidTr="00E70F27">
        <w:tc>
          <w:tcPr>
            <w:tcW w:w="1086" w:type="dxa"/>
          </w:tcPr>
          <w:p w14:paraId="22BA5471" w14:textId="359ABBA0" w:rsidR="00FB6BE7" w:rsidRPr="00DB7156" w:rsidRDefault="00E64A0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XVII</w:t>
            </w:r>
            <w:r w:rsidR="00FB6BE7" w:rsidRPr="00DB7156">
              <w:rPr>
                <w:rFonts w:ascii="Arial" w:hAnsi="Arial" w:cs="Arial"/>
                <w:color w:val="000080"/>
                <w:sz w:val="24"/>
                <w:szCs w:val="24"/>
              </w:rPr>
              <w:t>.</w:t>
            </w:r>
          </w:p>
        </w:tc>
        <w:tc>
          <w:tcPr>
            <w:tcW w:w="7770" w:type="dxa"/>
          </w:tcPr>
          <w:p w14:paraId="22BA5472" w14:textId="77777777"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Landfills</w:t>
            </w:r>
          </w:p>
        </w:tc>
      </w:tr>
      <w:tr w:rsidR="00FB6BE7" w:rsidRPr="00DB7156" w14:paraId="22BA5476" w14:textId="77777777" w:rsidTr="00E70F27">
        <w:tc>
          <w:tcPr>
            <w:tcW w:w="1086" w:type="dxa"/>
          </w:tcPr>
          <w:p w14:paraId="22BA5474" w14:textId="77777777" w:rsidR="00FB6BE7" w:rsidRPr="00DB7156" w:rsidRDefault="00FB6BE7" w:rsidP="00DB7156">
            <w:pPr>
              <w:spacing w:after="0" w:line="240" w:lineRule="auto"/>
              <w:jc w:val="both"/>
              <w:rPr>
                <w:rFonts w:ascii="Arial" w:hAnsi="Arial" w:cs="Arial"/>
                <w:color w:val="000080"/>
                <w:sz w:val="24"/>
                <w:szCs w:val="24"/>
              </w:rPr>
            </w:pPr>
          </w:p>
        </w:tc>
        <w:tc>
          <w:tcPr>
            <w:tcW w:w="7770" w:type="dxa"/>
          </w:tcPr>
          <w:p w14:paraId="22BA5475" w14:textId="77777777" w:rsidR="00FB6BE7" w:rsidRPr="00DB7156" w:rsidRDefault="00FB6BE7" w:rsidP="00DB7156">
            <w:pPr>
              <w:spacing w:after="0" w:line="240" w:lineRule="auto"/>
              <w:jc w:val="both"/>
              <w:rPr>
                <w:rFonts w:ascii="Arial" w:hAnsi="Arial" w:cs="Arial"/>
                <w:color w:val="000080"/>
                <w:sz w:val="24"/>
                <w:szCs w:val="24"/>
              </w:rPr>
            </w:pPr>
          </w:p>
        </w:tc>
      </w:tr>
      <w:tr w:rsidR="00FB6BE7" w:rsidRPr="00DB7156" w14:paraId="22BA5479" w14:textId="77777777" w:rsidTr="00E70F27">
        <w:tc>
          <w:tcPr>
            <w:tcW w:w="1086" w:type="dxa"/>
          </w:tcPr>
          <w:p w14:paraId="22BA5477" w14:textId="47E3F5ED" w:rsidR="00FB6BE7" w:rsidRPr="00DB7156" w:rsidRDefault="00E64A0F"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XVIII</w:t>
            </w:r>
            <w:r w:rsidR="00FB6BE7" w:rsidRPr="00DB7156">
              <w:rPr>
                <w:rFonts w:ascii="Arial" w:hAnsi="Arial" w:cs="Arial"/>
                <w:color w:val="000080"/>
                <w:sz w:val="24"/>
                <w:szCs w:val="24"/>
              </w:rPr>
              <w:t>.</w:t>
            </w:r>
          </w:p>
        </w:tc>
        <w:tc>
          <w:tcPr>
            <w:tcW w:w="7770" w:type="dxa"/>
          </w:tcPr>
          <w:p w14:paraId="22BA5478" w14:textId="14115A86" w:rsidR="00FB6BE7" w:rsidRPr="00DB7156" w:rsidRDefault="00FB6BE7" w:rsidP="00DB7156">
            <w:pPr>
              <w:spacing w:after="0" w:line="240" w:lineRule="auto"/>
              <w:jc w:val="both"/>
              <w:rPr>
                <w:rFonts w:ascii="Arial" w:hAnsi="Arial" w:cs="Arial"/>
                <w:color w:val="000080"/>
                <w:sz w:val="24"/>
                <w:szCs w:val="24"/>
              </w:rPr>
            </w:pPr>
            <w:r w:rsidRPr="00DB7156">
              <w:rPr>
                <w:rFonts w:ascii="Arial" w:hAnsi="Arial" w:cs="Arial"/>
                <w:color w:val="000080"/>
                <w:sz w:val="24"/>
                <w:szCs w:val="24"/>
              </w:rPr>
              <w:t>Waste</w:t>
            </w:r>
            <w:r w:rsidR="004D1FAB">
              <w:rPr>
                <w:rFonts w:ascii="Arial" w:hAnsi="Arial" w:cs="Arial"/>
                <w:color w:val="000080"/>
                <w:sz w:val="24"/>
                <w:szCs w:val="24"/>
              </w:rPr>
              <w:t>w</w:t>
            </w:r>
            <w:r w:rsidRPr="00DB7156">
              <w:rPr>
                <w:rFonts w:ascii="Arial" w:hAnsi="Arial" w:cs="Arial"/>
                <w:color w:val="000080"/>
                <w:sz w:val="24"/>
                <w:szCs w:val="24"/>
              </w:rPr>
              <w:t>ater Treatment</w:t>
            </w:r>
          </w:p>
        </w:tc>
      </w:tr>
    </w:tbl>
    <w:p w14:paraId="4479245A" w14:textId="77777777" w:rsidR="00E64A0F" w:rsidRPr="00DB7156" w:rsidRDefault="00E70F27" w:rsidP="00DB7156">
      <w:pPr>
        <w:spacing w:after="0" w:line="240" w:lineRule="auto"/>
        <w:jc w:val="both"/>
        <w:rPr>
          <w:rFonts w:ascii="Arial" w:hAnsi="Arial" w:cs="Arial"/>
          <w:b/>
          <w:caps/>
          <w:color w:val="000080"/>
          <w:sz w:val="24"/>
          <w:szCs w:val="24"/>
          <w:u w:val="single"/>
        </w:rPr>
      </w:pPr>
      <w:r w:rsidRPr="00DB7156">
        <w:rPr>
          <w:rFonts w:ascii="Arial" w:hAnsi="Arial" w:cs="Arial"/>
          <w:b/>
          <w:caps/>
          <w:color w:val="000080"/>
          <w:sz w:val="24"/>
          <w:szCs w:val="24"/>
          <w:u w:val="single"/>
        </w:rPr>
        <w:br w:type="textWrapping" w:clear="all"/>
      </w:r>
    </w:p>
    <w:p w14:paraId="7D09E904" w14:textId="77777777" w:rsidR="00E64A0F" w:rsidRPr="00DB7156" w:rsidRDefault="00E64A0F" w:rsidP="00DB7156">
      <w:pPr>
        <w:spacing w:after="0" w:line="240" w:lineRule="auto"/>
        <w:jc w:val="both"/>
        <w:rPr>
          <w:rFonts w:ascii="Arial" w:hAnsi="Arial" w:cs="Arial"/>
          <w:b/>
          <w:caps/>
          <w:color w:val="000080"/>
          <w:sz w:val="24"/>
          <w:szCs w:val="24"/>
          <w:u w:val="single"/>
        </w:rPr>
      </w:pPr>
    </w:p>
    <w:p w14:paraId="22BA547A" w14:textId="535B85C3" w:rsidR="00FB6BE7" w:rsidRPr="00DB7156" w:rsidRDefault="00630362" w:rsidP="00DB7156">
      <w:pPr>
        <w:spacing w:after="0" w:line="240" w:lineRule="auto"/>
        <w:jc w:val="both"/>
        <w:rPr>
          <w:rFonts w:ascii="Arial" w:hAnsi="Arial" w:cs="Arial"/>
          <w:b/>
          <w:caps/>
          <w:color w:val="000080"/>
          <w:sz w:val="24"/>
          <w:szCs w:val="24"/>
          <w:u w:val="single"/>
        </w:rPr>
      </w:pPr>
      <w:r w:rsidRPr="00DB7156">
        <w:rPr>
          <w:rFonts w:ascii="Arial" w:hAnsi="Arial" w:cs="Arial"/>
          <w:b/>
          <w:caps/>
          <w:color w:val="000080"/>
          <w:sz w:val="24"/>
          <w:szCs w:val="24"/>
          <w:u w:val="single"/>
        </w:rPr>
        <w:t xml:space="preserve">environmental </w:t>
      </w:r>
      <w:r w:rsidR="00FB6BE7" w:rsidRPr="00DB7156">
        <w:rPr>
          <w:rFonts w:ascii="Arial" w:hAnsi="Arial" w:cs="Arial"/>
          <w:b/>
          <w:caps/>
          <w:color w:val="000080"/>
          <w:sz w:val="24"/>
          <w:szCs w:val="24"/>
          <w:u w:val="single"/>
        </w:rPr>
        <w:t>Control Alternatives</w:t>
      </w:r>
    </w:p>
    <w:p w14:paraId="22BA547B" w14:textId="77777777" w:rsidR="00FB6BE7" w:rsidRPr="00DB7156" w:rsidRDefault="00FB6BE7" w:rsidP="00DB7156">
      <w:pPr>
        <w:spacing w:after="0" w:line="240" w:lineRule="auto"/>
        <w:jc w:val="both"/>
        <w:rPr>
          <w:rFonts w:ascii="Arial" w:hAnsi="Arial" w:cs="Arial"/>
          <w:color w:val="333399"/>
          <w:sz w:val="24"/>
          <w:szCs w:val="24"/>
        </w:rPr>
      </w:pPr>
    </w:p>
    <w:p w14:paraId="22BA547C" w14:textId="77777777" w:rsidR="00FB6BE7" w:rsidRPr="00DB7156" w:rsidRDefault="00FB6BE7" w:rsidP="00DB7156">
      <w:pPr>
        <w:spacing w:after="0" w:line="240" w:lineRule="auto"/>
        <w:jc w:val="both"/>
        <w:rPr>
          <w:rFonts w:ascii="Arial" w:hAnsi="Arial" w:cs="Arial"/>
          <w:sz w:val="24"/>
          <w:szCs w:val="24"/>
        </w:rPr>
      </w:pPr>
    </w:p>
    <w:p w14:paraId="22BA547D" w14:textId="77777777" w:rsidR="00FB6BE7" w:rsidRPr="00DB7156" w:rsidRDefault="00FB6BE7" w:rsidP="00DB7156">
      <w:pPr>
        <w:tabs>
          <w:tab w:val="left" w:pos="540"/>
        </w:tabs>
        <w:spacing w:after="0" w:line="240" w:lineRule="auto"/>
        <w:jc w:val="both"/>
        <w:rPr>
          <w:rFonts w:ascii="Arial" w:hAnsi="Arial" w:cs="Arial"/>
          <w:b/>
          <w:color w:val="000080"/>
          <w:sz w:val="24"/>
          <w:szCs w:val="24"/>
        </w:rPr>
      </w:pPr>
      <w:r w:rsidRPr="00DB7156">
        <w:rPr>
          <w:rFonts w:ascii="Arial" w:hAnsi="Arial" w:cs="Arial"/>
          <w:b/>
          <w:color w:val="000080"/>
          <w:sz w:val="24"/>
          <w:szCs w:val="24"/>
        </w:rPr>
        <w:t>I.</w:t>
      </w:r>
      <w:r w:rsidRPr="00DB7156">
        <w:rPr>
          <w:rFonts w:ascii="Arial" w:hAnsi="Arial" w:cs="Arial"/>
          <w:b/>
          <w:color w:val="000080"/>
          <w:sz w:val="24"/>
          <w:szCs w:val="24"/>
        </w:rPr>
        <w:tab/>
      </w:r>
      <w:r w:rsidRPr="00DB7156">
        <w:rPr>
          <w:rFonts w:ascii="Arial" w:hAnsi="Arial" w:cs="Arial"/>
          <w:b/>
          <w:color w:val="000080"/>
          <w:sz w:val="24"/>
          <w:szCs w:val="24"/>
          <w:u w:val="single"/>
        </w:rPr>
        <w:t>Selective Catalytic Reduction (SCR)</w:t>
      </w:r>
    </w:p>
    <w:p w14:paraId="22BA547E" w14:textId="77777777" w:rsidR="00FB6BE7" w:rsidRPr="00DB7156" w:rsidRDefault="00FB6BE7" w:rsidP="00DB7156">
      <w:pPr>
        <w:spacing w:after="0" w:line="240" w:lineRule="auto"/>
        <w:jc w:val="both"/>
        <w:rPr>
          <w:rFonts w:ascii="Arial" w:hAnsi="Arial" w:cs="Arial"/>
          <w:sz w:val="24"/>
          <w:szCs w:val="24"/>
        </w:rPr>
      </w:pPr>
    </w:p>
    <w:p w14:paraId="22BA547F" w14:textId="5F549E75"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SCR technology involves the catalytic reaction of ammonia, which is injected into the flue gas, with NO</w:t>
      </w:r>
      <w:r w:rsidRPr="00DB7156">
        <w:rPr>
          <w:rFonts w:ascii="Arial" w:hAnsi="Arial" w:cs="Arial"/>
          <w:sz w:val="24"/>
          <w:szCs w:val="24"/>
          <w:vertAlign w:val="subscript"/>
        </w:rPr>
        <w:t>X</w:t>
      </w:r>
      <w:r w:rsidRPr="00DB7156">
        <w:rPr>
          <w:rFonts w:ascii="Arial" w:hAnsi="Arial" w:cs="Arial"/>
          <w:sz w:val="24"/>
          <w:szCs w:val="24"/>
        </w:rPr>
        <w:t xml:space="preserve"> to produce molecular nitrogen (N</w:t>
      </w:r>
      <w:r w:rsidRPr="00DB7156">
        <w:rPr>
          <w:rFonts w:ascii="Arial" w:hAnsi="Arial" w:cs="Arial"/>
          <w:sz w:val="24"/>
          <w:szCs w:val="24"/>
          <w:vertAlign w:val="subscript"/>
        </w:rPr>
        <w:t>2</w:t>
      </w:r>
      <w:r w:rsidR="00500594">
        <w:rPr>
          <w:rFonts w:ascii="Arial" w:hAnsi="Arial" w:cs="Arial"/>
          <w:sz w:val="24"/>
          <w:szCs w:val="24"/>
        </w:rPr>
        <w:t xml:space="preserve">) and water vapor. </w:t>
      </w:r>
      <w:r w:rsidRPr="00DB7156">
        <w:rPr>
          <w:rFonts w:ascii="Arial" w:hAnsi="Arial" w:cs="Arial"/>
          <w:sz w:val="24"/>
          <w:szCs w:val="24"/>
        </w:rPr>
        <w:t>These reactions take place across multiple layers of catalyst in the SCR reactor and generally result in a NO</w:t>
      </w:r>
      <w:r w:rsidRPr="00DB7156">
        <w:rPr>
          <w:rFonts w:ascii="Arial" w:hAnsi="Arial" w:cs="Arial"/>
          <w:sz w:val="24"/>
          <w:szCs w:val="24"/>
          <w:vertAlign w:val="subscript"/>
        </w:rPr>
        <w:t>X</w:t>
      </w:r>
      <w:r w:rsidRPr="00DB7156">
        <w:rPr>
          <w:rFonts w:ascii="Arial" w:hAnsi="Arial" w:cs="Arial"/>
          <w:sz w:val="24"/>
          <w:szCs w:val="24"/>
        </w:rPr>
        <w:t xml:space="preserve"> reduction capability of 85 to 90 percent depending upon the particular application.  Theoretically, the NO</w:t>
      </w:r>
      <w:r w:rsidRPr="00DB7156">
        <w:rPr>
          <w:rFonts w:ascii="Arial" w:hAnsi="Arial" w:cs="Arial"/>
          <w:sz w:val="24"/>
          <w:szCs w:val="24"/>
          <w:vertAlign w:val="subscript"/>
        </w:rPr>
        <w:t>X</w:t>
      </w:r>
      <w:r w:rsidRPr="00DB7156">
        <w:rPr>
          <w:rFonts w:ascii="Arial" w:hAnsi="Arial" w:cs="Arial"/>
          <w:sz w:val="24"/>
          <w:szCs w:val="24"/>
        </w:rPr>
        <w:t xml:space="preserve"> and ammonia react in the presence of SCR catalysts. However, side reactions that produce undesirable byproducts can occur between ammonia and sulfur trioxide (SO</w:t>
      </w:r>
      <w:r w:rsidRPr="00DB7156">
        <w:rPr>
          <w:rFonts w:ascii="Arial" w:hAnsi="Arial" w:cs="Arial"/>
          <w:sz w:val="24"/>
          <w:szCs w:val="24"/>
          <w:vertAlign w:val="subscript"/>
        </w:rPr>
        <w:t>3</w:t>
      </w:r>
      <w:r w:rsidRPr="00DB7156">
        <w:rPr>
          <w:rFonts w:ascii="Arial" w:hAnsi="Arial" w:cs="Arial"/>
          <w:sz w:val="24"/>
          <w:szCs w:val="24"/>
        </w:rPr>
        <w:t xml:space="preserve">) in the flue gas.  </w:t>
      </w:r>
    </w:p>
    <w:p w14:paraId="22BA5480" w14:textId="77777777" w:rsidR="00FB6BE7" w:rsidRPr="00DB7156" w:rsidRDefault="00FB6BE7" w:rsidP="00DB7156">
      <w:pPr>
        <w:spacing w:after="0" w:line="240" w:lineRule="auto"/>
        <w:jc w:val="both"/>
        <w:rPr>
          <w:rFonts w:ascii="Arial" w:hAnsi="Arial" w:cs="Arial"/>
          <w:sz w:val="16"/>
          <w:szCs w:val="16"/>
        </w:rPr>
      </w:pPr>
    </w:p>
    <w:p w14:paraId="22BA5481" w14:textId="7B6D3D72"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The SCR operating temperature ranges from 550 to 750°F. As a result, the SCR system normally is located in a high-dust configuration between the boiler economizer flue gas outlet and the air preheater flue gas inlet where the above temperature range normally occurs. Prior to entering the reactor, ammonia is injected into the flue gas at a sufficient distance upstream of the reactor to provide for adequate mixing of the ammonia and flue gas. The quantity of ammonia injected is adjusted to maintain the desired NO</w:t>
      </w:r>
      <w:r w:rsidRPr="00DB7156">
        <w:rPr>
          <w:rFonts w:ascii="Arial" w:hAnsi="Arial" w:cs="Arial"/>
          <w:sz w:val="24"/>
          <w:szCs w:val="24"/>
          <w:vertAlign w:val="subscript"/>
        </w:rPr>
        <w:t>X</w:t>
      </w:r>
      <w:r w:rsidRPr="00DB7156">
        <w:rPr>
          <w:rFonts w:ascii="Arial" w:hAnsi="Arial" w:cs="Arial"/>
          <w:sz w:val="24"/>
          <w:szCs w:val="24"/>
        </w:rPr>
        <w:t xml:space="preserve"> reduction level (within design limits). NO</w:t>
      </w:r>
      <w:r w:rsidRPr="00DB7156">
        <w:rPr>
          <w:rFonts w:ascii="Arial" w:hAnsi="Arial" w:cs="Arial"/>
          <w:sz w:val="24"/>
          <w:szCs w:val="24"/>
          <w:vertAlign w:val="subscript"/>
        </w:rPr>
        <w:t>X</w:t>
      </w:r>
      <w:r w:rsidRPr="00DB7156">
        <w:rPr>
          <w:rFonts w:ascii="Arial" w:hAnsi="Arial" w:cs="Arial"/>
          <w:sz w:val="24"/>
          <w:szCs w:val="24"/>
        </w:rPr>
        <w:t xml:space="preserve"> emissions are reduced in direct proportion to the quantity of ammonia injected up to an ammonia-to-NO</w:t>
      </w:r>
      <w:r w:rsidRPr="00DB7156">
        <w:rPr>
          <w:rFonts w:ascii="Arial" w:hAnsi="Arial" w:cs="Arial"/>
          <w:sz w:val="24"/>
          <w:szCs w:val="24"/>
          <w:vertAlign w:val="subscript"/>
        </w:rPr>
        <w:t>X</w:t>
      </w:r>
      <w:r w:rsidRPr="00DB7156">
        <w:rPr>
          <w:rFonts w:ascii="Arial" w:hAnsi="Arial" w:cs="Arial"/>
          <w:sz w:val="24"/>
          <w:szCs w:val="24"/>
        </w:rPr>
        <w:t xml:space="preserve"> ratio of approximately 0.80. Above this value (and as the activity of the catalyst declines with age), some of the ammonia can escape the SCR reactor as ammonia slip. This ammonia can react with small quantities of SO</w:t>
      </w:r>
      <w:r w:rsidRPr="00DB7156">
        <w:rPr>
          <w:rFonts w:ascii="Arial" w:hAnsi="Arial" w:cs="Arial"/>
          <w:sz w:val="24"/>
          <w:szCs w:val="24"/>
          <w:vertAlign w:val="subscript"/>
        </w:rPr>
        <w:t>3</w:t>
      </w:r>
      <w:r w:rsidRPr="00DB7156">
        <w:rPr>
          <w:rFonts w:ascii="Arial" w:hAnsi="Arial" w:cs="Arial"/>
          <w:sz w:val="24"/>
          <w:szCs w:val="24"/>
        </w:rPr>
        <w:t xml:space="preserve"> present in the flue gas to form ammonium bisulfate, which can foul and/or increase the corrosion potential for downstream equipment.</w:t>
      </w:r>
    </w:p>
    <w:p w14:paraId="22BA5482" w14:textId="77777777" w:rsidR="00FB6BE7" w:rsidRPr="00DB7156" w:rsidRDefault="00FB6BE7" w:rsidP="00DB7156">
      <w:pPr>
        <w:spacing w:after="0" w:line="240" w:lineRule="auto"/>
        <w:jc w:val="both"/>
        <w:rPr>
          <w:rFonts w:ascii="Arial" w:hAnsi="Arial" w:cs="Arial"/>
          <w:sz w:val="24"/>
          <w:szCs w:val="24"/>
        </w:rPr>
      </w:pPr>
    </w:p>
    <w:p w14:paraId="22BA5483" w14:textId="77777777" w:rsidR="00FB6BE7" w:rsidRPr="00DB7156" w:rsidRDefault="00FB6BE7" w:rsidP="00DB7156">
      <w:pPr>
        <w:tabs>
          <w:tab w:val="left" w:pos="540"/>
        </w:tabs>
        <w:spacing w:after="0" w:line="240" w:lineRule="auto"/>
        <w:jc w:val="both"/>
        <w:rPr>
          <w:rFonts w:ascii="Arial" w:hAnsi="Arial" w:cs="Arial"/>
          <w:b/>
          <w:color w:val="000080"/>
          <w:sz w:val="24"/>
          <w:szCs w:val="24"/>
        </w:rPr>
      </w:pPr>
      <w:r w:rsidRPr="00DB7156">
        <w:rPr>
          <w:rFonts w:ascii="Arial" w:hAnsi="Arial" w:cs="Arial"/>
          <w:b/>
          <w:color w:val="000080"/>
          <w:sz w:val="24"/>
          <w:szCs w:val="24"/>
        </w:rPr>
        <w:t>II.</w:t>
      </w:r>
      <w:r w:rsidRPr="00DB7156">
        <w:rPr>
          <w:rFonts w:ascii="Arial" w:hAnsi="Arial" w:cs="Arial"/>
          <w:b/>
          <w:color w:val="000080"/>
          <w:sz w:val="24"/>
          <w:szCs w:val="24"/>
        </w:rPr>
        <w:tab/>
      </w:r>
      <w:r w:rsidRPr="00DB7156">
        <w:rPr>
          <w:rFonts w:ascii="Arial" w:hAnsi="Arial" w:cs="Arial"/>
          <w:b/>
          <w:color w:val="000080"/>
          <w:sz w:val="24"/>
          <w:szCs w:val="24"/>
          <w:u w:val="single"/>
        </w:rPr>
        <w:t>Selective Noncatalytic Reduction (SNCR)</w:t>
      </w:r>
    </w:p>
    <w:p w14:paraId="22BA5484" w14:textId="77777777" w:rsidR="00FB6BE7" w:rsidRPr="00DB7156" w:rsidRDefault="00FB6BE7" w:rsidP="00DB7156">
      <w:pPr>
        <w:spacing w:after="0" w:line="240" w:lineRule="auto"/>
        <w:jc w:val="both"/>
        <w:rPr>
          <w:rFonts w:ascii="Arial" w:hAnsi="Arial" w:cs="Arial"/>
          <w:sz w:val="24"/>
          <w:szCs w:val="24"/>
        </w:rPr>
      </w:pPr>
    </w:p>
    <w:p w14:paraId="22BA5485" w14:textId="28DB31BB"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SNCR employs chemical injection of ammonia or urea directly into the boiler at a flue gas temperature between 1,600 and 2,100°F. In this temperature range, which is typically near the top of the boiler close to the furnace exit or in the convective pass, the reagent reacts with NO</w:t>
      </w:r>
      <w:r w:rsidRPr="00DB7156">
        <w:rPr>
          <w:rFonts w:ascii="Arial" w:hAnsi="Arial" w:cs="Arial"/>
          <w:sz w:val="24"/>
          <w:szCs w:val="24"/>
          <w:vertAlign w:val="subscript"/>
        </w:rPr>
        <w:t>X</w:t>
      </w:r>
      <w:r w:rsidRPr="00DB7156">
        <w:rPr>
          <w:rFonts w:ascii="Arial" w:hAnsi="Arial" w:cs="Arial"/>
          <w:sz w:val="24"/>
          <w:szCs w:val="24"/>
        </w:rPr>
        <w:t xml:space="preserve"> to form nitrogen and water without the use of a catalyst to promote the reaction.</w:t>
      </w:r>
    </w:p>
    <w:p w14:paraId="22BA5486" w14:textId="77777777" w:rsidR="00FB6BE7" w:rsidRPr="00DB7156" w:rsidRDefault="00FB6BE7" w:rsidP="00DB7156">
      <w:pPr>
        <w:spacing w:after="0" w:line="240" w:lineRule="auto"/>
        <w:jc w:val="both"/>
        <w:rPr>
          <w:rFonts w:ascii="Arial" w:hAnsi="Arial" w:cs="Arial"/>
          <w:sz w:val="24"/>
          <w:szCs w:val="24"/>
        </w:rPr>
      </w:pPr>
    </w:p>
    <w:p w14:paraId="22BA5487" w14:textId="269B6BDA"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As with SCR, the ammonia slip constraint imposes a limit on the maximum amount of NO</w:t>
      </w:r>
      <w:r w:rsidRPr="00DB7156">
        <w:rPr>
          <w:rFonts w:ascii="Arial" w:hAnsi="Arial" w:cs="Arial"/>
          <w:sz w:val="24"/>
          <w:szCs w:val="24"/>
          <w:vertAlign w:val="subscript"/>
        </w:rPr>
        <w:t>X</w:t>
      </w:r>
      <w:r w:rsidRPr="00DB7156">
        <w:rPr>
          <w:rFonts w:ascii="Arial" w:hAnsi="Arial" w:cs="Arial"/>
          <w:sz w:val="24"/>
          <w:szCs w:val="24"/>
        </w:rPr>
        <w:t xml:space="preserve"> that can be removed with the SNCR process. Because the process is so temperature sensitive, the ability to follow boiler load becomes critical when constrained by ammonia slip limits. Advanced SNCR systems use retractable injection lances that improve load-following control for the process. These lances use a “jet curtain” to provide better cross-sectional coverage and rotation of the lance allows for better response to process signals such as boiler load or furnace temperature.</w:t>
      </w:r>
    </w:p>
    <w:p w14:paraId="22BA5488" w14:textId="77777777" w:rsidR="00FB6BE7" w:rsidRPr="00DB7156" w:rsidRDefault="00FB6BE7" w:rsidP="00DB7156">
      <w:pPr>
        <w:spacing w:after="0" w:line="240" w:lineRule="auto"/>
        <w:jc w:val="both"/>
        <w:rPr>
          <w:rFonts w:ascii="Arial" w:hAnsi="Arial" w:cs="Arial"/>
          <w:sz w:val="24"/>
          <w:szCs w:val="24"/>
        </w:rPr>
      </w:pPr>
    </w:p>
    <w:p w14:paraId="22BA5489" w14:textId="1E308C65"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Application of SNCR to utility-scale boilers is highly site specific. Generally, SNCR is capable of 15- to 40-percent NO</w:t>
      </w:r>
      <w:r w:rsidRPr="00DB7156">
        <w:rPr>
          <w:rFonts w:ascii="Arial" w:hAnsi="Arial" w:cs="Arial"/>
          <w:sz w:val="24"/>
          <w:szCs w:val="24"/>
          <w:vertAlign w:val="subscript"/>
        </w:rPr>
        <w:t>X</w:t>
      </w:r>
      <w:r w:rsidRPr="00DB7156">
        <w:rPr>
          <w:rFonts w:ascii="Arial" w:hAnsi="Arial" w:cs="Arial"/>
          <w:sz w:val="24"/>
          <w:szCs w:val="24"/>
        </w:rPr>
        <w:t xml:space="preserve"> removal, consistent with a 5-</w:t>
      </w:r>
      <w:r w:rsidR="00EB1841" w:rsidRPr="00DB7156">
        <w:rPr>
          <w:rFonts w:ascii="Arial" w:hAnsi="Arial" w:cs="Arial"/>
          <w:sz w:val="24"/>
          <w:szCs w:val="24"/>
        </w:rPr>
        <w:t>parts per million (</w:t>
      </w:r>
      <w:r w:rsidRPr="00DB7156">
        <w:rPr>
          <w:rFonts w:ascii="Arial" w:hAnsi="Arial" w:cs="Arial"/>
          <w:sz w:val="24"/>
          <w:szCs w:val="24"/>
        </w:rPr>
        <w:t>ppm</w:t>
      </w:r>
      <w:r w:rsidR="00EB1841" w:rsidRPr="00DB7156">
        <w:rPr>
          <w:rFonts w:ascii="Arial" w:hAnsi="Arial" w:cs="Arial"/>
          <w:sz w:val="24"/>
          <w:szCs w:val="24"/>
        </w:rPr>
        <w:t>)</w:t>
      </w:r>
      <w:r w:rsidRPr="00DB7156">
        <w:rPr>
          <w:rFonts w:ascii="Arial" w:hAnsi="Arial" w:cs="Arial"/>
          <w:sz w:val="24"/>
          <w:szCs w:val="24"/>
        </w:rPr>
        <w:t xml:space="preserve"> ammonia slip constraint. Removal levels above 40 to 50 percent are difficult to achieve due to the high-ammonia slip that is produced, the stringent requirements placed on the distributions for injected reagents, and the narrow temperature window required for the reaction.</w:t>
      </w:r>
    </w:p>
    <w:p w14:paraId="22BA548A" w14:textId="77777777" w:rsidR="00FB6BE7" w:rsidRPr="00DB7156" w:rsidRDefault="00FB6BE7" w:rsidP="00DB7156">
      <w:pPr>
        <w:spacing w:after="0" w:line="240" w:lineRule="auto"/>
        <w:jc w:val="both"/>
        <w:rPr>
          <w:rFonts w:ascii="Arial" w:hAnsi="Arial" w:cs="Arial"/>
          <w:sz w:val="24"/>
          <w:szCs w:val="24"/>
        </w:rPr>
      </w:pPr>
    </w:p>
    <w:p w14:paraId="22BA548B" w14:textId="07C31AAC"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 xml:space="preserve">One particular benefit of SNCR as compared to SCR is that capital cost is limited due to the absence of catalyst and the associated reactor vessel. However, potentially much higher ammonia slip levels cause increased downstream problems. In addition, the difficulty in meeting temperature and distribution requirements makes implementation of the technology difficult on many boilers, especially on a </w:t>
      </w:r>
      <w:r w:rsidR="00393A10" w:rsidRPr="00DB7156">
        <w:rPr>
          <w:rFonts w:ascii="Arial" w:hAnsi="Arial" w:cs="Arial"/>
          <w:sz w:val="24"/>
          <w:szCs w:val="24"/>
        </w:rPr>
        <w:t>large-scale</w:t>
      </w:r>
      <w:r w:rsidRPr="00DB7156">
        <w:rPr>
          <w:rFonts w:ascii="Arial" w:hAnsi="Arial" w:cs="Arial"/>
          <w:sz w:val="24"/>
          <w:szCs w:val="24"/>
        </w:rPr>
        <w:t xml:space="preserve"> boiler (typically greater than 300 MW). SNCR systems also generally require more reducing agent for a given NO</w:t>
      </w:r>
      <w:r w:rsidRPr="00DB7156">
        <w:rPr>
          <w:rFonts w:ascii="Arial" w:hAnsi="Arial" w:cs="Arial"/>
          <w:sz w:val="24"/>
          <w:szCs w:val="24"/>
          <w:vertAlign w:val="subscript"/>
        </w:rPr>
        <w:t>X</w:t>
      </w:r>
      <w:r w:rsidRPr="00DB7156">
        <w:rPr>
          <w:rFonts w:ascii="Arial" w:hAnsi="Arial" w:cs="Arial"/>
          <w:sz w:val="24"/>
          <w:szCs w:val="24"/>
        </w:rPr>
        <w:t xml:space="preserve"> reduction than do SCR systems since part of the reducing agent can be oxidized at the higher injection temperature, representing an initial loss of reagent.  Furthermore, the oxidation product is often NO</w:t>
      </w:r>
      <w:r w:rsidRPr="00DB7156">
        <w:rPr>
          <w:rFonts w:ascii="Arial" w:hAnsi="Arial" w:cs="Arial"/>
          <w:sz w:val="24"/>
          <w:szCs w:val="24"/>
          <w:vertAlign w:val="subscript"/>
        </w:rPr>
        <w:t>X</w:t>
      </w:r>
      <w:r w:rsidRPr="00DB7156">
        <w:rPr>
          <w:rFonts w:ascii="Arial" w:hAnsi="Arial" w:cs="Arial"/>
          <w:sz w:val="24"/>
          <w:szCs w:val="24"/>
        </w:rPr>
        <w:t>, requiring additional reagent</w:t>
      </w:r>
      <w:r w:rsidR="002F2289" w:rsidRPr="00DB7156">
        <w:rPr>
          <w:rFonts w:ascii="Arial" w:hAnsi="Arial" w:cs="Arial"/>
          <w:sz w:val="24"/>
          <w:szCs w:val="24"/>
        </w:rPr>
        <w:t xml:space="preserve"> (ammonia)</w:t>
      </w:r>
      <w:r w:rsidRPr="00DB7156">
        <w:rPr>
          <w:rFonts w:ascii="Arial" w:hAnsi="Arial" w:cs="Arial"/>
          <w:sz w:val="24"/>
          <w:szCs w:val="24"/>
        </w:rPr>
        <w:t xml:space="preserve"> to remove the NO</w:t>
      </w:r>
      <w:r w:rsidRPr="00DB7156">
        <w:rPr>
          <w:rFonts w:ascii="Arial" w:hAnsi="Arial" w:cs="Arial"/>
          <w:sz w:val="24"/>
          <w:szCs w:val="24"/>
          <w:vertAlign w:val="subscript"/>
        </w:rPr>
        <w:t>X</w:t>
      </w:r>
      <w:r w:rsidRPr="00DB7156">
        <w:rPr>
          <w:rFonts w:ascii="Arial" w:hAnsi="Arial" w:cs="Arial"/>
          <w:sz w:val="24"/>
          <w:szCs w:val="24"/>
        </w:rPr>
        <w:t xml:space="preserve"> formed via oxidation.</w:t>
      </w:r>
    </w:p>
    <w:p w14:paraId="22BA548C" w14:textId="77777777" w:rsidR="00FB6BE7" w:rsidRPr="00DB7156" w:rsidRDefault="00FB6BE7" w:rsidP="00DB7156">
      <w:pPr>
        <w:spacing w:after="0" w:line="240" w:lineRule="auto"/>
        <w:jc w:val="both"/>
        <w:rPr>
          <w:rFonts w:ascii="Arial" w:hAnsi="Arial" w:cs="Arial"/>
          <w:sz w:val="24"/>
          <w:szCs w:val="24"/>
        </w:rPr>
      </w:pPr>
    </w:p>
    <w:p w14:paraId="22BA548D" w14:textId="77777777" w:rsidR="00FB6BE7" w:rsidRPr="00DB7156" w:rsidRDefault="00FB6BE7" w:rsidP="00DB7156">
      <w:pPr>
        <w:tabs>
          <w:tab w:val="left" w:pos="540"/>
        </w:tabs>
        <w:spacing w:after="0" w:line="240" w:lineRule="auto"/>
        <w:jc w:val="both"/>
        <w:rPr>
          <w:rFonts w:ascii="Arial" w:hAnsi="Arial" w:cs="Arial"/>
          <w:b/>
          <w:color w:val="000080"/>
          <w:sz w:val="24"/>
          <w:szCs w:val="24"/>
        </w:rPr>
      </w:pPr>
      <w:r w:rsidRPr="00DB7156">
        <w:rPr>
          <w:rFonts w:ascii="Arial" w:hAnsi="Arial" w:cs="Arial"/>
          <w:b/>
          <w:color w:val="000080"/>
          <w:sz w:val="24"/>
          <w:szCs w:val="24"/>
        </w:rPr>
        <w:t>III.</w:t>
      </w:r>
      <w:r w:rsidRPr="00DB7156">
        <w:rPr>
          <w:rFonts w:ascii="Arial" w:hAnsi="Arial" w:cs="Arial"/>
          <w:b/>
          <w:color w:val="000080"/>
          <w:sz w:val="24"/>
          <w:szCs w:val="24"/>
        </w:rPr>
        <w:tab/>
      </w:r>
      <w:r w:rsidRPr="00DB7156">
        <w:rPr>
          <w:rFonts w:ascii="Arial" w:hAnsi="Arial" w:cs="Arial"/>
          <w:b/>
          <w:color w:val="000080"/>
          <w:sz w:val="24"/>
          <w:szCs w:val="24"/>
          <w:u w:val="single"/>
        </w:rPr>
        <w:t>Fuel Switch to Natural Gas</w:t>
      </w:r>
    </w:p>
    <w:p w14:paraId="22BA548E" w14:textId="77777777" w:rsidR="00FB6BE7" w:rsidRPr="00DB7156" w:rsidRDefault="00FB6BE7" w:rsidP="00DB7156">
      <w:pPr>
        <w:spacing w:after="0" w:line="240" w:lineRule="auto"/>
        <w:jc w:val="both"/>
        <w:rPr>
          <w:rFonts w:ascii="Arial" w:hAnsi="Arial" w:cs="Arial"/>
          <w:sz w:val="24"/>
          <w:szCs w:val="24"/>
        </w:rPr>
      </w:pPr>
    </w:p>
    <w:p w14:paraId="22BA548F" w14:textId="39600D10"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 xml:space="preserve">Existing coal plants can be partially or completely converted to burn natural gas instead of coal.  Since natural gas contains very little sulfur, sulfur oxide emissions can be reduced to a level that </w:t>
      </w:r>
      <w:r w:rsidR="002F2289" w:rsidRPr="00DB7156">
        <w:rPr>
          <w:rFonts w:ascii="Arial" w:hAnsi="Arial" w:cs="Arial"/>
          <w:sz w:val="24"/>
          <w:szCs w:val="24"/>
        </w:rPr>
        <w:t>is below</w:t>
      </w:r>
      <w:r w:rsidRPr="00DB7156">
        <w:rPr>
          <w:rFonts w:ascii="Arial" w:hAnsi="Arial" w:cs="Arial"/>
          <w:sz w:val="24"/>
          <w:szCs w:val="24"/>
        </w:rPr>
        <w:t xml:space="preserve"> that produced by flue gas desulfurization. Natural gas does not have constituents that remain after combustion to create ash, unlike coal where the natural minerals are transformed in the coal combustion process. Trace metals, which are present in coal, are largely absent from natural gas and so they are not emitted from natural gas combustion.  </w:t>
      </w:r>
    </w:p>
    <w:p w14:paraId="22BA5490" w14:textId="77777777" w:rsidR="00FB6BE7" w:rsidRPr="00DB7156" w:rsidRDefault="00FB6BE7" w:rsidP="00DB7156">
      <w:pPr>
        <w:spacing w:after="0" w:line="240" w:lineRule="auto"/>
        <w:jc w:val="both"/>
        <w:rPr>
          <w:rFonts w:ascii="Arial" w:hAnsi="Arial" w:cs="Arial"/>
          <w:sz w:val="24"/>
          <w:szCs w:val="24"/>
        </w:rPr>
      </w:pPr>
    </w:p>
    <w:p w14:paraId="22BA5491" w14:textId="4C7D73A1"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Nitrogen oxides or NOx results from both fuel chemistry and from the air used in combustion. Therefore, a natural gas conversion does not automatically eliminate emissions of nitrogen oxides. The level of NOx in such a conversion is determined by the boiler design plus the presence and design of low NOx firing systems (see the next section). Well designed and operated low NOx firing systems on coal boilers can produce similar NOx emissions to those seen in natural gas conversions.</w:t>
      </w:r>
    </w:p>
    <w:p w14:paraId="22BA5492" w14:textId="77777777" w:rsidR="00FB6BE7" w:rsidRPr="00DB7156" w:rsidRDefault="00FB6BE7" w:rsidP="00DB7156">
      <w:pPr>
        <w:spacing w:after="0" w:line="240" w:lineRule="auto"/>
        <w:jc w:val="both"/>
        <w:rPr>
          <w:rFonts w:ascii="Arial" w:hAnsi="Arial" w:cs="Arial"/>
          <w:sz w:val="24"/>
          <w:szCs w:val="24"/>
        </w:rPr>
      </w:pPr>
    </w:p>
    <w:p w14:paraId="22BA5493" w14:textId="03C9B4E5"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Natural gas steam electric boile</w:t>
      </w:r>
      <w:r w:rsidR="006C5A28">
        <w:rPr>
          <w:rFonts w:ascii="Arial" w:hAnsi="Arial" w:cs="Arial"/>
          <w:sz w:val="24"/>
          <w:szCs w:val="24"/>
        </w:rPr>
        <w:t>rs are not subject to the MATS R</w:t>
      </w:r>
      <w:r w:rsidRPr="00DB7156">
        <w:rPr>
          <w:rFonts w:ascii="Arial" w:hAnsi="Arial" w:cs="Arial"/>
          <w:sz w:val="24"/>
          <w:szCs w:val="24"/>
        </w:rPr>
        <w:t xml:space="preserve">ule, which also allows up to an annual 10% heat input from coal. </w:t>
      </w:r>
      <w:r w:rsidR="00393A10" w:rsidRPr="00DB7156">
        <w:rPr>
          <w:rFonts w:ascii="Arial" w:hAnsi="Arial" w:cs="Arial"/>
          <w:sz w:val="24"/>
          <w:szCs w:val="24"/>
        </w:rPr>
        <w:t>Thus,</w:t>
      </w:r>
      <w:r w:rsidRPr="00DB7156">
        <w:rPr>
          <w:rFonts w:ascii="Arial" w:hAnsi="Arial" w:cs="Arial"/>
          <w:sz w:val="24"/>
          <w:szCs w:val="24"/>
        </w:rPr>
        <w:t xml:space="preserve"> a coal boiler which is switched to natural gas could still use coal as a backup fuel and not be subject to MATS requirements.  </w:t>
      </w:r>
    </w:p>
    <w:p w14:paraId="22BA5494" w14:textId="77777777" w:rsidR="00FB6BE7" w:rsidRPr="00DB7156" w:rsidRDefault="00FB6BE7" w:rsidP="00DB7156">
      <w:pPr>
        <w:spacing w:after="0" w:line="240" w:lineRule="auto"/>
        <w:jc w:val="both"/>
        <w:rPr>
          <w:rFonts w:ascii="Arial" w:hAnsi="Arial" w:cs="Arial"/>
          <w:sz w:val="24"/>
          <w:szCs w:val="24"/>
        </w:rPr>
      </w:pPr>
    </w:p>
    <w:p w14:paraId="22BA5495" w14:textId="6C2D5AA7"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The choice of switching a coal boiler to natural gas is complex, with many factors to be considered. The location of natural gas pipelines, the availability of natural gas in either summer or winter, the energy diversity of the generating fleet, the other environmental regulations surrounding coal ash and water treatment, and local ambient air attainment status all have to be considered.  Switching a coal unit to natural gas can produce lower emissions and – if natural gas prices remain low – produce affordable electricity for customers.</w:t>
      </w:r>
    </w:p>
    <w:p w14:paraId="22BA5496" w14:textId="77777777" w:rsidR="00FB6BE7" w:rsidRPr="00DB7156" w:rsidRDefault="00FB6BE7" w:rsidP="00DB7156">
      <w:pPr>
        <w:spacing w:after="0" w:line="240" w:lineRule="auto"/>
        <w:jc w:val="both"/>
        <w:rPr>
          <w:rFonts w:ascii="Arial" w:hAnsi="Arial" w:cs="Arial"/>
          <w:sz w:val="24"/>
          <w:szCs w:val="24"/>
        </w:rPr>
      </w:pPr>
    </w:p>
    <w:p w14:paraId="22BA5497" w14:textId="50959F15" w:rsidR="00FB6BE7" w:rsidRPr="00DB7156" w:rsidRDefault="00FB6BE7" w:rsidP="00DB7156">
      <w:pPr>
        <w:keepNext/>
        <w:keepLines/>
        <w:tabs>
          <w:tab w:val="left" w:pos="540"/>
        </w:tabs>
        <w:spacing w:after="0" w:line="240" w:lineRule="auto"/>
        <w:jc w:val="both"/>
        <w:rPr>
          <w:rFonts w:ascii="Arial" w:hAnsi="Arial" w:cs="Arial"/>
          <w:b/>
          <w:color w:val="000080"/>
          <w:sz w:val="24"/>
          <w:szCs w:val="24"/>
        </w:rPr>
      </w:pPr>
      <w:r w:rsidRPr="00DB7156">
        <w:rPr>
          <w:rFonts w:ascii="Arial" w:hAnsi="Arial" w:cs="Arial"/>
          <w:b/>
          <w:color w:val="000080"/>
          <w:sz w:val="24"/>
          <w:szCs w:val="24"/>
        </w:rPr>
        <w:t>IV.</w:t>
      </w:r>
      <w:r w:rsidRPr="00DB7156">
        <w:rPr>
          <w:rFonts w:ascii="Arial" w:hAnsi="Arial" w:cs="Arial"/>
          <w:b/>
          <w:color w:val="000080"/>
          <w:sz w:val="24"/>
          <w:szCs w:val="24"/>
        </w:rPr>
        <w:tab/>
      </w:r>
      <w:r w:rsidRPr="00DB7156">
        <w:rPr>
          <w:rFonts w:ascii="Arial" w:hAnsi="Arial" w:cs="Arial"/>
          <w:b/>
          <w:color w:val="000080"/>
          <w:sz w:val="24"/>
          <w:szCs w:val="24"/>
          <w:u w:val="single"/>
        </w:rPr>
        <w:t>Low-NO</w:t>
      </w:r>
      <w:r w:rsidRPr="00DB7156">
        <w:rPr>
          <w:rFonts w:ascii="Arial" w:hAnsi="Arial" w:cs="Arial"/>
          <w:b/>
          <w:color w:val="000080"/>
          <w:sz w:val="24"/>
          <w:szCs w:val="24"/>
          <w:u w:val="single"/>
          <w:vertAlign w:val="subscript"/>
        </w:rPr>
        <w:t>X</w:t>
      </w:r>
      <w:r w:rsidRPr="00DB7156">
        <w:rPr>
          <w:rFonts w:ascii="Arial" w:hAnsi="Arial" w:cs="Arial"/>
          <w:b/>
          <w:color w:val="000080"/>
          <w:sz w:val="24"/>
          <w:szCs w:val="24"/>
          <w:u w:val="single"/>
        </w:rPr>
        <w:t xml:space="preserve"> Burners and Overfire Air </w:t>
      </w:r>
    </w:p>
    <w:p w14:paraId="22BA5498" w14:textId="77777777" w:rsidR="00FB6BE7" w:rsidRPr="00DB7156" w:rsidRDefault="00FB6BE7" w:rsidP="00DB7156">
      <w:pPr>
        <w:keepNext/>
        <w:keepLines/>
        <w:spacing w:after="0" w:line="240" w:lineRule="auto"/>
        <w:jc w:val="both"/>
        <w:rPr>
          <w:rFonts w:ascii="Arial" w:hAnsi="Arial" w:cs="Arial"/>
          <w:b/>
          <w:sz w:val="24"/>
          <w:szCs w:val="24"/>
        </w:rPr>
      </w:pPr>
    </w:p>
    <w:p w14:paraId="22BA5499" w14:textId="2E006BA0" w:rsidR="00FB6BE7" w:rsidRPr="00DB7156" w:rsidRDefault="00FB6BE7" w:rsidP="00DB7156">
      <w:pPr>
        <w:keepNext/>
        <w:keepLines/>
        <w:spacing w:after="0" w:line="240" w:lineRule="auto"/>
        <w:jc w:val="both"/>
        <w:rPr>
          <w:rFonts w:ascii="Arial" w:hAnsi="Arial" w:cs="Arial"/>
          <w:sz w:val="24"/>
          <w:szCs w:val="24"/>
        </w:rPr>
      </w:pPr>
      <w:r w:rsidRPr="00DB7156">
        <w:rPr>
          <w:rFonts w:ascii="Arial" w:hAnsi="Arial" w:cs="Arial"/>
          <w:sz w:val="24"/>
          <w:szCs w:val="24"/>
        </w:rPr>
        <w:t>Low-NO</w:t>
      </w:r>
      <w:r w:rsidRPr="00DB7156">
        <w:rPr>
          <w:rFonts w:ascii="Arial" w:hAnsi="Arial" w:cs="Arial"/>
          <w:sz w:val="24"/>
          <w:szCs w:val="24"/>
          <w:vertAlign w:val="subscript"/>
        </w:rPr>
        <w:t>X</w:t>
      </w:r>
      <w:r w:rsidR="00CA1589">
        <w:rPr>
          <w:rFonts w:ascii="Arial" w:hAnsi="Arial" w:cs="Arial"/>
          <w:sz w:val="24"/>
          <w:szCs w:val="24"/>
        </w:rPr>
        <w:t xml:space="preserve"> B</w:t>
      </w:r>
      <w:r w:rsidRPr="00DB7156">
        <w:rPr>
          <w:rFonts w:ascii="Arial" w:hAnsi="Arial" w:cs="Arial"/>
          <w:sz w:val="24"/>
          <w:szCs w:val="24"/>
        </w:rPr>
        <w:t xml:space="preserve">urner </w:t>
      </w:r>
      <w:r w:rsidR="006C5A28">
        <w:rPr>
          <w:rFonts w:ascii="Arial" w:hAnsi="Arial" w:cs="Arial"/>
          <w:sz w:val="24"/>
          <w:szCs w:val="24"/>
        </w:rPr>
        <w:t>(</w:t>
      </w:r>
      <w:r w:rsidR="00CA1589">
        <w:rPr>
          <w:rFonts w:ascii="Arial" w:hAnsi="Arial" w:cs="Arial"/>
          <w:sz w:val="24"/>
          <w:szCs w:val="24"/>
        </w:rPr>
        <w:t>“</w:t>
      </w:r>
      <w:r w:rsidR="006C5A28">
        <w:rPr>
          <w:rFonts w:ascii="Arial" w:hAnsi="Arial" w:cs="Arial"/>
          <w:sz w:val="24"/>
          <w:szCs w:val="24"/>
        </w:rPr>
        <w:t>LNB</w:t>
      </w:r>
      <w:r w:rsidR="00CA1589">
        <w:rPr>
          <w:rFonts w:ascii="Arial" w:hAnsi="Arial" w:cs="Arial"/>
          <w:sz w:val="24"/>
          <w:szCs w:val="24"/>
        </w:rPr>
        <w:t>”</w:t>
      </w:r>
      <w:r w:rsidR="006C5A28">
        <w:rPr>
          <w:rFonts w:ascii="Arial" w:hAnsi="Arial" w:cs="Arial"/>
          <w:sz w:val="24"/>
          <w:szCs w:val="24"/>
        </w:rPr>
        <w:t xml:space="preserve">) </w:t>
      </w:r>
      <w:r w:rsidRPr="00DB7156">
        <w:rPr>
          <w:rFonts w:ascii="Arial" w:hAnsi="Arial" w:cs="Arial"/>
          <w:sz w:val="24"/>
          <w:szCs w:val="24"/>
        </w:rPr>
        <w:t>is a generic term for a burner designed to combust the fuel while reducing the amount of NO</w:t>
      </w:r>
      <w:r w:rsidRPr="00DB7156">
        <w:rPr>
          <w:rFonts w:ascii="Arial" w:hAnsi="Arial" w:cs="Arial"/>
          <w:sz w:val="24"/>
          <w:szCs w:val="24"/>
          <w:vertAlign w:val="subscript"/>
        </w:rPr>
        <w:t>X</w:t>
      </w:r>
      <w:r w:rsidRPr="00DB7156">
        <w:rPr>
          <w:rFonts w:ascii="Arial" w:hAnsi="Arial" w:cs="Arial"/>
          <w:sz w:val="24"/>
          <w:szCs w:val="24"/>
        </w:rPr>
        <w:t xml:space="preserve"> that is formed. Since there are several different firing arrangements for oil- and coal-fired boilers, there are several different types of LNBs.</w:t>
      </w:r>
    </w:p>
    <w:p w14:paraId="22BA549A" w14:textId="77777777" w:rsidR="00FB6BE7" w:rsidRPr="00DB7156" w:rsidRDefault="00FB6BE7" w:rsidP="00DB7156">
      <w:pPr>
        <w:spacing w:after="0" w:line="240" w:lineRule="auto"/>
        <w:jc w:val="both"/>
        <w:rPr>
          <w:rFonts w:ascii="Arial" w:hAnsi="Arial" w:cs="Arial"/>
          <w:sz w:val="24"/>
          <w:szCs w:val="24"/>
        </w:rPr>
      </w:pPr>
    </w:p>
    <w:p w14:paraId="6FB501B3"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NO</w:t>
      </w:r>
      <w:r w:rsidRPr="00DB7156">
        <w:rPr>
          <w:rFonts w:ascii="Arial" w:hAnsi="Arial" w:cs="Arial"/>
          <w:sz w:val="24"/>
          <w:szCs w:val="24"/>
          <w:vertAlign w:val="subscript"/>
        </w:rPr>
        <w:t>X</w:t>
      </w:r>
      <w:r w:rsidRPr="00DB7156">
        <w:rPr>
          <w:rFonts w:ascii="Arial" w:hAnsi="Arial" w:cs="Arial"/>
          <w:sz w:val="24"/>
          <w:szCs w:val="24"/>
        </w:rPr>
        <w:t xml:space="preserve"> is formed during combustion from either the nitrogen in the fuel or the air. NO</w:t>
      </w:r>
      <w:r w:rsidRPr="00DB7156">
        <w:rPr>
          <w:rFonts w:ascii="Arial" w:hAnsi="Arial" w:cs="Arial"/>
          <w:sz w:val="24"/>
          <w:szCs w:val="24"/>
          <w:vertAlign w:val="subscript"/>
        </w:rPr>
        <w:t>X</w:t>
      </w:r>
      <w:r w:rsidRPr="00DB7156">
        <w:rPr>
          <w:rFonts w:ascii="Arial" w:hAnsi="Arial" w:cs="Arial"/>
          <w:sz w:val="24"/>
          <w:szCs w:val="24"/>
        </w:rPr>
        <w:t xml:space="preserve"> formed from nitrogen in air requires high-flame temperatures and because of this, is usually referred to as thermal NO</w:t>
      </w:r>
      <w:r w:rsidRPr="00DB7156">
        <w:rPr>
          <w:rFonts w:ascii="Arial" w:hAnsi="Arial" w:cs="Arial"/>
          <w:sz w:val="24"/>
          <w:szCs w:val="24"/>
          <w:vertAlign w:val="subscript"/>
        </w:rPr>
        <w:t>X</w:t>
      </w:r>
      <w:r w:rsidRPr="00DB7156">
        <w:rPr>
          <w:rFonts w:ascii="Arial" w:hAnsi="Arial" w:cs="Arial"/>
          <w:sz w:val="24"/>
          <w:szCs w:val="24"/>
        </w:rPr>
        <w:t>. Some fuels, particularly coal and oil, contain small amounts (2 percent or less) of nitrogen as a chemical constituent. When these fuels are burned, this fuel nitrogen can be oxidized in the flame-producing NO</w:t>
      </w:r>
      <w:r w:rsidRPr="00DB7156">
        <w:rPr>
          <w:rFonts w:ascii="Arial" w:hAnsi="Arial" w:cs="Arial"/>
          <w:sz w:val="24"/>
          <w:szCs w:val="24"/>
          <w:vertAlign w:val="subscript"/>
        </w:rPr>
        <w:t>X</w:t>
      </w:r>
      <w:r w:rsidRPr="00DB7156">
        <w:rPr>
          <w:rFonts w:ascii="Arial" w:hAnsi="Arial" w:cs="Arial"/>
          <w:sz w:val="24"/>
          <w:szCs w:val="24"/>
        </w:rPr>
        <w:t>, which is referred to as fuel NO</w:t>
      </w:r>
      <w:r w:rsidRPr="00DB7156">
        <w:rPr>
          <w:rFonts w:ascii="Arial" w:hAnsi="Arial" w:cs="Arial"/>
          <w:sz w:val="24"/>
          <w:szCs w:val="24"/>
          <w:vertAlign w:val="subscript"/>
        </w:rPr>
        <w:t>X</w:t>
      </w:r>
      <w:r w:rsidRPr="00DB7156">
        <w:rPr>
          <w:rFonts w:ascii="Arial" w:hAnsi="Arial" w:cs="Arial"/>
          <w:sz w:val="24"/>
          <w:szCs w:val="24"/>
        </w:rPr>
        <w:t>. Thus, coal and oil can form NO</w:t>
      </w:r>
      <w:r w:rsidRPr="00DB7156">
        <w:rPr>
          <w:rFonts w:ascii="Arial" w:hAnsi="Arial" w:cs="Arial"/>
          <w:sz w:val="24"/>
          <w:szCs w:val="24"/>
          <w:vertAlign w:val="subscript"/>
        </w:rPr>
        <w:t>X</w:t>
      </w:r>
      <w:r w:rsidRPr="00DB7156">
        <w:rPr>
          <w:rFonts w:ascii="Arial" w:hAnsi="Arial" w:cs="Arial"/>
          <w:sz w:val="24"/>
          <w:szCs w:val="24"/>
        </w:rPr>
        <w:t xml:space="preserve"> from the thermal NO</w:t>
      </w:r>
      <w:r w:rsidRPr="00DB7156">
        <w:rPr>
          <w:rFonts w:ascii="Arial" w:hAnsi="Arial" w:cs="Arial"/>
          <w:sz w:val="24"/>
          <w:szCs w:val="24"/>
          <w:vertAlign w:val="subscript"/>
        </w:rPr>
        <w:t>X</w:t>
      </w:r>
      <w:r w:rsidRPr="00DB7156">
        <w:rPr>
          <w:rFonts w:ascii="Arial" w:hAnsi="Arial" w:cs="Arial"/>
          <w:sz w:val="24"/>
          <w:szCs w:val="24"/>
        </w:rPr>
        <w:t xml:space="preserve"> and the fuel NO</w:t>
      </w:r>
      <w:r w:rsidRPr="00DB7156">
        <w:rPr>
          <w:rFonts w:ascii="Arial" w:hAnsi="Arial" w:cs="Arial"/>
          <w:sz w:val="24"/>
          <w:szCs w:val="24"/>
          <w:vertAlign w:val="subscript"/>
        </w:rPr>
        <w:t>X</w:t>
      </w:r>
      <w:r w:rsidRPr="00DB7156">
        <w:rPr>
          <w:rFonts w:ascii="Arial" w:hAnsi="Arial" w:cs="Arial"/>
          <w:sz w:val="24"/>
          <w:szCs w:val="24"/>
        </w:rPr>
        <w:t xml:space="preserve"> mechanisms, but the fuel-nitrogen pathway is by far the predominant one. Since natural gas contains no fuel nitrogen, thermal NO</w:t>
      </w:r>
      <w:r w:rsidRPr="00DB7156">
        <w:rPr>
          <w:rFonts w:ascii="Arial" w:hAnsi="Arial" w:cs="Arial"/>
          <w:sz w:val="24"/>
          <w:szCs w:val="24"/>
          <w:vertAlign w:val="subscript"/>
        </w:rPr>
        <w:t>X</w:t>
      </w:r>
      <w:r w:rsidRPr="00DB7156">
        <w:rPr>
          <w:rFonts w:ascii="Arial" w:hAnsi="Arial" w:cs="Arial"/>
          <w:sz w:val="24"/>
          <w:szCs w:val="24"/>
        </w:rPr>
        <w:t xml:space="preserve"> </w:t>
      </w:r>
      <w:r w:rsidRPr="00DB7156">
        <w:rPr>
          <w:rFonts w:ascii="Arial" w:hAnsi="Arial" w:cs="Arial"/>
          <w:i/>
          <w:sz w:val="24"/>
          <w:szCs w:val="24"/>
        </w:rPr>
        <w:t>only</w:t>
      </w:r>
      <w:r w:rsidRPr="00DB7156">
        <w:rPr>
          <w:rFonts w:ascii="Arial" w:hAnsi="Arial" w:cs="Arial"/>
          <w:sz w:val="24"/>
          <w:szCs w:val="24"/>
        </w:rPr>
        <w:t xml:space="preserve"> is formed, explaining why natural gas flames have much lower NO</w:t>
      </w:r>
      <w:r w:rsidRPr="00DB7156">
        <w:rPr>
          <w:rFonts w:ascii="Arial" w:hAnsi="Arial" w:cs="Arial"/>
          <w:sz w:val="24"/>
          <w:szCs w:val="24"/>
          <w:vertAlign w:val="subscript"/>
        </w:rPr>
        <w:t>X</w:t>
      </w:r>
      <w:r w:rsidRPr="00DB7156">
        <w:rPr>
          <w:rFonts w:ascii="Arial" w:hAnsi="Arial" w:cs="Arial"/>
          <w:sz w:val="24"/>
          <w:szCs w:val="24"/>
        </w:rPr>
        <w:t xml:space="preserve"> levels than coal.</w:t>
      </w:r>
    </w:p>
    <w:p w14:paraId="0E0F1A6E" w14:textId="77777777" w:rsidR="00CA1589" w:rsidRPr="00DB7156" w:rsidRDefault="00CA1589" w:rsidP="00CA1589">
      <w:pPr>
        <w:spacing w:after="0" w:line="240" w:lineRule="auto"/>
        <w:jc w:val="both"/>
        <w:rPr>
          <w:rFonts w:ascii="Arial" w:hAnsi="Arial" w:cs="Arial"/>
          <w:sz w:val="24"/>
          <w:szCs w:val="24"/>
        </w:rPr>
      </w:pPr>
    </w:p>
    <w:p w14:paraId="74759EBD"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LNBs for coal and heavy oil are designed to reduce NO</w:t>
      </w:r>
      <w:r w:rsidRPr="00DB7156">
        <w:rPr>
          <w:rFonts w:ascii="Arial" w:hAnsi="Arial" w:cs="Arial"/>
          <w:sz w:val="24"/>
          <w:szCs w:val="24"/>
          <w:vertAlign w:val="subscript"/>
        </w:rPr>
        <w:t>X</w:t>
      </w:r>
      <w:r w:rsidRPr="00DB7156">
        <w:rPr>
          <w:rFonts w:ascii="Arial" w:hAnsi="Arial" w:cs="Arial"/>
          <w:sz w:val="24"/>
          <w:szCs w:val="24"/>
        </w:rPr>
        <w:t xml:space="preserve"> by allowing the fuel nitrogen to be released from the fuel in a region with low-oxygen concentration. Most of the fuel nitrogen can then react to molecular nitrogen (N</w:t>
      </w:r>
      <w:r w:rsidRPr="00DB7156">
        <w:rPr>
          <w:rFonts w:ascii="Arial" w:hAnsi="Arial" w:cs="Arial"/>
          <w:sz w:val="24"/>
          <w:szCs w:val="24"/>
          <w:vertAlign w:val="subscript"/>
        </w:rPr>
        <w:t>2</w:t>
      </w:r>
      <w:r w:rsidRPr="00DB7156">
        <w:rPr>
          <w:rFonts w:ascii="Arial" w:hAnsi="Arial" w:cs="Arial"/>
          <w:sz w:val="24"/>
          <w:szCs w:val="24"/>
        </w:rPr>
        <w:t>, the main constituent of air). High temperatures are needed to extract most of the nitrogen from the fuel and low-oxygen concentrations are also necessary to prevent the fuel nitrogen from being oxidized. This approach is known as air staging because a portion of the combustion air must be introduced later in the combustion process to form this low-oxygen reduction zone. Wall-fired LNBs achieve this end by an aerodynamic trick in each burner’s flame while, in a tangentially fired furnace, a portion of the secondary air is diverted above the flame (</w:t>
      </w:r>
      <w:r>
        <w:rPr>
          <w:rFonts w:ascii="Arial" w:hAnsi="Arial" w:cs="Arial"/>
          <w:sz w:val="24"/>
          <w:szCs w:val="24"/>
        </w:rPr>
        <w:t xml:space="preserve">i.e. </w:t>
      </w:r>
      <w:r w:rsidRPr="00DB7156">
        <w:rPr>
          <w:rFonts w:ascii="Arial" w:hAnsi="Arial" w:cs="Arial"/>
          <w:sz w:val="24"/>
          <w:szCs w:val="24"/>
        </w:rPr>
        <w:t>OFA), producing a low-oxygen zone in the entire lower furnace.</w:t>
      </w:r>
    </w:p>
    <w:p w14:paraId="22BA549E" w14:textId="77777777" w:rsidR="00FB6BE7" w:rsidRPr="00DB7156" w:rsidRDefault="00FB6BE7" w:rsidP="00DB7156">
      <w:pPr>
        <w:spacing w:after="0" w:line="240" w:lineRule="auto"/>
        <w:jc w:val="both"/>
        <w:rPr>
          <w:rFonts w:ascii="Arial" w:hAnsi="Arial" w:cs="Arial"/>
          <w:sz w:val="24"/>
          <w:szCs w:val="24"/>
        </w:rPr>
      </w:pPr>
    </w:p>
    <w:p w14:paraId="7C01755B"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LNBs for wall-fired units are typically dual-register burners. By using two separate registers for the secondary air, some of the secondary air is used to initiate and stabilize the flame (with inner-register air), while most of the secondary air is directed by the outer register to bypass the initial flame and then mix with the flame after the fuel nitrogen is released and converted to N</w:t>
      </w:r>
      <w:r w:rsidRPr="00DB7156">
        <w:rPr>
          <w:rFonts w:ascii="Arial" w:hAnsi="Arial" w:cs="Arial"/>
          <w:sz w:val="24"/>
          <w:szCs w:val="24"/>
          <w:vertAlign w:val="subscript"/>
        </w:rPr>
        <w:t>2</w:t>
      </w:r>
      <w:r w:rsidRPr="00DB7156">
        <w:rPr>
          <w:rFonts w:ascii="Arial" w:hAnsi="Arial" w:cs="Arial"/>
          <w:sz w:val="24"/>
          <w:szCs w:val="24"/>
        </w:rPr>
        <w:t>. Different manufacturers use different hardware implementations for this process, but the general technical concept is much the same.  Most also use some means of ensuring the flame stays attached to the tip of the burner.  A stable, attached flame is a lower NO</w:t>
      </w:r>
      <w:r w:rsidRPr="00DB7156">
        <w:rPr>
          <w:rFonts w:ascii="Arial" w:hAnsi="Arial" w:cs="Arial"/>
          <w:sz w:val="24"/>
          <w:szCs w:val="24"/>
          <w:vertAlign w:val="subscript"/>
        </w:rPr>
        <w:t>X</w:t>
      </w:r>
      <w:r w:rsidRPr="00DB7156">
        <w:rPr>
          <w:rFonts w:ascii="Arial" w:hAnsi="Arial" w:cs="Arial"/>
          <w:sz w:val="24"/>
          <w:szCs w:val="24"/>
        </w:rPr>
        <w:t xml:space="preserve"> producer than either an unstable flame or a detached flame.</w:t>
      </w:r>
    </w:p>
    <w:p w14:paraId="22BA54A0" w14:textId="77777777" w:rsidR="00FB6BE7" w:rsidRPr="00DB7156" w:rsidRDefault="00FB6BE7" w:rsidP="00DB7156">
      <w:pPr>
        <w:spacing w:after="0" w:line="240" w:lineRule="auto"/>
        <w:jc w:val="both"/>
        <w:rPr>
          <w:rFonts w:ascii="Arial" w:hAnsi="Arial" w:cs="Arial"/>
          <w:sz w:val="24"/>
          <w:szCs w:val="24"/>
        </w:rPr>
      </w:pPr>
    </w:p>
    <w:p w14:paraId="53F93D96" w14:textId="77777777" w:rsidR="00CA1589" w:rsidRPr="00DB7156" w:rsidRDefault="00CA1589" w:rsidP="00CA1589">
      <w:pPr>
        <w:tabs>
          <w:tab w:val="left" w:pos="540"/>
        </w:tabs>
        <w:spacing w:after="0" w:line="240" w:lineRule="auto"/>
        <w:jc w:val="both"/>
        <w:rPr>
          <w:rFonts w:ascii="Arial" w:hAnsi="Arial" w:cs="Arial"/>
          <w:sz w:val="24"/>
          <w:szCs w:val="24"/>
        </w:rPr>
      </w:pPr>
      <w:r w:rsidRPr="00DB7156">
        <w:rPr>
          <w:rFonts w:ascii="Arial" w:hAnsi="Arial" w:cs="Arial"/>
          <w:sz w:val="24"/>
          <w:szCs w:val="24"/>
        </w:rPr>
        <w:t>LNBs for tangentially fired boilers serve to assist in NO</w:t>
      </w:r>
      <w:r w:rsidRPr="00DB7156">
        <w:rPr>
          <w:rFonts w:ascii="Arial" w:hAnsi="Arial" w:cs="Arial"/>
          <w:sz w:val="24"/>
          <w:szCs w:val="24"/>
          <w:vertAlign w:val="subscript"/>
        </w:rPr>
        <w:t>X</w:t>
      </w:r>
      <w:r w:rsidRPr="00DB7156">
        <w:rPr>
          <w:rFonts w:ascii="Arial" w:hAnsi="Arial" w:cs="Arial"/>
          <w:sz w:val="24"/>
          <w:szCs w:val="24"/>
        </w:rPr>
        <w:t xml:space="preserve"> reduction by supporting the air staging used for the major NO</w:t>
      </w:r>
      <w:r w:rsidRPr="00DB7156">
        <w:rPr>
          <w:rFonts w:ascii="Arial" w:hAnsi="Arial" w:cs="Arial"/>
          <w:sz w:val="24"/>
          <w:szCs w:val="24"/>
          <w:vertAlign w:val="subscript"/>
        </w:rPr>
        <w:t>X</w:t>
      </w:r>
      <w:r w:rsidRPr="00DB7156">
        <w:rPr>
          <w:rFonts w:ascii="Arial" w:hAnsi="Arial" w:cs="Arial"/>
          <w:sz w:val="24"/>
          <w:szCs w:val="24"/>
        </w:rPr>
        <w:t xml:space="preserve"> reduction technique. There are different manufacturing designs for low NO</w:t>
      </w:r>
      <w:r w:rsidRPr="00A10BC9">
        <w:rPr>
          <w:rFonts w:ascii="Arial" w:hAnsi="Arial" w:cs="Arial"/>
          <w:sz w:val="24"/>
          <w:szCs w:val="24"/>
          <w:vertAlign w:val="subscript"/>
        </w:rPr>
        <w:t>X</w:t>
      </w:r>
      <w:r w:rsidRPr="00DB7156">
        <w:rPr>
          <w:rFonts w:ascii="Arial" w:hAnsi="Arial" w:cs="Arial"/>
          <w:sz w:val="24"/>
          <w:szCs w:val="24"/>
        </w:rPr>
        <w:t xml:space="preserve"> burners for these plants that control the mixing and direction of the combustion air relative to the coal-air mixture injected into the furnace. Most tangentially-fired boilers rely heavily on OFA in addition to low NO</w:t>
      </w:r>
      <w:r w:rsidRPr="00A10BC9">
        <w:rPr>
          <w:rFonts w:ascii="Arial" w:hAnsi="Arial" w:cs="Arial"/>
          <w:sz w:val="24"/>
          <w:szCs w:val="24"/>
          <w:vertAlign w:val="subscript"/>
        </w:rPr>
        <w:t>X</w:t>
      </w:r>
      <w:r w:rsidRPr="00DB7156">
        <w:rPr>
          <w:rFonts w:ascii="Arial" w:hAnsi="Arial" w:cs="Arial"/>
          <w:sz w:val="24"/>
          <w:szCs w:val="24"/>
        </w:rPr>
        <w:t xml:space="preserve"> burners.</w:t>
      </w:r>
    </w:p>
    <w:p w14:paraId="1BBC8D85" w14:textId="77777777" w:rsidR="00CA1589" w:rsidRPr="00DB7156" w:rsidRDefault="00CA1589" w:rsidP="00CA1589">
      <w:pPr>
        <w:tabs>
          <w:tab w:val="left" w:pos="540"/>
        </w:tabs>
        <w:spacing w:after="0" w:line="240" w:lineRule="auto"/>
        <w:jc w:val="both"/>
        <w:rPr>
          <w:rFonts w:ascii="Arial" w:hAnsi="Arial" w:cs="Arial"/>
          <w:sz w:val="24"/>
          <w:szCs w:val="24"/>
        </w:rPr>
      </w:pPr>
    </w:p>
    <w:p w14:paraId="2B8DDB9E"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OFA is a very effective method to reduce NO</w:t>
      </w:r>
      <w:r w:rsidRPr="00A10BC9">
        <w:rPr>
          <w:rFonts w:ascii="Arial" w:hAnsi="Arial" w:cs="Arial"/>
          <w:sz w:val="24"/>
          <w:szCs w:val="24"/>
          <w:vertAlign w:val="subscript"/>
        </w:rPr>
        <w:t>X</w:t>
      </w:r>
      <w:r w:rsidRPr="00DB7156">
        <w:rPr>
          <w:rFonts w:ascii="Arial" w:hAnsi="Arial" w:cs="Arial"/>
          <w:sz w:val="24"/>
          <w:szCs w:val="24"/>
        </w:rPr>
        <w:t xml:space="preserve"> emissions. In fact, the most general approach to lowering NO</w:t>
      </w:r>
      <w:r w:rsidRPr="00DB7156">
        <w:rPr>
          <w:rFonts w:ascii="Arial" w:hAnsi="Arial" w:cs="Arial"/>
          <w:sz w:val="24"/>
          <w:szCs w:val="24"/>
          <w:vertAlign w:val="subscript"/>
        </w:rPr>
        <w:t>X</w:t>
      </w:r>
      <w:r w:rsidRPr="00DB7156">
        <w:rPr>
          <w:rFonts w:ascii="Arial" w:hAnsi="Arial" w:cs="Arial"/>
          <w:sz w:val="24"/>
          <w:szCs w:val="24"/>
        </w:rPr>
        <w:t xml:space="preserve"> produced in oil or coal combustion is to create a main flame zone that is deficient in oxygen and is known as a reducing atmosphere. If the temperature can be held high in this reducing zone, the majority of the fuel nitrogen can be driven from the fuel. Since little oxygen would be present, this fuel nitrogen then reacts to form N</w:t>
      </w:r>
      <w:r w:rsidRPr="00DB7156">
        <w:rPr>
          <w:rFonts w:ascii="Arial" w:hAnsi="Arial" w:cs="Arial"/>
          <w:sz w:val="24"/>
          <w:szCs w:val="24"/>
          <w:vertAlign w:val="subscript"/>
        </w:rPr>
        <w:t>2</w:t>
      </w:r>
      <w:r w:rsidRPr="00DB7156">
        <w:rPr>
          <w:rFonts w:ascii="Arial" w:hAnsi="Arial" w:cs="Arial"/>
          <w:sz w:val="24"/>
          <w:szCs w:val="24"/>
        </w:rPr>
        <w:t>, which is the main constituent of air. OFA is the air that is added to finish the combustion process started in the combustion zone. In a vertical flow typical of boilers, the reducing zone is the main combustion zone. OFA is added above this flame zone, thus the name “overfire” air.</w:t>
      </w:r>
    </w:p>
    <w:p w14:paraId="7C2F0DFE" w14:textId="77777777" w:rsidR="00CA1589" w:rsidRPr="00DB7156" w:rsidRDefault="00CA1589" w:rsidP="00CA1589">
      <w:pPr>
        <w:spacing w:after="0" w:line="240" w:lineRule="auto"/>
        <w:jc w:val="both"/>
        <w:rPr>
          <w:rFonts w:ascii="Arial" w:hAnsi="Arial" w:cs="Arial"/>
          <w:sz w:val="24"/>
          <w:szCs w:val="24"/>
        </w:rPr>
      </w:pPr>
    </w:p>
    <w:p w14:paraId="3438C20F"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Up to approximately 30 percent of the total air needed for combustion may be supplied as OFA. As the amount of OFA increases, the NO</w:t>
      </w:r>
      <w:r w:rsidRPr="00DB7156">
        <w:rPr>
          <w:rFonts w:ascii="Arial" w:hAnsi="Arial" w:cs="Arial"/>
          <w:sz w:val="24"/>
          <w:szCs w:val="24"/>
          <w:vertAlign w:val="subscript"/>
        </w:rPr>
        <w:t>X</w:t>
      </w:r>
      <w:r w:rsidRPr="00DB7156">
        <w:rPr>
          <w:rFonts w:ascii="Arial" w:hAnsi="Arial" w:cs="Arial"/>
          <w:sz w:val="24"/>
          <w:szCs w:val="24"/>
        </w:rPr>
        <w:t xml:space="preserve"> emissions of the combustion process decrease, up to a point. Any further increase in the amount of OFA above this point will cause the NO</w:t>
      </w:r>
      <w:r w:rsidRPr="00DB7156">
        <w:rPr>
          <w:rFonts w:ascii="Arial" w:hAnsi="Arial" w:cs="Arial"/>
          <w:sz w:val="24"/>
          <w:szCs w:val="24"/>
          <w:vertAlign w:val="subscript"/>
        </w:rPr>
        <w:t>X</w:t>
      </w:r>
      <w:r w:rsidRPr="00DB7156">
        <w:rPr>
          <w:rFonts w:ascii="Arial" w:hAnsi="Arial" w:cs="Arial"/>
          <w:sz w:val="24"/>
          <w:szCs w:val="24"/>
        </w:rPr>
        <w:t xml:space="preserve"> emissions to increase. The practical limitations on the amount of OFA that can be used are:</w:t>
      </w:r>
    </w:p>
    <w:p w14:paraId="22BA54A6" w14:textId="77777777" w:rsidR="00FB6BE7" w:rsidRPr="00DB7156" w:rsidRDefault="00FB6BE7" w:rsidP="00DB7156">
      <w:pPr>
        <w:spacing w:after="0" w:line="240" w:lineRule="auto"/>
        <w:jc w:val="both"/>
        <w:rPr>
          <w:rFonts w:ascii="Arial" w:hAnsi="Arial" w:cs="Arial"/>
          <w:sz w:val="24"/>
          <w:szCs w:val="24"/>
        </w:rPr>
      </w:pPr>
    </w:p>
    <w:p w14:paraId="22BA54A7" w14:textId="27FEDA2F" w:rsidR="00FB6BE7" w:rsidRPr="00DB7156" w:rsidRDefault="00465866" w:rsidP="00DB7156">
      <w:pPr>
        <w:numPr>
          <w:ilvl w:val="0"/>
          <w:numId w:val="14"/>
        </w:numPr>
        <w:spacing w:after="0" w:line="240" w:lineRule="auto"/>
        <w:jc w:val="both"/>
        <w:rPr>
          <w:rFonts w:ascii="Arial" w:hAnsi="Arial" w:cs="Arial"/>
          <w:sz w:val="24"/>
          <w:szCs w:val="24"/>
        </w:rPr>
      </w:pPr>
      <w:r>
        <w:rPr>
          <w:rFonts w:ascii="Arial" w:hAnsi="Arial" w:cs="Arial"/>
          <w:sz w:val="24"/>
          <w:szCs w:val="24"/>
        </w:rPr>
        <w:t>Stability of the main flame</w:t>
      </w:r>
    </w:p>
    <w:p w14:paraId="22BA54A8" w14:textId="7B5844CB" w:rsidR="00FB6BE7" w:rsidRPr="00DB7156" w:rsidRDefault="00FB6BE7" w:rsidP="00DB7156">
      <w:pPr>
        <w:numPr>
          <w:ilvl w:val="0"/>
          <w:numId w:val="14"/>
        </w:numPr>
        <w:spacing w:after="0" w:line="240" w:lineRule="auto"/>
        <w:jc w:val="both"/>
        <w:rPr>
          <w:rFonts w:ascii="Arial" w:hAnsi="Arial" w:cs="Arial"/>
          <w:sz w:val="24"/>
          <w:szCs w:val="24"/>
        </w:rPr>
      </w:pPr>
      <w:r w:rsidRPr="00DB7156">
        <w:rPr>
          <w:rFonts w:ascii="Arial" w:hAnsi="Arial" w:cs="Arial"/>
          <w:sz w:val="24"/>
          <w:szCs w:val="24"/>
        </w:rPr>
        <w:t>Cor</w:t>
      </w:r>
      <w:r w:rsidR="00C33491">
        <w:rPr>
          <w:rFonts w:ascii="Arial" w:hAnsi="Arial" w:cs="Arial"/>
          <w:sz w:val="24"/>
          <w:szCs w:val="24"/>
        </w:rPr>
        <w:t>rosion of the metal steam tub</w:t>
      </w:r>
      <w:r w:rsidR="00465866">
        <w:rPr>
          <w:rFonts w:ascii="Arial" w:hAnsi="Arial" w:cs="Arial"/>
          <w:sz w:val="24"/>
          <w:szCs w:val="24"/>
        </w:rPr>
        <w:t>es</w:t>
      </w:r>
    </w:p>
    <w:p w14:paraId="22BA54A9" w14:textId="0D641A26" w:rsidR="00FB6BE7" w:rsidRPr="00DB7156" w:rsidRDefault="00C33491" w:rsidP="00DB7156">
      <w:pPr>
        <w:numPr>
          <w:ilvl w:val="0"/>
          <w:numId w:val="14"/>
        </w:numPr>
        <w:spacing w:after="0" w:line="240" w:lineRule="auto"/>
        <w:jc w:val="both"/>
        <w:rPr>
          <w:rFonts w:ascii="Arial" w:hAnsi="Arial" w:cs="Arial"/>
          <w:sz w:val="24"/>
          <w:szCs w:val="24"/>
        </w:rPr>
      </w:pPr>
      <w:r>
        <w:rPr>
          <w:rFonts w:ascii="Arial" w:hAnsi="Arial" w:cs="Arial"/>
          <w:sz w:val="24"/>
          <w:szCs w:val="24"/>
        </w:rPr>
        <w:t>Pr</w:t>
      </w:r>
      <w:r w:rsidR="00465866">
        <w:rPr>
          <w:rFonts w:ascii="Arial" w:hAnsi="Arial" w:cs="Arial"/>
          <w:sz w:val="24"/>
          <w:szCs w:val="24"/>
        </w:rPr>
        <w:t>oduction of carbon monoxide</w:t>
      </w:r>
    </w:p>
    <w:p w14:paraId="22BA54AA" w14:textId="396FF149" w:rsidR="00FB6BE7" w:rsidRPr="00DB7156" w:rsidRDefault="00FB6BE7" w:rsidP="00DB7156">
      <w:pPr>
        <w:numPr>
          <w:ilvl w:val="0"/>
          <w:numId w:val="14"/>
        </w:numPr>
        <w:spacing w:after="0" w:line="240" w:lineRule="auto"/>
        <w:jc w:val="both"/>
        <w:rPr>
          <w:rFonts w:ascii="Arial" w:hAnsi="Arial" w:cs="Arial"/>
          <w:sz w:val="24"/>
          <w:szCs w:val="24"/>
        </w:rPr>
      </w:pPr>
      <w:r w:rsidRPr="00DB7156">
        <w:rPr>
          <w:rFonts w:ascii="Arial" w:hAnsi="Arial" w:cs="Arial"/>
          <w:sz w:val="24"/>
          <w:szCs w:val="24"/>
        </w:rPr>
        <w:t>Increases in the amount of unburned carbon that escapes the furnace an</w:t>
      </w:r>
      <w:r w:rsidR="00465866">
        <w:rPr>
          <w:rFonts w:ascii="Arial" w:hAnsi="Arial" w:cs="Arial"/>
          <w:sz w:val="24"/>
          <w:szCs w:val="24"/>
        </w:rPr>
        <w:t>d is collected with the fly ash</w:t>
      </w:r>
    </w:p>
    <w:p w14:paraId="22BA54AB" w14:textId="77777777" w:rsidR="00FB6BE7" w:rsidRPr="00DB7156" w:rsidRDefault="00FB6BE7" w:rsidP="00DB7156">
      <w:pPr>
        <w:spacing w:after="0" w:line="240" w:lineRule="auto"/>
        <w:jc w:val="both"/>
        <w:rPr>
          <w:rFonts w:ascii="Arial" w:hAnsi="Arial" w:cs="Arial"/>
          <w:sz w:val="24"/>
          <w:szCs w:val="24"/>
        </w:rPr>
      </w:pPr>
    </w:p>
    <w:p w14:paraId="22BA54AC" w14:textId="77777777"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OFA is a part of most of the tangentially fired NO</w:t>
      </w:r>
      <w:r w:rsidRPr="00DB7156">
        <w:rPr>
          <w:rFonts w:ascii="Arial" w:hAnsi="Arial" w:cs="Arial"/>
          <w:sz w:val="24"/>
          <w:szCs w:val="24"/>
          <w:vertAlign w:val="subscript"/>
        </w:rPr>
        <w:t>X</w:t>
      </w:r>
      <w:r w:rsidRPr="00DB7156">
        <w:rPr>
          <w:rFonts w:ascii="Arial" w:hAnsi="Arial" w:cs="Arial"/>
          <w:sz w:val="24"/>
          <w:szCs w:val="24"/>
        </w:rPr>
        <w:t xml:space="preserve"> control systems described</w:t>
      </w:r>
      <w:r w:rsidR="00BC3E61" w:rsidRPr="00DB7156">
        <w:rPr>
          <w:rFonts w:ascii="Arial" w:hAnsi="Arial" w:cs="Arial"/>
          <w:sz w:val="24"/>
          <w:szCs w:val="24"/>
        </w:rPr>
        <w:t>.</w:t>
      </w:r>
    </w:p>
    <w:p w14:paraId="22BA54AD" w14:textId="77777777" w:rsidR="00FB6BE7" w:rsidRPr="00DB7156" w:rsidRDefault="00FB6BE7" w:rsidP="00DB7156">
      <w:pPr>
        <w:tabs>
          <w:tab w:val="left" w:pos="540"/>
        </w:tabs>
        <w:spacing w:after="0" w:line="240" w:lineRule="auto"/>
        <w:jc w:val="both"/>
        <w:rPr>
          <w:rFonts w:ascii="Arial" w:hAnsi="Arial" w:cs="Arial"/>
          <w:sz w:val="24"/>
          <w:szCs w:val="24"/>
        </w:rPr>
      </w:pPr>
    </w:p>
    <w:p w14:paraId="22BA54AE" w14:textId="77777777" w:rsidR="00FB6BE7" w:rsidRPr="00DB7156" w:rsidRDefault="00FB6BE7" w:rsidP="00DB7156">
      <w:pPr>
        <w:tabs>
          <w:tab w:val="left" w:pos="540"/>
        </w:tabs>
        <w:spacing w:after="0" w:line="240" w:lineRule="auto"/>
        <w:jc w:val="both"/>
        <w:rPr>
          <w:rFonts w:ascii="Arial" w:hAnsi="Arial" w:cs="Arial"/>
          <w:b/>
          <w:color w:val="CC0000"/>
          <w:sz w:val="24"/>
          <w:szCs w:val="24"/>
        </w:rPr>
      </w:pPr>
      <w:r w:rsidRPr="00DB7156">
        <w:rPr>
          <w:rFonts w:ascii="Arial" w:hAnsi="Arial" w:cs="Arial"/>
          <w:b/>
          <w:color w:val="000080"/>
          <w:sz w:val="24"/>
          <w:szCs w:val="24"/>
        </w:rPr>
        <w:t>V.</w:t>
      </w:r>
      <w:r w:rsidRPr="00DB7156">
        <w:rPr>
          <w:rFonts w:ascii="Arial" w:hAnsi="Arial" w:cs="Arial"/>
          <w:b/>
          <w:color w:val="000080"/>
          <w:sz w:val="24"/>
          <w:szCs w:val="24"/>
        </w:rPr>
        <w:tab/>
      </w:r>
      <w:r w:rsidRPr="00DB7156">
        <w:rPr>
          <w:rFonts w:ascii="Arial" w:hAnsi="Arial" w:cs="Arial"/>
          <w:b/>
          <w:color w:val="000080"/>
          <w:sz w:val="24"/>
          <w:szCs w:val="24"/>
          <w:u w:val="single"/>
        </w:rPr>
        <w:t>Powder River Basin (PRB) Coal</w:t>
      </w:r>
    </w:p>
    <w:p w14:paraId="22BA54AF" w14:textId="77777777" w:rsidR="00FB6BE7" w:rsidRPr="00DB7156" w:rsidRDefault="00FB6BE7" w:rsidP="00DB7156">
      <w:pPr>
        <w:spacing w:after="0" w:line="240" w:lineRule="auto"/>
        <w:jc w:val="both"/>
        <w:rPr>
          <w:rFonts w:ascii="Arial" w:hAnsi="Arial" w:cs="Arial"/>
          <w:sz w:val="24"/>
          <w:szCs w:val="24"/>
        </w:rPr>
      </w:pPr>
    </w:p>
    <w:p w14:paraId="22BA54B1" w14:textId="2364F18A" w:rsidR="00FB6BE7" w:rsidRDefault="00CA1589" w:rsidP="00DB7156">
      <w:pPr>
        <w:tabs>
          <w:tab w:val="left" w:pos="540"/>
        </w:tabs>
        <w:spacing w:after="0" w:line="240" w:lineRule="auto"/>
        <w:jc w:val="both"/>
        <w:rPr>
          <w:rFonts w:ascii="Arial" w:hAnsi="Arial" w:cs="Arial"/>
          <w:sz w:val="24"/>
          <w:szCs w:val="24"/>
        </w:rPr>
      </w:pPr>
      <w:r w:rsidRPr="00DB7156">
        <w:rPr>
          <w:rFonts w:ascii="Arial" w:hAnsi="Arial" w:cs="Arial"/>
          <w:sz w:val="24"/>
          <w:szCs w:val="24"/>
        </w:rPr>
        <w:t>PRB coal is a subbituminous coal mined primarily from seams in the PRB located in Wyoming and Montana in the western United States. Reasons for broadening the use of PRB coal include favorable economics and the added benefits of lower fuel-bound nitrogen and sulfur components that enhance the ability of generating units to minimize NO</w:t>
      </w:r>
      <w:r w:rsidRPr="00DB7156">
        <w:rPr>
          <w:rFonts w:ascii="Arial" w:hAnsi="Arial" w:cs="Arial"/>
          <w:sz w:val="24"/>
          <w:szCs w:val="24"/>
          <w:vertAlign w:val="subscript"/>
        </w:rPr>
        <w:t>X</w:t>
      </w:r>
      <w:r w:rsidRPr="00DB7156">
        <w:rPr>
          <w:rFonts w:ascii="Arial" w:hAnsi="Arial" w:cs="Arial"/>
          <w:sz w:val="24"/>
          <w:szCs w:val="24"/>
        </w:rPr>
        <w:t>, as well as SO</w:t>
      </w:r>
      <w:r w:rsidRPr="00DB7156">
        <w:rPr>
          <w:rFonts w:ascii="Arial" w:hAnsi="Arial" w:cs="Arial"/>
          <w:sz w:val="24"/>
          <w:szCs w:val="24"/>
          <w:vertAlign w:val="subscript"/>
        </w:rPr>
        <w:t>2</w:t>
      </w:r>
      <w:r w:rsidRPr="00DB7156">
        <w:rPr>
          <w:rFonts w:ascii="Arial" w:hAnsi="Arial" w:cs="Arial"/>
          <w:sz w:val="24"/>
          <w:szCs w:val="24"/>
        </w:rPr>
        <w:t xml:space="preserve"> emissions. Additional NO</w:t>
      </w:r>
      <w:r w:rsidRPr="00DB7156">
        <w:rPr>
          <w:rFonts w:ascii="Arial" w:hAnsi="Arial" w:cs="Arial"/>
          <w:sz w:val="24"/>
          <w:szCs w:val="24"/>
          <w:vertAlign w:val="subscript"/>
        </w:rPr>
        <w:t>X</w:t>
      </w:r>
      <w:r w:rsidRPr="00DB7156">
        <w:rPr>
          <w:rFonts w:ascii="Arial" w:hAnsi="Arial" w:cs="Arial"/>
          <w:sz w:val="24"/>
          <w:szCs w:val="24"/>
        </w:rPr>
        <w:t xml:space="preserve"> reductions are realized because of the lower combustion flame temperature brought about by the higher moisture content in PRB coal. With this increase in moisture content come lower heat contents (heating values), suppression of mill outlet temperatures below design minimums, possible loss of generation due to unit-load deratings, and potential increased forced outage rates during the peak season. Increased heat rate and higher operating and maintenance costs are also usually associated with a switch to PRB coal from bituminous coal. Compacting the stockout piles and increased housekeeping around transfer points are considerations to alleviate potential problems with self-heating of the higher-reactivity PRB coal. Soot blower maintenance and increased boiler inspection may be required to maintain/sustain boiler operation. ESP capacity may also be affected and additional fields or flue gas conditioning may be required to adequately collect the PRB fly ash. The impact on SCR catalyst activity of elevated levels of alkali earth metals in PRB fly ash is also a concern, but has been seen as a controllable factor</w:t>
      </w:r>
      <w:r>
        <w:rPr>
          <w:rFonts w:ascii="Arial" w:hAnsi="Arial" w:cs="Arial"/>
          <w:sz w:val="24"/>
          <w:szCs w:val="24"/>
        </w:rPr>
        <w:t>.</w:t>
      </w:r>
    </w:p>
    <w:p w14:paraId="729310D9" w14:textId="77777777" w:rsidR="00CA1589" w:rsidRPr="00DB7156" w:rsidRDefault="00CA1589" w:rsidP="00DB7156">
      <w:pPr>
        <w:tabs>
          <w:tab w:val="left" w:pos="540"/>
        </w:tabs>
        <w:spacing w:after="0" w:line="240" w:lineRule="auto"/>
        <w:jc w:val="both"/>
        <w:rPr>
          <w:rFonts w:ascii="Arial" w:hAnsi="Arial" w:cs="Arial"/>
          <w:sz w:val="24"/>
          <w:szCs w:val="24"/>
        </w:rPr>
      </w:pPr>
    </w:p>
    <w:p w14:paraId="22BA54B2" w14:textId="40797003" w:rsidR="00FB6BE7" w:rsidRDefault="00FB6BE7" w:rsidP="00DB7156">
      <w:pPr>
        <w:tabs>
          <w:tab w:val="left" w:pos="540"/>
        </w:tabs>
        <w:spacing w:after="0" w:line="240" w:lineRule="auto"/>
        <w:jc w:val="both"/>
        <w:rPr>
          <w:rFonts w:ascii="Arial" w:hAnsi="Arial" w:cs="Arial"/>
          <w:b/>
          <w:color w:val="000080"/>
          <w:sz w:val="24"/>
          <w:szCs w:val="24"/>
          <w:u w:val="single"/>
        </w:rPr>
      </w:pPr>
      <w:r w:rsidRPr="00DB7156">
        <w:rPr>
          <w:rFonts w:ascii="Arial" w:hAnsi="Arial" w:cs="Arial"/>
          <w:b/>
          <w:color w:val="000080"/>
          <w:sz w:val="24"/>
          <w:szCs w:val="24"/>
        </w:rPr>
        <w:t>VI.</w:t>
      </w:r>
      <w:r w:rsidRPr="00DB7156">
        <w:rPr>
          <w:rFonts w:ascii="Arial" w:hAnsi="Arial" w:cs="Arial"/>
          <w:b/>
          <w:color w:val="000080"/>
          <w:sz w:val="24"/>
          <w:szCs w:val="24"/>
        </w:rPr>
        <w:tab/>
      </w:r>
      <w:r w:rsidRPr="00DB7156">
        <w:rPr>
          <w:rFonts w:ascii="Arial" w:hAnsi="Arial" w:cs="Arial"/>
          <w:b/>
          <w:color w:val="000080"/>
          <w:sz w:val="24"/>
          <w:szCs w:val="24"/>
          <w:u w:val="single"/>
        </w:rPr>
        <w:t>Flue Gas Desulfurization (FGD)</w:t>
      </w:r>
    </w:p>
    <w:p w14:paraId="0DCAE6C1" w14:textId="77777777" w:rsidR="00CA1589" w:rsidRPr="00DB7156" w:rsidRDefault="00CA1589" w:rsidP="00DB7156">
      <w:pPr>
        <w:tabs>
          <w:tab w:val="left" w:pos="540"/>
        </w:tabs>
        <w:spacing w:after="0" w:line="240" w:lineRule="auto"/>
        <w:jc w:val="both"/>
        <w:rPr>
          <w:rFonts w:ascii="Arial" w:hAnsi="Arial" w:cs="Arial"/>
          <w:b/>
          <w:color w:val="000080"/>
          <w:sz w:val="24"/>
          <w:szCs w:val="24"/>
        </w:rPr>
      </w:pPr>
    </w:p>
    <w:p w14:paraId="468C491B"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Flue gas from coal- and oil-fired boilers will contain sulfur oxides produced from any sulfur in the fuel. FGD is any process that removes these sulfur oxides, primarily SO</w:t>
      </w:r>
      <w:r w:rsidRPr="00DB7156">
        <w:rPr>
          <w:rFonts w:ascii="Arial" w:hAnsi="Arial" w:cs="Arial"/>
          <w:sz w:val="24"/>
          <w:szCs w:val="24"/>
          <w:vertAlign w:val="subscript"/>
        </w:rPr>
        <w:t>2</w:t>
      </w:r>
      <w:r w:rsidRPr="00DB7156">
        <w:rPr>
          <w:rFonts w:ascii="Arial" w:hAnsi="Arial" w:cs="Arial"/>
          <w:sz w:val="24"/>
          <w:szCs w:val="24"/>
        </w:rPr>
        <w:t xml:space="preserve"> with a small amount of SO</w:t>
      </w:r>
      <w:r w:rsidRPr="00DB7156">
        <w:rPr>
          <w:rFonts w:ascii="Arial" w:hAnsi="Arial" w:cs="Arial"/>
          <w:sz w:val="24"/>
          <w:szCs w:val="24"/>
          <w:vertAlign w:val="subscript"/>
        </w:rPr>
        <w:t>3</w:t>
      </w:r>
      <w:r w:rsidRPr="00DB7156">
        <w:rPr>
          <w:rFonts w:ascii="Arial" w:hAnsi="Arial" w:cs="Arial"/>
          <w:sz w:val="24"/>
          <w:szCs w:val="24"/>
        </w:rPr>
        <w:t>. These sulfur oxides (SO</w:t>
      </w:r>
      <w:r w:rsidRPr="00DB7156">
        <w:rPr>
          <w:rFonts w:ascii="Arial" w:hAnsi="Arial" w:cs="Arial"/>
          <w:sz w:val="24"/>
          <w:szCs w:val="24"/>
          <w:vertAlign w:val="subscript"/>
        </w:rPr>
        <w:t>X</w:t>
      </w:r>
      <w:r w:rsidRPr="00DB7156">
        <w:rPr>
          <w:rFonts w:ascii="Arial" w:hAnsi="Arial" w:cs="Arial"/>
          <w:sz w:val="24"/>
          <w:szCs w:val="24"/>
        </w:rPr>
        <w:t>), can range from 0.3 percent of the flue gas by volume down to several hundred parts per million. The two main types of processes are characterized by either wet- or dry-process chemistry.</w:t>
      </w:r>
    </w:p>
    <w:p w14:paraId="0EDD7837" w14:textId="77777777" w:rsidR="00CA1589" w:rsidRPr="00DB7156" w:rsidRDefault="00CA1589" w:rsidP="00CA1589">
      <w:pPr>
        <w:spacing w:after="0" w:line="240" w:lineRule="auto"/>
        <w:jc w:val="both"/>
        <w:rPr>
          <w:rFonts w:ascii="Arial" w:hAnsi="Arial" w:cs="Arial"/>
          <w:sz w:val="24"/>
          <w:szCs w:val="24"/>
        </w:rPr>
      </w:pPr>
    </w:p>
    <w:p w14:paraId="61597C91" w14:textId="5A5B6E51"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As implied by the category, wet processes collect the SO</w:t>
      </w:r>
      <w:r w:rsidRPr="00DB7156">
        <w:rPr>
          <w:rFonts w:ascii="Arial" w:hAnsi="Arial" w:cs="Arial"/>
          <w:sz w:val="24"/>
          <w:szCs w:val="24"/>
          <w:vertAlign w:val="subscript"/>
        </w:rPr>
        <w:t>X</w:t>
      </w:r>
      <w:r w:rsidRPr="00DB7156">
        <w:rPr>
          <w:rFonts w:ascii="Arial" w:hAnsi="Arial" w:cs="Arial"/>
          <w:sz w:val="24"/>
          <w:szCs w:val="24"/>
        </w:rPr>
        <w:t xml:space="preserve"> by treating the flue gas with a water-based solution or slurry. One typical design the utility industry uses is a spray tower module where the flue gas flows up the tower and a series of nozzles spray an alkaline solution into the flue gas. The common chemical used in wet </w:t>
      </w:r>
      <w:r w:rsidR="0044567E">
        <w:rPr>
          <w:rFonts w:ascii="Arial" w:hAnsi="Arial" w:cs="Arial"/>
          <w:sz w:val="24"/>
          <w:szCs w:val="24"/>
        </w:rPr>
        <w:t>FGD</w:t>
      </w:r>
      <w:r w:rsidRPr="00DB7156">
        <w:rPr>
          <w:rFonts w:ascii="Arial" w:hAnsi="Arial" w:cs="Arial"/>
          <w:sz w:val="24"/>
          <w:szCs w:val="24"/>
        </w:rPr>
        <w:t>s is limestone and the solids produced by modern designs are predominantly calcium sulfate, or gypsum.</w:t>
      </w:r>
      <w:r w:rsidR="001E3862">
        <w:rPr>
          <w:rFonts w:ascii="Arial" w:hAnsi="Arial" w:cs="Arial"/>
          <w:sz w:val="24"/>
          <w:szCs w:val="24"/>
        </w:rPr>
        <w:t xml:space="preserve"> </w:t>
      </w:r>
      <w:r w:rsidRPr="00DB7156">
        <w:rPr>
          <w:rFonts w:ascii="Arial" w:hAnsi="Arial" w:cs="Arial"/>
          <w:sz w:val="24"/>
          <w:szCs w:val="24"/>
        </w:rPr>
        <w:t>This gypsum can either be sold as a pre-cursor to wallboard, used in cement or concrete, or used for agricultural purposes or be disposed of in a landfill or pond. The wet processes are very efficient and remove 80 to 99 percent of the SO</w:t>
      </w:r>
      <w:r w:rsidRPr="00DB7156">
        <w:rPr>
          <w:rFonts w:ascii="Arial" w:hAnsi="Arial" w:cs="Arial"/>
          <w:sz w:val="24"/>
          <w:szCs w:val="24"/>
          <w:vertAlign w:val="subscript"/>
        </w:rPr>
        <w:t>2</w:t>
      </w:r>
      <w:r w:rsidRPr="00DB7156">
        <w:rPr>
          <w:rFonts w:ascii="Arial" w:hAnsi="Arial" w:cs="Arial"/>
          <w:sz w:val="24"/>
          <w:szCs w:val="24"/>
        </w:rPr>
        <w:t xml:space="preserve"> in flue gas with 95 percent removal typical.</w:t>
      </w:r>
    </w:p>
    <w:p w14:paraId="410CB56C" w14:textId="77777777" w:rsidR="00CA1589" w:rsidRPr="00DB7156" w:rsidRDefault="00CA1589" w:rsidP="00CA1589">
      <w:pPr>
        <w:spacing w:after="0" w:line="240" w:lineRule="auto"/>
        <w:jc w:val="both"/>
        <w:rPr>
          <w:rFonts w:ascii="Arial" w:hAnsi="Arial" w:cs="Arial"/>
          <w:sz w:val="24"/>
          <w:szCs w:val="24"/>
        </w:rPr>
      </w:pPr>
    </w:p>
    <w:p w14:paraId="1F98B58C"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Dry processes inject an alkaline slurry into the flue gas stream in a spray dryer followed by a particulate control device. The spray dryer is a unit where the hot flue gases are contacted with the wet alkaline spray that absorbs the SO</w:t>
      </w:r>
      <w:r w:rsidRPr="00DB7156">
        <w:rPr>
          <w:rFonts w:ascii="Arial" w:hAnsi="Arial" w:cs="Arial"/>
          <w:sz w:val="24"/>
          <w:szCs w:val="24"/>
          <w:vertAlign w:val="subscript"/>
        </w:rPr>
        <w:t>2</w:t>
      </w:r>
      <w:r w:rsidRPr="00DB7156">
        <w:rPr>
          <w:rFonts w:ascii="Arial" w:hAnsi="Arial" w:cs="Arial"/>
          <w:sz w:val="24"/>
          <w:szCs w:val="24"/>
        </w:rPr>
        <w:t>. The hot flue gas evaporates the water and leaves a dry residue that can then be captured with the fly ash, typically in a baghouse. ESPs are normally not used behind a spray dryer because of the high resistivity of the calcium residues that are added to the fly ash. The residue also contains a mixture of calcium sulfite/sulfate, along with the fly ash from the fuel. This waste is not suitable for other uses and must be disposed of in a landfill or pond. Historically, dry scrubbing is considered to typically remove 75 to 90 percent of the SO</w:t>
      </w:r>
      <w:r w:rsidRPr="00DB7156">
        <w:rPr>
          <w:rFonts w:ascii="Arial" w:hAnsi="Arial" w:cs="Arial"/>
          <w:sz w:val="24"/>
          <w:szCs w:val="24"/>
          <w:vertAlign w:val="subscript"/>
        </w:rPr>
        <w:t>2</w:t>
      </w:r>
      <w:r w:rsidRPr="00DB7156">
        <w:rPr>
          <w:rFonts w:ascii="Arial" w:hAnsi="Arial" w:cs="Arial"/>
          <w:sz w:val="24"/>
          <w:szCs w:val="24"/>
        </w:rPr>
        <w:t xml:space="preserve"> in flue gas.</w:t>
      </w:r>
    </w:p>
    <w:p w14:paraId="22BA54B9" w14:textId="77777777" w:rsidR="00FB6BE7" w:rsidRPr="00DB7156" w:rsidRDefault="00FB6BE7" w:rsidP="00DB7156">
      <w:pPr>
        <w:keepNext/>
        <w:keepLines/>
        <w:tabs>
          <w:tab w:val="left" w:pos="540"/>
        </w:tabs>
        <w:spacing w:after="0" w:line="240" w:lineRule="auto"/>
        <w:jc w:val="both"/>
        <w:rPr>
          <w:rFonts w:ascii="Arial" w:hAnsi="Arial" w:cs="Arial"/>
          <w:sz w:val="24"/>
          <w:szCs w:val="24"/>
        </w:rPr>
      </w:pPr>
    </w:p>
    <w:p w14:paraId="22BA54BA" w14:textId="77777777" w:rsidR="00FB6BE7" w:rsidRPr="00DB7156" w:rsidRDefault="00FB6BE7" w:rsidP="00DB7156">
      <w:pPr>
        <w:tabs>
          <w:tab w:val="left" w:pos="540"/>
        </w:tabs>
        <w:spacing w:after="0" w:line="240" w:lineRule="auto"/>
        <w:jc w:val="both"/>
        <w:rPr>
          <w:rFonts w:ascii="Arial" w:hAnsi="Arial" w:cs="Arial"/>
          <w:b/>
          <w:color w:val="000080"/>
          <w:sz w:val="24"/>
          <w:szCs w:val="24"/>
          <w:u w:val="single"/>
        </w:rPr>
      </w:pPr>
      <w:r w:rsidRPr="00DB7156">
        <w:rPr>
          <w:rFonts w:ascii="Arial" w:hAnsi="Arial" w:cs="Arial"/>
          <w:b/>
          <w:color w:val="000080"/>
          <w:sz w:val="24"/>
          <w:szCs w:val="24"/>
        </w:rPr>
        <w:t>VII.</w:t>
      </w:r>
      <w:r w:rsidRPr="00DB7156">
        <w:rPr>
          <w:rFonts w:ascii="Arial" w:hAnsi="Arial" w:cs="Arial"/>
          <w:b/>
          <w:color w:val="000080"/>
          <w:sz w:val="24"/>
          <w:szCs w:val="24"/>
        </w:rPr>
        <w:tab/>
      </w:r>
      <w:r w:rsidRPr="00DB7156">
        <w:rPr>
          <w:rFonts w:ascii="Arial" w:hAnsi="Arial" w:cs="Arial"/>
          <w:b/>
          <w:color w:val="000080"/>
          <w:sz w:val="24"/>
          <w:szCs w:val="24"/>
          <w:u w:val="single"/>
        </w:rPr>
        <w:t>Dry Sorbent Injection (DSI)</w:t>
      </w:r>
    </w:p>
    <w:p w14:paraId="22BA54BB" w14:textId="77777777" w:rsidR="00FB6BE7" w:rsidRPr="00DB7156" w:rsidRDefault="00FB6BE7" w:rsidP="00DB7156">
      <w:pPr>
        <w:spacing w:after="0" w:line="240" w:lineRule="auto"/>
        <w:jc w:val="both"/>
        <w:rPr>
          <w:rFonts w:ascii="Arial" w:hAnsi="Arial" w:cs="Arial"/>
          <w:sz w:val="24"/>
          <w:szCs w:val="24"/>
        </w:rPr>
      </w:pPr>
    </w:p>
    <w:p w14:paraId="630A555B"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 xml:space="preserve">Dry sorbent injection is a technology that can help reduce acid gas emissions. DSI systems remove HCl and other acid gases through two basic steps. In step one, a powdered sorbent is injected into the flue gas where it reacts with the HCl. The sorbents most commonly associated with DSI are trona (sodium sesquicarbonate, a naturally occurring mineral mined in Wyoming), sodium bicarbonate, and hydrated lime. </w:t>
      </w:r>
    </w:p>
    <w:p w14:paraId="1E796CD0" w14:textId="77777777" w:rsidR="00CA1589" w:rsidRPr="00DB7156" w:rsidRDefault="00CA1589" w:rsidP="00CA1589">
      <w:pPr>
        <w:spacing w:after="0" w:line="240" w:lineRule="auto"/>
        <w:jc w:val="both"/>
        <w:rPr>
          <w:rFonts w:ascii="Arial" w:hAnsi="Arial" w:cs="Arial"/>
          <w:sz w:val="24"/>
          <w:szCs w:val="24"/>
        </w:rPr>
      </w:pPr>
    </w:p>
    <w:p w14:paraId="3350187E"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 xml:space="preserve">For step two, the compound is removed by a downstream </w:t>
      </w:r>
      <w:r>
        <w:rPr>
          <w:rFonts w:ascii="Arial" w:hAnsi="Arial" w:cs="Arial"/>
          <w:sz w:val="24"/>
          <w:szCs w:val="24"/>
        </w:rPr>
        <w:t>PM</w:t>
      </w:r>
      <w:r w:rsidRPr="00DB7156">
        <w:rPr>
          <w:rFonts w:ascii="Arial" w:hAnsi="Arial" w:cs="Arial"/>
          <w:sz w:val="24"/>
          <w:szCs w:val="24"/>
        </w:rPr>
        <w:t xml:space="preserve"> control device such as an ESP or a baghouse. Baghouses are generally more effective (when combined with DSI) than ESPs, with respect to overall HCl reduction. For modeling purposes, EPA estimates a DSI system with a baghouse is expected to achieve 90% removal of HCl, while a DSI system with an ESP only achieves 60% removal, although actual performance will vary by individual plant. </w:t>
      </w:r>
    </w:p>
    <w:p w14:paraId="22C864B4" w14:textId="77777777" w:rsidR="00CA1589" w:rsidRPr="00DB7156" w:rsidRDefault="00CA1589" w:rsidP="00CA1589">
      <w:pPr>
        <w:spacing w:after="0" w:line="240" w:lineRule="auto"/>
        <w:jc w:val="both"/>
        <w:rPr>
          <w:rFonts w:ascii="Arial" w:hAnsi="Arial" w:cs="Arial"/>
          <w:sz w:val="24"/>
          <w:szCs w:val="24"/>
        </w:rPr>
      </w:pPr>
    </w:p>
    <w:p w14:paraId="7CCC1971"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 xml:space="preserve">DSI systems generally do not require significant capital expenses, but may rely on significant quantities of sorbent to operate effectively, which increases the operating costs. Waste disposal for DSI may also be a significant variable cost, while the waste products from an FGD system can be sold as feedstock for industrial processes. In addition, DSI's potential effectiveness is limited to certain types of plants. Because of the amount of sorbent needed, DSI will likely be implemented most often at plants that are 300 megawatts or less and burn low-sulfur coal. </w:t>
      </w:r>
    </w:p>
    <w:p w14:paraId="22BA54C1" w14:textId="77777777" w:rsidR="00FB6BE7" w:rsidRPr="00DB7156" w:rsidRDefault="00FB6BE7" w:rsidP="00DB7156">
      <w:pPr>
        <w:spacing w:after="0" w:line="240" w:lineRule="auto"/>
        <w:jc w:val="both"/>
        <w:rPr>
          <w:rFonts w:ascii="Arial" w:hAnsi="Arial" w:cs="Arial"/>
          <w:sz w:val="24"/>
          <w:szCs w:val="24"/>
        </w:rPr>
      </w:pPr>
    </w:p>
    <w:p w14:paraId="22BA54C2" w14:textId="19EBE0B7"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DSI systems can also significantly reduce SO</w:t>
      </w:r>
      <w:r w:rsidRPr="00DB7156">
        <w:rPr>
          <w:rFonts w:ascii="Arial" w:hAnsi="Arial" w:cs="Arial"/>
          <w:sz w:val="24"/>
          <w:szCs w:val="24"/>
          <w:vertAlign w:val="subscript"/>
        </w:rPr>
        <w:t>2</w:t>
      </w:r>
      <w:r w:rsidRPr="00DB7156">
        <w:rPr>
          <w:rFonts w:ascii="Arial" w:hAnsi="Arial" w:cs="Arial"/>
          <w:sz w:val="24"/>
          <w:szCs w:val="24"/>
        </w:rPr>
        <w:t xml:space="preserve"> emissions through the same process as HCl removal. </w:t>
      </w:r>
      <w:r w:rsidR="001C4137" w:rsidRPr="00DB7156">
        <w:rPr>
          <w:rFonts w:ascii="Arial" w:hAnsi="Arial" w:cs="Arial"/>
          <w:sz w:val="24"/>
          <w:szCs w:val="24"/>
        </w:rPr>
        <w:t xml:space="preserve"> </w:t>
      </w:r>
    </w:p>
    <w:p w14:paraId="22BA54C3" w14:textId="77777777" w:rsidR="00FB6BE7" w:rsidRPr="00DB7156" w:rsidRDefault="00FB6BE7" w:rsidP="00DB7156">
      <w:pPr>
        <w:spacing w:after="0" w:line="240" w:lineRule="auto"/>
        <w:jc w:val="both"/>
        <w:rPr>
          <w:rFonts w:ascii="Arial" w:hAnsi="Arial" w:cs="Arial"/>
          <w:sz w:val="24"/>
          <w:szCs w:val="24"/>
        </w:rPr>
      </w:pPr>
    </w:p>
    <w:p w14:paraId="22BA54C4" w14:textId="77777777" w:rsidR="00FB6BE7" w:rsidRPr="00DB7156" w:rsidRDefault="00FB6BE7" w:rsidP="00DB7156">
      <w:pPr>
        <w:tabs>
          <w:tab w:val="left" w:pos="720"/>
        </w:tabs>
        <w:spacing w:after="0" w:line="240" w:lineRule="auto"/>
        <w:jc w:val="both"/>
        <w:rPr>
          <w:rFonts w:ascii="Arial" w:hAnsi="Arial" w:cs="Arial"/>
          <w:b/>
          <w:color w:val="000080"/>
          <w:sz w:val="24"/>
          <w:szCs w:val="24"/>
        </w:rPr>
      </w:pPr>
      <w:r w:rsidRPr="00DB7156">
        <w:rPr>
          <w:rFonts w:ascii="Arial" w:hAnsi="Arial" w:cs="Arial"/>
          <w:b/>
          <w:color w:val="000080"/>
          <w:sz w:val="24"/>
          <w:szCs w:val="24"/>
        </w:rPr>
        <w:t>VIII.</w:t>
      </w:r>
      <w:r w:rsidRPr="00DB7156">
        <w:rPr>
          <w:rFonts w:ascii="Arial" w:hAnsi="Arial" w:cs="Arial"/>
          <w:b/>
          <w:color w:val="000080"/>
          <w:sz w:val="24"/>
          <w:szCs w:val="24"/>
        </w:rPr>
        <w:tab/>
      </w:r>
      <w:r w:rsidRPr="00DB7156">
        <w:rPr>
          <w:rFonts w:ascii="Arial" w:hAnsi="Arial" w:cs="Arial"/>
          <w:b/>
          <w:color w:val="000080"/>
          <w:sz w:val="24"/>
          <w:szCs w:val="24"/>
          <w:u w:val="single"/>
        </w:rPr>
        <w:t>Baghouses</w:t>
      </w:r>
    </w:p>
    <w:p w14:paraId="22BA54C5" w14:textId="77777777" w:rsidR="00FB6BE7" w:rsidRPr="00DB7156" w:rsidRDefault="00FB6BE7" w:rsidP="00DB7156">
      <w:pPr>
        <w:spacing w:after="0" w:line="240" w:lineRule="auto"/>
        <w:jc w:val="both"/>
        <w:rPr>
          <w:rFonts w:ascii="Arial" w:hAnsi="Arial" w:cs="Arial"/>
          <w:sz w:val="24"/>
          <w:szCs w:val="24"/>
        </w:rPr>
      </w:pPr>
    </w:p>
    <w:p w14:paraId="326EF93B" w14:textId="797C6280"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Baghouses are filter devices that remove solid particles from flue gas streams by passing the gases through a fabric, and thus collecting the particles. While baghouses can either operate as a standalone control device or in conjunction with other particulate capture devices, all of Georgia Power’s baghouses are located downstream of the plant’s electrostatic precipitators. This configuration – a baghouse located downstream of an existing ESP – was patented by EPRI and is known as a Compact Hybrid Particulate Collector (</w:t>
      </w:r>
      <w:r w:rsidR="0052761B">
        <w:rPr>
          <w:rFonts w:ascii="Arial" w:hAnsi="Arial" w:cs="Arial"/>
          <w:sz w:val="24"/>
          <w:szCs w:val="24"/>
        </w:rPr>
        <w:t>“</w:t>
      </w:r>
      <w:r w:rsidRPr="00DB7156">
        <w:rPr>
          <w:rFonts w:ascii="Arial" w:hAnsi="Arial" w:cs="Arial"/>
          <w:sz w:val="24"/>
          <w:szCs w:val="24"/>
        </w:rPr>
        <w:t>COHPAC</w:t>
      </w:r>
      <w:r w:rsidR="0052761B">
        <w:rPr>
          <w:rFonts w:ascii="Arial" w:hAnsi="Arial" w:cs="Arial"/>
          <w:sz w:val="24"/>
          <w:szCs w:val="24"/>
        </w:rPr>
        <w:t>”</w:t>
      </w:r>
      <w:r w:rsidRPr="00DB7156">
        <w:rPr>
          <w:rFonts w:ascii="Arial" w:hAnsi="Arial" w:cs="Arial"/>
          <w:sz w:val="24"/>
          <w:szCs w:val="24"/>
        </w:rPr>
        <w:t xml:space="preserve">).  </w:t>
      </w:r>
    </w:p>
    <w:p w14:paraId="665C1BB5" w14:textId="77777777" w:rsidR="00CA1589" w:rsidRPr="00DB7156" w:rsidRDefault="00CA1589" w:rsidP="00CA1589">
      <w:pPr>
        <w:spacing w:after="0" w:line="240" w:lineRule="auto"/>
        <w:jc w:val="both"/>
        <w:rPr>
          <w:rFonts w:ascii="Arial" w:hAnsi="Arial" w:cs="Arial"/>
          <w:sz w:val="24"/>
          <w:szCs w:val="24"/>
        </w:rPr>
      </w:pPr>
    </w:p>
    <w:p w14:paraId="769FCF55"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The basic COHPAC concept is to place a pulse-jet fabric filter (</w:t>
      </w:r>
      <w:r>
        <w:rPr>
          <w:rFonts w:ascii="Arial" w:hAnsi="Arial" w:cs="Arial"/>
          <w:sz w:val="24"/>
          <w:szCs w:val="24"/>
        </w:rPr>
        <w:t>“</w:t>
      </w:r>
      <w:r w:rsidRPr="00DB7156">
        <w:rPr>
          <w:rFonts w:ascii="Arial" w:hAnsi="Arial" w:cs="Arial"/>
          <w:sz w:val="24"/>
          <w:szCs w:val="24"/>
        </w:rPr>
        <w:t>PJFF</w:t>
      </w:r>
      <w:r>
        <w:rPr>
          <w:rFonts w:ascii="Arial" w:hAnsi="Arial" w:cs="Arial"/>
          <w:sz w:val="24"/>
          <w:szCs w:val="24"/>
        </w:rPr>
        <w:t>”</w:t>
      </w:r>
      <w:r w:rsidRPr="00DB7156">
        <w:rPr>
          <w:rFonts w:ascii="Arial" w:hAnsi="Arial" w:cs="Arial"/>
          <w:sz w:val="24"/>
          <w:szCs w:val="24"/>
        </w:rPr>
        <w:t>) downstream of an existing ESP to serve as a “polishing” or performance-upgrading unit. The flue gas enters the PJFF and passes through the fabric where the fly ash particles are filtered from the gas. The particles are collected on the outside of the fabric and the resulting dust layer is cleaned from the bags by air pulses (and thus, the nomenclature: pulse-jet fabric filters). Since the ESP removes a significant amount of the particles from the gas stream the flue gas reaching the baghouse has a significantly reduced dust load. The residual electrical charge from particle charging in the ESP and low-dust loading enables the COHPAC PJFF to operate at an air-to-cloth ratio (A/C) in the 6 to 12 range. (A/C is a ratio of the amount of gas to the amount of fabric present.) A typical full-scale PJFF without an upstream ESP must operate at A/C ratios of 4 or below, allowing the physical size of a COHPAC PJFF to be up to one-fourth the size of a normal PJFF, which reduces the cost significantly.</w:t>
      </w:r>
    </w:p>
    <w:p w14:paraId="22BA54C9" w14:textId="77777777" w:rsidR="00FB6BE7" w:rsidRPr="00DB7156" w:rsidRDefault="00FB6BE7" w:rsidP="00DB7156">
      <w:pPr>
        <w:tabs>
          <w:tab w:val="left" w:pos="540"/>
          <w:tab w:val="left" w:pos="4716"/>
          <w:tab w:val="left" w:pos="4896"/>
          <w:tab w:val="left" w:pos="6718"/>
        </w:tabs>
        <w:suppressAutoHyphens/>
        <w:spacing w:after="0" w:line="240" w:lineRule="auto"/>
        <w:jc w:val="both"/>
        <w:rPr>
          <w:rFonts w:ascii="Arial" w:hAnsi="Arial" w:cs="Arial"/>
          <w:sz w:val="24"/>
          <w:szCs w:val="24"/>
        </w:rPr>
      </w:pPr>
    </w:p>
    <w:p w14:paraId="0604809B" w14:textId="77777777" w:rsidR="006E1113" w:rsidRDefault="006E1113" w:rsidP="00DB7156">
      <w:pPr>
        <w:spacing w:after="0" w:line="240" w:lineRule="auto"/>
        <w:jc w:val="both"/>
        <w:rPr>
          <w:rFonts w:ascii="Arial" w:hAnsi="Arial" w:cs="Arial"/>
          <w:b/>
          <w:color w:val="000080"/>
          <w:sz w:val="24"/>
          <w:szCs w:val="24"/>
        </w:rPr>
      </w:pPr>
    </w:p>
    <w:p w14:paraId="22BA54CA" w14:textId="1A3BDFC6" w:rsidR="00FB6BE7" w:rsidRPr="00DB7156" w:rsidRDefault="00FB6BE7" w:rsidP="00DB7156">
      <w:pPr>
        <w:spacing w:after="0" w:line="240" w:lineRule="auto"/>
        <w:jc w:val="both"/>
        <w:rPr>
          <w:rFonts w:ascii="Arial" w:hAnsi="Arial" w:cs="Arial"/>
          <w:b/>
          <w:color w:val="000080"/>
          <w:sz w:val="24"/>
          <w:szCs w:val="24"/>
        </w:rPr>
      </w:pPr>
      <w:r w:rsidRPr="00DB7156">
        <w:rPr>
          <w:rFonts w:ascii="Arial" w:hAnsi="Arial" w:cs="Arial"/>
          <w:b/>
          <w:color w:val="000080"/>
          <w:sz w:val="24"/>
          <w:szCs w:val="24"/>
        </w:rPr>
        <w:t>IX.</w:t>
      </w:r>
      <w:r w:rsidRPr="00DB7156">
        <w:rPr>
          <w:rFonts w:ascii="Arial" w:hAnsi="Arial" w:cs="Arial"/>
          <w:b/>
          <w:color w:val="000080"/>
          <w:sz w:val="24"/>
          <w:szCs w:val="24"/>
        </w:rPr>
        <w:tab/>
      </w:r>
      <w:r w:rsidRPr="00DB7156">
        <w:rPr>
          <w:rFonts w:ascii="Arial" w:hAnsi="Arial" w:cs="Arial"/>
          <w:b/>
          <w:color w:val="000080"/>
          <w:sz w:val="24"/>
          <w:szCs w:val="24"/>
          <w:u w:val="single"/>
        </w:rPr>
        <w:t>Activated Carbon Injection</w:t>
      </w:r>
      <w:r w:rsidR="00342133" w:rsidRPr="00DB7156">
        <w:rPr>
          <w:rFonts w:ascii="Arial" w:hAnsi="Arial" w:cs="Arial"/>
          <w:b/>
          <w:color w:val="000080"/>
          <w:sz w:val="24"/>
          <w:szCs w:val="24"/>
          <w:u w:val="single"/>
        </w:rPr>
        <w:t xml:space="preserve"> and </w:t>
      </w:r>
      <w:r w:rsidR="00075208" w:rsidRPr="00DB7156">
        <w:rPr>
          <w:rFonts w:ascii="Arial" w:hAnsi="Arial" w:cs="Arial"/>
          <w:b/>
          <w:color w:val="000080"/>
          <w:sz w:val="24"/>
          <w:szCs w:val="24"/>
          <w:u w:val="single"/>
        </w:rPr>
        <w:t>Alkali Sorbent Injection</w:t>
      </w:r>
    </w:p>
    <w:p w14:paraId="22BA54CB" w14:textId="77777777" w:rsidR="00FB6BE7" w:rsidRPr="00DB7156" w:rsidRDefault="00FB6BE7" w:rsidP="00DB7156">
      <w:pPr>
        <w:spacing w:after="0" w:line="240" w:lineRule="auto"/>
        <w:jc w:val="both"/>
        <w:rPr>
          <w:rFonts w:ascii="Arial" w:hAnsi="Arial" w:cs="Arial"/>
          <w:sz w:val="24"/>
          <w:szCs w:val="24"/>
        </w:rPr>
      </w:pPr>
    </w:p>
    <w:p w14:paraId="35B913C8"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 xml:space="preserve">ACI for </w:t>
      </w:r>
      <w:r>
        <w:rPr>
          <w:rFonts w:ascii="Arial" w:hAnsi="Arial" w:cs="Arial"/>
          <w:sz w:val="24"/>
          <w:szCs w:val="24"/>
        </w:rPr>
        <w:t>mercury</w:t>
      </w:r>
      <w:r w:rsidRPr="00DB7156">
        <w:rPr>
          <w:rFonts w:ascii="Arial" w:hAnsi="Arial" w:cs="Arial"/>
          <w:sz w:val="24"/>
          <w:szCs w:val="24"/>
        </w:rPr>
        <w:t xml:space="preserve"> control involves the addition of powdered activated carbon to flue gas streams where it adsorbs vapor phase mercury. This powdered material is made by “cooking” low rank coals with steam and temperature to activate the surface, generating a highly reactive product that acts like a chemical sponge. Once injected into the flue gas, the activated carbon (and adsorbed mercury) must be collected in a particulate collection device. The applications of this technology are either </w:t>
      </w:r>
      <w:r>
        <w:rPr>
          <w:rFonts w:ascii="Arial" w:hAnsi="Arial" w:cs="Arial"/>
          <w:sz w:val="24"/>
          <w:szCs w:val="24"/>
        </w:rPr>
        <w:t>(</w:t>
      </w:r>
      <w:r w:rsidRPr="00DB7156">
        <w:rPr>
          <w:rFonts w:ascii="Arial" w:hAnsi="Arial" w:cs="Arial"/>
          <w:sz w:val="24"/>
          <w:szCs w:val="24"/>
        </w:rPr>
        <w:t xml:space="preserve">1) ahead of an ESP or </w:t>
      </w:r>
      <w:r>
        <w:rPr>
          <w:rFonts w:ascii="Arial" w:hAnsi="Arial" w:cs="Arial"/>
          <w:sz w:val="24"/>
          <w:szCs w:val="24"/>
        </w:rPr>
        <w:t>(</w:t>
      </w:r>
      <w:r w:rsidRPr="00DB7156">
        <w:rPr>
          <w:rFonts w:ascii="Arial" w:hAnsi="Arial" w:cs="Arial"/>
          <w:sz w:val="24"/>
          <w:szCs w:val="24"/>
        </w:rPr>
        <w:t xml:space="preserve">2) downstream of an existing ESP but upstream of a high ratio (COHPAC) baghouse. </w:t>
      </w:r>
    </w:p>
    <w:p w14:paraId="1838B647" w14:textId="77777777" w:rsidR="00CA1589" w:rsidRPr="00DB7156" w:rsidRDefault="00CA1589" w:rsidP="00CA1589">
      <w:pPr>
        <w:spacing w:after="0" w:line="240" w:lineRule="auto"/>
        <w:jc w:val="both"/>
        <w:rPr>
          <w:rFonts w:ascii="Arial" w:hAnsi="Arial" w:cs="Arial"/>
          <w:sz w:val="24"/>
          <w:szCs w:val="24"/>
        </w:rPr>
      </w:pPr>
    </w:p>
    <w:p w14:paraId="52B5745E"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 xml:space="preserve">The first configuration mentioned above has been tested under various conditions with wide ranging results depending on contact time, fuel type, ESP size, and process conditions. Typically, due to rapid removal of the carbon in the ESP and limited contact time with the flue gas, these applications typically achieve lower removal of mercury than carbon into baghouses. Injecting activated carbon upstream of an ESP remains useful as needed for mercury control to complement the passive co-benefits of SCR and FGD.   </w:t>
      </w:r>
    </w:p>
    <w:p w14:paraId="163E2B4B" w14:textId="77777777" w:rsidR="00CA1589" w:rsidRPr="00DB7156" w:rsidRDefault="00CA1589" w:rsidP="00CA1589">
      <w:pPr>
        <w:spacing w:after="0" w:line="240" w:lineRule="auto"/>
        <w:jc w:val="both"/>
        <w:rPr>
          <w:rFonts w:ascii="Arial" w:hAnsi="Arial" w:cs="Arial"/>
          <w:sz w:val="24"/>
          <w:szCs w:val="24"/>
        </w:rPr>
      </w:pPr>
    </w:p>
    <w:p w14:paraId="6A0F9A5C" w14:textId="77777777"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The second application, injection into a COHPAC baghouse, is an EPRI patented technology known as TOXECON</w:t>
      </w:r>
      <w:r w:rsidRPr="00DB7156">
        <w:rPr>
          <w:rFonts w:ascii="Arial" w:hAnsi="Arial" w:cs="Arial"/>
          <w:sz w:val="24"/>
          <w:szCs w:val="24"/>
          <w:vertAlign w:val="superscript"/>
        </w:rPr>
        <w:t>TM</w:t>
      </w:r>
      <w:r w:rsidRPr="00DB7156">
        <w:rPr>
          <w:rFonts w:ascii="Arial" w:hAnsi="Arial" w:cs="Arial"/>
          <w:sz w:val="24"/>
          <w:szCs w:val="24"/>
        </w:rPr>
        <w:t>. This process attempts to limit the co-mingling of fly ash and activated carbon by collecting a high fraction of fly ash in the ESP before injecting the activated carbon. Furthermore, because the activated carbon is collected on bag surfaces (where it can stay from several minutes to hours), the TOXECON</w:t>
      </w:r>
      <w:r w:rsidRPr="00DB7156">
        <w:rPr>
          <w:rFonts w:ascii="Arial" w:hAnsi="Arial" w:cs="Arial"/>
          <w:sz w:val="24"/>
          <w:szCs w:val="24"/>
          <w:vertAlign w:val="superscript"/>
        </w:rPr>
        <w:t>TM</w:t>
      </w:r>
      <w:r w:rsidRPr="00DB7156">
        <w:rPr>
          <w:rFonts w:ascii="Arial" w:hAnsi="Arial" w:cs="Arial"/>
          <w:sz w:val="24"/>
          <w:szCs w:val="24"/>
        </w:rPr>
        <w:t xml:space="preserve"> process can typically achieve much higher removal rates than ESP injection (up to 90 percent), again depending on fuel type and process conditions. The primary drawback to this process is the added financial requirement in building a COHPAC baghouse, which significantly affects the overall cost of mercury removal.</w:t>
      </w:r>
    </w:p>
    <w:p w14:paraId="22BA54D1" w14:textId="77777777" w:rsidR="00FB6BE7" w:rsidRPr="00DB7156" w:rsidRDefault="00FB6BE7" w:rsidP="00DB7156">
      <w:pPr>
        <w:spacing w:after="0" w:line="240" w:lineRule="auto"/>
        <w:jc w:val="both"/>
        <w:rPr>
          <w:rFonts w:ascii="Arial" w:hAnsi="Arial" w:cs="Arial"/>
          <w:sz w:val="24"/>
          <w:szCs w:val="24"/>
        </w:rPr>
      </w:pPr>
    </w:p>
    <w:p w14:paraId="34157800" w14:textId="04E335C7" w:rsidR="00A721FD"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 xml:space="preserve">In either application, the mercury removal effectiveness of activated carbon injection can be enhanced when burning coals with higher sulfur content (e.g. non-PRB coals) by employing </w:t>
      </w:r>
      <w:r w:rsidR="00DC1996" w:rsidRPr="00DB7156">
        <w:rPr>
          <w:rFonts w:ascii="Arial" w:hAnsi="Arial" w:cs="Arial"/>
          <w:sz w:val="24"/>
          <w:szCs w:val="24"/>
        </w:rPr>
        <w:t>ALK</w:t>
      </w:r>
      <w:r w:rsidR="00342133" w:rsidRPr="00DB7156">
        <w:rPr>
          <w:rFonts w:ascii="Arial" w:hAnsi="Arial" w:cs="Arial"/>
          <w:sz w:val="24"/>
          <w:szCs w:val="24"/>
        </w:rPr>
        <w:t xml:space="preserve">, typically </w:t>
      </w:r>
      <w:r w:rsidR="00647396" w:rsidRPr="00DB7156">
        <w:rPr>
          <w:rFonts w:ascii="Arial" w:hAnsi="Arial" w:cs="Arial"/>
          <w:sz w:val="24"/>
          <w:szCs w:val="24"/>
        </w:rPr>
        <w:t>hydrated lime injection,</w:t>
      </w:r>
      <w:r w:rsidRPr="00DB7156">
        <w:rPr>
          <w:rFonts w:ascii="Arial" w:hAnsi="Arial" w:cs="Arial"/>
          <w:sz w:val="24"/>
          <w:szCs w:val="24"/>
        </w:rPr>
        <w:t xml:space="preserve"> ahead of the </w:t>
      </w:r>
      <w:r w:rsidR="004E2F81" w:rsidRPr="00DB7156">
        <w:rPr>
          <w:rFonts w:ascii="Arial" w:hAnsi="Arial" w:cs="Arial"/>
          <w:sz w:val="24"/>
          <w:szCs w:val="24"/>
        </w:rPr>
        <w:t xml:space="preserve">activated </w:t>
      </w:r>
      <w:r w:rsidRPr="00DB7156">
        <w:rPr>
          <w:rFonts w:ascii="Arial" w:hAnsi="Arial" w:cs="Arial"/>
          <w:sz w:val="24"/>
          <w:szCs w:val="24"/>
        </w:rPr>
        <w:t>carbon injection.</w:t>
      </w:r>
      <w:r w:rsidR="00342133" w:rsidRPr="00DB7156">
        <w:rPr>
          <w:rFonts w:ascii="Arial" w:hAnsi="Arial" w:cs="Arial"/>
          <w:sz w:val="24"/>
          <w:szCs w:val="24"/>
        </w:rPr>
        <w:t xml:space="preserve">  Typically, the hydrated lime used for </w:t>
      </w:r>
      <w:r w:rsidR="00DC1996" w:rsidRPr="00DB7156">
        <w:rPr>
          <w:rFonts w:ascii="Arial" w:hAnsi="Arial" w:cs="Arial"/>
          <w:sz w:val="24"/>
          <w:szCs w:val="24"/>
        </w:rPr>
        <w:t>ALK</w:t>
      </w:r>
      <w:r w:rsidR="00342133" w:rsidRPr="00DB7156">
        <w:rPr>
          <w:rFonts w:ascii="Arial" w:hAnsi="Arial" w:cs="Arial"/>
          <w:sz w:val="24"/>
          <w:szCs w:val="24"/>
        </w:rPr>
        <w:t xml:space="preserve"> is less expensive than the activated carbon, so the use of ACI plus </w:t>
      </w:r>
      <w:r w:rsidR="00DC1996" w:rsidRPr="00DB7156">
        <w:rPr>
          <w:rFonts w:ascii="Arial" w:hAnsi="Arial" w:cs="Arial"/>
          <w:sz w:val="24"/>
          <w:szCs w:val="24"/>
        </w:rPr>
        <w:t>ALK</w:t>
      </w:r>
      <w:r w:rsidR="00342133" w:rsidRPr="00DB7156">
        <w:rPr>
          <w:rFonts w:ascii="Arial" w:hAnsi="Arial" w:cs="Arial"/>
          <w:sz w:val="24"/>
          <w:szCs w:val="24"/>
        </w:rPr>
        <w:t xml:space="preserve"> is a more economical process than ACI</w:t>
      </w:r>
      <w:r w:rsidR="00FB7256" w:rsidRPr="00DB7156">
        <w:rPr>
          <w:rFonts w:ascii="Arial" w:hAnsi="Arial" w:cs="Arial"/>
          <w:sz w:val="24"/>
          <w:szCs w:val="24"/>
        </w:rPr>
        <w:t xml:space="preserve"> alone</w:t>
      </w:r>
      <w:r w:rsidR="00342133" w:rsidRPr="00DB7156">
        <w:rPr>
          <w:rFonts w:ascii="Arial" w:hAnsi="Arial" w:cs="Arial"/>
          <w:sz w:val="24"/>
          <w:szCs w:val="24"/>
        </w:rPr>
        <w:t xml:space="preserve"> for a given mercury capture target.</w:t>
      </w:r>
      <w:r w:rsidR="00A721FD" w:rsidRPr="00DB7156">
        <w:rPr>
          <w:rFonts w:ascii="Arial" w:hAnsi="Arial" w:cs="Arial"/>
          <w:sz w:val="24"/>
          <w:szCs w:val="24"/>
        </w:rPr>
        <w:t xml:space="preserve"> </w:t>
      </w:r>
    </w:p>
    <w:p w14:paraId="22BA54D3" w14:textId="77777777" w:rsidR="00FB6BE7" w:rsidRPr="00DB7156" w:rsidRDefault="00FB6BE7" w:rsidP="00DB7156">
      <w:pPr>
        <w:spacing w:after="0" w:line="240" w:lineRule="auto"/>
        <w:jc w:val="both"/>
        <w:rPr>
          <w:rFonts w:ascii="Arial" w:hAnsi="Arial" w:cs="Arial"/>
          <w:b/>
          <w:sz w:val="24"/>
          <w:szCs w:val="24"/>
        </w:rPr>
      </w:pPr>
    </w:p>
    <w:p w14:paraId="22BA54D4" w14:textId="1439B517" w:rsidR="00FB6BE7" w:rsidRPr="00DB7156" w:rsidRDefault="00FB6BE7" w:rsidP="00DB7156">
      <w:pPr>
        <w:spacing w:after="0" w:line="240" w:lineRule="auto"/>
        <w:jc w:val="both"/>
        <w:rPr>
          <w:rFonts w:ascii="Arial" w:hAnsi="Arial" w:cs="Arial"/>
          <w:b/>
          <w:color w:val="000080"/>
          <w:sz w:val="24"/>
          <w:szCs w:val="24"/>
        </w:rPr>
      </w:pPr>
      <w:r w:rsidRPr="00DB7156">
        <w:rPr>
          <w:rFonts w:ascii="Arial" w:hAnsi="Arial" w:cs="Arial"/>
          <w:b/>
          <w:color w:val="000080"/>
          <w:sz w:val="24"/>
          <w:szCs w:val="24"/>
        </w:rPr>
        <w:t>X.</w:t>
      </w:r>
      <w:r w:rsidRPr="00DB7156">
        <w:rPr>
          <w:rFonts w:ascii="Arial" w:hAnsi="Arial" w:cs="Arial"/>
          <w:b/>
          <w:color w:val="000080"/>
          <w:sz w:val="24"/>
          <w:szCs w:val="24"/>
        </w:rPr>
        <w:tab/>
      </w:r>
      <w:r w:rsidRPr="00DB7156">
        <w:rPr>
          <w:rFonts w:ascii="Arial" w:hAnsi="Arial" w:cs="Arial"/>
          <w:b/>
          <w:color w:val="000080"/>
          <w:sz w:val="24"/>
          <w:szCs w:val="24"/>
          <w:u w:val="single"/>
        </w:rPr>
        <w:t>Chemical Injection for Mercury Removal (</w:t>
      </w:r>
      <w:r w:rsidR="004E2F81" w:rsidRPr="00DB7156">
        <w:rPr>
          <w:rFonts w:ascii="Arial" w:hAnsi="Arial" w:cs="Arial"/>
          <w:b/>
          <w:color w:val="000080"/>
          <w:sz w:val="24"/>
          <w:szCs w:val="24"/>
          <w:u w:val="single"/>
        </w:rPr>
        <w:t xml:space="preserve">Halogen </w:t>
      </w:r>
      <w:r w:rsidRPr="00DB7156">
        <w:rPr>
          <w:rFonts w:ascii="Arial" w:hAnsi="Arial" w:cs="Arial"/>
          <w:b/>
          <w:color w:val="000080"/>
          <w:sz w:val="24"/>
          <w:szCs w:val="24"/>
          <w:u w:val="single"/>
        </w:rPr>
        <w:t>Injection)</w:t>
      </w:r>
    </w:p>
    <w:p w14:paraId="22BA54D5" w14:textId="77777777" w:rsidR="00FB6BE7" w:rsidRPr="00DB7156" w:rsidRDefault="00FB6BE7" w:rsidP="00DB7156">
      <w:pPr>
        <w:spacing w:after="0" w:line="240" w:lineRule="auto"/>
        <w:jc w:val="both"/>
        <w:rPr>
          <w:rFonts w:ascii="Arial" w:hAnsi="Arial" w:cs="Arial"/>
          <w:sz w:val="24"/>
          <w:szCs w:val="24"/>
        </w:rPr>
      </w:pPr>
    </w:p>
    <w:p w14:paraId="6D56F9F8" w14:textId="7A62674A" w:rsidR="00CA1589" w:rsidRPr="00DB7156" w:rsidRDefault="00CA1589" w:rsidP="00CA1589">
      <w:pPr>
        <w:spacing w:after="0" w:line="240" w:lineRule="auto"/>
        <w:jc w:val="both"/>
        <w:rPr>
          <w:rFonts w:ascii="Arial" w:hAnsi="Arial" w:cs="Arial"/>
          <w:sz w:val="24"/>
          <w:szCs w:val="24"/>
        </w:rPr>
      </w:pPr>
      <w:r w:rsidRPr="00DB7156">
        <w:rPr>
          <w:rFonts w:ascii="Arial" w:hAnsi="Arial" w:cs="Arial"/>
          <w:sz w:val="24"/>
          <w:szCs w:val="24"/>
        </w:rPr>
        <w:t>One relatively inexpensive way to capture and remove mercury from a flue gas stream is through the injection of chemical additives. Combustion of PRB coal produces primarily elemental mercury, w</w:t>
      </w:r>
      <w:r w:rsidR="0044567E">
        <w:rPr>
          <w:rFonts w:ascii="Arial" w:hAnsi="Arial" w:cs="Arial"/>
          <w:sz w:val="24"/>
          <w:szCs w:val="24"/>
        </w:rPr>
        <w:t xml:space="preserve">hich is insoluble in a wet FGD </w:t>
      </w:r>
      <w:r w:rsidRPr="00DB7156">
        <w:rPr>
          <w:rFonts w:ascii="Arial" w:hAnsi="Arial" w:cs="Arial"/>
          <w:sz w:val="24"/>
          <w:szCs w:val="24"/>
        </w:rPr>
        <w:t xml:space="preserve">system. The presence of relatively high levels of elemental mercury in PRB flue gas is due to low levels of chlorine in the PRB coal, relative to other coals. High chlorine concentrations in many coals contribute to higher levels of oxidized mercury at the FGD inlet. Calcium bromide or calcium chloride can be injected to oxidize mercury in PRB and other low chlorine coals, so that the mercury can be captured in a flue gas desulfurization </w:t>
      </w:r>
      <w:r w:rsidR="0044567E">
        <w:rPr>
          <w:rFonts w:ascii="Arial" w:hAnsi="Arial" w:cs="Arial"/>
          <w:sz w:val="24"/>
          <w:szCs w:val="24"/>
        </w:rPr>
        <w:t xml:space="preserve">FGD </w:t>
      </w:r>
      <w:r w:rsidRPr="00DB7156">
        <w:rPr>
          <w:rFonts w:ascii="Arial" w:hAnsi="Arial" w:cs="Arial"/>
          <w:sz w:val="24"/>
          <w:szCs w:val="24"/>
        </w:rPr>
        <w:t xml:space="preserve">or baghouse.  </w:t>
      </w:r>
    </w:p>
    <w:p w14:paraId="22BA54D7" w14:textId="77777777" w:rsidR="00FB6BE7" w:rsidRPr="00DB7156" w:rsidRDefault="00FB6BE7" w:rsidP="00DB7156">
      <w:pPr>
        <w:spacing w:after="0" w:line="240" w:lineRule="auto"/>
        <w:jc w:val="both"/>
        <w:rPr>
          <w:rFonts w:ascii="Arial" w:hAnsi="Arial" w:cs="Arial"/>
          <w:sz w:val="24"/>
          <w:szCs w:val="24"/>
        </w:rPr>
      </w:pPr>
    </w:p>
    <w:p w14:paraId="22BA54D8" w14:textId="77777777" w:rsidR="00FB6BE7" w:rsidRPr="00DB7156" w:rsidRDefault="00FB6BE7" w:rsidP="00DB7156">
      <w:pPr>
        <w:spacing w:after="0" w:line="240" w:lineRule="auto"/>
        <w:jc w:val="both"/>
        <w:rPr>
          <w:rFonts w:ascii="Arial" w:hAnsi="Arial" w:cs="Arial"/>
          <w:b/>
          <w:color w:val="000080"/>
          <w:sz w:val="24"/>
          <w:szCs w:val="24"/>
        </w:rPr>
      </w:pPr>
      <w:r w:rsidRPr="00DB7156">
        <w:rPr>
          <w:rFonts w:ascii="Arial" w:hAnsi="Arial" w:cs="Arial"/>
          <w:b/>
          <w:color w:val="000080"/>
          <w:sz w:val="24"/>
          <w:szCs w:val="24"/>
        </w:rPr>
        <w:t>XI.</w:t>
      </w:r>
      <w:r w:rsidRPr="00DB7156">
        <w:rPr>
          <w:rFonts w:ascii="Arial" w:hAnsi="Arial" w:cs="Arial"/>
          <w:b/>
          <w:color w:val="000080"/>
          <w:sz w:val="24"/>
          <w:szCs w:val="24"/>
        </w:rPr>
        <w:tab/>
      </w:r>
      <w:r w:rsidR="00050DFA" w:rsidRPr="00DB7156">
        <w:rPr>
          <w:rFonts w:ascii="Arial" w:hAnsi="Arial" w:cs="Arial"/>
          <w:b/>
          <w:color w:val="000080"/>
          <w:sz w:val="24"/>
          <w:szCs w:val="24"/>
          <w:u w:val="single"/>
        </w:rPr>
        <w:t>Mercury Re-emission Controls System (MRCS)</w:t>
      </w:r>
    </w:p>
    <w:p w14:paraId="22BA54D9" w14:textId="77777777" w:rsidR="00FB6BE7" w:rsidRPr="00DB7156" w:rsidRDefault="00FB6BE7" w:rsidP="00DB7156">
      <w:pPr>
        <w:spacing w:after="0" w:line="240" w:lineRule="auto"/>
        <w:jc w:val="both"/>
        <w:rPr>
          <w:rFonts w:ascii="Arial" w:hAnsi="Arial" w:cs="Arial"/>
          <w:sz w:val="24"/>
          <w:szCs w:val="24"/>
        </w:rPr>
      </w:pPr>
    </w:p>
    <w:p w14:paraId="15C7A626" w14:textId="0E77AFEC" w:rsidR="001F29F9" w:rsidRPr="00DB7156" w:rsidRDefault="00CA1589" w:rsidP="00CA1589">
      <w:pPr>
        <w:tabs>
          <w:tab w:val="left" w:pos="540"/>
        </w:tabs>
        <w:spacing w:after="0" w:line="240" w:lineRule="auto"/>
        <w:jc w:val="both"/>
        <w:rPr>
          <w:rFonts w:ascii="Arial" w:hAnsi="Arial" w:cs="Arial"/>
          <w:b/>
          <w:bCs/>
          <w:color w:val="000080"/>
          <w:sz w:val="24"/>
          <w:szCs w:val="24"/>
        </w:rPr>
      </w:pPr>
      <w:r w:rsidRPr="00DB7156">
        <w:rPr>
          <w:rFonts w:ascii="Arial" w:hAnsi="Arial" w:cs="Arial"/>
          <w:sz w:val="24"/>
          <w:szCs w:val="24"/>
        </w:rPr>
        <w:t xml:space="preserve">Wet </w:t>
      </w:r>
      <w:r w:rsidR="0044567E">
        <w:rPr>
          <w:rFonts w:ascii="Arial" w:hAnsi="Arial" w:cs="Arial"/>
          <w:sz w:val="24"/>
          <w:szCs w:val="24"/>
        </w:rPr>
        <w:t>FGD</w:t>
      </w:r>
      <w:r w:rsidRPr="00DB7156">
        <w:rPr>
          <w:rFonts w:ascii="Arial" w:hAnsi="Arial" w:cs="Arial"/>
          <w:sz w:val="24"/>
          <w:szCs w:val="24"/>
        </w:rPr>
        <w:t xml:space="preserve">s are effective at removing oxidized mercury. However, as the captured mercury may remain in a dissolved form in the </w:t>
      </w:r>
      <w:r w:rsidR="0044567E">
        <w:rPr>
          <w:rFonts w:ascii="Arial" w:hAnsi="Arial" w:cs="Arial"/>
          <w:sz w:val="24"/>
          <w:szCs w:val="24"/>
        </w:rPr>
        <w:t>FGD</w:t>
      </w:r>
      <w:r w:rsidRPr="00DB7156">
        <w:rPr>
          <w:rFonts w:ascii="Arial" w:hAnsi="Arial" w:cs="Arial"/>
          <w:sz w:val="24"/>
          <w:szCs w:val="24"/>
        </w:rPr>
        <w:t xml:space="preserve"> slurry in the vessel, the </w:t>
      </w:r>
      <w:r w:rsidR="0044567E">
        <w:rPr>
          <w:rFonts w:ascii="Arial" w:hAnsi="Arial" w:cs="Arial"/>
          <w:sz w:val="24"/>
          <w:szCs w:val="24"/>
        </w:rPr>
        <w:t>FGD</w:t>
      </w:r>
      <w:r w:rsidRPr="00DB7156">
        <w:rPr>
          <w:rFonts w:ascii="Arial" w:hAnsi="Arial" w:cs="Arial"/>
          <w:sz w:val="24"/>
          <w:szCs w:val="24"/>
        </w:rPr>
        <w:t xml:space="preserve"> may from time to time re-emit the mercury that was captured from the flue gas. This can cause increased levels of mercury emissions out of the stack. The addition of additives into the </w:t>
      </w:r>
      <w:r w:rsidR="0044567E">
        <w:rPr>
          <w:rFonts w:ascii="Arial" w:hAnsi="Arial" w:cs="Arial"/>
          <w:sz w:val="24"/>
          <w:szCs w:val="24"/>
        </w:rPr>
        <w:t>FGD</w:t>
      </w:r>
      <w:r w:rsidRPr="00DB7156">
        <w:rPr>
          <w:rFonts w:ascii="Arial" w:hAnsi="Arial" w:cs="Arial"/>
          <w:sz w:val="24"/>
          <w:szCs w:val="24"/>
        </w:rPr>
        <w:t xml:space="preserve"> slurry can help prevent the occurrence of mercury re-emission by encouraging the mercury dissolved in the slurry to precipitate into a solid. Typically, additives injected into the </w:t>
      </w:r>
      <w:r w:rsidR="0044567E">
        <w:rPr>
          <w:rFonts w:ascii="Arial" w:hAnsi="Arial" w:cs="Arial"/>
          <w:sz w:val="24"/>
          <w:szCs w:val="24"/>
        </w:rPr>
        <w:t>FGD</w:t>
      </w:r>
      <w:r w:rsidRPr="00DB7156">
        <w:rPr>
          <w:rFonts w:ascii="Arial" w:hAnsi="Arial" w:cs="Arial"/>
          <w:sz w:val="24"/>
          <w:szCs w:val="24"/>
        </w:rPr>
        <w:t xml:space="preserve"> slurry to address mercury re-emission are less expensive than the activated carbon injected upstream of the ESP or baghouse for mercury control; therefore, if mercury re-emission is observed in a given </w:t>
      </w:r>
      <w:r w:rsidR="0044567E">
        <w:rPr>
          <w:rFonts w:ascii="Arial" w:hAnsi="Arial" w:cs="Arial"/>
          <w:sz w:val="24"/>
          <w:szCs w:val="24"/>
        </w:rPr>
        <w:t>FGD</w:t>
      </w:r>
      <w:r w:rsidRPr="00DB7156">
        <w:rPr>
          <w:rFonts w:ascii="Arial" w:hAnsi="Arial" w:cs="Arial"/>
          <w:sz w:val="24"/>
          <w:szCs w:val="24"/>
        </w:rPr>
        <w:t xml:space="preserve">, an installed MRCS can be a cost-effective means of removing mercury in the </w:t>
      </w:r>
      <w:r w:rsidR="0044567E">
        <w:rPr>
          <w:rFonts w:ascii="Arial" w:hAnsi="Arial" w:cs="Arial"/>
          <w:sz w:val="24"/>
          <w:szCs w:val="24"/>
        </w:rPr>
        <w:t>FGD</w:t>
      </w:r>
      <w:r w:rsidRPr="00DB7156">
        <w:rPr>
          <w:rFonts w:ascii="Arial" w:hAnsi="Arial" w:cs="Arial"/>
          <w:sz w:val="24"/>
          <w:szCs w:val="24"/>
        </w:rPr>
        <w:t>.</w:t>
      </w:r>
    </w:p>
    <w:p w14:paraId="2DBA08DE" w14:textId="77777777" w:rsidR="001F29F9" w:rsidRPr="00DB7156" w:rsidRDefault="001F29F9" w:rsidP="00DB7156">
      <w:pPr>
        <w:tabs>
          <w:tab w:val="left" w:pos="720"/>
        </w:tabs>
        <w:spacing w:after="0" w:line="240" w:lineRule="auto"/>
        <w:jc w:val="both"/>
        <w:rPr>
          <w:rFonts w:ascii="Arial" w:hAnsi="Arial" w:cs="Arial"/>
          <w:b/>
          <w:bCs/>
          <w:color w:val="000080"/>
          <w:sz w:val="24"/>
          <w:szCs w:val="24"/>
        </w:rPr>
      </w:pPr>
    </w:p>
    <w:p w14:paraId="22BA54E2" w14:textId="042C2CA9" w:rsidR="00FB6BE7" w:rsidRPr="00DB7156" w:rsidRDefault="00E64A0F" w:rsidP="00DB7156">
      <w:pPr>
        <w:tabs>
          <w:tab w:val="left" w:pos="720"/>
        </w:tabs>
        <w:spacing w:after="0" w:line="240" w:lineRule="auto"/>
        <w:jc w:val="both"/>
        <w:rPr>
          <w:rFonts w:ascii="Arial" w:hAnsi="Arial" w:cs="Arial"/>
          <w:b/>
          <w:color w:val="CC0000"/>
          <w:sz w:val="24"/>
          <w:szCs w:val="24"/>
          <w:u w:val="single"/>
        </w:rPr>
      </w:pPr>
      <w:bookmarkStart w:id="249" w:name="_Hlk534293831"/>
      <w:r w:rsidRPr="00DB7156">
        <w:rPr>
          <w:rFonts w:ascii="Arial" w:hAnsi="Arial" w:cs="Arial"/>
          <w:b/>
          <w:bCs/>
          <w:color w:val="000080"/>
          <w:sz w:val="24"/>
          <w:szCs w:val="24"/>
        </w:rPr>
        <w:t>XII</w:t>
      </w:r>
      <w:r w:rsidR="00FB6BE7" w:rsidRPr="00DB7156">
        <w:rPr>
          <w:rFonts w:ascii="Arial" w:hAnsi="Arial" w:cs="Arial"/>
          <w:b/>
          <w:bCs/>
          <w:color w:val="000080"/>
          <w:sz w:val="24"/>
          <w:szCs w:val="24"/>
        </w:rPr>
        <w:t>.</w:t>
      </w:r>
      <w:r w:rsidR="00FB6BE7" w:rsidRPr="00DB7156">
        <w:rPr>
          <w:rFonts w:ascii="Arial" w:hAnsi="Arial" w:cs="Arial"/>
          <w:b/>
          <w:bCs/>
          <w:color w:val="000080"/>
          <w:sz w:val="24"/>
          <w:szCs w:val="24"/>
        </w:rPr>
        <w:tab/>
      </w:r>
      <w:r w:rsidR="00FB6BE7" w:rsidRPr="00DB7156">
        <w:rPr>
          <w:rFonts w:ascii="Arial" w:hAnsi="Arial" w:cs="Arial"/>
          <w:b/>
          <w:color w:val="000080"/>
          <w:sz w:val="24"/>
          <w:szCs w:val="24"/>
          <w:u w:val="single"/>
        </w:rPr>
        <w:t>Containment and Control Technologies for Ash Storage Areas</w:t>
      </w:r>
    </w:p>
    <w:p w14:paraId="6AD9E169" w14:textId="77777777" w:rsidR="001F29F9" w:rsidRPr="00DB7156" w:rsidRDefault="001F29F9" w:rsidP="00DB7156">
      <w:pPr>
        <w:spacing w:after="0" w:line="240" w:lineRule="auto"/>
        <w:jc w:val="both"/>
        <w:rPr>
          <w:rFonts w:ascii="Arial" w:hAnsi="Arial" w:cs="Arial"/>
          <w:sz w:val="24"/>
          <w:szCs w:val="24"/>
        </w:rPr>
      </w:pPr>
    </w:p>
    <w:p w14:paraId="773C61ED" w14:textId="093371B1"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Several technologies are available to control</w:t>
      </w:r>
      <w:r w:rsidR="00F57919" w:rsidRPr="00DB7156">
        <w:rPr>
          <w:rFonts w:ascii="Arial" w:hAnsi="Arial" w:cs="Arial"/>
          <w:sz w:val="24"/>
          <w:szCs w:val="24"/>
        </w:rPr>
        <w:t xml:space="preserve"> and </w:t>
      </w:r>
      <w:r w:rsidR="00393A10" w:rsidRPr="00DB7156">
        <w:rPr>
          <w:rFonts w:ascii="Arial" w:hAnsi="Arial" w:cs="Arial"/>
          <w:sz w:val="24"/>
          <w:szCs w:val="24"/>
        </w:rPr>
        <w:t>close ash</w:t>
      </w:r>
      <w:r w:rsidRPr="00DB7156">
        <w:rPr>
          <w:rFonts w:ascii="Arial" w:hAnsi="Arial" w:cs="Arial"/>
          <w:sz w:val="24"/>
          <w:szCs w:val="24"/>
        </w:rPr>
        <w:t xml:space="preserve"> storage areas. The most common technologies include liners, caps, slurry walls, sheet pile walls, grouting, and </w:t>
      </w:r>
      <w:r w:rsidRPr="00DB7156">
        <w:rPr>
          <w:rFonts w:ascii="Arial" w:hAnsi="Arial" w:cs="Arial"/>
          <w:i/>
          <w:iCs/>
          <w:sz w:val="24"/>
          <w:szCs w:val="24"/>
        </w:rPr>
        <w:t>in situ</w:t>
      </w:r>
      <w:r w:rsidRPr="00DB7156">
        <w:rPr>
          <w:rFonts w:ascii="Arial" w:hAnsi="Arial" w:cs="Arial"/>
          <w:sz w:val="24"/>
          <w:szCs w:val="24"/>
        </w:rPr>
        <w:t xml:space="preserve"> solidification and stabilization. A brief description of each technology is provided below.</w:t>
      </w:r>
    </w:p>
    <w:p w14:paraId="02D61003" w14:textId="77777777" w:rsidR="001B4C63" w:rsidRDefault="001B4C63" w:rsidP="001B4C63">
      <w:pPr>
        <w:spacing w:after="0" w:line="240" w:lineRule="auto"/>
        <w:jc w:val="both"/>
        <w:rPr>
          <w:rFonts w:ascii="Arial" w:hAnsi="Arial" w:cs="Arial"/>
          <w:sz w:val="24"/>
          <w:szCs w:val="24"/>
        </w:rPr>
      </w:pPr>
    </w:p>
    <w:p w14:paraId="13F08C51" w14:textId="77777777" w:rsidR="001B4C63" w:rsidRPr="001B4C63" w:rsidRDefault="001B4C63" w:rsidP="001B4C63">
      <w:pPr>
        <w:spacing w:after="0" w:line="240" w:lineRule="auto"/>
        <w:jc w:val="both"/>
        <w:rPr>
          <w:rFonts w:ascii="Arial" w:hAnsi="Arial" w:cs="Arial"/>
          <w:b/>
          <w:sz w:val="24"/>
          <w:szCs w:val="24"/>
          <w:u w:val="single"/>
        </w:rPr>
      </w:pPr>
      <w:r w:rsidRPr="001B4C63">
        <w:rPr>
          <w:rFonts w:ascii="Arial" w:hAnsi="Arial" w:cs="Arial"/>
          <w:b/>
          <w:sz w:val="24"/>
          <w:szCs w:val="24"/>
          <w:u w:val="single"/>
        </w:rPr>
        <w:t xml:space="preserve">Advanced Engineering Methods (AEMs) </w:t>
      </w:r>
    </w:p>
    <w:p w14:paraId="7A6CA717" w14:textId="6A6E15B1" w:rsidR="001B4C63" w:rsidRPr="001B4C63" w:rsidRDefault="001B4C63" w:rsidP="001B4C63">
      <w:pPr>
        <w:rPr>
          <w:rFonts w:ascii="Arial" w:hAnsi="Arial" w:cs="Arial"/>
          <w:sz w:val="24"/>
          <w:szCs w:val="24"/>
        </w:rPr>
      </w:pPr>
      <w:r>
        <w:rPr>
          <w:rFonts w:ascii="Arial" w:hAnsi="Arial" w:cs="Arial"/>
          <w:sz w:val="24"/>
          <w:szCs w:val="24"/>
        </w:rPr>
        <w:t xml:space="preserve">AEMs </w:t>
      </w:r>
      <w:r w:rsidRPr="001B4C63">
        <w:rPr>
          <w:rFonts w:ascii="Arial" w:hAnsi="Arial" w:cs="Arial"/>
          <w:sz w:val="24"/>
          <w:szCs w:val="24"/>
        </w:rPr>
        <w:t xml:space="preserve">are </w:t>
      </w:r>
      <w:r>
        <w:rPr>
          <w:rFonts w:ascii="Arial" w:hAnsi="Arial" w:cs="Arial"/>
          <w:sz w:val="24"/>
          <w:szCs w:val="24"/>
        </w:rPr>
        <w:t>the</w:t>
      </w:r>
      <w:r w:rsidRPr="001B4C63">
        <w:rPr>
          <w:rFonts w:ascii="Arial" w:hAnsi="Arial" w:cs="Arial"/>
          <w:sz w:val="24"/>
          <w:szCs w:val="24"/>
        </w:rPr>
        <w:t xml:space="preserve"> technologies that will be imp</w:t>
      </w:r>
      <w:r>
        <w:rPr>
          <w:rFonts w:ascii="Arial" w:hAnsi="Arial" w:cs="Arial"/>
          <w:sz w:val="24"/>
          <w:szCs w:val="24"/>
        </w:rPr>
        <w:t xml:space="preserve">lemented in conjunction with close in </w:t>
      </w:r>
      <w:r w:rsidRPr="001B4C63">
        <w:rPr>
          <w:rFonts w:ascii="Arial" w:hAnsi="Arial" w:cs="Arial"/>
          <w:sz w:val="24"/>
          <w:szCs w:val="24"/>
        </w:rPr>
        <w:t>place pond clos</w:t>
      </w:r>
      <w:r>
        <w:rPr>
          <w:rFonts w:ascii="Arial" w:hAnsi="Arial" w:cs="Arial"/>
          <w:sz w:val="24"/>
          <w:szCs w:val="24"/>
        </w:rPr>
        <w:t xml:space="preserve">ures </w:t>
      </w:r>
      <w:r w:rsidRPr="001B4C63">
        <w:rPr>
          <w:rFonts w:ascii="Arial" w:hAnsi="Arial" w:cs="Arial"/>
          <w:sz w:val="24"/>
          <w:szCs w:val="24"/>
        </w:rPr>
        <w:t>to enhance the protection of groundwater.</w:t>
      </w:r>
      <w:r w:rsidR="005F71E2">
        <w:rPr>
          <w:rFonts w:ascii="Arial" w:hAnsi="Arial" w:cs="Arial"/>
          <w:sz w:val="24"/>
          <w:szCs w:val="24"/>
        </w:rPr>
        <w:t xml:space="preserve"> </w:t>
      </w:r>
      <w:r w:rsidRPr="001B4C63">
        <w:rPr>
          <w:rFonts w:ascii="Arial" w:hAnsi="Arial" w:cs="Arial"/>
          <w:sz w:val="24"/>
          <w:szCs w:val="24"/>
        </w:rPr>
        <w:t>AEMs are implemented for the following reasons:</w:t>
      </w:r>
    </w:p>
    <w:p w14:paraId="3553182A" w14:textId="4D01EE29" w:rsidR="001B4C63" w:rsidRPr="001B4C63" w:rsidRDefault="001B4C63" w:rsidP="001B4C63">
      <w:pPr>
        <w:numPr>
          <w:ilvl w:val="0"/>
          <w:numId w:val="37"/>
        </w:numPr>
        <w:ind w:left="1440"/>
        <w:contextualSpacing/>
        <w:jc w:val="both"/>
        <w:rPr>
          <w:rFonts w:ascii="Arial" w:hAnsi="Arial" w:cs="Arial"/>
          <w:sz w:val="24"/>
          <w:szCs w:val="24"/>
        </w:rPr>
      </w:pPr>
      <w:r w:rsidRPr="001B4C63">
        <w:rPr>
          <w:rFonts w:ascii="Arial" w:hAnsi="Arial" w:cs="Arial"/>
          <w:sz w:val="24"/>
          <w:szCs w:val="24"/>
        </w:rPr>
        <w:t xml:space="preserve">To </w:t>
      </w:r>
      <w:r w:rsidR="00B87D57">
        <w:rPr>
          <w:rFonts w:ascii="Arial" w:hAnsi="Arial" w:cs="Arial"/>
          <w:sz w:val="24"/>
          <w:szCs w:val="24"/>
        </w:rPr>
        <w:t>compliment closure and reduce the po</w:t>
      </w:r>
      <w:r w:rsidR="00465866">
        <w:rPr>
          <w:rFonts w:ascii="Arial" w:hAnsi="Arial" w:cs="Arial"/>
          <w:sz w:val="24"/>
          <w:szCs w:val="24"/>
        </w:rPr>
        <w:t>tential for groundwater impacts</w:t>
      </w:r>
    </w:p>
    <w:p w14:paraId="65CF6CE4" w14:textId="58FD36AC" w:rsidR="001B4C63" w:rsidRPr="001B4C63" w:rsidRDefault="001B4C63" w:rsidP="001B4C63">
      <w:pPr>
        <w:numPr>
          <w:ilvl w:val="0"/>
          <w:numId w:val="37"/>
        </w:numPr>
        <w:ind w:left="1440"/>
        <w:contextualSpacing/>
        <w:jc w:val="both"/>
        <w:rPr>
          <w:rFonts w:ascii="Arial" w:hAnsi="Arial" w:cs="Arial"/>
          <w:sz w:val="24"/>
          <w:szCs w:val="24"/>
        </w:rPr>
      </w:pPr>
      <w:r w:rsidRPr="001B4C63">
        <w:rPr>
          <w:rFonts w:ascii="Arial" w:hAnsi="Arial" w:cs="Arial"/>
          <w:sz w:val="24"/>
          <w:szCs w:val="24"/>
        </w:rPr>
        <w:t>To improve or enhance the stability o</w:t>
      </w:r>
      <w:r w:rsidR="00465866">
        <w:rPr>
          <w:rFonts w:ascii="Arial" w:hAnsi="Arial" w:cs="Arial"/>
          <w:sz w:val="24"/>
          <w:szCs w:val="24"/>
        </w:rPr>
        <w:t>f the closure, where applicable</w:t>
      </w:r>
    </w:p>
    <w:p w14:paraId="619162AF" w14:textId="71962FCF" w:rsidR="001B4C63" w:rsidRPr="001B4C63" w:rsidRDefault="001B4C63" w:rsidP="001B4C63">
      <w:pPr>
        <w:numPr>
          <w:ilvl w:val="0"/>
          <w:numId w:val="37"/>
        </w:numPr>
        <w:ind w:left="1440"/>
        <w:contextualSpacing/>
        <w:jc w:val="both"/>
        <w:rPr>
          <w:rFonts w:ascii="Arial" w:hAnsi="Arial" w:cs="Arial"/>
          <w:sz w:val="24"/>
          <w:szCs w:val="24"/>
        </w:rPr>
      </w:pPr>
      <w:r w:rsidRPr="001B4C63">
        <w:rPr>
          <w:rFonts w:ascii="Arial" w:hAnsi="Arial" w:cs="Arial"/>
          <w:sz w:val="24"/>
          <w:szCs w:val="24"/>
        </w:rPr>
        <w:t xml:space="preserve">To </w:t>
      </w:r>
      <w:r w:rsidR="007E4CCF">
        <w:rPr>
          <w:rFonts w:ascii="Arial" w:hAnsi="Arial" w:cs="Arial"/>
          <w:sz w:val="24"/>
          <w:szCs w:val="24"/>
        </w:rPr>
        <w:t>assist in m</w:t>
      </w:r>
      <w:r w:rsidR="00465866">
        <w:rPr>
          <w:rFonts w:ascii="Arial" w:hAnsi="Arial" w:cs="Arial"/>
          <w:sz w:val="24"/>
          <w:szCs w:val="24"/>
        </w:rPr>
        <w:t>inimizing long-term O&amp;M efforts</w:t>
      </w:r>
    </w:p>
    <w:p w14:paraId="22BA54E5" w14:textId="77777777" w:rsidR="00FB6BE7" w:rsidRPr="00DB7156" w:rsidRDefault="00FB6BE7" w:rsidP="00DB7156">
      <w:pPr>
        <w:spacing w:after="0" w:line="240" w:lineRule="auto"/>
        <w:jc w:val="both"/>
        <w:rPr>
          <w:rFonts w:ascii="Arial" w:hAnsi="Arial" w:cs="Arial"/>
          <w:sz w:val="24"/>
          <w:szCs w:val="24"/>
        </w:rPr>
      </w:pPr>
    </w:p>
    <w:p w14:paraId="005BF7EF" w14:textId="4FF6B497" w:rsidR="00B87D57" w:rsidRDefault="000A3640" w:rsidP="00DB7156">
      <w:pPr>
        <w:spacing w:after="0" w:line="240" w:lineRule="auto"/>
        <w:jc w:val="both"/>
        <w:rPr>
          <w:rFonts w:ascii="Arial" w:hAnsi="Arial" w:cs="Arial"/>
          <w:b/>
          <w:sz w:val="24"/>
          <w:szCs w:val="24"/>
          <w:u w:val="single"/>
        </w:rPr>
      </w:pPr>
      <w:r>
        <w:rPr>
          <w:rFonts w:ascii="Arial" w:hAnsi="Arial" w:cs="Arial"/>
          <w:b/>
          <w:sz w:val="24"/>
          <w:szCs w:val="24"/>
          <w:u w:val="single"/>
        </w:rPr>
        <w:t xml:space="preserve">Closure </w:t>
      </w:r>
      <w:r w:rsidR="00B87D57">
        <w:rPr>
          <w:rFonts w:ascii="Arial" w:hAnsi="Arial" w:cs="Arial"/>
          <w:b/>
          <w:sz w:val="24"/>
          <w:szCs w:val="24"/>
          <w:u w:val="single"/>
        </w:rPr>
        <w:t>Footprint Reduction</w:t>
      </w:r>
    </w:p>
    <w:p w14:paraId="707BE535" w14:textId="726E0547" w:rsidR="00B87D57" w:rsidRPr="00B87D57" w:rsidRDefault="00D229FB" w:rsidP="00DB7156">
      <w:pPr>
        <w:spacing w:after="0" w:line="240" w:lineRule="auto"/>
        <w:jc w:val="both"/>
        <w:rPr>
          <w:rFonts w:ascii="Arial" w:hAnsi="Arial" w:cs="Arial"/>
          <w:sz w:val="24"/>
          <w:szCs w:val="24"/>
        </w:rPr>
      </w:pPr>
      <w:r>
        <w:rPr>
          <w:rFonts w:ascii="Arial" w:hAnsi="Arial" w:cs="Arial"/>
          <w:sz w:val="24"/>
          <w:szCs w:val="24"/>
        </w:rPr>
        <w:t xml:space="preserve">Ash ponds closed in place may involve consolidating ash into a smaller footprint. This promotes closure improvements by reducing the potential for groundwater impacts as well as reduces long term O&amp;M associated with maintaining the closed facility. </w:t>
      </w:r>
    </w:p>
    <w:p w14:paraId="23FD5460" w14:textId="2DBEE2BA" w:rsidR="00B87D57" w:rsidRDefault="00B87D57" w:rsidP="00DB7156">
      <w:pPr>
        <w:spacing w:after="0" w:line="240" w:lineRule="auto"/>
        <w:jc w:val="both"/>
        <w:rPr>
          <w:rFonts w:ascii="Arial" w:hAnsi="Arial" w:cs="Arial"/>
          <w:b/>
          <w:sz w:val="24"/>
          <w:szCs w:val="24"/>
          <w:u w:val="single"/>
        </w:rPr>
      </w:pPr>
    </w:p>
    <w:p w14:paraId="22BA54E6" w14:textId="634332B6" w:rsidR="00FB6BE7" w:rsidRPr="00DB7156" w:rsidRDefault="00FB6BE7" w:rsidP="00DB7156">
      <w:pPr>
        <w:spacing w:after="0" w:line="240" w:lineRule="auto"/>
        <w:jc w:val="both"/>
        <w:rPr>
          <w:rFonts w:ascii="Arial" w:hAnsi="Arial" w:cs="Arial"/>
          <w:b/>
          <w:sz w:val="24"/>
          <w:szCs w:val="24"/>
          <w:u w:val="single"/>
        </w:rPr>
      </w:pPr>
      <w:r w:rsidRPr="00DB7156">
        <w:rPr>
          <w:rFonts w:ascii="Arial" w:hAnsi="Arial" w:cs="Arial"/>
          <w:b/>
          <w:sz w:val="24"/>
          <w:szCs w:val="24"/>
          <w:u w:val="single"/>
        </w:rPr>
        <w:t>Liners</w:t>
      </w:r>
    </w:p>
    <w:p w14:paraId="22BA54E7" w14:textId="28342D07" w:rsidR="00FB6BE7" w:rsidRPr="00DB7156" w:rsidRDefault="00FB6BE7" w:rsidP="00DB7156">
      <w:pPr>
        <w:spacing w:after="0" w:line="240" w:lineRule="auto"/>
        <w:jc w:val="both"/>
        <w:rPr>
          <w:rFonts w:ascii="Arial" w:hAnsi="Arial" w:cs="Arial"/>
          <w:b/>
          <w:sz w:val="24"/>
          <w:szCs w:val="24"/>
          <w:u w:val="single"/>
        </w:rPr>
      </w:pPr>
      <w:r w:rsidRPr="00DB7156">
        <w:rPr>
          <w:rFonts w:ascii="Arial" w:hAnsi="Arial" w:cs="Arial"/>
          <w:sz w:val="24"/>
          <w:szCs w:val="24"/>
        </w:rPr>
        <w:t>A liner is a layer of impermeable or low-permeability material placed at the bottom of ash storage facilities, which prevents ash leachate from entering soil and groundwater. Liners can be constructed of compacted natural material (such as clay), synthetic m</w:t>
      </w:r>
      <w:r w:rsidR="006C5A28">
        <w:rPr>
          <w:rFonts w:ascii="Arial" w:hAnsi="Arial" w:cs="Arial"/>
          <w:sz w:val="24"/>
          <w:szCs w:val="24"/>
        </w:rPr>
        <w:t>aterials (such as High-Density Polyethylene</w:t>
      </w:r>
      <w:r w:rsidRPr="00DB7156">
        <w:rPr>
          <w:rFonts w:ascii="Arial" w:hAnsi="Arial" w:cs="Arial"/>
          <w:sz w:val="24"/>
          <w:szCs w:val="24"/>
        </w:rPr>
        <w:t xml:space="preserve"> </w:t>
      </w:r>
      <w:r w:rsidR="006C5A28">
        <w:rPr>
          <w:rFonts w:ascii="Arial" w:hAnsi="Arial" w:cs="Arial"/>
          <w:sz w:val="24"/>
          <w:szCs w:val="24"/>
        </w:rPr>
        <w:t>(</w:t>
      </w:r>
      <w:r w:rsidR="0052761B">
        <w:rPr>
          <w:rFonts w:ascii="Arial" w:hAnsi="Arial" w:cs="Arial"/>
          <w:sz w:val="24"/>
          <w:szCs w:val="24"/>
        </w:rPr>
        <w:t>“</w:t>
      </w:r>
      <w:r w:rsidRPr="00DB7156">
        <w:rPr>
          <w:rFonts w:ascii="Arial" w:hAnsi="Arial" w:cs="Arial"/>
          <w:sz w:val="24"/>
          <w:szCs w:val="24"/>
        </w:rPr>
        <w:t>HDPE</w:t>
      </w:r>
      <w:r w:rsidR="0052761B">
        <w:rPr>
          <w:rFonts w:ascii="Arial" w:hAnsi="Arial" w:cs="Arial"/>
          <w:sz w:val="24"/>
          <w:szCs w:val="24"/>
        </w:rPr>
        <w:t>”</w:t>
      </w:r>
      <w:r w:rsidRPr="00DB7156">
        <w:rPr>
          <w:rFonts w:ascii="Arial" w:hAnsi="Arial" w:cs="Arial"/>
          <w:sz w:val="24"/>
          <w:szCs w:val="24"/>
        </w:rPr>
        <w:t>)</w:t>
      </w:r>
      <w:r w:rsidR="006C5A28">
        <w:rPr>
          <w:rFonts w:ascii="Arial" w:hAnsi="Arial" w:cs="Arial"/>
          <w:sz w:val="24"/>
          <w:szCs w:val="24"/>
        </w:rPr>
        <w:t>)</w:t>
      </w:r>
      <w:r w:rsidRPr="00DB7156">
        <w:rPr>
          <w:rFonts w:ascii="Arial" w:hAnsi="Arial" w:cs="Arial"/>
          <w:sz w:val="24"/>
          <w:szCs w:val="24"/>
        </w:rPr>
        <w:t>, or composite materials (combination of synthetic and natural materials). Regulations generally require liners under new ash storage areas.</w:t>
      </w:r>
    </w:p>
    <w:p w14:paraId="22BA54E8" w14:textId="77777777" w:rsidR="00FB6BE7" w:rsidRPr="00DB7156" w:rsidRDefault="00FB6BE7" w:rsidP="00DB7156">
      <w:pPr>
        <w:spacing w:after="0" w:line="240" w:lineRule="auto"/>
        <w:jc w:val="both"/>
        <w:rPr>
          <w:rFonts w:ascii="Arial" w:hAnsi="Arial" w:cs="Arial"/>
          <w:b/>
          <w:sz w:val="24"/>
          <w:szCs w:val="24"/>
          <w:u w:val="single"/>
        </w:rPr>
      </w:pPr>
    </w:p>
    <w:p w14:paraId="22BA54E9" w14:textId="77777777" w:rsidR="00FB6BE7" w:rsidRPr="00DB7156" w:rsidRDefault="00FB6BE7" w:rsidP="00DB7156">
      <w:pPr>
        <w:spacing w:after="0" w:line="240" w:lineRule="auto"/>
        <w:jc w:val="both"/>
        <w:rPr>
          <w:rFonts w:ascii="Arial" w:hAnsi="Arial" w:cs="Arial"/>
          <w:b/>
          <w:sz w:val="24"/>
          <w:szCs w:val="24"/>
          <w:u w:val="single"/>
        </w:rPr>
      </w:pPr>
      <w:r w:rsidRPr="00DB7156">
        <w:rPr>
          <w:rFonts w:ascii="Arial" w:hAnsi="Arial" w:cs="Arial"/>
          <w:b/>
          <w:sz w:val="24"/>
          <w:szCs w:val="24"/>
          <w:u w:val="single"/>
        </w:rPr>
        <w:t>Caps</w:t>
      </w:r>
    </w:p>
    <w:p w14:paraId="22BA54EA" w14:textId="4C318C1F"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A cap is a layer of impermeable or low-permeability material placed on top of ash storage areas, to prevent</w:t>
      </w:r>
      <w:r w:rsidRPr="00DB7156">
        <w:rPr>
          <w:rFonts w:ascii="Arial" w:hAnsi="Arial" w:cs="Arial"/>
          <w:b/>
          <w:sz w:val="24"/>
          <w:szCs w:val="24"/>
        </w:rPr>
        <w:t xml:space="preserve"> </w:t>
      </w:r>
      <w:r w:rsidRPr="00DB7156">
        <w:rPr>
          <w:rFonts w:ascii="Arial" w:hAnsi="Arial" w:cs="Arial"/>
          <w:sz w:val="24"/>
          <w:szCs w:val="24"/>
        </w:rPr>
        <w:t xml:space="preserve">surface water infiltration and resulting leachate. By preventing water movement through the </w:t>
      </w:r>
      <w:r w:rsidR="00393A10" w:rsidRPr="00DB7156">
        <w:rPr>
          <w:rFonts w:ascii="Arial" w:hAnsi="Arial" w:cs="Arial"/>
          <w:sz w:val="24"/>
          <w:szCs w:val="24"/>
        </w:rPr>
        <w:t>ash, environmental</w:t>
      </w:r>
      <w:r w:rsidR="00DB6817" w:rsidRPr="00DB7156">
        <w:rPr>
          <w:rFonts w:ascii="Arial" w:hAnsi="Arial" w:cs="Arial"/>
          <w:sz w:val="24"/>
          <w:szCs w:val="24"/>
        </w:rPr>
        <w:t xml:space="preserve"> impacts </w:t>
      </w:r>
      <w:r w:rsidR="00F57919" w:rsidRPr="00DB7156">
        <w:rPr>
          <w:rFonts w:ascii="Arial" w:hAnsi="Arial" w:cs="Arial"/>
          <w:sz w:val="24"/>
          <w:szCs w:val="24"/>
        </w:rPr>
        <w:t xml:space="preserve">are </w:t>
      </w:r>
      <w:r w:rsidRPr="00DB7156">
        <w:rPr>
          <w:rFonts w:ascii="Arial" w:hAnsi="Arial" w:cs="Arial"/>
          <w:sz w:val="24"/>
          <w:szCs w:val="24"/>
        </w:rPr>
        <w:t>prevented or reduced. As with liners, caps can be constructed of natural materials (for example, compacted clay), synthetic materials (HDPE), or a composite. Capping may be used in conjunction with liners or barrier walls to encapsulate a material in place.</w:t>
      </w:r>
    </w:p>
    <w:p w14:paraId="22BA54EB" w14:textId="77777777" w:rsidR="00FB6BE7" w:rsidRPr="00DB7156" w:rsidRDefault="00FB6BE7" w:rsidP="00DB7156">
      <w:pPr>
        <w:keepNext/>
        <w:keepLines/>
        <w:spacing w:after="0" w:line="240" w:lineRule="auto"/>
        <w:jc w:val="both"/>
        <w:rPr>
          <w:rFonts w:ascii="Arial" w:hAnsi="Arial" w:cs="Arial"/>
          <w:b/>
          <w:sz w:val="24"/>
          <w:szCs w:val="24"/>
          <w:u w:val="single"/>
        </w:rPr>
      </w:pPr>
    </w:p>
    <w:p w14:paraId="22BA54EC" w14:textId="77777777" w:rsidR="00FB6BE7" w:rsidRPr="00DB7156" w:rsidRDefault="00FB6BE7" w:rsidP="00DB7156">
      <w:pPr>
        <w:keepNext/>
        <w:keepLines/>
        <w:spacing w:after="0" w:line="240" w:lineRule="auto"/>
        <w:jc w:val="both"/>
        <w:rPr>
          <w:rFonts w:ascii="Arial" w:hAnsi="Arial" w:cs="Arial"/>
          <w:b/>
          <w:sz w:val="24"/>
          <w:szCs w:val="24"/>
          <w:u w:val="single"/>
        </w:rPr>
      </w:pPr>
      <w:r w:rsidRPr="00DB7156">
        <w:rPr>
          <w:rFonts w:ascii="Arial" w:hAnsi="Arial" w:cs="Arial"/>
          <w:b/>
          <w:sz w:val="24"/>
          <w:szCs w:val="24"/>
          <w:u w:val="single"/>
        </w:rPr>
        <w:t>Slurry Walls</w:t>
      </w:r>
    </w:p>
    <w:p w14:paraId="22BA54ED" w14:textId="164BBAE9" w:rsidR="00FB6BE7" w:rsidRPr="00DB7156" w:rsidRDefault="00FB6BE7" w:rsidP="00DB7156">
      <w:pPr>
        <w:keepNext/>
        <w:keepLines/>
        <w:spacing w:after="0" w:line="240" w:lineRule="auto"/>
        <w:jc w:val="both"/>
        <w:rPr>
          <w:rFonts w:ascii="Arial" w:hAnsi="Arial" w:cs="Arial"/>
          <w:sz w:val="24"/>
          <w:szCs w:val="24"/>
        </w:rPr>
      </w:pPr>
      <w:r w:rsidRPr="00DB7156">
        <w:rPr>
          <w:rFonts w:ascii="Arial" w:hAnsi="Arial" w:cs="Arial"/>
          <w:sz w:val="24"/>
          <w:szCs w:val="24"/>
        </w:rPr>
        <w:t>Slurry walls are subsurface walls constructed in trenches excavated down to the top of a relatively low-permeability layer, such as clay or bedrock. The trench is filled with a slurry of materials that forms an impermeable barrier to prevent</w:t>
      </w:r>
      <w:r w:rsidR="00FC3A6A" w:rsidRPr="00DB7156">
        <w:rPr>
          <w:rFonts w:ascii="Arial" w:hAnsi="Arial" w:cs="Arial"/>
          <w:sz w:val="24"/>
          <w:szCs w:val="24"/>
        </w:rPr>
        <w:t>/minimize</w:t>
      </w:r>
      <w:r w:rsidRPr="00DB7156">
        <w:rPr>
          <w:rFonts w:ascii="Arial" w:hAnsi="Arial" w:cs="Arial"/>
          <w:sz w:val="24"/>
          <w:szCs w:val="24"/>
        </w:rPr>
        <w:t xml:space="preserve"> </w:t>
      </w:r>
      <w:r w:rsidR="00DB6817" w:rsidRPr="00DB7156">
        <w:rPr>
          <w:rFonts w:ascii="Arial" w:hAnsi="Arial" w:cs="Arial"/>
          <w:sz w:val="24"/>
          <w:szCs w:val="24"/>
        </w:rPr>
        <w:t xml:space="preserve">the </w:t>
      </w:r>
      <w:r w:rsidRPr="00DB7156">
        <w:rPr>
          <w:rFonts w:ascii="Arial" w:hAnsi="Arial" w:cs="Arial"/>
          <w:sz w:val="24"/>
          <w:szCs w:val="24"/>
        </w:rPr>
        <w:t xml:space="preserve">migration </w:t>
      </w:r>
      <w:r w:rsidR="00DB6817" w:rsidRPr="00DB7156">
        <w:rPr>
          <w:rFonts w:ascii="Arial" w:hAnsi="Arial" w:cs="Arial"/>
          <w:sz w:val="24"/>
          <w:szCs w:val="24"/>
        </w:rPr>
        <w:t xml:space="preserve">of groundwater </w:t>
      </w:r>
      <w:r w:rsidRPr="00DB7156">
        <w:rPr>
          <w:rFonts w:ascii="Arial" w:hAnsi="Arial" w:cs="Arial"/>
          <w:sz w:val="24"/>
          <w:szCs w:val="24"/>
        </w:rPr>
        <w:t>within the area. Slurry materials can include various mixtures of soil, bentonite clay, and/or cement.</w:t>
      </w:r>
    </w:p>
    <w:p w14:paraId="22BA54EE" w14:textId="77777777" w:rsidR="00FB6BE7" w:rsidRPr="00DB7156" w:rsidRDefault="00FB6BE7" w:rsidP="00DB7156">
      <w:pPr>
        <w:spacing w:after="0" w:line="240" w:lineRule="auto"/>
        <w:jc w:val="both"/>
        <w:rPr>
          <w:rFonts w:ascii="Arial" w:hAnsi="Arial" w:cs="Arial"/>
          <w:sz w:val="24"/>
          <w:szCs w:val="24"/>
        </w:rPr>
      </w:pPr>
    </w:p>
    <w:p w14:paraId="22BA54EF" w14:textId="77777777" w:rsidR="00FB6BE7" w:rsidRPr="00DB7156" w:rsidRDefault="00FB6BE7" w:rsidP="00DB7156">
      <w:pPr>
        <w:spacing w:after="0" w:line="240" w:lineRule="auto"/>
        <w:jc w:val="both"/>
        <w:rPr>
          <w:rFonts w:ascii="Arial" w:hAnsi="Arial" w:cs="Arial"/>
          <w:b/>
          <w:sz w:val="24"/>
          <w:szCs w:val="24"/>
          <w:u w:val="single"/>
        </w:rPr>
      </w:pPr>
      <w:r w:rsidRPr="00DB7156">
        <w:rPr>
          <w:rFonts w:ascii="Arial" w:hAnsi="Arial" w:cs="Arial"/>
          <w:b/>
          <w:sz w:val="24"/>
          <w:szCs w:val="24"/>
          <w:u w:val="single"/>
        </w:rPr>
        <w:t>Sheet Pile Walls</w:t>
      </w:r>
    </w:p>
    <w:p w14:paraId="22BA54F0" w14:textId="763A487E"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Sheet piling includes interlocking wood, concrete, or steel sectors driven into the ground or forced into pre</w:t>
      </w:r>
      <w:r w:rsidR="00537212" w:rsidRPr="00DB7156">
        <w:rPr>
          <w:rFonts w:ascii="Arial" w:hAnsi="Arial" w:cs="Arial"/>
          <w:sz w:val="24"/>
          <w:szCs w:val="24"/>
        </w:rPr>
        <w:t>-</w:t>
      </w:r>
      <w:r w:rsidRPr="00DB7156">
        <w:rPr>
          <w:rFonts w:ascii="Arial" w:hAnsi="Arial" w:cs="Arial"/>
          <w:sz w:val="24"/>
          <w:szCs w:val="24"/>
        </w:rPr>
        <w:t>dug trenches, usually to the top of a relatively impermeable layer (for example, clay or bedrock). As with slurry walls, sheet pile walls form an impermeable barrier to prevent</w:t>
      </w:r>
      <w:r w:rsidR="00FC3A6A" w:rsidRPr="00DB7156">
        <w:rPr>
          <w:rFonts w:ascii="Arial" w:hAnsi="Arial" w:cs="Arial"/>
          <w:sz w:val="24"/>
          <w:szCs w:val="24"/>
        </w:rPr>
        <w:t xml:space="preserve">/minimize </w:t>
      </w:r>
      <w:r w:rsidR="00393A10" w:rsidRPr="00DB7156">
        <w:rPr>
          <w:rFonts w:ascii="Arial" w:hAnsi="Arial" w:cs="Arial"/>
          <w:sz w:val="24"/>
          <w:szCs w:val="24"/>
        </w:rPr>
        <w:t>the migration</w:t>
      </w:r>
      <w:r w:rsidRPr="00DB7156">
        <w:rPr>
          <w:rFonts w:ascii="Arial" w:hAnsi="Arial" w:cs="Arial"/>
          <w:sz w:val="24"/>
          <w:szCs w:val="24"/>
        </w:rPr>
        <w:t xml:space="preserve"> of </w:t>
      </w:r>
      <w:r w:rsidR="00DB6817" w:rsidRPr="00DB7156">
        <w:rPr>
          <w:rFonts w:ascii="Arial" w:hAnsi="Arial" w:cs="Arial"/>
          <w:sz w:val="24"/>
          <w:szCs w:val="24"/>
        </w:rPr>
        <w:t>ground</w:t>
      </w:r>
      <w:r w:rsidRPr="00DB7156">
        <w:rPr>
          <w:rFonts w:ascii="Arial" w:hAnsi="Arial" w:cs="Arial"/>
          <w:sz w:val="24"/>
          <w:szCs w:val="24"/>
        </w:rPr>
        <w:t>water. Steel sheet pilings are the most reliable and most commonly used. Sheet piling is often used as a temporary measure of containment while dewatering or excavation, or while other containment is constructed.</w:t>
      </w:r>
    </w:p>
    <w:p w14:paraId="22BA54F1" w14:textId="77777777" w:rsidR="00FB6BE7" w:rsidRPr="00DB7156" w:rsidRDefault="00FB6BE7" w:rsidP="00DB7156">
      <w:pPr>
        <w:keepNext/>
        <w:spacing w:after="0" w:line="240" w:lineRule="auto"/>
        <w:jc w:val="both"/>
        <w:rPr>
          <w:rFonts w:ascii="Arial" w:hAnsi="Arial" w:cs="Arial"/>
          <w:b/>
          <w:sz w:val="24"/>
          <w:szCs w:val="24"/>
          <w:u w:val="single"/>
        </w:rPr>
      </w:pPr>
    </w:p>
    <w:p w14:paraId="22BA54F2" w14:textId="77777777" w:rsidR="00FB6BE7" w:rsidRPr="00DB7156" w:rsidRDefault="00FB6BE7" w:rsidP="00DB7156">
      <w:pPr>
        <w:keepNext/>
        <w:spacing w:after="0" w:line="240" w:lineRule="auto"/>
        <w:jc w:val="both"/>
        <w:rPr>
          <w:rFonts w:ascii="Arial" w:hAnsi="Arial" w:cs="Arial"/>
          <w:b/>
          <w:sz w:val="24"/>
          <w:szCs w:val="24"/>
          <w:u w:val="single"/>
        </w:rPr>
      </w:pPr>
      <w:r w:rsidRPr="00DB7156">
        <w:rPr>
          <w:rFonts w:ascii="Arial" w:hAnsi="Arial" w:cs="Arial"/>
          <w:b/>
          <w:sz w:val="24"/>
          <w:szCs w:val="24"/>
          <w:u w:val="single"/>
        </w:rPr>
        <w:t>Grout Curtains</w:t>
      </w:r>
    </w:p>
    <w:p w14:paraId="22BA54F3" w14:textId="4CC1E844" w:rsidR="00FB6BE7" w:rsidRPr="00DB7156" w:rsidRDefault="00FB6BE7" w:rsidP="00DB7156">
      <w:pPr>
        <w:keepNext/>
        <w:spacing w:after="0" w:line="240" w:lineRule="auto"/>
        <w:jc w:val="both"/>
        <w:rPr>
          <w:rFonts w:ascii="Arial" w:hAnsi="Arial" w:cs="Arial"/>
          <w:sz w:val="24"/>
          <w:szCs w:val="24"/>
        </w:rPr>
      </w:pPr>
      <w:r w:rsidRPr="00DB7156">
        <w:rPr>
          <w:rFonts w:ascii="Arial" w:hAnsi="Arial" w:cs="Arial"/>
          <w:sz w:val="24"/>
          <w:szCs w:val="24"/>
        </w:rPr>
        <w:t>A grout curtain is a method of sealing gaps in subsurface geology by injection of grout to fill voids in fractured rock, or to consolidate soil by filling the pore space. The grout material may be a Portland cement mix or any fluid material that hardens, such as a resin or sodium silicate. The grout material is injected as a pressurized fluid through holes drilled into the ground, generally in rows. Under ideal conditions, the injected fluids harden to create a relatively impermeable barrier, similar to a wall, in the subsurface.</w:t>
      </w:r>
    </w:p>
    <w:p w14:paraId="22BA54F4" w14:textId="77777777" w:rsidR="00FB6BE7" w:rsidRPr="00DB7156" w:rsidRDefault="00FB6BE7" w:rsidP="00DB7156">
      <w:pPr>
        <w:spacing w:after="0" w:line="240" w:lineRule="auto"/>
        <w:jc w:val="both"/>
        <w:rPr>
          <w:rFonts w:ascii="Arial" w:hAnsi="Arial" w:cs="Arial"/>
          <w:sz w:val="24"/>
          <w:szCs w:val="24"/>
        </w:rPr>
      </w:pPr>
    </w:p>
    <w:p w14:paraId="22BA54F5" w14:textId="77777777" w:rsidR="00FB6BE7" w:rsidRPr="00DB7156" w:rsidRDefault="00FB6BE7" w:rsidP="00DB7156">
      <w:pPr>
        <w:spacing w:after="0" w:line="240" w:lineRule="auto"/>
        <w:jc w:val="both"/>
        <w:rPr>
          <w:rFonts w:ascii="Arial" w:hAnsi="Arial" w:cs="Arial"/>
          <w:b/>
          <w:sz w:val="24"/>
          <w:szCs w:val="24"/>
          <w:u w:val="single"/>
        </w:rPr>
      </w:pPr>
      <w:r w:rsidRPr="00DB7156">
        <w:rPr>
          <w:rFonts w:ascii="Arial" w:hAnsi="Arial" w:cs="Arial"/>
          <w:b/>
          <w:sz w:val="24"/>
          <w:szCs w:val="24"/>
          <w:u w:val="single"/>
        </w:rPr>
        <w:t>In situ Solidification/Stabilization</w:t>
      </w:r>
    </w:p>
    <w:p w14:paraId="22BA54F6" w14:textId="606148BD" w:rsidR="00FB6BE7" w:rsidRPr="00DB7156" w:rsidRDefault="00FB6BE7" w:rsidP="00DB7156">
      <w:pPr>
        <w:spacing w:after="0" w:line="240" w:lineRule="auto"/>
        <w:jc w:val="both"/>
        <w:rPr>
          <w:rFonts w:ascii="Arial" w:hAnsi="Arial" w:cs="Arial"/>
          <w:snapToGrid w:val="0"/>
          <w:sz w:val="24"/>
          <w:szCs w:val="24"/>
        </w:rPr>
      </w:pPr>
      <w:r w:rsidRPr="00DB7156">
        <w:rPr>
          <w:rFonts w:ascii="Arial" w:hAnsi="Arial" w:cs="Arial"/>
          <w:snapToGrid w:val="0"/>
          <w:sz w:val="24"/>
          <w:szCs w:val="24"/>
        </w:rPr>
        <w:t xml:space="preserve">Solidification/stabilization describes the technique of solidifying soil or waste material (e.g., a sludge), </w:t>
      </w:r>
      <w:r w:rsidR="00393A10" w:rsidRPr="00DB7156">
        <w:rPr>
          <w:rFonts w:ascii="Arial" w:hAnsi="Arial" w:cs="Arial"/>
          <w:snapToGrid w:val="0"/>
          <w:sz w:val="24"/>
          <w:szCs w:val="24"/>
        </w:rPr>
        <w:t>to reduce</w:t>
      </w:r>
      <w:r w:rsidRPr="00DB7156">
        <w:rPr>
          <w:rFonts w:ascii="Arial" w:hAnsi="Arial" w:cs="Arial"/>
          <w:snapToGrid w:val="0"/>
          <w:sz w:val="24"/>
          <w:szCs w:val="24"/>
        </w:rPr>
        <w:t xml:space="preserve"> the </w:t>
      </w:r>
      <w:r w:rsidR="003E68B5" w:rsidRPr="00DB7156">
        <w:rPr>
          <w:rFonts w:ascii="Arial" w:hAnsi="Arial" w:cs="Arial"/>
          <w:snapToGrid w:val="0"/>
          <w:sz w:val="24"/>
          <w:szCs w:val="24"/>
        </w:rPr>
        <w:t xml:space="preserve">potential for </w:t>
      </w:r>
      <w:r w:rsidRPr="00DB7156">
        <w:rPr>
          <w:rFonts w:ascii="Arial" w:hAnsi="Arial" w:cs="Arial"/>
          <w:snapToGrid w:val="0"/>
          <w:sz w:val="24"/>
          <w:szCs w:val="24"/>
        </w:rPr>
        <w:t>groundwater</w:t>
      </w:r>
      <w:r w:rsidR="003E68B5" w:rsidRPr="00DB7156">
        <w:rPr>
          <w:rFonts w:ascii="Arial" w:hAnsi="Arial" w:cs="Arial"/>
          <w:snapToGrid w:val="0"/>
          <w:sz w:val="24"/>
          <w:szCs w:val="24"/>
        </w:rPr>
        <w:t xml:space="preserve"> interaction</w:t>
      </w:r>
      <w:r w:rsidRPr="00DB7156">
        <w:rPr>
          <w:rFonts w:ascii="Arial" w:hAnsi="Arial" w:cs="Arial"/>
          <w:snapToGrid w:val="0"/>
          <w:sz w:val="24"/>
          <w:szCs w:val="24"/>
        </w:rPr>
        <w:t xml:space="preserve">. Solidification refers to the addition of a binder to produce a solid. Stabilization refers to the addition of a chemical agent to convert the soil or waste material to a more chemically stable form.  Some additives, such as Portland cement, produce both physical and chemical changes.  Large augers or equipment with rotary blades are used to mix the additives with contaminated soil or waste material.  </w:t>
      </w:r>
    </w:p>
    <w:bookmarkEnd w:id="249"/>
    <w:p w14:paraId="22BA54F7" w14:textId="77777777" w:rsidR="00FB6BE7" w:rsidRPr="00DB7156" w:rsidRDefault="00FB6BE7" w:rsidP="00DB7156">
      <w:pPr>
        <w:tabs>
          <w:tab w:val="left" w:pos="540"/>
        </w:tabs>
        <w:autoSpaceDE w:val="0"/>
        <w:autoSpaceDN w:val="0"/>
        <w:adjustRightInd w:val="0"/>
        <w:spacing w:after="0" w:line="240" w:lineRule="auto"/>
        <w:jc w:val="both"/>
        <w:rPr>
          <w:rFonts w:ascii="Arial" w:hAnsi="Arial" w:cs="Arial"/>
          <w:sz w:val="24"/>
          <w:szCs w:val="24"/>
        </w:rPr>
      </w:pPr>
    </w:p>
    <w:p w14:paraId="22BA54F8" w14:textId="3CB534BB" w:rsidR="00FB6BE7" w:rsidRPr="00DB7156" w:rsidRDefault="00E64A0F" w:rsidP="00DB7156">
      <w:pPr>
        <w:keepNext/>
        <w:spacing w:after="0" w:line="240" w:lineRule="auto"/>
        <w:jc w:val="both"/>
        <w:rPr>
          <w:rFonts w:ascii="Arial" w:hAnsi="Arial" w:cs="Arial"/>
          <w:b/>
          <w:color w:val="000080"/>
          <w:sz w:val="24"/>
          <w:szCs w:val="24"/>
        </w:rPr>
      </w:pPr>
      <w:r w:rsidRPr="00DB7156">
        <w:rPr>
          <w:rFonts w:ascii="Arial" w:hAnsi="Arial" w:cs="Arial"/>
          <w:b/>
          <w:color w:val="000080"/>
          <w:sz w:val="24"/>
          <w:szCs w:val="24"/>
        </w:rPr>
        <w:t>XIII</w:t>
      </w:r>
      <w:r w:rsidR="00FB6BE7" w:rsidRPr="00DB7156">
        <w:rPr>
          <w:rFonts w:ascii="Arial" w:hAnsi="Arial" w:cs="Arial"/>
          <w:b/>
          <w:color w:val="000080"/>
          <w:sz w:val="24"/>
          <w:szCs w:val="24"/>
        </w:rPr>
        <w:t>.</w:t>
      </w:r>
      <w:r w:rsidR="00FB6BE7" w:rsidRPr="00DB7156">
        <w:rPr>
          <w:rFonts w:ascii="Arial" w:hAnsi="Arial" w:cs="Arial"/>
          <w:b/>
          <w:color w:val="000080"/>
          <w:sz w:val="24"/>
          <w:szCs w:val="24"/>
        </w:rPr>
        <w:tab/>
      </w:r>
      <w:r w:rsidR="00FB6BE7" w:rsidRPr="00DB7156">
        <w:rPr>
          <w:rFonts w:ascii="Arial" w:hAnsi="Arial" w:cs="Arial"/>
          <w:b/>
          <w:color w:val="000080"/>
          <w:sz w:val="24"/>
          <w:szCs w:val="24"/>
          <w:u w:val="single"/>
        </w:rPr>
        <w:t>Cooling Water Intake Screen Technology</w:t>
      </w:r>
    </w:p>
    <w:p w14:paraId="22BA54F9" w14:textId="77777777" w:rsidR="00FB6BE7" w:rsidRPr="00DB7156" w:rsidRDefault="00FB6BE7" w:rsidP="00DB7156">
      <w:pPr>
        <w:keepNext/>
        <w:spacing w:after="0" w:line="240" w:lineRule="auto"/>
        <w:jc w:val="both"/>
        <w:rPr>
          <w:rFonts w:ascii="Arial" w:hAnsi="Arial" w:cs="Arial"/>
          <w:sz w:val="24"/>
          <w:szCs w:val="24"/>
        </w:rPr>
      </w:pPr>
    </w:p>
    <w:p w14:paraId="22BA54FA" w14:textId="4F479FAE" w:rsidR="00FB6BE7" w:rsidRPr="00DB7156" w:rsidRDefault="00FB6BE7" w:rsidP="00DB7156">
      <w:pPr>
        <w:tabs>
          <w:tab w:val="left" w:pos="540"/>
        </w:tabs>
        <w:spacing w:after="0" w:line="240" w:lineRule="auto"/>
        <w:jc w:val="both"/>
        <w:rPr>
          <w:rFonts w:ascii="Arial" w:hAnsi="Arial" w:cs="Arial"/>
          <w:b/>
          <w:color w:val="CC0000"/>
          <w:sz w:val="24"/>
          <w:szCs w:val="24"/>
        </w:rPr>
      </w:pPr>
      <w:r w:rsidRPr="00DB7156">
        <w:rPr>
          <w:rFonts w:ascii="Arial" w:hAnsi="Arial" w:cs="Arial"/>
          <w:sz w:val="24"/>
          <w:szCs w:val="24"/>
        </w:rPr>
        <w:t>Inclined traveling water screens (</w:t>
      </w:r>
      <w:r w:rsidR="0052761B">
        <w:rPr>
          <w:rFonts w:ascii="Arial" w:hAnsi="Arial" w:cs="Arial"/>
          <w:sz w:val="24"/>
          <w:szCs w:val="24"/>
        </w:rPr>
        <w:t>“</w:t>
      </w:r>
      <w:r w:rsidRPr="00DB7156">
        <w:rPr>
          <w:rFonts w:ascii="Arial" w:hAnsi="Arial" w:cs="Arial"/>
          <w:sz w:val="24"/>
          <w:szCs w:val="24"/>
        </w:rPr>
        <w:t>TWS</w:t>
      </w:r>
      <w:r w:rsidR="0052761B">
        <w:rPr>
          <w:rFonts w:ascii="Arial" w:hAnsi="Arial" w:cs="Arial"/>
          <w:sz w:val="24"/>
          <w:szCs w:val="24"/>
        </w:rPr>
        <w:t>”</w:t>
      </w:r>
      <w:r w:rsidRPr="00DB7156">
        <w:rPr>
          <w:rFonts w:ascii="Arial" w:hAnsi="Arial" w:cs="Arial"/>
          <w:sz w:val="24"/>
          <w:szCs w:val="24"/>
        </w:rPr>
        <w:t>) and cylindrical wedge wire screens (</w:t>
      </w:r>
      <w:r w:rsidR="0052761B">
        <w:rPr>
          <w:rFonts w:ascii="Arial" w:hAnsi="Arial" w:cs="Arial"/>
          <w:sz w:val="24"/>
          <w:szCs w:val="24"/>
        </w:rPr>
        <w:t>“</w:t>
      </w:r>
      <w:r w:rsidRPr="00DB7156">
        <w:rPr>
          <w:rFonts w:ascii="Arial" w:hAnsi="Arial" w:cs="Arial"/>
          <w:sz w:val="24"/>
          <w:szCs w:val="24"/>
        </w:rPr>
        <w:t>CWWS</w:t>
      </w:r>
      <w:r w:rsidR="0052761B">
        <w:rPr>
          <w:rFonts w:ascii="Arial" w:hAnsi="Arial" w:cs="Arial"/>
          <w:sz w:val="24"/>
          <w:szCs w:val="24"/>
        </w:rPr>
        <w:t>”</w:t>
      </w:r>
      <w:r w:rsidRPr="00DB7156">
        <w:rPr>
          <w:rFonts w:ascii="Arial" w:hAnsi="Arial" w:cs="Arial"/>
          <w:sz w:val="24"/>
          <w:szCs w:val="24"/>
        </w:rPr>
        <w:t>) will generally be the preferred water screen technologies. Both screens will allow debris handling and the design is also adaptable to minimize impingement and entrainment.  Screen wash systems for the TWS and airburst systems for the CWWS can maintain screen cleanliness to an acceptable level. If needed, continuous fish and debris handling systems can also be designed to work with the TWS. As needed, fish-return technologies are also available.</w:t>
      </w:r>
    </w:p>
    <w:p w14:paraId="22BA54FD" w14:textId="1A5CE4A1" w:rsidR="00FB7256" w:rsidRPr="00DB7156" w:rsidRDefault="00FB7256" w:rsidP="00DB7156">
      <w:pPr>
        <w:spacing w:after="0" w:line="240" w:lineRule="auto"/>
        <w:jc w:val="both"/>
        <w:rPr>
          <w:rFonts w:ascii="Arial" w:hAnsi="Arial" w:cs="Arial"/>
          <w:b/>
          <w:color w:val="CC0000"/>
          <w:sz w:val="24"/>
          <w:szCs w:val="24"/>
        </w:rPr>
      </w:pPr>
    </w:p>
    <w:p w14:paraId="22BA54FE" w14:textId="4AED9CBD" w:rsidR="00FB6BE7" w:rsidRPr="00DB7156" w:rsidRDefault="00FB6BE7" w:rsidP="00DB7156">
      <w:pPr>
        <w:spacing w:after="0" w:line="240" w:lineRule="auto"/>
        <w:jc w:val="both"/>
        <w:rPr>
          <w:rFonts w:ascii="Arial" w:hAnsi="Arial" w:cs="Arial"/>
          <w:b/>
          <w:color w:val="CC0000"/>
          <w:sz w:val="24"/>
          <w:szCs w:val="24"/>
        </w:rPr>
      </w:pPr>
      <w:r w:rsidRPr="00DB7156">
        <w:rPr>
          <w:rFonts w:ascii="Arial" w:hAnsi="Arial" w:cs="Arial"/>
          <w:b/>
          <w:color w:val="000080"/>
          <w:sz w:val="24"/>
          <w:szCs w:val="24"/>
        </w:rPr>
        <w:t>X</w:t>
      </w:r>
      <w:r w:rsidR="00E64A0F" w:rsidRPr="00DB7156">
        <w:rPr>
          <w:rFonts w:ascii="Arial" w:hAnsi="Arial" w:cs="Arial"/>
          <w:b/>
          <w:color w:val="000080"/>
          <w:sz w:val="24"/>
          <w:szCs w:val="24"/>
        </w:rPr>
        <w:t>I</w:t>
      </w:r>
      <w:r w:rsidRPr="00DB7156">
        <w:rPr>
          <w:rFonts w:ascii="Arial" w:hAnsi="Arial" w:cs="Arial"/>
          <w:b/>
          <w:color w:val="000080"/>
          <w:sz w:val="24"/>
          <w:szCs w:val="24"/>
        </w:rPr>
        <w:t>V.</w:t>
      </w:r>
      <w:r w:rsidRPr="00DB7156">
        <w:rPr>
          <w:rFonts w:ascii="Arial" w:hAnsi="Arial" w:cs="Arial"/>
          <w:b/>
          <w:color w:val="000080"/>
          <w:sz w:val="24"/>
          <w:szCs w:val="24"/>
        </w:rPr>
        <w:tab/>
      </w:r>
      <w:r w:rsidRPr="00DB7156">
        <w:rPr>
          <w:rFonts w:ascii="Arial" w:hAnsi="Arial" w:cs="Arial"/>
          <w:b/>
          <w:color w:val="000080"/>
          <w:sz w:val="24"/>
          <w:szCs w:val="24"/>
          <w:u w:val="single"/>
        </w:rPr>
        <w:t>Water Cooling Technologies</w:t>
      </w:r>
    </w:p>
    <w:p w14:paraId="22BA54FF" w14:textId="77777777" w:rsidR="00FB6BE7" w:rsidRPr="00DB7156" w:rsidRDefault="00FB6BE7" w:rsidP="00DB7156">
      <w:pPr>
        <w:spacing w:after="0" w:line="240" w:lineRule="auto"/>
        <w:jc w:val="both"/>
        <w:rPr>
          <w:rFonts w:ascii="Arial" w:hAnsi="Arial" w:cs="Arial"/>
          <w:sz w:val="24"/>
          <w:szCs w:val="24"/>
        </w:rPr>
      </w:pPr>
    </w:p>
    <w:p w14:paraId="75D02E92" w14:textId="77777777" w:rsidR="00CF11C7" w:rsidRPr="00DB7156" w:rsidRDefault="00CF11C7" w:rsidP="00CF11C7">
      <w:pPr>
        <w:spacing w:line="240" w:lineRule="auto"/>
        <w:jc w:val="both"/>
        <w:rPr>
          <w:rFonts w:ascii="Arial" w:hAnsi="Arial" w:cs="Arial"/>
          <w:sz w:val="24"/>
          <w:szCs w:val="24"/>
        </w:rPr>
      </w:pPr>
      <w:r w:rsidRPr="00DB7156">
        <w:rPr>
          <w:rFonts w:ascii="Arial" w:hAnsi="Arial" w:cs="Arial"/>
          <w:sz w:val="24"/>
          <w:szCs w:val="24"/>
        </w:rPr>
        <w:t>Cooling water systems are generally placed into two catgeories: either wet systems, which use water as the cooling medium, or dry systems that utlize air.</w:t>
      </w:r>
      <w:r>
        <w:rPr>
          <w:rFonts w:ascii="Arial" w:hAnsi="Arial" w:cs="Arial"/>
          <w:sz w:val="24"/>
          <w:szCs w:val="24"/>
        </w:rPr>
        <w:t xml:space="preserve"> </w:t>
      </w:r>
      <w:r w:rsidRPr="00DB7156">
        <w:rPr>
          <w:rFonts w:ascii="Arial" w:hAnsi="Arial" w:cs="Arial"/>
          <w:sz w:val="24"/>
          <w:szCs w:val="24"/>
        </w:rPr>
        <w:t xml:space="preserve">Wet cooling systems withdraw water to absorb heat via indirect contact with steam in a condenser. These wet cooling systems are divided into two types, based on the manner in which the cooling water is used: once-through and closed-cycle systems with cooling towers or ponds. Unlike once-through systems that continuously draw fresh cold water from a large water source, closed cycle systems recirculate the same cooling water in a continuous loop through the condenser, with only very small amounts of water being withdrawn from a source to replace the water that is lost due to evaporation, drift, and blowdown in the cooling tower.  </w:t>
      </w:r>
    </w:p>
    <w:p w14:paraId="4E9796A4" w14:textId="77777777" w:rsidR="00CF11C7" w:rsidRPr="00DB7156" w:rsidRDefault="00CF11C7" w:rsidP="00CF11C7">
      <w:pPr>
        <w:spacing w:line="240" w:lineRule="auto"/>
        <w:jc w:val="both"/>
        <w:rPr>
          <w:rFonts w:ascii="Arial" w:hAnsi="Arial" w:cs="Arial"/>
          <w:sz w:val="24"/>
          <w:szCs w:val="24"/>
        </w:rPr>
      </w:pPr>
      <w:r w:rsidRPr="00DB7156">
        <w:rPr>
          <w:rFonts w:ascii="Arial" w:hAnsi="Arial" w:cs="Arial"/>
          <w:sz w:val="24"/>
          <w:szCs w:val="24"/>
        </w:rPr>
        <w:t>Because of the relative simplicity, the capital and operating costs for once-through systems are less than those for closed-cycle systems with a cooling tower. Once-through systems can also include helper cooling towers to reduce thermal load at the water discharge point, but these systems do not reduce water withdrawals. Conversion to a closed-cycle cooling water system reduces water withdrawals about 95%. Because of this, implementation of a closed-cycle system with a cooling tower is one potential method of minimizing impingement and entrainment. However, consumptive use of water will be increased from use of cooling towers and approximately 75% of the cooling water withdrawn is not returned to source but is lost to the atmosphere via evaporation. Also, conversion to a closed-loop system needs to be considered carefully, since it may mean that all the materials in the loop (</w:t>
      </w:r>
      <w:r w:rsidRPr="00C753AC">
        <w:rPr>
          <w:rFonts w:ascii="Arial" w:hAnsi="Arial" w:cs="Arial"/>
          <w:i/>
          <w:sz w:val="24"/>
          <w:szCs w:val="24"/>
        </w:rPr>
        <w:t>e.g.</w:t>
      </w:r>
      <w:r w:rsidRPr="00DB7156">
        <w:rPr>
          <w:rFonts w:ascii="Arial" w:hAnsi="Arial" w:cs="Arial"/>
          <w:sz w:val="24"/>
          <w:szCs w:val="24"/>
        </w:rPr>
        <w:t>, condenser tubes) will be exposed to water that may be significantly more aggressive than with a once-through water system.</w:t>
      </w:r>
    </w:p>
    <w:p w14:paraId="287AF84E" w14:textId="77777777" w:rsidR="00CF11C7" w:rsidRPr="00DB7156" w:rsidRDefault="00CF11C7" w:rsidP="00CF11C7">
      <w:pPr>
        <w:spacing w:after="0" w:line="240" w:lineRule="auto"/>
        <w:jc w:val="both"/>
        <w:rPr>
          <w:rFonts w:ascii="Arial" w:hAnsi="Arial" w:cs="Arial"/>
          <w:sz w:val="24"/>
          <w:szCs w:val="24"/>
        </w:rPr>
      </w:pPr>
      <w:r w:rsidRPr="00DB7156">
        <w:rPr>
          <w:rFonts w:ascii="Arial" w:hAnsi="Arial" w:cs="Arial"/>
          <w:sz w:val="24"/>
          <w:szCs w:val="24"/>
        </w:rPr>
        <w:t>Dry cooling systems transfer heat to the atmosphere without the use of water. Steam leaving the turbine is piped to an air-cooled, finned-tube condenser. Dry cooling has an adverse effect on power plant efficiency, requires a large area of land, and is more expensive than wet cooling. A hybrid system incorporates elements of both wet and dry cooling systems in an attempt to maximize the benefits of each. Few large-scale applications of hybrid systems exist in the United States and the cost is commensurate with that of dry cooling. Neither a dry nor a hybrid cooling system is considered an economically or technically viable option for retrofit of an existing generating unit in the Southeast.</w:t>
      </w:r>
    </w:p>
    <w:p w14:paraId="22BA5503" w14:textId="77777777" w:rsidR="00FB6BE7" w:rsidRPr="00DB7156" w:rsidRDefault="00FB6BE7" w:rsidP="00DB7156">
      <w:pPr>
        <w:spacing w:after="0" w:line="240" w:lineRule="auto"/>
        <w:jc w:val="both"/>
        <w:rPr>
          <w:rFonts w:ascii="Arial" w:hAnsi="Arial" w:cs="Arial"/>
          <w:sz w:val="24"/>
          <w:szCs w:val="24"/>
        </w:rPr>
      </w:pPr>
    </w:p>
    <w:p w14:paraId="22BA5504" w14:textId="1EB1D829" w:rsidR="00FB6BE7" w:rsidRPr="00DB7156" w:rsidRDefault="00E64A0F" w:rsidP="00DB7156">
      <w:pPr>
        <w:keepNext/>
        <w:spacing w:after="0" w:line="240" w:lineRule="auto"/>
        <w:jc w:val="both"/>
        <w:rPr>
          <w:rFonts w:ascii="Arial" w:hAnsi="Arial" w:cs="Arial"/>
          <w:color w:val="000080"/>
          <w:sz w:val="24"/>
          <w:szCs w:val="24"/>
        </w:rPr>
      </w:pPr>
      <w:r w:rsidRPr="00DB7156">
        <w:rPr>
          <w:rFonts w:ascii="Arial" w:hAnsi="Arial" w:cs="Arial"/>
          <w:b/>
          <w:color w:val="000080"/>
          <w:sz w:val="24"/>
          <w:szCs w:val="24"/>
        </w:rPr>
        <w:t>XV</w:t>
      </w:r>
      <w:r w:rsidR="00690722" w:rsidRPr="00DB7156">
        <w:rPr>
          <w:rFonts w:ascii="Arial" w:hAnsi="Arial" w:cs="Arial"/>
          <w:b/>
          <w:color w:val="000080"/>
          <w:sz w:val="24"/>
          <w:szCs w:val="24"/>
        </w:rPr>
        <w:t>.</w:t>
      </w:r>
      <w:r w:rsidR="00690722" w:rsidRPr="00DB7156">
        <w:rPr>
          <w:rFonts w:ascii="Arial" w:hAnsi="Arial" w:cs="Arial"/>
          <w:b/>
          <w:color w:val="000080"/>
          <w:sz w:val="24"/>
          <w:szCs w:val="24"/>
        </w:rPr>
        <w:tab/>
      </w:r>
      <w:r w:rsidR="00690722" w:rsidRPr="00DB7156">
        <w:rPr>
          <w:rFonts w:ascii="Arial" w:hAnsi="Arial" w:cs="Arial"/>
          <w:b/>
          <w:color w:val="000080"/>
          <w:sz w:val="24"/>
          <w:szCs w:val="24"/>
          <w:u w:val="single"/>
        </w:rPr>
        <w:t xml:space="preserve">Water Research </w:t>
      </w:r>
      <w:r w:rsidR="000077E1">
        <w:rPr>
          <w:rFonts w:ascii="Arial" w:hAnsi="Arial" w:cs="Arial"/>
          <w:b/>
          <w:color w:val="000080"/>
          <w:sz w:val="24"/>
          <w:szCs w:val="24"/>
          <w:u w:val="single"/>
        </w:rPr>
        <w:t xml:space="preserve">and Conservation </w:t>
      </w:r>
      <w:r w:rsidR="00690722" w:rsidRPr="00DB7156">
        <w:rPr>
          <w:rFonts w:ascii="Arial" w:hAnsi="Arial" w:cs="Arial"/>
          <w:b/>
          <w:color w:val="000080"/>
          <w:sz w:val="24"/>
          <w:szCs w:val="24"/>
          <w:u w:val="single"/>
        </w:rPr>
        <w:t>Center</w:t>
      </w:r>
    </w:p>
    <w:p w14:paraId="22BA5505" w14:textId="77777777" w:rsidR="00FB6BE7" w:rsidRPr="00DB7156" w:rsidRDefault="00FB6BE7" w:rsidP="00DB7156">
      <w:pPr>
        <w:spacing w:after="0" w:line="240" w:lineRule="auto"/>
        <w:jc w:val="both"/>
        <w:rPr>
          <w:rFonts w:ascii="Arial" w:hAnsi="Arial" w:cs="Arial"/>
          <w:sz w:val="24"/>
          <w:szCs w:val="24"/>
        </w:rPr>
      </w:pPr>
    </w:p>
    <w:p w14:paraId="79AA6459" w14:textId="412D672C" w:rsidR="005F2E66" w:rsidRPr="00DB7156" w:rsidRDefault="000077E1" w:rsidP="005F2E66">
      <w:pPr>
        <w:spacing w:after="0" w:line="240" w:lineRule="auto"/>
        <w:jc w:val="both"/>
        <w:rPr>
          <w:rFonts w:ascii="Arial" w:hAnsi="Arial" w:cs="Arial"/>
          <w:sz w:val="24"/>
          <w:szCs w:val="24"/>
        </w:rPr>
      </w:pPr>
      <w:r>
        <w:rPr>
          <w:rFonts w:ascii="Arial" w:hAnsi="Arial" w:cs="Arial"/>
          <w:bCs/>
          <w:sz w:val="24"/>
          <w:szCs w:val="24"/>
        </w:rPr>
        <w:t xml:space="preserve">Originally developed in 2012 through collaboration with EPRI and Southern Company, </w:t>
      </w:r>
      <w:r w:rsidRPr="00DB7156">
        <w:rPr>
          <w:rFonts w:ascii="Arial" w:hAnsi="Arial" w:cs="Arial"/>
          <w:bCs/>
          <w:sz w:val="24"/>
          <w:szCs w:val="24"/>
        </w:rPr>
        <w:t>WRC</w:t>
      </w:r>
      <w:r>
        <w:rPr>
          <w:rFonts w:ascii="Arial" w:hAnsi="Arial" w:cs="Arial"/>
          <w:bCs/>
          <w:sz w:val="24"/>
          <w:szCs w:val="24"/>
        </w:rPr>
        <w:t xml:space="preserve"> at Plant Bowen </w:t>
      </w:r>
      <w:r w:rsidR="005F2E66">
        <w:rPr>
          <w:rFonts w:ascii="Arial" w:hAnsi="Arial" w:cs="Arial"/>
          <w:bCs/>
          <w:sz w:val="24"/>
          <w:szCs w:val="24"/>
        </w:rPr>
        <w:t xml:space="preserve">has </w:t>
      </w:r>
      <w:r w:rsidRPr="00DB7156">
        <w:rPr>
          <w:rFonts w:ascii="Arial" w:hAnsi="Arial" w:cs="Arial"/>
          <w:bCs/>
          <w:sz w:val="24"/>
          <w:szCs w:val="24"/>
        </w:rPr>
        <w:t>provide</w:t>
      </w:r>
      <w:r w:rsidR="005F2E66">
        <w:rPr>
          <w:rFonts w:ascii="Arial" w:hAnsi="Arial" w:cs="Arial"/>
          <w:bCs/>
          <w:sz w:val="24"/>
          <w:szCs w:val="24"/>
        </w:rPr>
        <w:t>d</w:t>
      </w:r>
      <w:r w:rsidRPr="00DB7156">
        <w:rPr>
          <w:rFonts w:ascii="Arial" w:hAnsi="Arial" w:cs="Arial"/>
          <w:bCs/>
          <w:sz w:val="24"/>
          <w:szCs w:val="24"/>
        </w:rPr>
        <w:t xml:space="preserve"> a venue </w:t>
      </w:r>
      <w:r>
        <w:rPr>
          <w:rFonts w:ascii="Arial" w:hAnsi="Arial" w:cs="Arial"/>
          <w:bCs/>
          <w:sz w:val="24"/>
          <w:szCs w:val="24"/>
        </w:rPr>
        <w:t xml:space="preserve">for </w:t>
      </w:r>
      <w:r w:rsidRPr="00DB7156">
        <w:rPr>
          <w:rFonts w:ascii="Arial" w:hAnsi="Arial" w:cs="Arial"/>
          <w:sz w:val="24"/>
          <w:szCs w:val="24"/>
        </w:rPr>
        <w:t>independent performance evaluations of technologies to address water use, withdrawal, consumption, treatment, and recycling throughout the power generation process.</w:t>
      </w:r>
      <w:r>
        <w:rPr>
          <w:rFonts w:ascii="Arial" w:hAnsi="Arial" w:cs="Arial"/>
          <w:sz w:val="24"/>
          <w:szCs w:val="24"/>
        </w:rPr>
        <w:t xml:space="preserve"> </w:t>
      </w:r>
      <w:r w:rsidR="005F2E66" w:rsidRPr="00DB7156">
        <w:rPr>
          <w:rFonts w:ascii="Arial" w:hAnsi="Arial" w:cs="Arial"/>
          <w:sz w:val="24"/>
          <w:szCs w:val="24"/>
        </w:rPr>
        <w:t xml:space="preserve">In addition to providing electric generating companies with independent testing and evaluation of current and cutting-edge technologies, the WRC </w:t>
      </w:r>
      <w:r w:rsidR="005F2E66">
        <w:rPr>
          <w:rFonts w:ascii="Arial" w:hAnsi="Arial" w:cs="Arial"/>
          <w:sz w:val="24"/>
          <w:szCs w:val="24"/>
        </w:rPr>
        <w:t xml:space="preserve">has </w:t>
      </w:r>
      <w:r w:rsidR="005F2E66" w:rsidRPr="00DB7156">
        <w:rPr>
          <w:rFonts w:ascii="Arial" w:hAnsi="Arial" w:cs="Arial"/>
          <w:sz w:val="24"/>
          <w:szCs w:val="24"/>
        </w:rPr>
        <w:t>generate</w:t>
      </w:r>
      <w:r w:rsidR="005F2E66">
        <w:rPr>
          <w:rFonts w:ascii="Arial" w:hAnsi="Arial" w:cs="Arial"/>
          <w:sz w:val="24"/>
          <w:szCs w:val="24"/>
        </w:rPr>
        <w:t>d</w:t>
      </w:r>
      <w:r w:rsidR="005F2E66" w:rsidRPr="00DB7156">
        <w:rPr>
          <w:rFonts w:ascii="Arial" w:hAnsi="Arial" w:cs="Arial"/>
          <w:sz w:val="24"/>
          <w:szCs w:val="24"/>
        </w:rPr>
        <w:t xml:space="preserve"> new information regarding current and future regulatory compliance issues related to water withdrawal, use, and discharge restrictions. Testing at the </w:t>
      </w:r>
      <w:r w:rsidR="005F2E66" w:rsidRPr="00DB7156">
        <w:rPr>
          <w:rFonts w:ascii="Arial" w:hAnsi="Arial" w:cs="Arial"/>
          <w:bCs/>
          <w:sz w:val="24"/>
          <w:szCs w:val="24"/>
        </w:rPr>
        <w:t>WRC has and continues to inform technological strategies for achieving cost-effective environmental complianc</w:t>
      </w:r>
      <w:r w:rsidR="005F2E66">
        <w:rPr>
          <w:rFonts w:ascii="Arial" w:hAnsi="Arial" w:cs="Arial"/>
          <w:bCs/>
          <w:sz w:val="24"/>
          <w:szCs w:val="24"/>
        </w:rPr>
        <w:t>e</w:t>
      </w:r>
      <w:r w:rsidR="005F2E66" w:rsidRPr="00DB7156">
        <w:rPr>
          <w:rFonts w:ascii="Arial" w:hAnsi="Arial" w:cs="Arial"/>
          <w:sz w:val="24"/>
          <w:szCs w:val="24"/>
        </w:rPr>
        <w:t xml:space="preserve"> </w:t>
      </w:r>
      <w:r w:rsidR="005F2E66">
        <w:rPr>
          <w:rFonts w:ascii="Arial" w:hAnsi="Arial" w:cs="Arial"/>
          <w:sz w:val="24"/>
          <w:szCs w:val="24"/>
        </w:rPr>
        <w:t xml:space="preserve">with a </w:t>
      </w:r>
      <w:r w:rsidR="005F2E66" w:rsidRPr="00DB7156">
        <w:rPr>
          <w:rFonts w:ascii="Arial" w:hAnsi="Arial" w:cs="Arial"/>
          <w:sz w:val="24"/>
          <w:szCs w:val="24"/>
        </w:rPr>
        <w:t>focus on the following key areas:</w:t>
      </w:r>
    </w:p>
    <w:p w14:paraId="18D89EC6" w14:textId="77777777" w:rsidR="005F2E66" w:rsidRPr="00DB7156" w:rsidRDefault="005F2E66" w:rsidP="005F2E66">
      <w:pPr>
        <w:spacing w:after="0" w:line="240" w:lineRule="auto"/>
        <w:jc w:val="both"/>
        <w:rPr>
          <w:rFonts w:ascii="Arial" w:hAnsi="Arial" w:cs="Arial"/>
          <w:sz w:val="24"/>
          <w:szCs w:val="24"/>
        </w:rPr>
      </w:pPr>
    </w:p>
    <w:p w14:paraId="494FCFE5" w14:textId="77777777" w:rsidR="005F2E66" w:rsidRPr="00DB7156" w:rsidRDefault="005F2E66" w:rsidP="005F2E66">
      <w:pPr>
        <w:pStyle w:val="ListParagraph"/>
        <w:numPr>
          <w:ilvl w:val="0"/>
          <w:numId w:val="16"/>
        </w:numPr>
        <w:ind w:left="1620" w:hanging="720"/>
        <w:jc w:val="both"/>
        <w:rPr>
          <w:rFonts w:ascii="Arial" w:hAnsi="Arial" w:cs="Arial"/>
        </w:rPr>
      </w:pPr>
      <w:r w:rsidRPr="00DB7156">
        <w:rPr>
          <w:rFonts w:ascii="Arial" w:hAnsi="Arial" w:cs="Arial"/>
        </w:rPr>
        <w:t>Cooling tower and advanced cooling systems</w:t>
      </w:r>
    </w:p>
    <w:p w14:paraId="15E7665A" w14:textId="77777777" w:rsidR="005F2E66" w:rsidRPr="00DB7156" w:rsidRDefault="005F2E66" w:rsidP="005F2E66">
      <w:pPr>
        <w:pStyle w:val="ListParagraph"/>
        <w:numPr>
          <w:ilvl w:val="0"/>
          <w:numId w:val="16"/>
        </w:numPr>
        <w:ind w:left="1620" w:hanging="720"/>
        <w:jc w:val="both"/>
        <w:rPr>
          <w:rFonts w:ascii="Arial" w:hAnsi="Arial" w:cs="Arial"/>
        </w:rPr>
      </w:pPr>
      <w:r w:rsidRPr="00DB7156">
        <w:rPr>
          <w:rFonts w:ascii="Arial" w:hAnsi="Arial" w:cs="Arial"/>
        </w:rPr>
        <w:t xml:space="preserve">Zero liquid discharge systems </w:t>
      </w:r>
    </w:p>
    <w:p w14:paraId="694E3C39" w14:textId="77777777" w:rsidR="005F2E66" w:rsidRPr="00DB7156" w:rsidRDefault="005F2E66" w:rsidP="005F2E66">
      <w:pPr>
        <w:pStyle w:val="ListParagraph"/>
        <w:numPr>
          <w:ilvl w:val="0"/>
          <w:numId w:val="16"/>
        </w:numPr>
        <w:ind w:left="1620" w:hanging="720"/>
        <w:jc w:val="both"/>
        <w:rPr>
          <w:rFonts w:ascii="Arial" w:hAnsi="Arial" w:cs="Arial"/>
        </w:rPr>
      </w:pPr>
      <w:r w:rsidRPr="00DB7156">
        <w:rPr>
          <w:rFonts w:ascii="Arial" w:hAnsi="Arial" w:cs="Arial"/>
        </w:rPr>
        <w:t xml:space="preserve">Moisture recovery </w:t>
      </w:r>
    </w:p>
    <w:p w14:paraId="79693304" w14:textId="77777777" w:rsidR="005F2E66" w:rsidRPr="00DB7156" w:rsidRDefault="005F2E66" w:rsidP="005F2E66">
      <w:pPr>
        <w:pStyle w:val="ListParagraph"/>
        <w:numPr>
          <w:ilvl w:val="0"/>
          <w:numId w:val="16"/>
        </w:numPr>
        <w:ind w:left="1620" w:hanging="720"/>
        <w:jc w:val="both"/>
        <w:rPr>
          <w:rFonts w:ascii="Arial" w:hAnsi="Arial" w:cs="Arial"/>
        </w:rPr>
      </w:pPr>
      <w:r w:rsidRPr="00DB7156">
        <w:rPr>
          <w:rFonts w:ascii="Arial" w:hAnsi="Arial" w:cs="Arial"/>
        </w:rPr>
        <w:t xml:space="preserve">Wastewater treatment </w:t>
      </w:r>
    </w:p>
    <w:p w14:paraId="53D71843" w14:textId="77777777" w:rsidR="005F2E66" w:rsidRPr="00DB7156" w:rsidRDefault="005F2E66" w:rsidP="005F2E66">
      <w:pPr>
        <w:pStyle w:val="ListParagraph"/>
        <w:numPr>
          <w:ilvl w:val="0"/>
          <w:numId w:val="16"/>
        </w:numPr>
        <w:ind w:left="1620" w:hanging="720"/>
        <w:jc w:val="both"/>
        <w:rPr>
          <w:rFonts w:ascii="Arial" w:hAnsi="Arial" w:cs="Arial"/>
        </w:rPr>
      </w:pPr>
      <w:r w:rsidRPr="00DB7156">
        <w:rPr>
          <w:rFonts w:ascii="Arial" w:hAnsi="Arial" w:cs="Arial"/>
        </w:rPr>
        <w:t xml:space="preserve">Solid waste landfill management </w:t>
      </w:r>
    </w:p>
    <w:p w14:paraId="7DCAAD42" w14:textId="77777777" w:rsidR="005F2E66" w:rsidRPr="00DB7156" w:rsidRDefault="005F2E66" w:rsidP="005F2E66">
      <w:pPr>
        <w:pStyle w:val="ListParagraph"/>
        <w:numPr>
          <w:ilvl w:val="0"/>
          <w:numId w:val="16"/>
        </w:numPr>
        <w:ind w:left="1620" w:hanging="720"/>
        <w:jc w:val="both"/>
        <w:rPr>
          <w:rFonts w:ascii="Arial" w:hAnsi="Arial" w:cs="Arial"/>
        </w:rPr>
      </w:pPr>
      <w:r w:rsidRPr="00DB7156">
        <w:rPr>
          <w:rFonts w:ascii="Arial" w:hAnsi="Arial" w:cs="Arial"/>
        </w:rPr>
        <w:t>Carbon technology water questions</w:t>
      </w:r>
    </w:p>
    <w:p w14:paraId="6365C4E5" w14:textId="77777777" w:rsidR="005F2E66" w:rsidRPr="00DB7156" w:rsidRDefault="005F2E66" w:rsidP="005F2E66">
      <w:pPr>
        <w:pStyle w:val="ListParagraph"/>
        <w:numPr>
          <w:ilvl w:val="0"/>
          <w:numId w:val="16"/>
        </w:numPr>
        <w:ind w:left="1620" w:hanging="720"/>
        <w:jc w:val="both"/>
        <w:rPr>
          <w:rFonts w:ascii="Arial" w:hAnsi="Arial" w:cs="Arial"/>
        </w:rPr>
      </w:pPr>
      <w:r w:rsidRPr="00DB7156">
        <w:rPr>
          <w:rFonts w:ascii="Arial" w:hAnsi="Arial" w:cs="Arial"/>
        </w:rPr>
        <w:t>Water management modeling</w:t>
      </w:r>
    </w:p>
    <w:p w14:paraId="297C221F" w14:textId="77777777" w:rsidR="005F2E66" w:rsidRDefault="005F2E66" w:rsidP="000077E1">
      <w:pPr>
        <w:spacing w:after="0" w:line="240" w:lineRule="auto"/>
        <w:jc w:val="both"/>
        <w:rPr>
          <w:rFonts w:ascii="Arial" w:hAnsi="Arial" w:cs="Arial"/>
          <w:bCs/>
          <w:sz w:val="24"/>
          <w:szCs w:val="24"/>
        </w:rPr>
      </w:pPr>
    </w:p>
    <w:p w14:paraId="23D9CEFC" w14:textId="141891DA" w:rsidR="005F2E66" w:rsidRDefault="000077E1" w:rsidP="000077E1">
      <w:pPr>
        <w:spacing w:after="0" w:line="240" w:lineRule="auto"/>
        <w:jc w:val="both"/>
        <w:rPr>
          <w:rFonts w:ascii="Arial" w:hAnsi="Arial" w:cs="Arial"/>
          <w:bCs/>
          <w:sz w:val="24"/>
          <w:szCs w:val="24"/>
        </w:rPr>
      </w:pPr>
      <w:r w:rsidRPr="00DB7156">
        <w:rPr>
          <w:rFonts w:ascii="Arial" w:hAnsi="Arial" w:cs="Arial"/>
          <w:bCs/>
          <w:sz w:val="24"/>
          <w:szCs w:val="24"/>
        </w:rPr>
        <w:t>In partnership with EPRI</w:t>
      </w:r>
      <w:r>
        <w:rPr>
          <w:rFonts w:ascii="Arial" w:hAnsi="Arial" w:cs="Arial"/>
          <w:bCs/>
          <w:sz w:val="24"/>
          <w:szCs w:val="24"/>
        </w:rPr>
        <w:t xml:space="preserve">, Southern Research </w:t>
      </w:r>
      <w:r w:rsidR="00F27A3A">
        <w:rPr>
          <w:rFonts w:ascii="Arial" w:hAnsi="Arial" w:cs="Arial"/>
          <w:bCs/>
          <w:sz w:val="24"/>
          <w:szCs w:val="24"/>
        </w:rPr>
        <w:t>Institute</w:t>
      </w:r>
      <w:r>
        <w:rPr>
          <w:rFonts w:ascii="Arial" w:hAnsi="Arial" w:cs="Arial"/>
          <w:bCs/>
          <w:sz w:val="24"/>
          <w:szCs w:val="24"/>
        </w:rPr>
        <w:t>,</w:t>
      </w:r>
      <w:r w:rsidRPr="00DB7156">
        <w:rPr>
          <w:rFonts w:ascii="Arial" w:hAnsi="Arial" w:cs="Arial"/>
          <w:bCs/>
          <w:sz w:val="24"/>
          <w:szCs w:val="24"/>
        </w:rPr>
        <w:t xml:space="preserve"> and other </w:t>
      </w:r>
      <w:r>
        <w:rPr>
          <w:rFonts w:ascii="Arial" w:hAnsi="Arial" w:cs="Arial"/>
          <w:bCs/>
          <w:sz w:val="24"/>
          <w:szCs w:val="24"/>
        </w:rPr>
        <w:t>industry partners</w:t>
      </w:r>
      <w:r w:rsidRPr="00DB7156">
        <w:rPr>
          <w:rFonts w:ascii="Arial" w:hAnsi="Arial" w:cs="Arial"/>
          <w:bCs/>
          <w:sz w:val="24"/>
          <w:szCs w:val="24"/>
        </w:rPr>
        <w:t xml:space="preserve">, Southern Company R&amp;D and Georgia Power are expanding the Water Research Center at Plant Bowen </w:t>
      </w:r>
      <w:r w:rsidR="005F2E66">
        <w:rPr>
          <w:rFonts w:ascii="Arial" w:hAnsi="Arial" w:cs="Arial"/>
          <w:bCs/>
          <w:sz w:val="24"/>
          <w:szCs w:val="24"/>
        </w:rPr>
        <w:t xml:space="preserve">in 2019 </w:t>
      </w:r>
      <w:r w:rsidRPr="00DB7156">
        <w:rPr>
          <w:rFonts w:ascii="Arial" w:hAnsi="Arial" w:cs="Arial"/>
          <w:bCs/>
          <w:sz w:val="24"/>
          <w:szCs w:val="24"/>
        </w:rPr>
        <w:t xml:space="preserve">to become the Water Research and Conservation Center with locations at Plants Bowen and McDonough-Atkinson. The center at Plant Bowen will maintain its focus on researching technologies to maintain compliance with current and future environmental regulations, while continuing the testing and evaluation of pilot systems that are nearing commercialization. </w:t>
      </w:r>
    </w:p>
    <w:p w14:paraId="2305643C" w14:textId="77777777" w:rsidR="005F2E66" w:rsidRDefault="005F2E66" w:rsidP="000077E1">
      <w:pPr>
        <w:spacing w:after="0" w:line="240" w:lineRule="auto"/>
        <w:jc w:val="both"/>
        <w:rPr>
          <w:rFonts w:ascii="Arial" w:hAnsi="Arial" w:cs="Arial"/>
          <w:bCs/>
          <w:sz w:val="24"/>
          <w:szCs w:val="24"/>
        </w:rPr>
      </w:pPr>
    </w:p>
    <w:p w14:paraId="2D3A474D" w14:textId="1354F41C" w:rsidR="000077E1" w:rsidRDefault="000077E1" w:rsidP="000077E1">
      <w:pPr>
        <w:spacing w:after="0" w:line="240" w:lineRule="auto"/>
        <w:jc w:val="both"/>
        <w:rPr>
          <w:rStyle w:val="CommentReference"/>
          <w:rFonts w:ascii="Arial" w:hAnsi="Arial" w:cs="Arial"/>
        </w:rPr>
      </w:pPr>
      <w:r w:rsidRPr="00DB7156">
        <w:rPr>
          <w:rFonts w:ascii="Arial" w:hAnsi="Arial" w:cs="Arial"/>
          <w:bCs/>
          <w:sz w:val="24"/>
          <w:szCs w:val="24"/>
        </w:rPr>
        <w:t>The new center at Plant McDonough</w:t>
      </w:r>
      <w:r>
        <w:rPr>
          <w:rFonts w:ascii="Arial" w:hAnsi="Arial" w:cs="Arial"/>
          <w:bCs/>
          <w:sz w:val="24"/>
          <w:szCs w:val="24"/>
        </w:rPr>
        <w:t>-Atkinson</w:t>
      </w:r>
      <w:r w:rsidRPr="00DB7156">
        <w:rPr>
          <w:rFonts w:ascii="Arial" w:hAnsi="Arial" w:cs="Arial"/>
          <w:bCs/>
          <w:sz w:val="24"/>
          <w:szCs w:val="24"/>
        </w:rPr>
        <w:t xml:space="preserve"> will promote long-term solutions and advancements in power plant cooling systems leading to reduced freshwater withdrawal and consumption as well as improved plant efficiency while optimizing total cost and energy generation.</w:t>
      </w:r>
      <w:r>
        <w:rPr>
          <w:rFonts w:ascii="Arial" w:hAnsi="Arial" w:cs="Arial"/>
          <w:bCs/>
          <w:sz w:val="24"/>
          <w:szCs w:val="24"/>
        </w:rPr>
        <w:t xml:space="preserve"> Th</w:t>
      </w:r>
      <w:r w:rsidR="005F2E66">
        <w:rPr>
          <w:rFonts w:ascii="Arial" w:hAnsi="Arial" w:cs="Arial"/>
          <w:bCs/>
          <w:sz w:val="24"/>
          <w:szCs w:val="24"/>
        </w:rPr>
        <w:t>is</w:t>
      </w:r>
      <w:r>
        <w:rPr>
          <w:rFonts w:ascii="Arial" w:hAnsi="Arial" w:cs="Arial"/>
          <w:bCs/>
          <w:sz w:val="24"/>
          <w:szCs w:val="24"/>
        </w:rPr>
        <w:t xml:space="preserve"> center </w:t>
      </w:r>
      <w:r w:rsidR="00F27A3A">
        <w:rPr>
          <w:rFonts w:ascii="Arial" w:hAnsi="Arial" w:cs="Arial"/>
          <w:bCs/>
          <w:sz w:val="24"/>
          <w:szCs w:val="24"/>
        </w:rPr>
        <w:t>will</w:t>
      </w:r>
      <w:r w:rsidR="005F2E66">
        <w:rPr>
          <w:rFonts w:ascii="Arial" w:hAnsi="Arial" w:cs="Arial"/>
          <w:bCs/>
          <w:sz w:val="24"/>
          <w:szCs w:val="24"/>
        </w:rPr>
        <w:t xml:space="preserve"> </w:t>
      </w:r>
      <w:r>
        <w:rPr>
          <w:rFonts w:ascii="Arial" w:hAnsi="Arial" w:cs="Arial"/>
          <w:bCs/>
          <w:sz w:val="24"/>
          <w:szCs w:val="24"/>
        </w:rPr>
        <w:t xml:space="preserve">provide a venue with the necessary infrastructure, like the one at Plant Bowen, that the Company and project partners can use in </w:t>
      </w:r>
      <w:r w:rsidRPr="00345D58">
        <w:rPr>
          <w:rFonts w:ascii="Arial" w:hAnsi="Arial" w:cs="Arial"/>
          <w:bCs/>
          <w:sz w:val="24"/>
          <w:szCs w:val="24"/>
        </w:rPr>
        <w:t>develop</w:t>
      </w:r>
      <w:r>
        <w:rPr>
          <w:rFonts w:ascii="Arial" w:hAnsi="Arial" w:cs="Arial"/>
          <w:bCs/>
          <w:sz w:val="24"/>
          <w:szCs w:val="24"/>
        </w:rPr>
        <w:t>ing</w:t>
      </w:r>
      <w:r w:rsidRPr="00345D58">
        <w:rPr>
          <w:rFonts w:ascii="Arial" w:hAnsi="Arial" w:cs="Arial"/>
          <w:bCs/>
          <w:sz w:val="24"/>
          <w:szCs w:val="24"/>
        </w:rPr>
        <w:t xml:space="preserve"> and test</w:t>
      </w:r>
      <w:r>
        <w:rPr>
          <w:rFonts w:ascii="Arial" w:hAnsi="Arial" w:cs="Arial"/>
          <w:bCs/>
          <w:sz w:val="24"/>
          <w:szCs w:val="24"/>
        </w:rPr>
        <w:t xml:space="preserve">ing </w:t>
      </w:r>
      <w:r w:rsidRPr="00345D58">
        <w:rPr>
          <w:rFonts w:ascii="Arial" w:hAnsi="Arial" w:cs="Arial"/>
          <w:bCs/>
          <w:sz w:val="24"/>
          <w:szCs w:val="24"/>
        </w:rPr>
        <w:t xml:space="preserve">technologies </w:t>
      </w:r>
      <w:r>
        <w:rPr>
          <w:rFonts w:ascii="Arial" w:hAnsi="Arial" w:cs="Arial"/>
          <w:bCs/>
          <w:sz w:val="24"/>
          <w:szCs w:val="24"/>
        </w:rPr>
        <w:t>to reach these goals.</w:t>
      </w:r>
      <w:r w:rsidRPr="00DB7156" w:rsidDel="00345D58">
        <w:rPr>
          <w:rStyle w:val="CommentReference"/>
          <w:rFonts w:ascii="Arial" w:hAnsi="Arial" w:cs="Arial"/>
        </w:rPr>
        <w:t xml:space="preserve"> </w:t>
      </w:r>
    </w:p>
    <w:p w14:paraId="0F68E6F8" w14:textId="77777777" w:rsidR="000077E1" w:rsidRDefault="000077E1" w:rsidP="000077E1">
      <w:pPr>
        <w:spacing w:after="0" w:line="240" w:lineRule="auto"/>
        <w:jc w:val="both"/>
        <w:rPr>
          <w:rStyle w:val="CommentReference"/>
          <w:rFonts w:ascii="Arial" w:hAnsi="Arial" w:cs="Arial"/>
        </w:rPr>
      </w:pPr>
    </w:p>
    <w:p w14:paraId="22BA5513" w14:textId="6F8D3717" w:rsidR="00FB6BE7" w:rsidRPr="00DB7156" w:rsidRDefault="00FB6BE7" w:rsidP="00DB7156">
      <w:pPr>
        <w:spacing w:after="0" w:line="240" w:lineRule="auto"/>
        <w:jc w:val="both"/>
        <w:rPr>
          <w:rFonts w:ascii="Arial" w:hAnsi="Arial" w:cs="Arial"/>
          <w:sz w:val="24"/>
          <w:szCs w:val="24"/>
        </w:rPr>
      </w:pPr>
    </w:p>
    <w:p w14:paraId="22BA5514" w14:textId="1BF79672" w:rsidR="00FB6BE7" w:rsidRPr="00DB7156" w:rsidRDefault="00E64A0F" w:rsidP="00DB7156">
      <w:pPr>
        <w:tabs>
          <w:tab w:val="left" w:pos="360"/>
        </w:tabs>
        <w:spacing w:after="0" w:line="240" w:lineRule="auto"/>
        <w:jc w:val="both"/>
        <w:rPr>
          <w:rFonts w:ascii="Arial" w:hAnsi="Arial" w:cs="Arial"/>
          <w:b/>
          <w:color w:val="000080"/>
          <w:sz w:val="24"/>
          <w:szCs w:val="24"/>
        </w:rPr>
      </w:pPr>
      <w:r w:rsidRPr="00DB7156">
        <w:rPr>
          <w:rFonts w:ascii="Arial" w:hAnsi="Arial" w:cs="Arial"/>
          <w:b/>
          <w:color w:val="000080"/>
          <w:sz w:val="24"/>
          <w:szCs w:val="24"/>
        </w:rPr>
        <w:t>XV</w:t>
      </w:r>
      <w:r w:rsidR="00FB6BE7" w:rsidRPr="00DB7156">
        <w:rPr>
          <w:rFonts w:ascii="Arial" w:hAnsi="Arial" w:cs="Arial"/>
          <w:b/>
          <w:color w:val="000080"/>
          <w:sz w:val="24"/>
          <w:szCs w:val="24"/>
        </w:rPr>
        <w:t>I.</w:t>
      </w:r>
      <w:r w:rsidR="00FB6BE7" w:rsidRPr="00DB7156">
        <w:rPr>
          <w:rFonts w:ascii="Arial" w:hAnsi="Arial" w:cs="Arial"/>
          <w:b/>
          <w:color w:val="000080"/>
          <w:sz w:val="24"/>
          <w:szCs w:val="24"/>
        </w:rPr>
        <w:tab/>
      </w:r>
      <w:r w:rsidR="00FB6BE7" w:rsidRPr="00DB7156">
        <w:rPr>
          <w:rFonts w:ascii="Arial" w:hAnsi="Arial" w:cs="Arial"/>
          <w:b/>
          <w:color w:val="000080"/>
          <w:sz w:val="24"/>
          <w:szCs w:val="24"/>
          <w:u w:val="single"/>
        </w:rPr>
        <w:t>Ash Handling Methods</w:t>
      </w:r>
    </w:p>
    <w:p w14:paraId="22BA5515" w14:textId="77777777" w:rsidR="00FB6BE7" w:rsidRPr="00DB7156" w:rsidRDefault="00FB6BE7" w:rsidP="00DB7156">
      <w:pPr>
        <w:tabs>
          <w:tab w:val="left" w:pos="360"/>
        </w:tabs>
        <w:spacing w:after="0" w:line="240" w:lineRule="auto"/>
        <w:jc w:val="both"/>
        <w:rPr>
          <w:rFonts w:ascii="Arial" w:hAnsi="Arial" w:cs="Arial"/>
          <w:b/>
          <w:color w:val="CC0000"/>
          <w:sz w:val="24"/>
          <w:szCs w:val="24"/>
        </w:rPr>
      </w:pPr>
    </w:p>
    <w:p w14:paraId="22BA5516" w14:textId="179E8FC5"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 xml:space="preserve">The </w:t>
      </w:r>
      <w:r w:rsidR="00647396" w:rsidRPr="00DB7156">
        <w:rPr>
          <w:rFonts w:ascii="Arial" w:hAnsi="Arial" w:cs="Arial"/>
          <w:sz w:val="24"/>
          <w:szCs w:val="24"/>
        </w:rPr>
        <w:t>ELG</w:t>
      </w:r>
      <w:r w:rsidRPr="00DB7156">
        <w:rPr>
          <w:rFonts w:ascii="Arial" w:hAnsi="Arial" w:cs="Arial"/>
          <w:sz w:val="24"/>
          <w:szCs w:val="24"/>
        </w:rPr>
        <w:t xml:space="preserve"> and </w:t>
      </w:r>
      <w:r w:rsidR="005A3585">
        <w:rPr>
          <w:rFonts w:ascii="Arial" w:hAnsi="Arial" w:cs="Arial"/>
          <w:sz w:val="24"/>
          <w:szCs w:val="24"/>
        </w:rPr>
        <w:t>f</w:t>
      </w:r>
      <w:r w:rsidR="0052761B">
        <w:rPr>
          <w:rFonts w:ascii="Arial" w:hAnsi="Arial" w:cs="Arial"/>
          <w:sz w:val="24"/>
          <w:szCs w:val="24"/>
        </w:rPr>
        <w:t xml:space="preserve">ederal and Georgia </w:t>
      </w:r>
      <w:r w:rsidR="00647396" w:rsidRPr="00DB7156">
        <w:rPr>
          <w:rFonts w:ascii="Arial" w:hAnsi="Arial" w:cs="Arial"/>
          <w:sz w:val="24"/>
          <w:szCs w:val="24"/>
        </w:rPr>
        <w:t>CCR</w:t>
      </w:r>
      <w:r w:rsidR="006C5A28">
        <w:rPr>
          <w:rFonts w:ascii="Arial" w:hAnsi="Arial" w:cs="Arial"/>
          <w:sz w:val="24"/>
          <w:szCs w:val="24"/>
        </w:rPr>
        <w:t xml:space="preserve"> </w:t>
      </w:r>
      <w:r w:rsidR="005A3585">
        <w:rPr>
          <w:rFonts w:ascii="Arial" w:hAnsi="Arial" w:cs="Arial"/>
          <w:sz w:val="24"/>
          <w:szCs w:val="24"/>
        </w:rPr>
        <w:t>r</w:t>
      </w:r>
      <w:r w:rsidRPr="00DB7156">
        <w:rPr>
          <w:rFonts w:ascii="Arial" w:hAnsi="Arial" w:cs="Arial"/>
          <w:sz w:val="24"/>
          <w:szCs w:val="24"/>
        </w:rPr>
        <w:t xml:space="preserve">ules </w:t>
      </w:r>
      <w:r w:rsidR="00647396" w:rsidRPr="00DB7156">
        <w:rPr>
          <w:rFonts w:ascii="Arial" w:hAnsi="Arial" w:cs="Arial"/>
          <w:sz w:val="24"/>
          <w:szCs w:val="24"/>
        </w:rPr>
        <w:t>affect</w:t>
      </w:r>
      <w:r w:rsidRPr="00DB7156">
        <w:rPr>
          <w:rFonts w:ascii="Arial" w:hAnsi="Arial" w:cs="Arial"/>
          <w:sz w:val="24"/>
          <w:szCs w:val="24"/>
        </w:rPr>
        <w:t xml:space="preserve"> </w:t>
      </w:r>
      <w:r w:rsidR="007F5FE2" w:rsidRPr="00DB7156">
        <w:rPr>
          <w:rFonts w:ascii="Arial" w:hAnsi="Arial" w:cs="Arial"/>
          <w:sz w:val="24"/>
          <w:szCs w:val="24"/>
        </w:rPr>
        <w:t xml:space="preserve">coal </w:t>
      </w:r>
      <w:r w:rsidRPr="00DB7156">
        <w:rPr>
          <w:rFonts w:ascii="Arial" w:hAnsi="Arial" w:cs="Arial"/>
          <w:sz w:val="24"/>
          <w:szCs w:val="24"/>
        </w:rPr>
        <w:t xml:space="preserve">ash handling and disposal methods at most Georgia Power units. While </w:t>
      </w:r>
      <w:r w:rsidR="008166F6" w:rsidRPr="00DB7156">
        <w:rPr>
          <w:rFonts w:ascii="Arial" w:hAnsi="Arial" w:cs="Arial"/>
          <w:sz w:val="24"/>
          <w:szCs w:val="24"/>
        </w:rPr>
        <w:t>some</w:t>
      </w:r>
      <w:r w:rsidRPr="00DB7156">
        <w:rPr>
          <w:rFonts w:ascii="Arial" w:hAnsi="Arial" w:cs="Arial"/>
          <w:sz w:val="24"/>
          <w:szCs w:val="24"/>
        </w:rPr>
        <w:t xml:space="preserve"> units have dry ash handling capability, most use wet sluicing to ponds or settling basins as either the primary method of disposal or as back-up to the dry handling equipment. </w:t>
      </w:r>
      <w:r w:rsidR="007F5FE2" w:rsidRPr="00DB7156">
        <w:rPr>
          <w:rFonts w:ascii="Arial" w:hAnsi="Arial" w:cs="Arial"/>
          <w:sz w:val="24"/>
          <w:szCs w:val="24"/>
        </w:rPr>
        <w:t xml:space="preserve">In order to comply with the </w:t>
      </w:r>
      <w:r w:rsidR="005A3585">
        <w:rPr>
          <w:rFonts w:ascii="Arial" w:hAnsi="Arial" w:cs="Arial"/>
          <w:sz w:val="24"/>
          <w:szCs w:val="24"/>
        </w:rPr>
        <w:t>f</w:t>
      </w:r>
      <w:r w:rsidR="00C0388E">
        <w:rPr>
          <w:rFonts w:ascii="Arial" w:hAnsi="Arial" w:cs="Arial"/>
          <w:sz w:val="24"/>
          <w:szCs w:val="24"/>
        </w:rPr>
        <w:t xml:space="preserve">ederal </w:t>
      </w:r>
      <w:r w:rsidR="009F339A">
        <w:rPr>
          <w:rFonts w:ascii="Arial" w:hAnsi="Arial" w:cs="Arial"/>
          <w:sz w:val="24"/>
          <w:szCs w:val="24"/>
        </w:rPr>
        <w:t xml:space="preserve">and </w:t>
      </w:r>
      <w:r w:rsidR="0052761B">
        <w:rPr>
          <w:rFonts w:ascii="Arial" w:hAnsi="Arial" w:cs="Arial"/>
          <w:sz w:val="24"/>
          <w:szCs w:val="24"/>
        </w:rPr>
        <w:t>Georgia</w:t>
      </w:r>
      <w:r w:rsidR="00C0388E">
        <w:rPr>
          <w:rFonts w:ascii="Arial" w:hAnsi="Arial" w:cs="Arial"/>
          <w:sz w:val="24"/>
          <w:szCs w:val="24"/>
        </w:rPr>
        <w:t xml:space="preserve"> </w:t>
      </w:r>
      <w:r w:rsidR="007F5FE2" w:rsidRPr="00DB7156">
        <w:rPr>
          <w:rFonts w:ascii="Arial" w:hAnsi="Arial" w:cs="Arial"/>
          <w:sz w:val="24"/>
          <w:szCs w:val="24"/>
        </w:rPr>
        <w:t xml:space="preserve">CCR </w:t>
      </w:r>
      <w:r w:rsidR="005A3585">
        <w:rPr>
          <w:rFonts w:ascii="Arial" w:hAnsi="Arial" w:cs="Arial"/>
          <w:sz w:val="24"/>
          <w:szCs w:val="24"/>
        </w:rPr>
        <w:t>r</w:t>
      </w:r>
      <w:r w:rsidR="007F5FE2" w:rsidRPr="00DB7156">
        <w:rPr>
          <w:rFonts w:ascii="Arial" w:hAnsi="Arial" w:cs="Arial"/>
          <w:sz w:val="24"/>
          <w:szCs w:val="24"/>
        </w:rPr>
        <w:t>ule</w:t>
      </w:r>
      <w:r w:rsidR="00C0388E">
        <w:rPr>
          <w:rFonts w:ascii="Arial" w:hAnsi="Arial" w:cs="Arial"/>
          <w:sz w:val="24"/>
          <w:szCs w:val="24"/>
        </w:rPr>
        <w:t>s</w:t>
      </w:r>
      <w:r w:rsidR="007F5FE2" w:rsidRPr="00DB7156">
        <w:rPr>
          <w:rFonts w:ascii="Arial" w:hAnsi="Arial" w:cs="Arial"/>
          <w:sz w:val="24"/>
          <w:szCs w:val="24"/>
        </w:rPr>
        <w:t xml:space="preserve"> and ELG</w:t>
      </w:r>
      <w:r w:rsidR="0052761B">
        <w:rPr>
          <w:rFonts w:ascii="Arial" w:hAnsi="Arial" w:cs="Arial"/>
          <w:sz w:val="24"/>
          <w:szCs w:val="24"/>
        </w:rPr>
        <w:t xml:space="preserve"> Rule</w:t>
      </w:r>
      <w:r w:rsidR="007F5FE2" w:rsidRPr="00DB7156">
        <w:rPr>
          <w:rFonts w:ascii="Arial" w:hAnsi="Arial" w:cs="Arial"/>
          <w:sz w:val="24"/>
          <w:szCs w:val="24"/>
        </w:rPr>
        <w:t xml:space="preserve"> </w:t>
      </w:r>
      <w:r w:rsidR="00E33C3B" w:rsidRPr="00DB7156">
        <w:rPr>
          <w:rFonts w:ascii="Arial" w:hAnsi="Arial" w:cs="Arial"/>
          <w:sz w:val="24"/>
          <w:szCs w:val="24"/>
        </w:rPr>
        <w:t>requirements</w:t>
      </w:r>
      <w:r w:rsidR="007F5FE2" w:rsidRPr="00DB7156">
        <w:rPr>
          <w:rFonts w:ascii="Arial" w:hAnsi="Arial" w:cs="Arial"/>
          <w:sz w:val="24"/>
          <w:szCs w:val="24"/>
        </w:rPr>
        <w:t xml:space="preserve">, Georgia Power is closing all ash ponds </w:t>
      </w:r>
      <w:r w:rsidR="000760DC" w:rsidRPr="00DB7156">
        <w:rPr>
          <w:rFonts w:ascii="Arial" w:hAnsi="Arial" w:cs="Arial"/>
          <w:sz w:val="24"/>
          <w:szCs w:val="24"/>
        </w:rPr>
        <w:t xml:space="preserve">and will stop sluicing coal </w:t>
      </w:r>
      <w:r w:rsidR="007F5FE2" w:rsidRPr="00DB7156">
        <w:rPr>
          <w:rFonts w:ascii="Arial" w:hAnsi="Arial" w:cs="Arial"/>
          <w:sz w:val="24"/>
          <w:szCs w:val="24"/>
        </w:rPr>
        <w:t xml:space="preserve">ash in 2019.  Significant construction is underway at each generating plant to modify coal ash </w:t>
      </w:r>
      <w:r w:rsidR="000760DC" w:rsidRPr="00DB7156">
        <w:rPr>
          <w:rFonts w:ascii="Arial" w:hAnsi="Arial" w:cs="Arial"/>
          <w:sz w:val="24"/>
          <w:szCs w:val="24"/>
        </w:rPr>
        <w:t>handling</w:t>
      </w:r>
      <w:r w:rsidR="008166F6" w:rsidRPr="00DB7156">
        <w:rPr>
          <w:rFonts w:ascii="Arial" w:hAnsi="Arial" w:cs="Arial"/>
          <w:sz w:val="24"/>
          <w:szCs w:val="24"/>
        </w:rPr>
        <w:t xml:space="preserve"> systems</w:t>
      </w:r>
      <w:r w:rsidR="000760DC" w:rsidRPr="00DB7156">
        <w:rPr>
          <w:rFonts w:ascii="Arial" w:hAnsi="Arial" w:cs="Arial"/>
          <w:sz w:val="24"/>
          <w:szCs w:val="24"/>
        </w:rPr>
        <w:t xml:space="preserve">, such as </w:t>
      </w:r>
      <w:r w:rsidR="008166F6" w:rsidRPr="00DB7156">
        <w:rPr>
          <w:rFonts w:ascii="Arial" w:hAnsi="Arial" w:cs="Arial"/>
          <w:sz w:val="24"/>
          <w:szCs w:val="24"/>
        </w:rPr>
        <w:t xml:space="preserve">pneumatic </w:t>
      </w:r>
      <w:r w:rsidR="000760DC" w:rsidRPr="00DB7156">
        <w:rPr>
          <w:rFonts w:ascii="Arial" w:hAnsi="Arial" w:cs="Arial"/>
          <w:sz w:val="24"/>
          <w:szCs w:val="24"/>
        </w:rPr>
        <w:t xml:space="preserve">dry ash handling equipment, remote </w:t>
      </w:r>
      <w:r w:rsidR="008166F6" w:rsidRPr="00DB7156">
        <w:rPr>
          <w:rFonts w:ascii="Arial" w:hAnsi="Arial" w:cs="Arial"/>
          <w:sz w:val="24"/>
          <w:szCs w:val="24"/>
        </w:rPr>
        <w:t xml:space="preserve">submerged </w:t>
      </w:r>
      <w:r w:rsidR="000760DC" w:rsidRPr="00DB7156">
        <w:rPr>
          <w:rFonts w:ascii="Arial" w:hAnsi="Arial" w:cs="Arial"/>
          <w:sz w:val="24"/>
          <w:szCs w:val="24"/>
        </w:rPr>
        <w:t>chain conveyors and ash coolers.</w:t>
      </w:r>
      <w:r w:rsidR="008166F6" w:rsidRPr="00DB7156">
        <w:rPr>
          <w:rFonts w:ascii="Arial" w:hAnsi="Arial" w:cs="Arial"/>
          <w:sz w:val="24"/>
          <w:szCs w:val="24"/>
        </w:rPr>
        <w:t xml:space="preserve"> These systems are utilized in conjunction with additional storage silos and collection systems to facilitate </w:t>
      </w:r>
      <w:r w:rsidR="00FE4CBE" w:rsidRPr="00DB7156">
        <w:rPr>
          <w:rFonts w:ascii="Arial" w:hAnsi="Arial" w:cs="Arial"/>
          <w:sz w:val="24"/>
          <w:szCs w:val="24"/>
        </w:rPr>
        <w:t>disposal</w:t>
      </w:r>
      <w:r w:rsidR="008166F6" w:rsidRPr="00DB7156">
        <w:rPr>
          <w:rFonts w:ascii="Arial" w:hAnsi="Arial" w:cs="Arial"/>
          <w:sz w:val="24"/>
          <w:szCs w:val="24"/>
        </w:rPr>
        <w:t xml:space="preserve"> or reuse options.</w:t>
      </w:r>
      <w:r w:rsidRPr="00DB7156">
        <w:rPr>
          <w:rFonts w:ascii="Arial" w:hAnsi="Arial" w:cs="Arial"/>
          <w:sz w:val="24"/>
          <w:szCs w:val="24"/>
        </w:rPr>
        <w:t xml:space="preserve">  </w:t>
      </w:r>
    </w:p>
    <w:p w14:paraId="22BA5519" w14:textId="77777777" w:rsidR="00FB6BE7" w:rsidRPr="00DB7156" w:rsidRDefault="00FB6BE7" w:rsidP="00DB7156">
      <w:pPr>
        <w:spacing w:after="0" w:line="240" w:lineRule="auto"/>
        <w:jc w:val="both"/>
        <w:rPr>
          <w:rFonts w:ascii="Arial" w:hAnsi="Arial" w:cs="Arial"/>
          <w:sz w:val="24"/>
          <w:szCs w:val="24"/>
        </w:rPr>
      </w:pPr>
    </w:p>
    <w:p w14:paraId="22BA551C" w14:textId="2F0BDFD4" w:rsidR="00FB6BE7" w:rsidRPr="00DB7156" w:rsidRDefault="00E64A0F" w:rsidP="00DB7156">
      <w:pPr>
        <w:spacing w:after="0" w:line="240" w:lineRule="auto"/>
        <w:jc w:val="both"/>
        <w:rPr>
          <w:rFonts w:ascii="Arial" w:hAnsi="Arial" w:cs="Arial"/>
          <w:b/>
          <w:color w:val="000080"/>
          <w:sz w:val="24"/>
          <w:szCs w:val="24"/>
        </w:rPr>
      </w:pPr>
      <w:r w:rsidRPr="00DB7156">
        <w:rPr>
          <w:rFonts w:ascii="Arial" w:hAnsi="Arial" w:cs="Arial"/>
          <w:b/>
          <w:color w:val="000080"/>
          <w:sz w:val="24"/>
          <w:szCs w:val="24"/>
        </w:rPr>
        <w:t>XVII</w:t>
      </w:r>
      <w:r w:rsidR="00FB6BE7" w:rsidRPr="00DB7156">
        <w:rPr>
          <w:rFonts w:ascii="Arial" w:hAnsi="Arial" w:cs="Arial"/>
          <w:b/>
          <w:color w:val="000080"/>
          <w:sz w:val="24"/>
          <w:szCs w:val="24"/>
        </w:rPr>
        <w:t>.</w:t>
      </w:r>
      <w:r w:rsidR="00647396" w:rsidRPr="00DB7156">
        <w:rPr>
          <w:rFonts w:ascii="Arial" w:hAnsi="Arial" w:cs="Arial"/>
          <w:b/>
          <w:color w:val="000080"/>
          <w:sz w:val="24"/>
          <w:szCs w:val="24"/>
        </w:rPr>
        <w:t xml:space="preserve">  </w:t>
      </w:r>
      <w:r w:rsidR="00FB6BE7" w:rsidRPr="00DB7156">
        <w:rPr>
          <w:rFonts w:ascii="Arial" w:hAnsi="Arial" w:cs="Arial"/>
          <w:b/>
          <w:color w:val="000080"/>
          <w:sz w:val="24"/>
          <w:szCs w:val="24"/>
          <w:u w:val="single"/>
        </w:rPr>
        <w:t>Landfills</w:t>
      </w:r>
    </w:p>
    <w:p w14:paraId="22BA551D" w14:textId="77777777" w:rsidR="00FB6BE7" w:rsidRPr="00DB7156" w:rsidRDefault="00FB6BE7" w:rsidP="00DB7156">
      <w:pPr>
        <w:keepNext/>
        <w:spacing w:after="0" w:line="240" w:lineRule="auto"/>
        <w:jc w:val="both"/>
        <w:rPr>
          <w:rFonts w:ascii="Arial" w:hAnsi="Arial" w:cs="Arial"/>
          <w:b/>
          <w:color w:val="CC0000"/>
          <w:sz w:val="24"/>
          <w:szCs w:val="24"/>
        </w:rPr>
      </w:pPr>
    </w:p>
    <w:p w14:paraId="22BA551E" w14:textId="3B4484F5" w:rsidR="00FB6BE7" w:rsidRPr="00DB7156" w:rsidRDefault="00FB6BE7" w:rsidP="00DB7156">
      <w:pPr>
        <w:keepNext/>
        <w:spacing w:after="0" w:line="240" w:lineRule="auto"/>
        <w:jc w:val="both"/>
        <w:rPr>
          <w:rFonts w:ascii="Arial" w:hAnsi="Arial" w:cs="Arial"/>
          <w:sz w:val="24"/>
          <w:szCs w:val="24"/>
        </w:rPr>
      </w:pPr>
      <w:r w:rsidRPr="00DB7156">
        <w:rPr>
          <w:rFonts w:ascii="Arial" w:hAnsi="Arial" w:cs="Arial"/>
          <w:sz w:val="24"/>
          <w:szCs w:val="24"/>
        </w:rPr>
        <w:t xml:space="preserve">As additional ash storage is needed beyond the useful life of </w:t>
      </w:r>
      <w:r w:rsidR="00641EE0" w:rsidRPr="00DB7156">
        <w:rPr>
          <w:rFonts w:ascii="Arial" w:hAnsi="Arial" w:cs="Arial"/>
          <w:sz w:val="24"/>
          <w:szCs w:val="24"/>
        </w:rPr>
        <w:t>existing landfills</w:t>
      </w:r>
      <w:r w:rsidRPr="00DB7156">
        <w:rPr>
          <w:rFonts w:ascii="Arial" w:hAnsi="Arial" w:cs="Arial"/>
          <w:sz w:val="24"/>
          <w:szCs w:val="24"/>
        </w:rPr>
        <w:t xml:space="preserve"> or as the </w:t>
      </w:r>
      <w:r w:rsidR="005A3585">
        <w:rPr>
          <w:rFonts w:ascii="Arial" w:hAnsi="Arial" w:cs="Arial"/>
          <w:sz w:val="24"/>
          <w:szCs w:val="24"/>
        </w:rPr>
        <w:t>f</w:t>
      </w:r>
      <w:r w:rsidR="00C0388E">
        <w:rPr>
          <w:rFonts w:ascii="Arial" w:hAnsi="Arial" w:cs="Arial"/>
          <w:sz w:val="24"/>
          <w:szCs w:val="24"/>
        </w:rPr>
        <w:t>ederal</w:t>
      </w:r>
      <w:r w:rsidR="009F339A">
        <w:rPr>
          <w:rFonts w:ascii="Arial" w:hAnsi="Arial" w:cs="Arial"/>
          <w:sz w:val="24"/>
          <w:szCs w:val="24"/>
        </w:rPr>
        <w:t xml:space="preserve"> and </w:t>
      </w:r>
      <w:r w:rsidR="00E30677">
        <w:rPr>
          <w:rFonts w:ascii="Arial" w:hAnsi="Arial" w:cs="Arial"/>
          <w:sz w:val="24"/>
          <w:szCs w:val="24"/>
        </w:rPr>
        <w:t>Georgia</w:t>
      </w:r>
      <w:r w:rsidR="00C0388E">
        <w:rPr>
          <w:rFonts w:ascii="Arial" w:hAnsi="Arial" w:cs="Arial"/>
          <w:sz w:val="24"/>
          <w:szCs w:val="24"/>
        </w:rPr>
        <w:t xml:space="preserve"> </w:t>
      </w:r>
      <w:r w:rsidRPr="00DB7156">
        <w:rPr>
          <w:rFonts w:ascii="Arial" w:hAnsi="Arial" w:cs="Arial"/>
          <w:sz w:val="24"/>
          <w:szCs w:val="24"/>
        </w:rPr>
        <w:t xml:space="preserve">CCR </w:t>
      </w:r>
      <w:r w:rsidR="005A3585">
        <w:rPr>
          <w:rFonts w:ascii="Arial" w:hAnsi="Arial" w:cs="Arial"/>
          <w:sz w:val="24"/>
          <w:szCs w:val="24"/>
        </w:rPr>
        <w:t>r</w:t>
      </w:r>
      <w:r w:rsidRPr="00DB7156">
        <w:rPr>
          <w:rFonts w:ascii="Arial" w:hAnsi="Arial" w:cs="Arial"/>
          <w:sz w:val="24"/>
          <w:szCs w:val="24"/>
        </w:rPr>
        <w:t>ule</w:t>
      </w:r>
      <w:r w:rsidR="00C0388E">
        <w:rPr>
          <w:rFonts w:ascii="Arial" w:hAnsi="Arial" w:cs="Arial"/>
          <w:sz w:val="24"/>
          <w:szCs w:val="24"/>
        </w:rPr>
        <w:t>s</w:t>
      </w:r>
      <w:r w:rsidRPr="00DB7156">
        <w:rPr>
          <w:rFonts w:ascii="Arial" w:hAnsi="Arial" w:cs="Arial"/>
          <w:sz w:val="24"/>
          <w:szCs w:val="24"/>
        </w:rPr>
        <w:t xml:space="preserve"> may require ash ponds to be closed before their useful life is spent, landfill disposal is the likely alternative for long term ash disposal. This technology has been implemented for ash and gypsum at several Georgia Power facilities. This requires regulatory permitting, hydrogeologic/geologic studies, and large amounts of available property.  </w:t>
      </w:r>
      <w:r w:rsidR="001A4D42" w:rsidRPr="00DB7156">
        <w:rPr>
          <w:rFonts w:ascii="Arial" w:hAnsi="Arial" w:cs="Arial"/>
          <w:sz w:val="24"/>
          <w:szCs w:val="24"/>
        </w:rPr>
        <w:t>In addition</w:t>
      </w:r>
      <w:r w:rsidR="00647396" w:rsidRPr="00DB7156">
        <w:rPr>
          <w:rFonts w:ascii="Arial" w:hAnsi="Arial" w:cs="Arial"/>
          <w:sz w:val="24"/>
          <w:szCs w:val="24"/>
        </w:rPr>
        <w:t>,</w:t>
      </w:r>
      <w:r w:rsidR="001A4D42" w:rsidRPr="00DB7156">
        <w:rPr>
          <w:rFonts w:ascii="Arial" w:hAnsi="Arial" w:cs="Arial"/>
          <w:sz w:val="24"/>
          <w:szCs w:val="24"/>
        </w:rPr>
        <w:t xml:space="preserve"> </w:t>
      </w:r>
      <w:r w:rsidR="00EE58DA" w:rsidRPr="00DB7156">
        <w:rPr>
          <w:rFonts w:ascii="Arial" w:hAnsi="Arial" w:cs="Arial"/>
          <w:sz w:val="24"/>
          <w:szCs w:val="24"/>
        </w:rPr>
        <w:t>a</w:t>
      </w:r>
      <w:r w:rsidR="003728D6" w:rsidRPr="00DB7156">
        <w:rPr>
          <w:rFonts w:ascii="Arial" w:hAnsi="Arial" w:cs="Arial"/>
          <w:sz w:val="24"/>
          <w:szCs w:val="24"/>
        </w:rPr>
        <w:t xml:space="preserve"> </w:t>
      </w:r>
      <w:r w:rsidR="001A4D42" w:rsidRPr="00DB7156">
        <w:rPr>
          <w:rFonts w:ascii="Arial" w:hAnsi="Arial" w:cs="Arial"/>
          <w:sz w:val="24"/>
          <w:szCs w:val="24"/>
        </w:rPr>
        <w:t xml:space="preserve">leachate collection </w:t>
      </w:r>
      <w:r w:rsidR="00EE58DA" w:rsidRPr="00DB7156">
        <w:rPr>
          <w:rFonts w:ascii="Arial" w:hAnsi="Arial" w:cs="Arial"/>
          <w:sz w:val="24"/>
          <w:szCs w:val="24"/>
        </w:rPr>
        <w:t xml:space="preserve">and pumping </w:t>
      </w:r>
      <w:r w:rsidR="003728D6" w:rsidRPr="00DB7156">
        <w:rPr>
          <w:rFonts w:ascii="Arial" w:hAnsi="Arial" w:cs="Arial"/>
          <w:sz w:val="24"/>
          <w:szCs w:val="24"/>
        </w:rPr>
        <w:t>syst</w:t>
      </w:r>
      <w:r w:rsidR="00EE58DA" w:rsidRPr="00DB7156">
        <w:rPr>
          <w:rFonts w:ascii="Arial" w:hAnsi="Arial" w:cs="Arial"/>
          <w:sz w:val="24"/>
          <w:szCs w:val="24"/>
        </w:rPr>
        <w:t>em would be installed to manage any landfill leachate collected.</w:t>
      </w:r>
    </w:p>
    <w:p w14:paraId="22BA551F" w14:textId="77777777" w:rsidR="00FB6BE7" w:rsidRPr="00DB7156" w:rsidRDefault="00FB6BE7" w:rsidP="00DB7156">
      <w:pPr>
        <w:spacing w:after="0" w:line="240" w:lineRule="auto"/>
        <w:jc w:val="both"/>
        <w:rPr>
          <w:rFonts w:ascii="Arial" w:hAnsi="Arial" w:cs="Arial"/>
          <w:sz w:val="24"/>
          <w:szCs w:val="24"/>
        </w:rPr>
      </w:pPr>
    </w:p>
    <w:p w14:paraId="22BA5520" w14:textId="0A9D83A1" w:rsidR="00FB6BE7" w:rsidRPr="00DB7156" w:rsidRDefault="00E64A0F" w:rsidP="00DB7156">
      <w:pPr>
        <w:spacing w:after="0" w:line="240" w:lineRule="auto"/>
        <w:jc w:val="both"/>
        <w:rPr>
          <w:rFonts w:ascii="Arial" w:hAnsi="Arial" w:cs="Arial"/>
          <w:b/>
          <w:color w:val="000080"/>
          <w:sz w:val="24"/>
          <w:szCs w:val="24"/>
          <w:u w:val="single"/>
        </w:rPr>
      </w:pPr>
      <w:r w:rsidRPr="00DB7156">
        <w:rPr>
          <w:rFonts w:ascii="Arial" w:hAnsi="Arial" w:cs="Arial"/>
          <w:b/>
          <w:color w:val="000080"/>
          <w:sz w:val="24"/>
          <w:szCs w:val="24"/>
        </w:rPr>
        <w:t>XVIII</w:t>
      </w:r>
      <w:r w:rsidR="00FB6BE7" w:rsidRPr="00DB7156">
        <w:rPr>
          <w:rFonts w:ascii="Arial" w:hAnsi="Arial" w:cs="Arial"/>
          <w:b/>
          <w:color w:val="000080"/>
          <w:sz w:val="24"/>
          <w:szCs w:val="24"/>
        </w:rPr>
        <w:t>.</w:t>
      </w:r>
      <w:r w:rsidR="00FB6BE7" w:rsidRPr="00DB7156">
        <w:rPr>
          <w:rFonts w:ascii="Arial" w:hAnsi="Arial" w:cs="Arial"/>
          <w:b/>
          <w:color w:val="000080"/>
          <w:sz w:val="24"/>
          <w:szCs w:val="24"/>
        </w:rPr>
        <w:tab/>
      </w:r>
      <w:r w:rsidRPr="00DB7156">
        <w:rPr>
          <w:rFonts w:ascii="Arial" w:hAnsi="Arial" w:cs="Arial"/>
          <w:b/>
          <w:color w:val="000080"/>
          <w:sz w:val="24"/>
          <w:szCs w:val="24"/>
        </w:rPr>
        <w:t xml:space="preserve"> </w:t>
      </w:r>
      <w:r w:rsidR="00FB6BE7" w:rsidRPr="00DB7156">
        <w:rPr>
          <w:rFonts w:ascii="Arial" w:hAnsi="Arial" w:cs="Arial"/>
          <w:b/>
          <w:color w:val="000080"/>
          <w:sz w:val="24"/>
          <w:szCs w:val="24"/>
          <w:u w:val="single"/>
        </w:rPr>
        <w:t>Waste</w:t>
      </w:r>
      <w:r w:rsidR="004D1FAB">
        <w:rPr>
          <w:rFonts w:ascii="Arial" w:hAnsi="Arial" w:cs="Arial"/>
          <w:b/>
          <w:color w:val="000080"/>
          <w:sz w:val="24"/>
          <w:szCs w:val="24"/>
          <w:u w:val="single"/>
        </w:rPr>
        <w:t>w</w:t>
      </w:r>
      <w:r w:rsidR="00FB6BE7" w:rsidRPr="00DB7156">
        <w:rPr>
          <w:rFonts w:ascii="Arial" w:hAnsi="Arial" w:cs="Arial"/>
          <w:b/>
          <w:color w:val="000080"/>
          <w:sz w:val="24"/>
          <w:szCs w:val="24"/>
          <w:u w:val="single"/>
        </w:rPr>
        <w:t>ater Treatment</w:t>
      </w:r>
    </w:p>
    <w:p w14:paraId="22BA5521" w14:textId="77777777" w:rsidR="00FB6BE7" w:rsidRPr="00DB7156" w:rsidRDefault="00FB6BE7" w:rsidP="00DB7156">
      <w:pPr>
        <w:spacing w:after="0" w:line="240" w:lineRule="auto"/>
        <w:jc w:val="both"/>
        <w:rPr>
          <w:rFonts w:ascii="Arial" w:hAnsi="Arial" w:cs="Arial"/>
          <w:b/>
          <w:color w:val="CC0000"/>
          <w:sz w:val="24"/>
          <w:szCs w:val="24"/>
          <w:u w:val="single"/>
        </w:rPr>
      </w:pPr>
    </w:p>
    <w:p w14:paraId="22BA5522" w14:textId="4281DA4D" w:rsidR="00FB6BE7" w:rsidRPr="00DB7156" w:rsidRDefault="00FB6BE7" w:rsidP="00DB7156">
      <w:pPr>
        <w:spacing w:after="0" w:line="240" w:lineRule="auto"/>
        <w:jc w:val="both"/>
        <w:rPr>
          <w:rFonts w:ascii="Arial" w:hAnsi="Arial" w:cs="Arial"/>
          <w:sz w:val="24"/>
          <w:szCs w:val="24"/>
        </w:rPr>
      </w:pPr>
      <w:r w:rsidRPr="00DB7156">
        <w:rPr>
          <w:rFonts w:ascii="Arial" w:hAnsi="Arial" w:cs="Arial"/>
          <w:sz w:val="24"/>
          <w:szCs w:val="24"/>
        </w:rPr>
        <w:t>As disc</w:t>
      </w:r>
      <w:r w:rsidR="00813FC8" w:rsidRPr="00DB7156">
        <w:rPr>
          <w:rFonts w:ascii="Arial" w:hAnsi="Arial" w:cs="Arial"/>
          <w:sz w:val="24"/>
          <w:szCs w:val="24"/>
        </w:rPr>
        <w:t>ussed in section 4.2, the</w:t>
      </w:r>
      <w:r w:rsidR="00647396" w:rsidRPr="00DB7156">
        <w:rPr>
          <w:rFonts w:ascii="Arial" w:hAnsi="Arial" w:cs="Arial"/>
          <w:sz w:val="24"/>
          <w:szCs w:val="24"/>
        </w:rPr>
        <w:t xml:space="preserve"> ELG </w:t>
      </w:r>
      <w:r w:rsidR="00FE4CBE">
        <w:rPr>
          <w:rFonts w:ascii="Arial" w:hAnsi="Arial" w:cs="Arial"/>
          <w:sz w:val="24"/>
          <w:szCs w:val="24"/>
        </w:rPr>
        <w:t>R</w:t>
      </w:r>
      <w:r w:rsidR="00647396" w:rsidRPr="00DB7156">
        <w:rPr>
          <w:rFonts w:ascii="Arial" w:hAnsi="Arial" w:cs="Arial"/>
          <w:sz w:val="24"/>
          <w:szCs w:val="24"/>
        </w:rPr>
        <w:t>ule</w:t>
      </w:r>
      <w:r w:rsidRPr="00DB7156">
        <w:rPr>
          <w:rFonts w:ascii="Arial" w:hAnsi="Arial" w:cs="Arial"/>
          <w:sz w:val="24"/>
          <w:szCs w:val="24"/>
        </w:rPr>
        <w:t xml:space="preserve"> require</w:t>
      </w:r>
      <w:r w:rsidR="00647396" w:rsidRPr="00DB7156">
        <w:rPr>
          <w:rFonts w:ascii="Arial" w:hAnsi="Arial" w:cs="Arial"/>
          <w:sz w:val="24"/>
          <w:szCs w:val="24"/>
        </w:rPr>
        <w:t>s</w:t>
      </w:r>
      <w:r w:rsidRPr="00DB7156">
        <w:rPr>
          <w:rFonts w:ascii="Arial" w:hAnsi="Arial" w:cs="Arial"/>
          <w:sz w:val="24"/>
          <w:szCs w:val="24"/>
        </w:rPr>
        <w:t xml:space="preserve"> additional treatment of the wastewater discharged from </w:t>
      </w:r>
      <w:r w:rsidR="0044567E">
        <w:rPr>
          <w:rFonts w:ascii="Arial" w:hAnsi="Arial" w:cs="Arial"/>
          <w:sz w:val="24"/>
          <w:szCs w:val="24"/>
        </w:rPr>
        <w:t>FGD</w:t>
      </w:r>
      <w:r w:rsidRPr="00DB7156">
        <w:rPr>
          <w:rFonts w:ascii="Arial" w:hAnsi="Arial" w:cs="Arial"/>
          <w:sz w:val="24"/>
          <w:szCs w:val="24"/>
        </w:rPr>
        <w:t xml:space="preserve"> systems to remove from the water certain </w:t>
      </w:r>
      <w:r w:rsidR="00506D40" w:rsidRPr="00DB7156">
        <w:rPr>
          <w:rFonts w:ascii="Arial" w:hAnsi="Arial" w:cs="Arial"/>
          <w:sz w:val="24"/>
          <w:szCs w:val="24"/>
        </w:rPr>
        <w:t xml:space="preserve">trace </w:t>
      </w:r>
      <w:r w:rsidRPr="00DB7156">
        <w:rPr>
          <w:rFonts w:ascii="Arial" w:hAnsi="Arial" w:cs="Arial"/>
          <w:sz w:val="24"/>
          <w:szCs w:val="24"/>
        </w:rPr>
        <w:t xml:space="preserve">metals that the </w:t>
      </w:r>
      <w:r w:rsidR="0044567E">
        <w:rPr>
          <w:rFonts w:ascii="Arial" w:hAnsi="Arial" w:cs="Arial"/>
          <w:sz w:val="24"/>
          <w:szCs w:val="24"/>
        </w:rPr>
        <w:t>FGD</w:t>
      </w:r>
      <w:r w:rsidR="00196135">
        <w:rPr>
          <w:rFonts w:ascii="Arial" w:hAnsi="Arial" w:cs="Arial"/>
          <w:sz w:val="24"/>
          <w:szCs w:val="24"/>
        </w:rPr>
        <w:t xml:space="preserve"> removed from the flue gas. </w:t>
      </w:r>
      <w:r w:rsidRPr="00DB7156">
        <w:rPr>
          <w:rFonts w:ascii="Arial" w:hAnsi="Arial" w:cs="Arial"/>
          <w:sz w:val="24"/>
          <w:szCs w:val="24"/>
        </w:rPr>
        <w:t xml:space="preserve">Most of the metals may be treated to the anticipated limits by relatively conventional physical and chemical treatment, such as flocculation, coagulation, precipitation and filtration. However, the </w:t>
      </w:r>
      <w:r w:rsidR="00813FC8" w:rsidRPr="00DB7156">
        <w:rPr>
          <w:rFonts w:ascii="Arial" w:hAnsi="Arial" w:cs="Arial"/>
          <w:sz w:val="24"/>
          <w:szCs w:val="24"/>
        </w:rPr>
        <w:t>selenium limits in the rule</w:t>
      </w:r>
      <w:r w:rsidRPr="00DB7156">
        <w:rPr>
          <w:rFonts w:ascii="Arial" w:hAnsi="Arial" w:cs="Arial"/>
          <w:sz w:val="24"/>
          <w:szCs w:val="24"/>
        </w:rPr>
        <w:t xml:space="preserve"> </w:t>
      </w:r>
      <w:r w:rsidR="00813FC8" w:rsidRPr="00DB7156">
        <w:rPr>
          <w:rFonts w:ascii="Arial" w:hAnsi="Arial" w:cs="Arial"/>
          <w:sz w:val="24"/>
          <w:szCs w:val="24"/>
        </w:rPr>
        <w:t xml:space="preserve">are very low and </w:t>
      </w:r>
      <w:r w:rsidRPr="00DB7156">
        <w:rPr>
          <w:rFonts w:ascii="Arial" w:hAnsi="Arial" w:cs="Arial"/>
          <w:sz w:val="24"/>
          <w:szCs w:val="24"/>
        </w:rPr>
        <w:t xml:space="preserve">the </w:t>
      </w:r>
      <w:r w:rsidR="00506D40" w:rsidRPr="00DB7156">
        <w:rPr>
          <w:rFonts w:ascii="Arial" w:hAnsi="Arial" w:cs="Arial"/>
          <w:sz w:val="24"/>
          <w:szCs w:val="24"/>
        </w:rPr>
        <w:t>best performing</w:t>
      </w:r>
      <w:r w:rsidRPr="00DB7156">
        <w:rPr>
          <w:rFonts w:ascii="Arial" w:hAnsi="Arial" w:cs="Arial"/>
          <w:sz w:val="24"/>
          <w:szCs w:val="24"/>
        </w:rPr>
        <w:t xml:space="preserve"> </w:t>
      </w:r>
      <w:r w:rsidR="00813FC8" w:rsidRPr="00DB7156">
        <w:rPr>
          <w:rFonts w:ascii="Arial" w:hAnsi="Arial" w:cs="Arial"/>
          <w:sz w:val="24"/>
          <w:szCs w:val="24"/>
        </w:rPr>
        <w:t>removal method</w:t>
      </w:r>
      <w:r w:rsidRPr="00DB7156">
        <w:rPr>
          <w:rFonts w:ascii="Arial" w:hAnsi="Arial" w:cs="Arial"/>
          <w:sz w:val="24"/>
          <w:szCs w:val="24"/>
        </w:rPr>
        <w:t xml:space="preserve"> is biological treatment</w:t>
      </w:r>
      <w:r w:rsidR="00813FC8" w:rsidRPr="00DB7156">
        <w:rPr>
          <w:rFonts w:ascii="Arial" w:hAnsi="Arial" w:cs="Arial"/>
          <w:sz w:val="24"/>
          <w:szCs w:val="24"/>
        </w:rPr>
        <w:t xml:space="preserve">, which has not been </w:t>
      </w:r>
      <w:r w:rsidR="00DD11AE" w:rsidRPr="00DB7156">
        <w:rPr>
          <w:rFonts w:ascii="Arial" w:hAnsi="Arial" w:cs="Arial"/>
          <w:sz w:val="24"/>
          <w:szCs w:val="24"/>
        </w:rPr>
        <w:t>demonstrated</w:t>
      </w:r>
      <w:r w:rsidR="00813FC8" w:rsidRPr="00DB7156">
        <w:rPr>
          <w:rFonts w:ascii="Arial" w:hAnsi="Arial" w:cs="Arial"/>
          <w:sz w:val="24"/>
          <w:szCs w:val="24"/>
        </w:rPr>
        <w:t xml:space="preserve"> to consistently meet these limits</w:t>
      </w:r>
      <w:r w:rsidRPr="00DB7156">
        <w:rPr>
          <w:rFonts w:ascii="Arial" w:hAnsi="Arial" w:cs="Arial"/>
          <w:sz w:val="24"/>
          <w:szCs w:val="24"/>
        </w:rPr>
        <w:t xml:space="preserve">. Southern Company continues to research alternative treatment technologies that are more effective, economical and reliable.    </w:t>
      </w:r>
    </w:p>
    <w:p w14:paraId="22BA5523" w14:textId="77777777" w:rsidR="00FB6BE7" w:rsidRPr="00DB7156" w:rsidRDefault="00FB6BE7" w:rsidP="00DB7156">
      <w:pPr>
        <w:spacing w:after="0" w:line="240" w:lineRule="auto"/>
        <w:jc w:val="both"/>
        <w:rPr>
          <w:rFonts w:ascii="Arial" w:hAnsi="Arial" w:cs="Arial"/>
          <w:sz w:val="24"/>
          <w:szCs w:val="24"/>
        </w:rPr>
      </w:pPr>
    </w:p>
    <w:p w14:paraId="22BA5524" w14:textId="03264B10" w:rsidR="00FB6BE7" w:rsidRPr="00DB7156" w:rsidRDefault="00E30677" w:rsidP="00DB7156">
      <w:pPr>
        <w:spacing w:after="0" w:line="240" w:lineRule="auto"/>
        <w:jc w:val="both"/>
        <w:rPr>
          <w:rFonts w:ascii="Arial" w:hAnsi="Arial" w:cs="Arial"/>
          <w:sz w:val="24"/>
          <w:szCs w:val="24"/>
        </w:rPr>
      </w:pPr>
      <w:r>
        <w:rPr>
          <w:rFonts w:ascii="Arial" w:hAnsi="Arial" w:cs="Arial"/>
          <w:sz w:val="24"/>
          <w:szCs w:val="24"/>
        </w:rPr>
        <w:t>LVW</w:t>
      </w:r>
      <w:r w:rsidR="00FB6BE7" w:rsidRPr="00DB7156">
        <w:rPr>
          <w:rFonts w:ascii="Arial" w:hAnsi="Arial" w:cs="Arial"/>
          <w:sz w:val="24"/>
          <w:szCs w:val="24"/>
        </w:rPr>
        <w:t xml:space="preserve"> is another category of waste stream that require</w:t>
      </w:r>
      <w:r w:rsidR="0012314D" w:rsidRPr="00DB7156">
        <w:rPr>
          <w:rFonts w:ascii="Arial" w:hAnsi="Arial" w:cs="Arial"/>
          <w:sz w:val="24"/>
          <w:szCs w:val="24"/>
        </w:rPr>
        <w:t>s</w:t>
      </w:r>
      <w:r w:rsidR="00FB6BE7" w:rsidRPr="00DB7156">
        <w:rPr>
          <w:rFonts w:ascii="Arial" w:hAnsi="Arial" w:cs="Arial"/>
          <w:sz w:val="24"/>
          <w:szCs w:val="24"/>
        </w:rPr>
        <w:t xml:space="preserve"> new </w:t>
      </w:r>
      <w:r w:rsidR="00506D40" w:rsidRPr="00DB7156">
        <w:rPr>
          <w:rFonts w:ascii="Arial" w:hAnsi="Arial" w:cs="Arial"/>
          <w:sz w:val="24"/>
          <w:szCs w:val="24"/>
        </w:rPr>
        <w:t>treatment systems</w:t>
      </w:r>
      <w:r w:rsidR="00024EEA" w:rsidRPr="00DB7156">
        <w:rPr>
          <w:rFonts w:ascii="Arial" w:hAnsi="Arial" w:cs="Arial"/>
          <w:sz w:val="24"/>
          <w:szCs w:val="24"/>
        </w:rPr>
        <w:t xml:space="preserve"> </w:t>
      </w:r>
      <w:r w:rsidR="00FB6BE7" w:rsidRPr="00DB7156">
        <w:rPr>
          <w:rFonts w:ascii="Arial" w:hAnsi="Arial" w:cs="Arial"/>
          <w:sz w:val="24"/>
          <w:szCs w:val="24"/>
        </w:rPr>
        <w:t xml:space="preserve">in the future </w:t>
      </w:r>
      <w:r w:rsidR="00851984" w:rsidRPr="00DB7156">
        <w:rPr>
          <w:rFonts w:ascii="Arial" w:hAnsi="Arial" w:cs="Arial"/>
          <w:sz w:val="24"/>
          <w:szCs w:val="24"/>
        </w:rPr>
        <w:t>due to the</w:t>
      </w:r>
      <w:r w:rsidR="00FB6BE7" w:rsidRPr="00DB7156">
        <w:rPr>
          <w:rFonts w:ascii="Arial" w:hAnsi="Arial" w:cs="Arial"/>
          <w:sz w:val="24"/>
          <w:szCs w:val="24"/>
        </w:rPr>
        <w:t xml:space="preserve"> closure of ash ponds. LVW is currently collected from many sources throughout the plant and </w:t>
      </w:r>
      <w:r w:rsidR="00506D40" w:rsidRPr="00DB7156">
        <w:rPr>
          <w:rFonts w:ascii="Arial" w:hAnsi="Arial" w:cs="Arial"/>
          <w:sz w:val="24"/>
          <w:szCs w:val="24"/>
        </w:rPr>
        <w:t xml:space="preserve">conveyed </w:t>
      </w:r>
      <w:r w:rsidR="00FB6BE7" w:rsidRPr="00DB7156">
        <w:rPr>
          <w:rFonts w:ascii="Arial" w:hAnsi="Arial" w:cs="Arial"/>
          <w:sz w:val="24"/>
          <w:szCs w:val="24"/>
        </w:rPr>
        <w:t xml:space="preserve">to the ash pond for co-treatment with ash transport water. The new site-specific treatment facilities could include </w:t>
      </w:r>
      <w:r w:rsidR="00506D40" w:rsidRPr="00DB7156">
        <w:rPr>
          <w:rFonts w:ascii="Arial" w:hAnsi="Arial" w:cs="Arial"/>
          <w:sz w:val="24"/>
          <w:szCs w:val="24"/>
        </w:rPr>
        <w:t xml:space="preserve">physical-chemical treatment systems, utilizing </w:t>
      </w:r>
      <w:r w:rsidR="00FB6BE7" w:rsidRPr="00DB7156">
        <w:rPr>
          <w:rFonts w:ascii="Arial" w:hAnsi="Arial" w:cs="Arial"/>
          <w:sz w:val="24"/>
          <w:szCs w:val="24"/>
        </w:rPr>
        <w:t xml:space="preserve">lined settling basins, </w:t>
      </w:r>
      <w:r w:rsidR="00506D40" w:rsidRPr="00DB7156">
        <w:rPr>
          <w:rFonts w:ascii="Arial" w:hAnsi="Arial" w:cs="Arial"/>
          <w:sz w:val="24"/>
          <w:szCs w:val="24"/>
        </w:rPr>
        <w:t xml:space="preserve">tanks, </w:t>
      </w:r>
      <w:r w:rsidR="00FB6BE7" w:rsidRPr="00DB7156">
        <w:rPr>
          <w:rFonts w:ascii="Arial" w:hAnsi="Arial" w:cs="Arial"/>
          <w:sz w:val="24"/>
          <w:szCs w:val="24"/>
        </w:rPr>
        <w:t>clarifi</w:t>
      </w:r>
      <w:r w:rsidR="00506D40" w:rsidRPr="00DB7156">
        <w:rPr>
          <w:rFonts w:ascii="Arial" w:hAnsi="Arial" w:cs="Arial"/>
          <w:sz w:val="24"/>
          <w:szCs w:val="24"/>
        </w:rPr>
        <w:t>ers</w:t>
      </w:r>
      <w:r w:rsidR="00FB6BE7" w:rsidRPr="00DB7156">
        <w:rPr>
          <w:rFonts w:ascii="Arial" w:hAnsi="Arial" w:cs="Arial"/>
          <w:sz w:val="24"/>
          <w:szCs w:val="24"/>
        </w:rPr>
        <w:t xml:space="preserve">, pH adjustment, and associated pumps, piping and equipment.  </w:t>
      </w:r>
    </w:p>
    <w:p w14:paraId="22BA5525" w14:textId="77777777" w:rsidR="00FB6BE7" w:rsidRPr="00DB7156" w:rsidRDefault="00FB6BE7" w:rsidP="00DB7156">
      <w:pPr>
        <w:jc w:val="both"/>
        <w:rPr>
          <w:rFonts w:ascii="Arial" w:hAnsi="Arial" w:cs="Arial"/>
        </w:rPr>
      </w:pPr>
    </w:p>
    <w:p w14:paraId="22BA5526" w14:textId="77777777" w:rsidR="00752263" w:rsidRPr="00DB7156" w:rsidRDefault="00752263" w:rsidP="00DB7156">
      <w:pPr>
        <w:spacing w:after="0" w:line="240" w:lineRule="auto"/>
        <w:jc w:val="both"/>
        <w:outlineLvl w:val="0"/>
        <w:rPr>
          <w:rFonts w:ascii="Arial" w:hAnsi="Arial" w:cs="Arial"/>
          <w:b/>
          <w:color w:val="000080"/>
          <w:sz w:val="24"/>
          <w:szCs w:val="24"/>
        </w:rPr>
      </w:pPr>
      <w:r w:rsidRPr="00DB7156">
        <w:rPr>
          <w:rFonts w:ascii="Arial" w:hAnsi="Arial" w:cs="Arial"/>
          <w:b/>
          <w:color w:val="000080"/>
          <w:sz w:val="24"/>
          <w:szCs w:val="24"/>
        </w:rPr>
        <w:br w:type="page"/>
      </w:r>
      <w:bookmarkStart w:id="250" w:name="_Toc496107769"/>
      <w:bookmarkStart w:id="251" w:name="_Toc527987362"/>
      <w:bookmarkStart w:id="252" w:name="_Toc527983909"/>
      <w:bookmarkStart w:id="253" w:name="_Toc530487296"/>
      <w:bookmarkStart w:id="254" w:name="_Toc535908165"/>
      <w:r w:rsidR="00B67C6E" w:rsidRPr="00DB7156">
        <w:rPr>
          <w:rFonts w:ascii="Arial" w:hAnsi="Arial" w:cs="Arial"/>
          <w:b/>
          <w:color w:val="000080"/>
          <w:sz w:val="24"/>
          <w:szCs w:val="24"/>
        </w:rPr>
        <w:t>ECS-</w:t>
      </w:r>
      <w:r w:rsidRPr="00DB7156">
        <w:rPr>
          <w:rFonts w:ascii="Arial" w:hAnsi="Arial" w:cs="Arial"/>
          <w:b/>
          <w:color w:val="000080"/>
          <w:sz w:val="24"/>
          <w:szCs w:val="24"/>
        </w:rPr>
        <w:t xml:space="preserve">APPENDIX </w:t>
      </w:r>
      <w:r w:rsidR="00B67C6E" w:rsidRPr="00DB7156">
        <w:rPr>
          <w:rFonts w:ascii="Arial" w:hAnsi="Arial" w:cs="Arial"/>
          <w:b/>
          <w:color w:val="000080"/>
          <w:sz w:val="24"/>
          <w:szCs w:val="24"/>
        </w:rPr>
        <w:t>C</w:t>
      </w:r>
      <w:bookmarkEnd w:id="250"/>
      <w:bookmarkEnd w:id="251"/>
      <w:bookmarkEnd w:id="252"/>
      <w:bookmarkEnd w:id="253"/>
      <w:bookmarkEnd w:id="254"/>
    </w:p>
    <w:p w14:paraId="22BA5527" w14:textId="77777777" w:rsidR="00752263" w:rsidRPr="00DB7156" w:rsidRDefault="00752263" w:rsidP="00DB7156">
      <w:pPr>
        <w:spacing w:after="0" w:line="240" w:lineRule="auto"/>
        <w:jc w:val="both"/>
        <w:rPr>
          <w:rFonts w:ascii="Arial" w:hAnsi="Arial" w:cs="Arial"/>
          <w:b/>
          <w:color w:val="000080"/>
          <w:sz w:val="24"/>
          <w:szCs w:val="24"/>
        </w:rPr>
      </w:pPr>
    </w:p>
    <w:p w14:paraId="22BA5528" w14:textId="77777777" w:rsidR="00752263" w:rsidRPr="00DB7156" w:rsidRDefault="00752263" w:rsidP="00DB7156">
      <w:pPr>
        <w:spacing w:after="0" w:line="240" w:lineRule="auto"/>
        <w:jc w:val="both"/>
        <w:rPr>
          <w:rFonts w:ascii="Arial" w:hAnsi="Arial" w:cs="Arial"/>
          <w:b/>
          <w:color w:val="000080"/>
          <w:sz w:val="24"/>
          <w:szCs w:val="24"/>
          <w:u w:val="single"/>
        </w:rPr>
      </w:pPr>
      <w:r w:rsidRPr="00DB7156">
        <w:rPr>
          <w:rFonts w:ascii="Arial" w:hAnsi="Arial" w:cs="Arial"/>
          <w:b/>
          <w:color w:val="000080"/>
          <w:sz w:val="24"/>
          <w:szCs w:val="24"/>
          <w:u w:val="single"/>
        </w:rPr>
        <w:t xml:space="preserve">HIGH-LEVEL AND LOW-LEVEL RADIOACTIVE WASTE STORAGE </w:t>
      </w:r>
    </w:p>
    <w:p w14:paraId="22BA5529" w14:textId="77777777" w:rsidR="00752263" w:rsidRPr="00DB7156" w:rsidRDefault="00752263" w:rsidP="00DB7156">
      <w:pPr>
        <w:spacing w:after="0" w:line="240" w:lineRule="auto"/>
        <w:jc w:val="both"/>
        <w:rPr>
          <w:rFonts w:ascii="Arial" w:hAnsi="Arial" w:cs="Arial"/>
          <w:b/>
          <w:color w:val="000080"/>
          <w:sz w:val="24"/>
          <w:szCs w:val="24"/>
          <w:u w:val="single"/>
        </w:rPr>
      </w:pPr>
      <w:r w:rsidRPr="00DB7156">
        <w:rPr>
          <w:rFonts w:ascii="Arial" w:hAnsi="Arial" w:cs="Arial"/>
          <w:b/>
          <w:color w:val="000080"/>
          <w:sz w:val="24"/>
          <w:szCs w:val="24"/>
          <w:u w:val="single"/>
        </w:rPr>
        <w:t xml:space="preserve">PLANTS HATCH AND VOGTLE </w:t>
      </w:r>
    </w:p>
    <w:p w14:paraId="22BA552A" w14:textId="77777777" w:rsidR="00752263" w:rsidRPr="00DB7156" w:rsidRDefault="00752263" w:rsidP="00DB7156">
      <w:pPr>
        <w:spacing w:after="0" w:line="240" w:lineRule="auto"/>
        <w:jc w:val="both"/>
        <w:rPr>
          <w:rFonts w:ascii="Arial" w:hAnsi="Arial" w:cs="Arial"/>
          <w:sz w:val="24"/>
          <w:szCs w:val="24"/>
        </w:rPr>
      </w:pPr>
    </w:p>
    <w:p w14:paraId="22BA552B" w14:textId="7DE6C10F" w:rsidR="00752263" w:rsidRPr="00DB7156" w:rsidRDefault="00E30677" w:rsidP="00DB7156">
      <w:pPr>
        <w:spacing w:after="0" w:line="240" w:lineRule="auto"/>
        <w:jc w:val="both"/>
        <w:rPr>
          <w:rFonts w:ascii="Arial" w:hAnsi="Arial" w:cs="Arial"/>
          <w:sz w:val="32"/>
          <w:szCs w:val="32"/>
        </w:rPr>
      </w:pPr>
      <w:r>
        <w:rPr>
          <w:rFonts w:ascii="Arial" w:hAnsi="Arial" w:cs="Arial"/>
          <w:sz w:val="24"/>
          <w:szCs w:val="24"/>
        </w:rPr>
        <w:t>Georgia Power’s affiliate</w:t>
      </w:r>
      <w:r w:rsidR="00752263" w:rsidRPr="00DB7156">
        <w:rPr>
          <w:rFonts w:ascii="Arial" w:hAnsi="Arial" w:cs="Arial"/>
          <w:sz w:val="24"/>
          <w:szCs w:val="24"/>
        </w:rPr>
        <w:t>, Southern Nuclear Operating Company (</w:t>
      </w:r>
      <w:r>
        <w:rPr>
          <w:rFonts w:ascii="Arial" w:hAnsi="Arial" w:cs="Arial"/>
          <w:sz w:val="24"/>
          <w:szCs w:val="24"/>
        </w:rPr>
        <w:t>“</w:t>
      </w:r>
      <w:r w:rsidR="00752263" w:rsidRPr="00DB7156">
        <w:rPr>
          <w:rFonts w:ascii="Arial" w:hAnsi="Arial" w:cs="Arial"/>
          <w:sz w:val="24"/>
          <w:szCs w:val="24"/>
        </w:rPr>
        <w:t>Southern Nuclear</w:t>
      </w:r>
      <w:r>
        <w:rPr>
          <w:rFonts w:ascii="Arial" w:hAnsi="Arial" w:cs="Arial"/>
          <w:sz w:val="24"/>
          <w:szCs w:val="24"/>
        </w:rPr>
        <w:t>”</w:t>
      </w:r>
      <w:r w:rsidR="00752263" w:rsidRPr="00DB7156">
        <w:rPr>
          <w:rFonts w:ascii="Arial" w:hAnsi="Arial" w:cs="Arial"/>
          <w:sz w:val="24"/>
          <w:szCs w:val="24"/>
        </w:rPr>
        <w:t>) safely operates and maintains Plants Hatch and Vogtle in accordance with industry standards and regulatory requirements. Southern Nuclear is dedicated to maintaining the highest standards for safely handling radioactive waste to protect the public, the environment, and its workers.</w:t>
      </w:r>
    </w:p>
    <w:p w14:paraId="22BA552C" w14:textId="77777777" w:rsidR="00752263" w:rsidRPr="00DB7156" w:rsidRDefault="00752263" w:rsidP="00DB7156">
      <w:pPr>
        <w:spacing w:after="0" w:line="240" w:lineRule="auto"/>
        <w:jc w:val="both"/>
        <w:rPr>
          <w:rFonts w:ascii="Arial" w:hAnsi="Arial" w:cs="Arial"/>
          <w:sz w:val="32"/>
          <w:szCs w:val="32"/>
        </w:rPr>
      </w:pPr>
    </w:p>
    <w:p w14:paraId="22BA552D" w14:textId="154F799A" w:rsidR="00752263" w:rsidRPr="00DB7156" w:rsidRDefault="00752263" w:rsidP="00DB7156">
      <w:pPr>
        <w:spacing w:after="0" w:line="240" w:lineRule="auto"/>
        <w:jc w:val="both"/>
        <w:rPr>
          <w:rFonts w:ascii="Arial" w:hAnsi="Arial" w:cs="Arial"/>
          <w:b/>
          <w:sz w:val="24"/>
          <w:szCs w:val="24"/>
          <w:u w:val="single"/>
        </w:rPr>
      </w:pPr>
      <w:r w:rsidRPr="00DB7156">
        <w:rPr>
          <w:rFonts w:ascii="Arial" w:hAnsi="Arial" w:cs="Arial"/>
          <w:b/>
          <w:sz w:val="24"/>
          <w:szCs w:val="24"/>
          <w:u w:val="single"/>
        </w:rPr>
        <w:t>High-Level Radioactive Waste (</w:t>
      </w:r>
      <w:r w:rsidR="00E30677">
        <w:rPr>
          <w:rFonts w:ascii="Arial" w:hAnsi="Arial" w:cs="Arial"/>
          <w:b/>
          <w:sz w:val="24"/>
          <w:szCs w:val="24"/>
          <w:u w:val="single"/>
        </w:rPr>
        <w:t>“</w:t>
      </w:r>
      <w:r w:rsidRPr="00DB7156">
        <w:rPr>
          <w:rFonts w:ascii="Arial" w:hAnsi="Arial" w:cs="Arial"/>
          <w:b/>
          <w:sz w:val="24"/>
          <w:szCs w:val="24"/>
          <w:u w:val="single"/>
        </w:rPr>
        <w:t>HLRW</w:t>
      </w:r>
      <w:r w:rsidR="00E30677">
        <w:rPr>
          <w:rFonts w:ascii="Arial" w:hAnsi="Arial" w:cs="Arial"/>
          <w:b/>
          <w:sz w:val="24"/>
          <w:szCs w:val="24"/>
          <w:u w:val="single"/>
        </w:rPr>
        <w:t>”</w:t>
      </w:r>
      <w:r w:rsidRPr="00DB7156">
        <w:rPr>
          <w:rFonts w:ascii="Arial" w:hAnsi="Arial" w:cs="Arial"/>
          <w:b/>
          <w:sz w:val="24"/>
          <w:szCs w:val="24"/>
          <w:u w:val="single"/>
        </w:rPr>
        <w:t xml:space="preserve"> - spent fuel) </w:t>
      </w:r>
    </w:p>
    <w:p w14:paraId="22BA552E" w14:textId="77777777" w:rsidR="00752263" w:rsidRPr="00DB7156" w:rsidRDefault="00752263" w:rsidP="00DB7156">
      <w:pPr>
        <w:spacing w:after="0" w:line="240" w:lineRule="auto"/>
        <w:jc w:val="both"/>
        <w:rPr>
          <w:rFonts w:ascii="Arial" w:hAnsi="Arial" w:cs="Arial"/>
          <w:sz w:val="24"/>
          <w:szCs w:val="24"/>
          <w:u w:val="single"/>
        </w:rPr>
      </w:pPr>
      <w:r w:rsidRPr="00DB7156">
        <w:rPr>
          <w:rFonts w:ascii="Arial" w:hAnsi="Arial" w:cs="Arial"/>
          <w:sz w:val="24"/>
          <w:szCs w:val="24"/>
          <w:u w:val="single"/>
        </w:rPr>
        <w:t>Dry Cask Storage:</w:t>
      </w:r>
    </w:p>
    <w:p w14:paraId="22BA552F" w14:textId="27C0B50E" w:rsidR="00752263" w:rsidRPr="00DB7156" w:rsidRDefault="00752263" w:rsidP="00DB7156">
      <w:pPr>
        <w:spacing w:after="0" w:line="240" w:lineRule="auto"/>
        <w:jc w:val="both"/>
        <w:rPr>
          <w:rFonts w:ascii="Arial" w:hAnsi="Arial" w:cs="Arial"/>
          <w:sz w:val="24"/>
          <w:szCs w:val="24"/>
        </w:rPr>
      </w:pPr>
      <w:r w:rsidRPr="00DB7156">
        <w:rPr>
          <w:rFonts w:ascii="Arial" w:hAnsi="Arial" w:cs="Arial"/>
          <w:color w:val="000000"/>
          <w:sz w:val="24"/>
          <w:szCs w:val="24"/>
        </w:rPr>
        <w:t xml:space="preserve">Plant Hatch </w:t>
      </w:r>
      <w:r w:rsidR="000F0925" w:rsidRPr="00DB7156">
        <w:rPr>
          <w:rFonts w:ascii="Arial" w:hAnsi="Arial" w:cs="Arial"/>
          <w:color w:val="000000"/>
          <w:sz w:val="24"/>
          <w:szCs w:val="24"/>
        </w:rPr>
        <w:t>and Plant Vogtle</w:t>
      </w:r>
      <w:r w:rsidR="00E30677">
        <w:rPr>
          <w:rFonts w:ascii="Arial" w:hAnsi="Arial" w:cs="Arial"/>
          <w:sz w:val="24"/>
          <w:szCs w:val="24"/>
        </w:rPr>
        <w:t>– currently store</w:t>
      </w:r>
      <w:r w:rsidRPr="00DB7156">
        <w:rPr>
          <w:rFonts w:ascii="Arial" w:hAnsi="Arial" w:cs="Arial"/>
          <w:sz w:val="24"/>
          <w:szCs w:val="24"/>
        </w:rPr>
        <w:t xml:space="preserve"> spent fuel in underwater spent fuel pools and some above ground in dry casks on concrete pads until such time that the federal government licenses and builds a permanent disposal facility which can accept this waste.</w:t>
      </w:r>
    </w:p>
    <w:p w14:paraId="22BA5530" w14:textId="77777777" w:rsidR="00752263" w:rsidRPr="00DB7156" w:rsidRDefault="00752263" w:rsidP="00DB7156">
      <w:pPr>
        <w:spacing w:after="0" w:line="240" w:lineRule="auto"/>
        <w:jc w:val="both"/>
        <w:rPr>
          <w:rFonts w:ascii="Arial" w:hAnsi="Arial" w:cs="Arial"/>
          <w:sz w:val="24"/>
          <w:szCs w:val="24"/>
        </w:rPr>
      </w:pPr>
    </w:p>
    <w:p w14:paraId="22BA5532" w14:textId="7DD59E3D" w:rsidR="00752263" w:rsidRPr="00DB7156" w:rsidRDefault="000F0925" w:rsidP="00DB7156">
      <w:pPr>
        <w:spacing w:after="0" w:line="240" w:lineRule="auto"/>
        <w:jc w:val="both"/>
        <w:rPr>
          <w:rFonts w:ascii="Arial" w:hAnsi="Arial" w:cs="Arial"/>
          <w:sz w:val="24"/>
          <w:szCs w:val="24"/>
        </w:rPr>
      </w:pPr>
      <w:r w:rsidRPr="00DB7156">
        <w:rPr>
          <w:rFonts w:ascii="Arial" w:hAnsi="Arial" w:cs="Arial"/>
          <w:sz w:val="24"/>
          <w:szCs w:val="24"/>
        </w:rPr>
        <w:t>These above ground dry casks (also known as Independent Sp</w:t>
      </w:r>
      <w:r w:rsidR="00E30677">
        <w:rPr>
          <w:rFonts w:ascii="Arial" w:hAnsi="Arial" w:cs="Arial"/>
          <w:sz w:val="24"/>
          <w:szCs w:val="24"/>
        </w:rPr>
        <w:t xml:space="preserve">ent Fuel Storage Installations </w:t>
      </w:r>
      <w:r w:rsidRPr="00DB7156">
        <w:rPr>
          <w:rFonts w:ascii="Arial" w:hAnsi="Arial" w:cs="Arial"/>
          <w:sz w:val="24"/>
          <w:szCs w:val="24"/>
        </w:rPr>
        <w:t xml:space="preserve">or ISFSI) are engineered to assist in cooling the spent fuel bundles while providing adequate shielding for the protection of plant employees as well as the surrounding community and environment. </w:t>
      </w:r>
    </w:p>
    <w:p w14:paraId="696175E8" w14:textId="77777777" w:rsidR="00397E89" w:rsidRPr="00DB7156" w:rsidRDefault="00397E89" w:rsidP="00DB7156">
      <w:pPr>
        <w:spacing w:after="0" w:line="240" w:lineRule="auto"/>
        <w:jc w:val="both"/>
        <w:rPr>
          <w:rFonts w:ascii="Arial" w:hAnsi="Arial" w:cs="Arial"/>
          <w:sz w:val="24"/>
          <w:szCs w:val="24"/>
        </w:rPr>
      </w:pPr>
    </w:p>
    <w:p w14:paraId="22BA5533" w14:textId="11FED649"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Southern Nuclear, as well as the nuclear industry, has a strong commitment to the Yucca Mountain repository as a scientifically safe and appropriate long-term solution for used nuclear fuel. The issues surrounding Yucca Mountain are political, not scientific. At the same time, the nuclear industry has adopted a used fuel management strategy that supports the research, development, and demonstration of projects to close the nuclear fuel cycle (i.e., reprocessing). It is important to note that even with reprocessing, the Yucca Mountain repository is necessary to dispose of the byproducts of nuclear fuel.</w:t>
      </w:r>
    </w:p>
    <w:p w14:paraId="22BA5534" w14:textId="77777777" w:rsidR="00752263" w:rsidRPr="00DB7156" w:rsidRDefault="00752263" w:rsidP="00DB7156">
      <w:pPr>
        <w:spacing w:after="0" w:line="240" w:lineRule="auto"/>
        <w:jc w:val="both"/>
        <w:rPr>
          <w:rFonts w:ascii="Arial" w:hAnsi="Arial" w:cs="Arial"/>
          <w:sz w:val="24"/>
          <w:szCs w:val="24"/>
        </w:rPr>
      </w:pPr>
    </w:p>
    <w:p w14:paraId="22BA5535" w14:textId="6232C376" w:rsidR="00752263" w:rsidRPr="00DB7156" w:rsidRDefault="00752263" w:rsidP="00DB7156">
      <w:pPr>
        <w:spacing w:after="0" w:line="240" w:lineRule="auto"/>
        <w:jc w:val="both"/>
        <w:rPr>
          <w:rFonts w:ascii="Arial" w:hAnsi="Arial" w:cs="Arial"/>
          <w:b/>
          <w:sz w:val="24"/>
          <w:szCs w:val="24"/>
          <w:u w:val="single"/>
        </w:rPr>
      </w:pPr>
      <w:r w:rsidRPr="00DB7156">
        <w:rPr>
          <w:rFonts w:ascii="Arial" w:hAnsi="Arial" w:cs="Arial"/>
          <w:b/>
          <w:sz w:val="24"/>
          <w:szCs w:val="24"/>
          <w:u w:val="single"/>
        </w:rPr>
        <w:t>Low-Level Radioactive Waste (</w:t>
      </w:r>
      <w:r w:rsidR="00E30677">
        <w:rPr>
          <w:rFonts w:ascii="Arial" w:hAnsi="Arial" w:cs="Arial"/>
          <w:b/>
          <w:sz w:val="24"/>
          <w:szCs w:val="24"/>
          <w:u w:val="single"/>
        </w:rPr>
        <w:t>“</w:t>
      </w:r>
      <w:r w:rsidRPr="00DB7156">
        <w:rPr>
          <w:rFonts w:ascii="Arial" w:hAnsi="Arial" w:cs="Arial"/>
          <w:b/>
          <w:sz w:val="24"/>
          <w:szCs w:val="24"/>
          <w:u w:val="single"/>
        </w:rPr>
        <w:t>LLRW</w:t>
      </w:r>
      <w:r w:rsidR="00E30677">
        <w:rPr>
          <w:rFonts w:ascii="Arial" w:hAnsi="Arial" w:cs="Arial"/>
          <w:b/>
          <w:sz w:val="24"/>
          <w:szCs w:val="24"/>
          <w:u w:val="single"/>
        </w:rPr>
        <w:t>”</w:t>
      </w:r>
      <w:r w:rsidRPr="00DB7156">
        <w:rPr>
          <w:rFonts w:ascii="Arial" w:hAnsi="Arial" w:cs="Arial"/>
          <w:b/>
          <w:sz w:val="24"/>
          <w:szCs w:val="24"/>
          <w:u w:val="single"/>
        </w:rPr>
        <w:t xml:space="preserve"> - trash, tools, scrap, filtering media, irradiated hardware, etc.)</w:t>
      </w:r>
    </w:p>
    <w:p w14:paraId="22BA5536" w14:textId="77777777"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Similar to the nuclear power industry, over 95 percent of the LLRW generated by Plant Hatch and Plant Vogtle continues to be buried at the Energy Solutions burial site in Clive, UT.</w:t>
      </w:r>
    </w:p>
    <w:p w14:paraId="22BA5537" w14:textId="77777777" w:rsidR="00752263" w:rsidRPr="00DB7156" w:rsidRDefault="00752263" w:rsidP="00DB7156">
      <w:pPr>
        <w:spacing w:after="0" w:line="240" w:lineRule="auto"/>
        <w:jc w:val="both"/>
        <w:rPr>
          <w:rFonts w:ascii="Arial" w:hAnsi="Arial" w:cs="Arial"/>
          <w:sz w:val="24"/>
          <w:szCs w:val="24"/>
        </w:rPr>
      </w:pPr>
    </w:p>
    <w:p w14:paraId="22BA5538" w14:textId="786F5E2C" w:rsidR="00752263" w:rsidRPr="00DB7156" w:rsidRDefault="00752263" w:rsidP="00DB7156">
      <w:pPr>
        <w:spacing w:after="0" w:line="240" w:lineRule="auto"/>
        <w:jc w:val="both"/>
        <w:rPr>
          <w:rFonts w:ascii="Arial" w:hAnsi="Arial" w:cs="Arial"/>
          <w:sz w:val="24"/>
          <w:szCs w:val="24"/>
        </w:rPr>
      </w:pPr>
      <w:r w:rsidRPr="00DB7156">
        <w:rPr>
          <w:rFonts w:ascii="Arial" w:hAnsi="Arial" w:cs="Arial"/>
          <w:sz w:val="24"/>
          <w:szCs w:val="24"/>
        </w:rPr>
        <w:t xml:space="preserve">The remaining LLRW cannot be buried at Clive, UT. In the </w:t>
      </w:r>
      <w:r w:rsidR="00393A10" w:rsidRPr="00DB7156">
        <w:rPr>
          <w:rFonts w:ascii="Arial" w:hAnsi="Arial" w:cs="Arial"/>
          <w:sz w:val="24"/>
          <w:szCs w:val="24"/>
        </w:rPr>
        <w:t>past,</w:t>
      </w:r>
      <w:r w:rsidRPr="00DB7156">
        <w:rPr>
          <w:rFonts w:ascii="Arial" w:hAnsi="Arial" w:cs="Arial"/>
          <w:sz w:val="24"/>
          <w:szCs w:val="24"/>
        </w:rPr>
        <w:t xml:space="preserve"> it was buried at the Barnwell, SC burial facility, but that site is no longer accessible to most states including Georgia.  </w:t>
      </w:r>
    </w:p>
    <w:p w14:paraId="22BA5539" w14:textId="77777777" w:rsidR="00752263" w:rsidRPr="00DB7156" w:rsidRDefault="00752263" w:rsidP="00DB7156">
      <w:pPr>
        <w:spacing w:after="0" w:line="240" w:lineRule="auto"/>
        <w:jc w:val="both"/>
        <w:rPr>
          <w:rFonts w:ascii="Arial" w:hAnsi="Arial" w:cs="Arial"/>
          <w:sz w:val="24"/>
          <w:szCs w:val="24"/>
        </w:rPr>
      </w:pPr>
    </w:p>
    <w:p w14:paraId="48CD7FAD" w14:textId="18BEEB0F" w:rsidR="00AE3F96" w:rsidRPr="00DB7156" w:rsidRDefault="00E30677" w:rsidP="00DB7156">
      <w:pPr>
        <w:spacing w:after="0" w:line="240" w:lineRule="auto"/>
        <w:jc w:val="both"/>
        <w:rPr>
          <w:rFonts w:ascii="Arial" w:hAnsi="Arial" w:cs="Arial"/>
          <w:sz w:val="24"/>
          <w:szCs w:val="24"/>
        </w:rPr>
      </w:pPr>
      <w:r>
        <w:rPr>
          <w:rFonts w:ascii="Arial" w:hAnsi="Arial" w:cs="Arial"/>
          <w:sz w:val="24"/>
          <w:szCs w:val="24"/>
        </w:rPr>
        <w:t xml:space="preserve">Plant </w:t>
      </w:r>
      <w:r w:rsidR="00752263" w:rsidRPr="00DB7156">
        <w:rPr>
          <w:rFonts w:ascii="Arial" w:hAnsi="Arial" w:cs="Arial"/>
          <w:sz w:val="24"/>
          <w:szCs w:val="24"/>
        </w:rPr>
        <w:t xml:space="preserve">Hatch and </w:t>
      </w:r>
      <w:r>
        <w:rPr>
          <w:rFonts w:ascii="Arial" w:hAnsi="Arial" w:cs="Arial"/>
          <w:sz w:val="24"/>
          <w:szCs w:val="24"/>
        </w:rPr>
        <w:t xml:space="preserve">Plant </w:t>
      </w:r>
      <w:r w:rsidR="00752263" w:rsidRPr="00DB7156">
        <w:rPr>
          <w:rFonts w:ascii="Arial" w:hAnsi="Arial" w:cs="Arial"/>
          <w:sz w:val="24"/>
          <w:szCs w:val="24"/>
        </w:rPr>
        <w:t xml:space="preserve">Vogtle will store this remaining LLRW on the site where it was generated inside concrete shields on a concrete pad. </w:t>
      </w:r>
      <w:r w:rsidR="00AE3F96" w:rsidRPr="00DB7156">
        <w:rPr>
          <w:rFonts w:ascii="Arial" w:hAnsi="Arial" w:cs="Arial"/>
          <w:sz w:val="24"/>
          <w:szCs w:val="24"/>
        </w:rPr>
        <w:t xml:space="preserve">Contract companies that can properly process, reduce, and/or dispose of Class B and C waste are being evaluated. There is a burial site in Andrews, TX that will accept “B &amp; C” LLRW.  </w:t>
      </w:r>
    </w:p>
    <w:p w14:paraId="4AD776EF" w14:textId="77777777" w:rsidR="003320A8" w:rsidRPr="00DB7156" w:rsidRDefault="003320A8" w:rsidP="00DB7156">
      <w:pPr>
        <w:spacing w:after="0" w:line="240" w:lineRule="auto"/>
        <w:jc w:val="both"/>
        <w:rPr>
          <w:rFonts w:ascii="Arial" w:hAnsi="Arial" w:cs="Arial"/>
          <w:sz w:val="24"/>
          <w:szCs w:val="24"/>
        </w:rPr>
      </w:pPr>
    </w:p>
    <w:p w14:paraId="22BA553A" w14:textId="3BF03F75" w:rsidR="002535BC" w:rsidRPr="00DB7156" w:rsidRDefault="00752263" w:rsidP="00DB7156">
      <w:pPr>
        <w:spacing w:after="0" w:line="240" w:lineRule="auto"/>
        <w:jc w:val="both"/>
        <w:rPr>
          <w:rFonts w:ascii="Arial" w:hAnsi="Arial" w:cs="Arial"/>
          <w:b/>
          <w:sz w:val="24"/>
          <w:szCs w:val="24"/>
        </w:rPr>
      </w:pPr>
      <w:r w:rsidRPr="00DB7156">
        <w:rPr>
          <w:rFonts w:ascii="Arial" w:hAnsi="Arial" w:cs="Arial"/>
          <w:sz w:val="24"/>
          <w:szCs w:val="24"/>
        </w:rPr>
        <w:t xml:space="preserve">Southern Nuclear in conjunction with the nuclear industry is </w:t>
      </w:r>
      <w:r w:rsidR="000F0925" w:rsidRPr="00DB7156">
        <w:rPr>
          <w:rFonts w:ascii="Arial" w:hAnsi="Arial" w:cs="Arial"/>
          <w:sz w:val="24"/>
          <w:szCs w:val="24"/>
        </w:rPr>
        <w:t xml:space="preserve">always </w:t>
      </w:r>
      <w:r w:rsidRPr="00DB7156">
        <w:rPr>
          <w:rFonts w:ascii="Arial" w:hAnsi="Arial" w:cs="Arial"/>
          <w:sz w:val="24"/>
          <w:szCs w:val="24"/>
        </w:rPr>
        <w:t xml:space="preserve">working </w:t>
      </w:r>
      <w:r w:rsidR="000F0925" w:rsidRPr="00DB7156">
        <w:rPr>
          <w:rFonts w:ascii="Arial" w:hAnsi="Arial" w:cs="Arial"/>
          <w:sz w:val="24"/>
          <w:szCs w:val="24"/>
        </w:rPr>
        <w:t>towards</w:t>
      </w:r>
      <w:r w:rsidRPr="00DB7156">
        <w:rPr>
          <w:rFonts w:ascii="Arial" w:hAnsi="Arial" w:cs="Arial"/>
          <w:sz w:val="24"/>
          <w:szCs w:val="24"/>
        </w:rPr>
        <w:t xml:space="preserve"> reducing</w:t>
      </w:r>
      <w:r w:rsidR="00397E89" w:rsidRPr="00DB7156">
        <w:rPr>
          <w:rFonts w:ascii="Arial" w:hAnsi="Arial" w:cs="Arial"/>
          <w:sz w:val="24"/>
          <w:szCs w:val="24"/>
        </w:rPr>
        <w:t xml:space="preserve"> </w:t>
      </w:r>
      <w:r w:rsidR="000F0925" w:rsidRPr="00DB7156">
        <w:rPr>
          <w:rFonts w:ascii="Arial" w:hAnsi="Arial" w:cs="Arial"/>
          <w:sz w:val="24"/>
          <w:szCs w:val="24"/>
        </w:rPr>
        <w:t>the generation of radioactive waste</w:t>
      </w:r>
      <w:r w:rsidRPr="00DB7156">
        <w:rPr>
          <w:rFonts w:ascii="Arial" w:hAnsi="Arial" w:cs="Arial"/>
          <w:sz w:val="24"/>
          <w:szCs w:val="24"/>
        </w:rPr>
        <w:t>.</w:t>
      </w:r>
      <w:r w:rsidR="004A1AE1" w:rsidRPr="00DB7156" w:rsidDel="004A1AE1">
        <w:rPr>
          <w:rFonts w:ascii="Arial" w:hAnsi="Arial" w:cs="Arial"/>
          <w:b/>
          <w:bCs/>
          <w:sz w:val="24"/>
          <w:szCs w:val="20"/>
        </w:rPr>
        <w:t xml:space="preserve"> </w:t>
      </w:r>
    </w:p>
    <w:sectPr w:rsidR="002535BC" w:rsidRPr="00DB7156" w:rsidSect="005A4B2C">
      <w:headerReference w:type="default" r:id="rId34"/>
      <w:footerReference w:type="defaul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9A3C5" w14:textId="77777777" w:rsidR="00FC3243" w:rsidRDefault="00FC3243" w:rsidP="00936403">
      <w:pPr>
        <w:spacing w:after="0" w:line="240" w:lineRule="auto"/>
      </w:pPr>
      <w:r>
        <w:separator/>
      </w:r>
    </w:p>
  </w:endnote>
  <w:endnote w:type="continuationSeparator" w:id="0">
    <w:p w14:paraId="5386F83F" w14:textId="77777777" w:rsidR="00FC3243" w:rsidRDefault="00FC3243" w:rsidP="00936403">
      <w:pPr>
        <w:spacing w:after="0" w:line="240" w:lineRule="auto"/>
      </w:pPr>
      <w:r>
        <w:continuationSeparator/>
      </w:r>
    </w:p>
  </w:endnote>
  <w:endnote w:type="continuationNotice" w:id="1">
    <w:p w14:paraId="027C74B0" w14:textId="77777777" w:rsidR="00FC3243" w:rsidRDefault="00FC32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normal tex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77" w14:textId="77777777" w:rsidR="00FC3243" w:rsidRDefault="00FC3243">
    <w:pPr>
      <w:pStyle w:val="Footer"/>
      <w:jc w:val="right"/>
    </w:pPr>
  </w:p>
  <w:p w14:paraId="22BA5578" w14:textId="77777777" w:rsidR="00FC3243" w:rsidRDefault="00FC3243">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7D" w14:textId="77777777" w:rsidR="00FC3243" w:rsidRDefault="00FC3243" w:rsidP="00965ADC">
    <w:pPr>
      <w:pStyle w:val="Header"/>
    </w:pPr>
  </w:p>
  <w:p w14:paraId="22BA557E" w14:textId="77777777" w:rsidR="00FC3243" w:rsidRPr="0055291A" w:rsidRDefault="00FC3243" w:rsidP="00965ADC">
    <w:pPr>
      <w:pStyle w:val="Header"/>
      <w:pBdr>
        <w:top w:val="single" w:sz="36" w:space="1" w:color="CC0000"/>
      </w:pBdr>
    </w:pPr>
  </w:p>
  <w:p w14:paraId="22BA557F" w14:textId="58110E18" w:rsidR="00FC3243" w:rsidRPr="003877A3" w:rsidRDefault="00FC3243" w:rsidP="00FC3243">
    <w:pPr>
      <w:pStyle w:val="Footer"/>
      <w:tabs>
        <w:tab w:val="clear" w:pos="4320"/>
        <w:tab w:val="clear" w:pos="8640"/>
        <w:tab w:val="right" w:pos="9360"/>
      </w:tabs>
      <w:jc w:val="center"/>
      <w:rPr>
        <w:rStyle w:val="PageNumber"/>
        <w:rFonts w:ascii="Arial" w:hAnsi="Arial" w:cs="Arial"/>
        <w:sz w:val="20"/>
        <w:szCs w:val="20"/>
      </w:rPr>
    </w:pPr>
    <w:r w:rsidRPr="00EB535E">
      <w:rPr>
        <w:rStyle w:val="PageNumber"/>
        <w:rFonts w:ascii="Arial" w:hAnsi="Arial" w:cs="Arial"/>
        <w:sz w:val="20"/>
        <w:szCs w:val="20"/>
      </w:rPr>
      <w:t>Environmental Compliance Strategy</w:t>
    </w:r>
    <w:r>
      <w:rPr>
        <w:rStyle w:val="PageNumber"/>
        <w:sz w:val="20"/>
        <w:szCs w:val="20"/>
      </w:rPr>
      <w:tab/>
    </w:r>
    <w:r w:rsidRPr="00A91A46">
      <w:rPr>
        <w:rStyle w:val="PageNumber"/>
        <w:sz w:val="20"/>
        <w:szCs w:val="20"/>
      </w:rPr>
      <w:fldChar w:fldCharType="begin"/>
    </w:r>
    <w:r w:rsidRPr="00A91A46">
      <w:rPr>
        <w:rStyle w:val="PageNumber"/>
        <w:sz w:val="20"/>
        <w:szCs w:val="20"/>
      </w:rPr>
      <w:instrText xml:space="preserve"> PAGE   \* MERGEFORMAT </w:instrText>
    </w:r>
    <w:r w:rsidRPr="00A91A46">
      <w:rPr>
        <w:rStyle w:val="PageNumber"/>
        <w:sz w:val="20"/>
        <w:szCs w:val="20"/>
      </w:rPr>
      <w:fldChar w:fldCharType="separate"/>
    </w:r>
    <w:r>
      <w:rPr>
        <w:rStyle w:val="PageNumber"/>
        <w:noProof/>
        <w:sz w:val="20"/>
        <w:szCs w:val="20"/>
      </w:rPr>
      <w:t>ii</w:t>
    </w:r>
    <w:r w:rsidRPr="00A91A46">
      <w:rPr>
        <w:rStyle w:val="PageNumbe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3" w14:textId="77777777" w:rsidR="00FC3243" w:rsidRDefault="00FC3243" w:rsidP="00965ADC">
    <w:pPr>
      <w:pStyle w:val="Header"/>
    </w:pPr>
  </w:p>
  <w:p w14:paraId="22BA5584" w14:textId="77777777" w:rsidR="00FC3243" w:rsidRPr="0055291A" w:rsidRDefault="00FC3243" w:rsidP="00965ADC">
    <w:pPr>
      <w:pStyle w:val="Header"/>
      <w:pBdr>
        <w:top w:val="single" w:sz="36" w:space="1" w:color="CC0000"/>
      </w:pBdr>
    </w:pPr>
  </w:p>
  <w:p w14:paraId="22BA5585" w14:textId="5E15EDAB" w:rsidR="00FC3243" w:rsidRPr="002445ED" w:rsidRDefault="00FC3243" w:rsidP="00DA0354">
    <w:pPr>
      <w:pStyle w:val="Footer"/>
      <w:tabs>
        <w:tab w:val="clear" w:pos="4320"/>
        <w:tab w:val="clear" w:pos="8640"/>
        <w:tab w:val="center" w:pos="4680"/>
      </w:tabs>
      <w:rPr>
        <w:rStyle w:val="PageNumber"/>
        <w:rFonts w:ascii="Arial" w:hAnsi="Arial" w:cs="Arial"/>
        <w:sz w:val="20"/>
        <w:szCs w:val="20"/>
      </w:rPr>
    </w:pPr>
    <w:r w:rsidRPr="002445ED">
      <w:rPr>
        <w:rStyle w:val="PageNumber"/>
        <w:rFonts w:ascii="Arial" w:hAnsi="Arial" w:cs="Arial"/>
        <w:sz w:val="20"/>
        <w:szCs w:val="20"/>
      </w:rPr>
      <w:t>Environmental Compliance Strategy</w:t>
    </w:r>
    <w:r w:rsidRPr="002445ED">
      <w:rPr>
        <w:rStyle w:val="PageNumber"/>
        <w:rFonts w:ascii="Arial" w:hAnsi="Arial" w:cs="Arial"/>
        <w:sz w:val="20"/>
        <w:szCs w:val="20"/>
      </w:rPr>
      <w:tab/>
    </w:r>
    <w:r w:rsidRPr="002445ED">
      <w:rPr>
        <w:rStyle w:val="PageNumber"/>
        <w:rFonts w:ascii="Arial" w:hAnsi="Arial" w:cs="Arial"/>
        <w:sz w:val="20"/>
        <w:szCs w:val="20"/>
      </w:rPr>
      <w:fldChar w:fldCharType="begin"/>
    </w:r>
    <w:r w:rsidRPr="002445ED">
      <w:rPr>
        <w:rStyle w:val="PageNumber"/>
        <w:rFonts w:ascii="Arial" w:hAnsi="Arial" w:cs="Arial"/>
        <w:sz w:val="20"/>
        <w:szCs w:val="20"/>
      </w:rPr>
      <w:instrText xml:space="preserve"> PAGE   \* MERGEFORMAT </w:instrText>
    </w:r>
    <w:r w:rsidRPr="002445ED">
      <w:rPr>
        <w:rStyle w:val="PageNumber"/>
        <w:rFonts w:ascii="Arial" w:hAnsi="Arial" w:cs="Arial"/>
        <w:sz w:val="20"/>
        <w:szCs w:val="20"/>
      </w:rPr>
      <w:fldChar w:fldCharType="separate"/>
    </w:r>
    <w:r w:rsidRPr="002445ED">
      <w:rPr>
        <w:rStyle w:val="PageNumber"/>
        <w:rFonts w:ascii="Arial" w:hAnsi="Arial" w:cs="Arial"/>
        <w:noProof/>
        <w:sz w:val="20"/>
        <w:szCs w:val="20"/>
      </w:rPr>
      <w:t>50</w:t>
    </w:r>
    <w:r w:rsidRPr="002445ED">
      <w:rPr>
        <w:rStyle w:val="PageNumbe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9" w14:textId="77777777" w:rsidR="00FC3243" w:rsidRPr="00F97D68" w:rsidRDefault="00FC3243" w:rsidP="00965ADC">
    <w:pPr>
      <w:pStyle w:val="Header"/>
      <w:rPr>
        <w:rFonts w:ascii="Arial" w:hAnsi="Arial" w:cs="Arial"/>
      </w:rPr>
    </w:pPr>
  </w:p>
  <w:p w14:paraId="22BA558A" w14:textId="77777777" w:rsidR="00FC3243" w:rsidRPr="00F97D68" w:rsidRDefault="00FC3243" w:rsidP="00965ADC">
    <w:pPr>
      <w:pStyle w:val="Header"/>
      <w:pBdr>
        <w:top w:val="single" w:sz="36" w:space="1" w:color="CC0000"/>
      </w:pBdr>
      <w:rPr>
        <w:rFonts w:ascii="Arial" w:hAnsi="Arial" w:cs="Arial"/>
      </w:rPr>
    </w:pPr>
  </w:p>
  <w:p w14:paraId="22BA558B" w14:textId="2675EC64" w:rsidR="00FC3243" w:rsidRPr="00F97D68" w:rsidRDefault="00FC3243" w:rsidP="00DA0354">
    <w:pPr>
      <w:pStyle w:val="Footer"/>
      <w:tabs>
        <w:tab w:val="clear" w:pos="4320"/>
        <w:tab w:val="clear" w:pos="8640"/>
        <w:tab w:val="center" w:pos="6480"/>
      </w:tabs>
      <w:rPr>
        <w:rStyle w:val="PageNumber"/>
        <w:rFonts w:ascii="Arial" w:hAnsi="Arial" w:cs="Arial"/>
        <w:sz w:val="20"/>
        <w:szCs w:val="20"/>
      </w:rPr>
    </w:pPr>
    <w:r w:rsidRPr="00F97D68">
      <w:rPr>
        <w:rStyle w:val="PageNumber"/>
        <w:rFonts w:ascii="Arial" w:hAnsi="Arial" w:cs="Arial"/>
        <w:sz w:val="20"/>
        <w:szCs w:val="20"/>
      </w:rPr>
      <w:t>Environmental Compliance Strategy</w:t>
    </w:r>
    <w:r w:rsidRPr="00F97D68">
      <w:rPr>
        <w:rStyle w:val="PageNumber"/>
        <w:rFonts w:ascii="Arial" w:hAnsi="Arial" w:cs="Arial"/>
        <w:sz w:val="20"/>
        <w:szCs w:val="20"/>
      </w:rPr>
      <w:tab/>
    </w:r>
    <w:r w:rsidRPr="00F97D68">
      <w:rPr>
        <w:rStyle w:val="PageNumber"/>
        <w:rFonts w:ascii="Arial" w:hAnsi="Arial" w:cs="Arial"/>
        <w:sz w:val="20"/>
        <w:szCs w:val="20"/>
      </w:rPr>
      <w:fldChar w:fldCharType="begin"/>
    </w:r>
    <w:r w:rsidRPr="00F97D68">
      <w:rPr>
        <w:rStyle w:val="PageNumber"/>
        <w:rFonts w:ascii="Arial" w:hAnsi="Arial" w:cs="Arial"/>
        <w:sz w:val="20"/>
        <w:szCs w:val="20"/>
      </w:rPr>
      <w:instrText xml:space="preserve"> PAGE   \* MERGEFORMAT </w:instrText>
    </w:r>
    <w:r w:rsidRPr="00F97D68">
      <w:rPr>
        <w:rStyle w:val="PageNumber"/>
        <w:rFonts w:ascii="Arial" w:hAnsi="Arial" w:cs="Arial"/>
        <w:sz w:val="20"/>
        <w:szCs w:val="20"/>
      </w:rPr>
      <w:fldChar w:fldCharType="separate"/>
    </w:r>
    <w:r w:rsidRPr="00F97D68">
      <w:rPr>
        <w:rStyle w:val="PageNumber"/>
        <w:rFonts w:ascii="Arial" w:hAnsi="Arial" w:cs="Arial"/>
        <w:noProof/>
        <w:sz w:val="20"/>
        <w:szCs w:val="20"/>
      </w:rPr>
      <w:t>51</w:t>
    </w:r>
    <w:r w:rsidRPr="00F97D68">
      <w:rPr>
        <w:rStyle w:val="PageNumber"/>
        <w:rFonts w:ascii="Arial" w:hAnsi="Arial"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A1" w14:textId="77777777" w:rsidR="00FC3243" w:rsidRDefault="00FC3243" w:rsidP="004046FB">
    <w:pPr>
      <w:pStyle w:val="Header"/>
    </w:pPr>
  </w:p>
  <w:p w14:paraId="22BA55A2" w14:textId="77777777" w:rsidR="00FC3243" w:rsidRPr="0055291A" w:rsidRDefault="00FC3243" w:rsidP="004046FB">
    <w:pPr>
      <w:pStyle w:val="Header"/>
      <w:pBdr>
        <w:top w:val="single" w:sz="36" w:space="1" w:color="CC0000"/>
      </w:pBdr>
    </w:pPr>
  </w:p>
  <w:p w14:paraId="22BA55A3" w14:textId="3C466C8C" w:rsidR="00FC3243" w:rsidRPr="00E07104" w:rsidRDefault="00FC3243" w:rsidP="00DA0354">
    <w:pPr>
      <w:pStyle w:val="Footer"/>
      <w:tabs>
        <w:tab w:val="clear" w:pos="4320"/>
        <w:tab w:val="clear" w:pos="8640"/>
        <w:tab w:val="center" w:pos="4680"/>
      </w:tabs>
      <w:rPr>
        <w:szCs w:val="20"/>
      </w:rPr>
    </w:pPr>
    <w:r w:rsidRPr="009C0203">
      <w:rPr>
        <w:rStyle w:val="PageNumber"/>
        <w:rFonts w:ascii="Arial" w:hAnsi="Arial" w:cs="Arial"/>
        <w:sz w:val="20"/>
        <w:szCs w:val="20"/>
      </w:rPr>
      <w:t>Environmental Compliance Strategy</w:t>
    </w:r>
    <w:r w:rsidRPr="009C0203">
      <w:rPr>
        <w:rStyle w:val="PageNumber"/>
        <w:rFonts w:ascii="Arial" w:hAnsi="Arial" w:cs="Arial"/>
        <w:sz w:val="20"/>
        <w:szCs w:val="20"/>
      </w:rPr>
      <w:tab/>
    </w:r>
    <w:r w:rsidRPr="005C0760">
      <w:rPr>
        <w:rStyle w:val="PageNumber"/>
        <w:rFonts w:ascii="Arial" w:hAnsi="Arial" w:cs="Arial"/>
        <w:sz w:val="20"/>
        <w:szCs w:val="20"/>
      </w:rPr>
      <w:fldChar w:fldCharType="begin"/>
    </w:r>
    <w:r w:rsidRPr="005C0760">
      <w:rPr>
        <w:rStyle w:val="PageNumber"/>
        <w:rFonts w:ascii="Arial" w:hAnsi="Arial" w:cs="Arial"/>
        <w:sz w:val="20"/>
        <w:szCs w:val="20"/>
      </w:rPr>
      <w:instrText xml:space="preserve"> PAGE   \* MERGEFORMAT </w:instrText>
    </w:r>
    <w:r w:rsidRPr="005C0760">
      <w:rPr>
        <w:rStyle w:val="PageNumber"/>
        <w:rFonts w:ascii="Arial" w:hAnsi="Arial" w:cs="Arial"/>
        <w:sz w:val="20"/>
        <w:szCs w:val="20"/>
      </w:rPr>
      <w:fldChar w:fldCharType="separate"/>
    </w:r>
    <w:r w:rsidRPr="005C0760">
      <w:rPr>
        <w:rStyle w:val="PageNumber"/>
        <w:rFonts w:ascii="Arial" w:hAnsi="Arial" w:cs="Arial"/>
        <w:noProof/>
        <w:sz w:val="20"/>
        <w:szCs w:val="20"/>
      </w:rPr>
      <w:t>89</w:t>
    </w:r>
    <w:r w:rsidRPr="005C0760">
      <w:rPr>
        <w:rStyle w:val="PageNumber"/>
        <w:rFonts w:ascii="Arial" w:hAnsi="Arial" w:cs="Arial"/>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A932" w14:textId="77777777" w:rsidR="00DA0354" w:rsidRDefault="00DA0354" w:rsidP="00DA0354">
    <w:pPr>
      <w:pStyle w:val="Header"/>
      <w:tabs>
        <w:tab w:val="clear" w:pos="4320"/>
        <w:tab w:val="center" w:pos="6480"/>
      </w:tabs>
    </w:pPr>
  </w:p>
  <w:p w14:paraId="6797D61A" w14:textId="77777777" w:rsidR="00DA0354" w:rsidRPr="0055291A" w:rsidRDefault="00DA0354" w:rsidP="004046FB">
    <w:pPr>
      <w:pStyle w:val="Header"/>
      <w:pBdr>
        <w:top w:val="single" w:sz="36" w:space="1" w:color="CC0000"/>
      </w:pBdr>
    </w:pPr>
  </w:p>
  <w:p w14:paraId="46FD95DC" w14:textId="77777777" w:rsidR="00DA0354" w:rsidRPr="00E07104" w:rsidRDefault="00DA0354" w:rsidP="00DA0354">
    <w:pPr>
      <w:pStyle w:val="Footer"/>
      <w:tabs>
        <w:tab w:val="clear" w:pos="4320"/>
        <w:tab w:val="clear" w:pos="8640"/>
        <w:tab w:val="center" w:pos="6480"/>
      </w:tabs>
      <w:rPr>
        <w:szCs w:val="20"/>
      </w:rPr>
    </w:pPr>
    <w:r w:rsidRPr="009C0203">
      <w:rPr>
        <w:rStyle w:val="PageNumber"/>
        <w:rFonts w:ascii="Arial" w:hAnsi="Arial" w:cs="Arial"/>
        <w:sz w:val="20"/>
        <w:szCs w:val="20"/>
      </w:rPr>
      <w:t>Environmental Compliance Strategy</w:t>
    </w:r>
    <w:r w:rsidRPr="009C0203">
      <w:rPr>
        <w:rStyle w:val="PageNumber"/>
        <w:rFonts w:ascii="Arial" w:hAnsi="Arial" w:cs="Arial"/>
        <w:sz w:val="20"/>
        <w:szCs w:val="20"/>
      </w:rPr>
      <w:tab/>
    </w:r>
    <w:r w:rsidRPr="005C0760">
      <w:rPr>
        <w:rStyle w:val="PageNumber"/>
        <w:rFonts w:ascii="Arial" w:hAnsi="Arial" w:cs="Arial"/>
        <w:sz w:val="20"/>
        <w:szCs w:val="20"/>
      </w:rPr>
      <w:fldChar w:fldCharType="begin"/>
    </w:r>
    <w:r w:rsidRPr="005C0760">
      <w:rPr>
        <w:rStyle w:val="PageNumber"/>
        <w:rFonts w:ascii="Arial" w:hAnsi="Arial" w:cs="Arial"/>
        <w:sz w:val="20"/>
        <w:szCs w:val="20"/>
      </w:rPr>
      <w:instrText xml:space="preserve"> PAGE   \* MERGEFORMAT </w:instrText>
    </w:r>
    <w:r w:rsidRPr="005C0760">
      <w:rPr>
        <w:rStyle w:val="PageNumber"/>
        <w:rFonts w:ascii="Arial" w:hAnsi="Arial" w:cs="Arial"/>
        <w:sz w:val="20"/>
        <w:szCs w:val="20"/>
      </w:rPr>
      <w:fldChar w:fldCharType="separate"/>
    </w:r>
    <w:r w:rsidRPr="005C0760">
      <w:rPr>
        <w:rStyle w:val="PageNumber"/>
        <w:rFonts w:ascii="Arial" w:hAnsi="Arial" w:cs="Arial"/>
        <w:noProof/>
        <w:sz w:val="20"/>
        <w:szCs w:val="20"/>
      </w:rPr>
      <w:t>89</w:t>
    </w:r>
    <w:r w:rsidRPr="005C0760">
      <w:rPr>
        <w:rStyle w:val="PageNumber"/>
        <w:rFonts w:ascii="Arial" w:hAnsi="Arial" w:cs="Arial"/>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F1AAE" w14:textId="77777777" w:rsidR="00DA0354" w:rsidRDefault="00DA0354" w:rsidP="00DA0354">
    <w:pPr>
      <w:pStyle w:val="Header"/>
      <w:tabs>
        <w:tab w:val="clear" w:pos="4320"/>
        <w:tab w:val="center" w:pos="6480"/>
      </w:tabs>
    </w:pPr>
  </w:p>
  <w:p w14:paraId="043F60DA" w14:textId="77777777" w:rsidR="00DA0354" w:rsidRPr="0055291A" w:rsidRDefault="00DA0354" w:rsidP="004046FB">
    <w:pPr>
      <w:pStyle w:val="Header"/>
      <w:pBdr>
        <w:top w:val="single" w:sz="36" w:space="1" w:color="CC0000"/>
      </w:pBdr>
    </w:pPr>
  </w:p>
  <w:p w14:paraId="0E73444B" w14:textId="77777777" w:rsidR="00DA0354" w:rsidRPr="00E07104" w:rsidRDefault="00DA0354" w:rsidP="00DA0354">
    <w:pPr>
      <w:pStyle w:val="Footer"/>
      <w:tabs>
        <w:tab w:val="clear" w:pos="4320"/>
        <w:tab w:val="clear" w:pos="8640"/>
        <w:tab w:val="center" w:pos="4680"/>
      </w:tabs>
      <w:rPr>
        <w:szCs w:val="20"/>
      </w:rPr>
    </w:pPr>
    <w:r w:rsidRPr="009C0203">
      <w:rPr>
        <w:rStyle w:val="PageNumber"/>
        <w:rFonts w:ascii="Arial" w:hAnsi="Arial" w:cs="Arial"/>
        <w:sz w:val="20"/>
        <w:szCs w:val="20"/>
      </w:rPr>
      <w:t>Environmental Compliance Strategy</w:t>
    </w:r>
    <w:r w:rsidRPr="009C0203">
      <w:rPr>
        <w:rStyle w:val="PageNumber"/>
        <w:rFonts w:ascii="Arial" w:hAnsi="Arial" w:cs="Arial"/>
        <w:sz w:val="20"/>
        <w:szCs w:val="20"/>
      </w:rPr>
      <w:tab/>
    </w:r>
    <w:r w:rsidRPr="005C0760">
      <w:rPr>
        <w:rStyle w:val="PageNumber"/>
        <w:rFonts w:ascii="Arial" w:hAnsi="Arial" w:cs="Arial"/>
        <w:sz w:val="20"/>
        <w:szCs w:val="20"/>
      </w:rPr>
      <w:fldChar w:fldCharType="begin"/>
    </w:r>
    <w:r w:rsidRPr="005C0760">
      <w:rPr>
        <w:rStyle w:val="PageNumber"/>
        <w:rFonts w:ascii="Arial" w:hAnsi="Arial" w:cs="Arial"/>
        <w:sz w:val="20"/>
        <w:szCs w:val="20"/>
      </w:rPr>
      <w:instrText xml:space="preserve"> PAGE   \* MERGEFORMAT </w:instrText>
    </w:r>
    <w:r w:rsidRPr="005C0760">
      <w:rPr>
        <w:rStyle w:val="PageNumber"/>
        <w:rFonts w:ascii="Arial" w:hAnsi="Arial" w:cs="Arial"/>
        <w:sz w:val="20"/>
        <w:szCs w:val="20"/>
      </w:rPr>
      <w:fldChar w:fldCharType="separate"/>
    </w:r>
    <w:r w:rsidRPr="005C0760">
      <w:rPr>
        <w:rStyle w:val="PageNumber"/>
        <w:rFonts w:ascii="Arial" w:hAnsi="Arial" w:cs="Arial"/>
        <w:noProof/>
        <w:sz w:val="20"/>
        <w:szCs w:val="20"/>
      </w:rPr>
      <w:t>89</w:t>
    </w:r>
    <w:r w:rsidRPr="005C0760">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95F54" w14:textId="77777777" w:rsidR="00FC3243" w:rsidRDefault="00FC3243" w:rsidP="00936403">
      <w:pPr>
        <w:spacing w:after="0" w:line="240" w:lineRule="auto"/>
      </w:pPr>
      <w:r>
        <w:separator/>
      </w:r>
    </w:p>
  </w:footnote>
  <w:footnote w:type="continuationSeparator" w:id="0">
    <w:p w14:paraId="5F320B73" w14:textId="77777777" w:rsidR="00FC3243" w:rsidRDefault="00FC3243" w:rsidP="00936403">
      <w:pPr>
        <w:spacing w:after="0" w:line="240" w:lineRule="auto"/>
      </w:pPr>
      <w:r>
        <w:continuationSeparator/>
      </w:r>
    </w:p>
  </w:footnote>
  <w:footnote w:type="continuationNotice" w:id="1">
    <w:p w14:paraId="5534798E" w14:textId="77777777" w:rsidR="00FC3243" w:rsidRDefault="00FC32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74" w14:textId="2C34BF9E" w:rsidR="00FC3243" w:rsidRPr="008F615E" w:rsidRDefault="00FC3243" w:rsidP="008F615E">
    <w:pPr>
      <w:pStyle w:val="Header"/>
      <w:tabs>
        <w:tab w:val="clear" w:pos="4320"/>
        <w:tab w:val="clear" w:pos="8640"/>
      </w:tabs>
      <w:jc w:val="right"/>
      <w:rPr>
        <w:rFonts w:ascii="Arial" w:hAnsi="Arial" w:cs="Arial"/>
        <w:b/>
        <w:szCs w:val="28"/>
      </w:rPr>
    </w:pPr>
    <w:r w:rsidRPr="008F615E">
      <w:rPr>
        <w:rFonts w:ascii="Arial" w:hAnsi="Arial" w:cs="Arial"/>
        <w:b/>
        <w:szCs w:val="28"/>
      </w:rPr>
      <w:t>PUBLIC DISCLOSURE</w:t>
    </w:r>
  </w:p>
  <w:p w14:paraId="22BA5575" w14:textId="77777777" w:rsidR="00FC3243" w:rsidRDefault="00FC3243" w:rsidP="00965ADC">
    <w:pPr>
      <w:pStyle w:val="Header"/>
      <w:pBdr>
        <w:top w:val="single" w:sz="36" w:space="1" w:color="CC0000"/>
      </w:pBd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C" w14:textId="77777777" w:rsidR="00FC3243" w:rsidRDefault="00FC324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9F" w14:textId="77777777" w:rsidR="00FC3243" w:rsidRDefault="00FC324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A0" w14:textId="3049B4E8" w:rsidR="00FC3243" w:rsidRPr="00FC3243" w:rsidRDefault="00FC3243" w:rsidP="00FC3243">
    <w:pPr>
      <w:pStyle w:val="Header"/>
      <w:tabs>
        <w:tab w:val="clear" w:pos="4320"/>
        <w:tab w:val="clear" w:pos="8640"/>
      </w:tabs>
      <w:jc w:val="right"/>
      <w:rPr>
        <w:rFonts w:ascii="Arial" w:hAnsi="Arial" w:cs="Arial"/>
        <w:b/>
        <w:color w:val="FF0000"/>
        <w:szCs w:val="28"/>
      </w:rPr>
    </w:pPr>
    <w:r w:rsidRPr="00FC3243">
      <w:rPr>
        <w:rFonts w:ascii="Arial" w:hAnsi="Arial" w:cs="Arial"/>
        <w:b/>
        <w:szCs w:val="28"/>
      </w:rPr>
      <w:t>PUBLIC DISCLOSURE</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A4" w14:textId="77777777" w:rsidR="00FC3243" w:rsidRDefault="00FC324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22F8B" w14:textId="77777777" w:rsidR="00FC3243" w:rsidRPr="00FC3243" w:rsidRDefault="00FC3243" w:rsidP="00FC3243">
    <w:pPr>
      <w:pStyle w:val="Header"/>
      <w:tabs>
        <w:tab w:val="clear" w:pos="4320"/>
        <w:tab w:val="clear" w:pos="8640"/>
      </w:tabs>
      <w:jc w:val="right"/>
      <w:rPr>
        <w:rFonts w:ascii="Arial" w:hAnsi="Arial" w:cs="Arial"/>
        <w:b/>
        <w:color w:val="FF0000"/>
        <w:szCs w:val="28"/>
      </w:rPr>
    </w:pPr>
    <w:r w:rsidRPr="00FC3243">
      <w:rPr>
        <w:rFonts w:ascii="Arial" w:hAnsi="Arial" w:cs="Arial"/>
        <w:b/>
        <w:szCs w:val="28"/>
      </w:rPr>
      <w:t>PUBLIC DISCLOSURE</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85D39" w14:textId="77777777" w:rsidR="00FC3243" w:rsidRPr="00FC3243" w:rsidRDefault="00FC3243" w:rsidP="00FC3243">
    <w:pPr>
      <w:pStyle w:val="Header"/>
      <w:tabs>
        <w:tab w:val="clear" w:pos="4320"/>
        <w:tab w:val="clear" w:pos="8640"/>
      </w:tabs>
      <w:jc w:val="right"/>
      <w:rPr>
        <w:rFonts w:ascii="Arial" w:hAnsi="Arial" w:cs="Arial"/>
        <w:b/>
        <w:color w:val="FF0000"/>
        <w:szCs w:val="28"/>
      </w:rPr>
    </w:pPr>
    <w:r w:rsidRPr="00FC3243">
      <w:rPr>
        <w:rFonts w:ascii="Arial" w:hAnsi="Arial" w:cs="Arial"/>
        <w:b/>
        <w:szCs w:val="28"/>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7B" w14:textId="77777777" w:rsidR="00FC3243" w:rsidRDefault="00FC32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7C" w14:textId="073FE0F6" w:rsidR="00FC3243" w:rsidRPr="008F615E" w:rsidRDefault="00FC3243" w:rsidP="008F615E">
    <w:pPr>
      <w:pStyle w:val="Header"/>
      <w:tabs>
        <w:tab w:val="clear" w:pos="4320"/>
        <w:tab w:val="clear" w:pos="8640"/>
      </w:tabs>
      <w:jc w:val="right"/>
      <w:rPr>
        <w:rFonts w:ascii="Arial" w:hAnsi="Arial" w:cs="Arial"/>
        <w:b/>
        <w:szCs w:val="28"/>
      </w:rPr>
    </w:pPr>
    <w:r w:rsidRPr="008F615E">
      <w:rPr>
        <w:rFonts w:ascii="Arial" w:hAnsi="Arial" w:cs="Arial"/>
        <w:b/>
        <w:szCs w:val="28"/>
      </w:rPr>
      <w:t>PUBLIC DISCLOSURE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0" w14:textId="77777777" w:rsidR="00FC3243" w:rsidRDefault="00FC32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1" w14:textId="77777777" w:rsidR="00FC3243" w:rsidRDefault="00FC32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2" w14:textId="49564819" w:rsidR="00FC3243" w:rsidRPr="008F615E" w:rsidRDefault="00FC3243" w:rsidP="008F615E">
    <w:pPr>
      <w:pStyle w:val="Header"/>
      <w:tabs>
        <w:tab w:val="clear" w:pos="4320"/>
        <w:tab w:val="clear" w:pos="8640"/>
      </w:tabs>
      <w:jc w:val="right"/>
      <w:rPr>
        <w:rFonts w:ascii="Arial" w:hAnsi="Arial" w:cs="Arial"/>
        <w:b/>
        <w:szCs w:val="28"/>
      </w:rPr>
    </w:pPr>
    <w:r w:rsidRPr="008F615E">
      <w:rPr>
        <w:rFonts w:ascii="Arial" w:hAnsi="Arial" w:cs="Arial"/>
        <w:b/>
        <w:szCs w:val="28"/>
      </w:rPr>
      <w:t>PUBLIC DISCLOSURE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6" w14:textId="77777777" w:rsidR="00FC3243" w:rsidRDefault="00FC32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7" w14:textId="77777777" w:rsidR="00FC3243" w:rsidRDefault="00FC32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5588" w14:textId="52181914" w:rsidR="00FC3243" w:rsidRPr="00FC3243" w:rsidRDefault="00FC3243" w:rsidP="00FC3243">
    <w:pPr>
      <w:pStyle w:val="Header"/>
      <w:tabs>
        <w:tab w:val="clear" w:pos="4320"/>
        <w:tab w:val="clear" w:pos="8640"/>
      </w:tabs>
      <w:jc w:val="right"/>
      <w:rPr>
        <w:rFonts w:ascii="Arial" w:hAnsi="Arial" w:cs="Arial"/>
        <w:b/>
        <w:color w:val="FF0000"/>
        <w:szCs w:val="28"/>
      </w:rPr>
    </w:pPr>
    <w:r w:rsidRPr="00FC3243">
      <w:rPr>
        <w:rFonts w:ascii="Arial" w:hAnsi="Arial" w:cs="Arial"/>
        <w:b/>
        <w:szCs w:val="28"/>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3312"/>
    <w:multiLevelType w:val="hybridMultilevel"/>
    <w:tmpl w:val="2F0AF47C"/>
    <w:lvl w:ilvl="0" w:tplc="A85ECC6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C4E64"/>
    <w:multiLevelType w:val="hybridMultilevel"/>
    <w:tmpl w:val="30709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83751"/>
    <w:multiLevelType w:val="hybridMultilevel"/>
    <w:tmpl w:val="8C6CB17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AE0F4B"/>
    <w:multiLevelType w:val="hybridMultilevel"/>
    <w:tmpl w:val="EBE6546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246D07"/>
    <w:multiLevelType w:val="hybridMultilevel"/>
    <w:tmpl w:val="EEEEA484"/>
    <w:lvl w:ilvl="0" w:tplc="04090001">
      <w:start w:val="1"/>
      <w:numFmt w:val="bullet"/>
      <w:lvlText w:val=""/>
      <w:lvlJc w:val="left"/>
      <w:pPr>
        <w:tabs>
          <w:tab w:val="num" w:pos="360"/>
        </w:tabs>
        <w:ind w:left="360" w:hanging="360"/>
      </w:pPr>
      <w:rPr>
        <w:rFonts w:ascii="Symbol" w:hAnsi="Symbol" w:hint="default"/>
      </w:rPr>
    </w:lvl>
    <w:lvl w:ilvl="1" w:tplc="395CDB6A">
      <w:numFmt w:val="bullet"/>
      <w:lvlText w:val="-"/>
      <w:lvlJc w:val="left"/>
      <w:pPr>
        <w:tabs>
          <w:tab w:val="num" w:pos="1080"/>
        </w:tabs>
        <w:ind w:left="1080" w:hanging="360"/>
      </w:pPr>
      <w:rPr>
        <w:rFonts w:ascii="Times New Roman" w:eastAsia="Times New Roman" w:hAnsi="Times New Roman"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8916B5"/>
    <w:multiLevelType w:val="multilevel"/>
    <w:tmpl w:val="A7DC42B4"/>
    <w:styleLink w:val="ECS"/>
    <w:lvl w:ilvl="0">
      <w:start w:val="1"/>
      <w:numFmt w:val="decimal"/>
      <w:lvlText w:val="%1.0"/>
      <w:lvlJc w:val="left"/>
      <w:pPr>
        <w:tabs>
          <w:tab w:val="num" w:pos="525"/>
        </w:tabs>
        <w:ind w:left="525" w:hanging="525"/>
      </w:pPr>
      <w:rPr>
        <w:rFonts w:cs="Times New Roman" w:hint="default"/>
      </w:rPr>
    </w:lvl>
    <w:lvl w:ilvl="1">
      <w:start w:val="1"/>
      <w:numFmt w:val="decimal"/>
      <w:lvlText w:val="%1.%2"/>
      <w:lvlJc w:val="left"/>
      <w:pPr>
        <w:tabs>
          <w:tab w:val="num" w:pos="1245"/>
        </w:tabs>
        <w:ind w:left="1245" w:hanging="52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15:restartNumberingAfterBreak="0">
    <w:nsid w:val="147801BA"/>
    <w:multiLevelType w:val="hybridMultilevel"/>
    <w:tmpl w:val="E8C09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5FF0E85"/>
    <w:multiLevelType w:val="hybridMultilevel"/>
    <w:tmpl w:val="6E587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31ED9"/>
    <w:multiLevelType w:val="hybridMultilevel"/>
    <w:tmpl w:val="2372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C6A2B"/>
    <w:multiLevelType w:val="hybridMultilevel"/>
    <w:tmpl w:val="60DC3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C16E0F"/>
    <w:multiLevelType w:val="hybridMultilevel"/>
    <w:tmpl w:val="F620C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212174"/>
    <w:multiLevelType w:val="hybridMultilevel"/>
    <w:tmpl w:val="2F5A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39239D"/>
    <w:multiLevelType w:val="hybridMultilevel"/>
    <w:tmpl w:val="DB606D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D7D39"/>
    <w:multiLevelType w:val="hybridMultilevel"/>
    <w:tmpl w:val="B0006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B32746"/>
    <w:multiLevelType w:val="hybridMultilevel"/>
    <w:tmpl w:val="E658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3197B"/>
    <w:multiLevelType w:val="hybridMultilevel"/>
    <w:tmpl w:val="A5065B36"/>
    <w:lvl w:ilvl="0" w:tplc="04090001">
      <w:start w:val="1"/>
      <w:numFmt w:val="bullet"/>
      <w:lvlText w:val=""/>
      <w:lvlJc w:val="left"/>
      <w:pPr>
        <w:tabs>
          <w:tab w:val="num" w:pos="360"/>
        </w:tabs>
        <w:ind w:left="360" w:hanging="360"/>
      </w:pPr>
      <w:rPr>
        <w:rFonts w:ascii="Symbol" w:hAnsi="Symbol" w:hint="default"/>
      </w:rPr>
    </w:lvl>
    <w:lvl w:ilvl="1" w:tplc="395CDB6A">
      <w:numFmt w:val="bullet"/>
      <w:lvlText w:val="-"/>
      <w:lvlJc w:val="left"/>
      <w:pPr>
        <w:tabs>
          <w:tab w:val="num" w:pos="1080"/>
        </w:tabs>
        <w:ind w:left="1080" w:hanging="360"/>
      </w:pPr>
      <w:rPr>
        <w:rFonts w:ascii="Times New Roman" w:eastAsia="Times New Roman" w:hAnsi="Times New Roman"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B911E00"/>
    <w:multiLevelType w:val="multilevel"/>
    <w:tmpl w:val="5FE2E7CA"/>
    <w:styleLink w:val="Style3"/>
    <w:lvl w:ilvl="0">
      <w:start w:val="1"/>
      <w:numFmt w:val="decimal"/>
      <w:lvlText w:val="%1.0"/>
      <w:lvlJc w:val="left"/>
      <w:pPr>
        <w:tabs>
          <w:tab w:val="num" w:pos="525"/>
        </w:tabs>
        <w:ind w:left="525" w:hanging="525"/>
      </w:pPr>
      <w:rPr>
        <w:rFonts w:cs="Times New Roman" w:hint="default"/>
        <w:color w:val="000080"/>
      </w:rPr>
    </w:lvl>
    <w:lvl w:ilvl="1">
      <w:start w:val="1"/>
      <w:numFmt w:val="decimal"/>
      <w:lvlText w:val="%1.%2"/>
      <w:lvlJc w:val="left"/>
      <w:pPr>
        <w:tabs>
          <w:tab w:val="num" w:pos="1245"/>
        </w:tabs>
        <w:ind w:left="1245" w:hanging="525"/>
      </w:pPr>
      <w:rPr>
        <w:rFonts w:cs="Times New Roman" w:hint="default"/>
      </w:rPr>
    </w:lvl>
    <w:lvl w:ilvl="2">
      <w:start w:val="1"/>
      <w:numFmt w:val="decimal"/>
      <w:lvlText w:val="%1.%2.%3"/>
      <w:lvlJc w:val="left"/>
      <w:pPr>
        <w:tabs>
          <w:tab w:val="num" w:pos="2160"/>
        </w:tabs>
        <w:ind w:left="2160" w:hanging="720"/>
      </w:pPr>
      <w:rPr>
        <w:rFonts w:cs="Times New Roman" w:hint="default"/>
        <w:u w:val="single"/>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15:restartNumberingAfterBreak="0">
    <w:nsid w:val="2E275B49"/>
    <w:multiLevelType w:val="hybridMultilevel"/>
    <w:tmpl w:val="4FBA1C8A"/>
    <w:lvl w:ilvl="0" w:tplc="54CA33B8">
      <w:start w:val="4"/>
      <w:numFmt w:val="decimal"/>
      <w:lvlText w:val="%1."/>
      <w:lvlJc w:val="left"/>
      <w:pPr>
        <w:tabs>
          <w:tab w:val="num" w:pos="720"/>
        </w:tabs>
        <w:ind w:left="720" w:hanging="360"/>
      </w:pPr>
      <w:rPr>
        <w:rFonts w:cs="Times New Roman" w:hint="default"/>
      </w:rPr>
    </w:lvl>
    <w:lvl w:ilvl="1" w:tplc="6DF83BF4">
      <w:numFmt w:val="none"/>
      <w:lvlText w:val=""/>
      <w:lvlJc w:val="left"/>
      <w:pPr>
        <w:tabs>
          <w:tab w:val="num" w:pos="360"/>
        </w:tabs>
      </w:pPr>
      <w:rPr>
        <w:rFonts w:cs="Times New Roman"/>
      </w:rPr>
    </w:lvl>
    <w:lvl w:ilvl="2" w:tplc="7C983588">
      <w:numFmt w:val="none"/>
      <w:lvlText w:val=""/>
      <w:lvlJc w:val="left"/>
      <w:pPr>
        <w:tabs>
          <w:tab w:val="num" w:pos="360"/>
        </w:tabs>
      </w:pPr>
      <w:rPr>
        <w:rFonts w:cs="Times New Roman"/>
      </w:rPr>
    </w:lvl>
    <w:lvl w:ilvl="3" w:tplc="33EEAC82">
      <w:numFmt w:val="none"/>
      <w:lvlText w:val=""/>
      <w:lvlJc w:val="left"/>
      <w:pPr>
        <w:tabs>
          <w:tab w:val="num" w:pos="360"/>
        </w:tabs>
      </w:pPr>
      <w:rPr>
        <w:rFonts w:cs="Times New Roman"/>
      </w:rPr>
    </w:lvl>
    <w:lvl w:ilvl="4" w:tplc="6DBE820E">
      <w:numFmt w:val="none"/>
      <w:lvlText w:val=""/>
      <w:lvlJc w:val="left"/>
      <w:pPr>
        <w:tabs>
          <w:tab w:val="num" w:pos="360"/>
        </w:tabs>
      </w:pPr>
      <w:rPr>
        <w:rFonts w:cs="Times New Roman"/>
      </w:rPr>
    </w:lvl>
    <w:lvl w:ilvl="5" w:tplc="B776D824">
      <w:numFmt w:val="none"/>
      <w:lvlText w:val=""/>
      <w:lvlJc w:val="left"/>
      <w:pPr>
        <w:tabs>
          <w:tab w:val="num" w:pos="360"/>
        </w:tabs>
      </w:pPr>
      <w:rPr>
        <w:rFonts w:cs="Times New Roman"/>
      </w:rPr>
    </w:lvl>
    <w:lvl w:ilvl="6" w:tplc="96AE324E">
      <w:numFmt w:val="none"/>
      <w:lvlText w:val=""/>
      <w:lvlJc w:val="left"/>
      <w:pPr>
        <w:tabs>
          <w:tab w:val="num" w:pos="360"/>
        </w:tabs>
      </w:pPr>
      <w:rPr>
        <w:rFonts w:cs="Times New Roman"/>
      </w:rPr>
    </w:lvl>
    <w:lvl w:ilvl="7" w:tplc="53D22918">
      <w:numFmt w:val="none"/>
      <w:lvlText w:val=""/>
      <w:lvlJc w:val="left"/>
      <w:pPr>
        <w:tabs>
          <w:tab w:val="num" w:pos="360"/>
        </w:tabs>
      </w:pPr>
      <w:rPr>
        <w:rFonts w:cs="Times New Roman"/>
      </w:rPr>
    </w:lvl>
    <w:lvl w:ilvl="8" w:tplc="0BAE743C">
      <w:numFmt w:val="none"/>
      <w:lvlText w:val=""/>
      <w:lvlJc w:val="left"/>
      <w:pPr>
        <w:tabs>
          <w:tab w:val="num" w:pos="360"/>
        </w:tabs>
      </w:pPr>
      <w:rPr>
        <w:rFonts w:cs="Times New Roman"/>
      </w:rPr>
    </w:lvl>
  </w:abstractNum>
  <w:abstractNum w:abstractNumId="18" w15:restartNumberingAfterBreak="0">
    <w:nsid w:val="338E042A"/>
    <w:multiLevelType w:val="hybridMultilevel"/>
    <w:tmpl w:val="00C85A6E"/>
    <w:lvl w:ilvl="0" w:tplc="9B7211AA">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501824"/>
    <w:multiLevelType w:val="hybridMultilevel"/>
    <w:tmpl w:val="960CE012"/>
    <w:lvl w:ilvl="0" w:tplc="18D881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515456"/>
    <w:multiLevelType w:val="hybridMultilevel"/>
    <w:tmpl w:val="42CE4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507405"/>
    <w:multiLevelType w:val="hybridMultilevel"/>
    <w:tmpl w:val="69CC5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3472F5"/>
    <w:multiLevelType w:val="hybridMultilevel"/>
    <w:tmpl w:val="410490DC"/>
    <w:lvl w:ilvl="0" w:tplc="34146E9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9162E2"/>
    <w:multiLevelType w:val="hybridMultilevel"/>
    <w:tmpl w:val="738E8D78"/>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start w:val="1"/>
      <w:numFmt w:val="bullet"/>
      <w:lvlText w:val="o"/>
      <w:lvlJc w:val="left"/>
      <w:pPr>
        <w:ind w:left="4326" w:hanging="360"/>
      </w:pPr>
      <w:rPr>
        <w:rFonts w:ascii="Courier New" w:hAnsi="Courier New" w:cs="Courier New" w:hint="default"/>
      </w:rPr>
    </w:lvl>
    <w:lvl w:ilvl="5" w:tplc="04090005">
      <w:start w:val="1"/>
      <w:numFmt w:val="bullet"/>
      <w:lvlText w:val=""/>
      <w:lvlJc w:val="left"/>
      <w:pPr>
        <w:ind w:left="5046" w:hanging="360"/>
      </w:pPr>
      <w:rPr>
        <w:rFonts w:ascii="Wingdings" w:hAnsi="Wingdings" w:hint="default"/>
      </w:rPr>
    </w:lvl>
    <w:lvl w:ilvl="6" w:tplc="04090001">
      <w:start w:val="1"/>
      <w:numFmt w:val="bullet"/>
      <w:lvlText w:val=""/>
      <w:lvlJc w:val="left"/>
      <w:pPr>
        <w:ind w:left="5766" w:hanging="360"/>
      </w:pPr>
      <w:rPr>
        <w:rFonts w:ascii="Symbol" w:hAnsi="Symbol" w:hint="default"/>
      </w:rPr>
    </w:lvl>
    <w:lvl w:ilvl="7" w:tplc="04090003">
      <w:start w:val="1"/>
      <w:numFmt w:val="bullet"/>
      <w:lvlText w:val="o"/>
      <w:lvlJc w:val="left"/>
      <w:pPr>
        <w:ind w:left="6486" w:hanging="360"/>
      </w:pPr>
      <w:rPr>
        <w:rFonts w:ascii="Courier New" w:hAnsi="Courier New" w:cs="Courier New" w:hint="default"/>
      </w:rPr>
    </w:lvl>
    <w:lvl w:ilvl="8" w:tplc="04090005">
      <w:start w:val="1"/>
      <w:numFmt w:val="bullet"/>
      <w:lvlText w:val=""/>
      <w:lvlJc w:val="left"/>
      <w:pPr>
        <w:ind w:left="7206" w:hanging="360"/>
      </w:pPr>
      <w:rPr>
        <w:rFonts w:ascii="Wingdings" w:hAnsi="Wingdings" w:hint="default"/>
      </w:rPr>
    </w:lvl>
  </w:abstractNum>
  <w:abstractNum w:abstractNumId="24" w15:restartNumberingAfterBreak="0">
    <w:nsid w:val="3AAD3A99"/>
    <w:multiLevelType w:val="hybridMultilevel"/>
    <w:tmpl w:val="89EC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CE711D"/>
    <w:multiLevelType w:val="hybridMultilevel"/>
    <w:tmpl w:val="8674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8538AA"/>
    <w:multiLevelType w:val="hybridMultilevel"/>
    <w:tmpl w:val="283E5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855006"/>
    <w:multiLevelType w:val="hybridMultilevel"/>
    <w:tmpl w:val="D87E1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801AD"/>
    <w:multiLevelType w:val="hybridMultilevel"/>
    <w:tmpl w:val="103AC88E"/>
    <w:lvl w:ilvl="0" w:tplc="9392D818">
      <w:start w:val="1"/>
      <w:numFmt w:val="bullet"/>
      <w:lvlText w:val=""/>
      <w:lvlJc w:val="left"/>
      <w:pPr>
        <w:tabs>
          <w:tab w:val="num" w:pos="1440"/>
        </w:tabs>
        <w:ind w:left="1440" w:hanging="360"/>
      </w:pPr>
      <w:rPr>
        <w:rFonts w:ascii="Symbol" w:hAnsi="Symbol" w:hint="default"/>
      </w:rPr>
    </w:lvl>
    <w:lvl w:ilvl="1" w:tplc="ADC28FD2" w:tentative="1">
      <w:start w:val="1"/>
      <w:numFmt w:val="bullet"/>
      <w:lvlText w:val="o"/>
      <w:lvlJc w:val="left"/>
      <w:pPr>
        <w:tabs>
          <w:tab w:val="num" w:pos="2160"/>
        </w:tabs>
        <w:ind w:left="2160" w:hanging="360"/>
      </w:pPr>
      <w:rPr>
        <w:rFonts w:ascii="Courier New" w:hAnsi="Courier New" w:hint="default"/>
      </w:rPr>
    </w:lvl>
    <w:lvl w:ilvl="2" w:tplc="04A0E63E" w:tentative="1">
      <w:start w:val="1"/>
      <w:numFmt w:val="bullet"/>
      <w:lvlText w:val=""/>
      <w:lvlJc w:val="left"/>
      <w:pPr>
        <w:tabs>
          <w:tab w:val="num" w:pos="2880"/>
        </w:tabs>
        <w:ind w:left="2880" w:hanging="360"/>
      </w:pPr>
      <w:rPr>
        <w:rFonts w:ascii="Wingdings" w:hAnsi="Wingdings" w:hint="default"/>
      </w:rPr>
    </w:lvl>
    <w:lvl w:ilvl="3" w:tplc="67A21DAA" w:tentative="1">
      <w:start w:val="1"/>
      <w:numFmt w:val="bullet"/>
      <w:lvlText w:val=""/>
      <w:lvlJc w:val="left"/>
      <w:pPr>
        <w:tabs>
          <w:tab w:val="num" w:pos="3600"/>
        </w:tabs>
        <w:ind w:left="3600" w:hanging="360"/>
      </w:pPr>
      <w:rPr>
        <w:rFonts w:ascii="Symbol" w:hAnsi="Symbol" w:hint="default"/>
      </w:rPr>
    </w:lvl>
    <w:lvl w:ilvl="4" w:tplc="6746862A" w:tentative="1">
      <w:start w:val="1"/>
      <w:numFmt w:val="bullet"/>
      <w:lvlText w:val="o"/>
      <w:lvlJc w:val="left"/>
      <w:pPr>
        <w:tabs>
          <w:tab w:val="num" w:pos="4320"/>
        </w:tabs>
        <w:ind w:left="4320" w:hanging="360"/>
      </w:pPr>
      <w:rPr>
        <w:rFonts w:ascii="Courier New" w:hAnsi="Courier New" w:hint="default"/>
      </w:rPr>
    </w:lvl>
    <w:lvl w:ilvl="5" w:tplc="6A4E9ED2" w:tentative="1">
      <w:start w:val="1"/>
      <w:numFmt w:val="bullet"/>
      <w:lvlText w:val=""/>
      <w:lvlJc w:val="left"/>
      <w:pPr>
        <w:tabs>
          <w:tab w:val="num" w:pos="5040"/>
        </w:tabs>
        <w:ind w:left="5040" w:hanging="360"/>
      </w:pPr>
      <w:rPr>
        <w:rFonts w:ascii="Wingdings" w:hAnsi="Wingdings" w:hint="default"/>
      </w:rPr>
    </w:lvl>
    <w:lvl w:ilvl="6" w:tplc="6B10A204" w:tentative="1">
      <w:start w:val="1"/>
      <w:numFmt w:val="bullet"/>
      <w:lvlText w:val=""/>
      <w:lvlJc w:val="left"/>
      <w:pPr>
        <w:tabs>
          <w:tab w:val="num" w:pos="5760"/>
        </w:tabs>
        <w:ind w:left="5760" w:hanging="360"/>
      </w:pPr>
      <w:rPr>
        <w:rFonts w:ascii="Symbol" w:hAnsi="Symbol" w:hint="default"/>
      </w:rPr>
    </w:lvl>
    <w:lvl w:ilvl="7" w:tplc="DCA8A408" w:tentative="1">
      <w:start w:val="1"/>
      <w:numFmt w:val="bullet"/>
      <w:lvlText w:val="o"/>
      <w:lvlJc w:val="left"/>
      <w:pPr>
        <w:tabs>
          <w:tab w:val="num" w:pos="6480"/>
        </w:tabs>
        <w:ind w:left="6480" w:hanging="360"/>
      </w:pPr>
      <w:rPr>
        <w:rFonts w:ascii="Courier New" w:hAnsi="Courier New" w:hint="default"/>
      </w:rPr>
    </w:lvl>
    <w:lvl w:ilvl="8" w:tplc="3DA67A50"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1044120"/>
    <w:multiLevelType w:val="hybridMultilevel"/>
    <w:tmpl w:val="381E568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30" w15:restartNumberingAfterBreak="0">
    <w:nsid w:val="54271516"/>
    <w:multiLevelType w:val="multilevel"/>
    <w:tmpl w:val="95EC20EA"/>
    <w:lvl w:ilvl="0">
      <w:start w:val="1"/>
      <w:numFmt w:val="decimal"/>
      <w:lvlRestart w:val="0"/>
      <w:pStyle w:val="Heading1"/>
      <w:lvlText w:val="%1."/>
      <w:lvlJc w:val="left"/>
      <w:pPr>
        <w:tabs>
          <w:tab w:val="num" w:pos="72"/>
        </w:tabs>
        <w:ind w:left="4104" w:hanging="4104"/>
      </w:pPr>
      <w:rPr>
        <w:rFonts w:ascii="Times New Roman Bold" w:hAnsi="Times New Roman Bold" w:cs="Times New Roman" w:hint="default"/>
        <w:b/>
        <w:i w:val="0"/>
        <w:caps w:val="0"/>
        <w:smallCaps w:val="0"/>
        <w:strike w:val="0"/>
        <w:dstrike w:val="0"/>
        <w:vanish w:val="0"/>
        <w:color w:val="auto"/>
        <w:spacing w:val="0"/>
        <w:w w:val="100"/>
        <w:kern w:val="0"/>
        <w:position w:val="0"/>
        <w:sz w:val="28"/>
        <w:szCs w:val="28"/>
        <w:u w:val="none"/>
        <w:effect w:val="none"/>
        <w:vertAlign w:val="baseline"/>
      </w:rPr>
    </w:lvl>
    <w:lvl w:ilvl="1">
      <w:start w:val="1"/>
      <w:numFmt w:val="decimal"/>
      <w:pStyle w:val="Heading2"/>
      <w:isLgl/>
      <w:lvlText w:val="%1.%2"/>
      <w:lvlJc w:val="left"/>
      <w:pPr>
        <w:tabs>
          <w:tab w:val="num" w:pos="1710"/>
        </w:tabs>
        <w:ind w:left="2430" w:hanging="1440"/>
      </w:pPr>
      <w:rPr>
        <w:rFonts w:ascii="Times New Roman" w:hAnsi="Times New Roman" w:cs="Times New Roman" w:hint="default"/>
        <w:b/>
        <w:i w:val="0"/>
        <w:caps w:val="0"/>
        <w:smallCaps w:val="0"/>
        <w:strike w:val="0"/>
        <w:dstrike w:val="0"/>
        <w:vanish w:val="0"/>
        <w:color w:val="auto"/>
        <w:spacing w:val="0"/>
        <w:w w:val="100"/>
        <w:kern w:val="0"/>
        <w:position w:val="0"/>
        <w:sz w:val="28"/>
        <w:szCs w:val="28"/>
        <w:u w:val="none"/>
        <w:effect w:val="none"/>
        <w:vertAlign w:val="baseline"/>
      </w:rPr>
    </w:lvl>
    <w:lvl w:ilvl="2">
      <w:start w:val="1"/>
      <w:numFmt w:val="decimal"/>
      <w:pStyle w:val="Heading3"/>
      <w:isLgl/>
      <w:lvlText w:val="%1.%2.%3."/>
      <w:lvlJc w:val="left"/>
      <w:pPr>
        <w:tabs>
          <w:tab w:val="num" w:pos="-108"/>
        </w:tabs>
        <w:ind w:left="4068" w:hanging="2448"/>
      </w:pPr>
      <w:rPr>
        <w:rFonts w:cs="Times New Roman"/>
        <w:b/>
        <w:bCs w:val="0"/>
        <w:i w:val="0"/>
        <w:iCs w:val="0"/>
        <w:caps w:val="0"/>
        <w:smallCaps w:val="0"/>
        <w:strike w:val="0"/>
        <w:dstrike w:val="0"/>
        <w:noProof w:val="0"/>
        <w:vanish w:val="0"/>
        <w:color w:val="00000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b/>
        <w:bCs w:val="0"/>
        <w:i w:val="0"/>
        <w:iCs w:val="0"/>
        <w:caps w:val="0"/>
        <w:smallCaps w:val="0"/>
        <w:strike w:val="0"/>
        <w:dstrike w:val="0"/>
        <w:noProof w:val="0"/>
        <w:vanish w:val="0"/>
        <w:color w:val="000000"/>
        <w:spacing w:val="0"/>
        <w:kern w:val="0"/>
        <w:position w:val="0"/>
        <w:sz w:val="28"/>
        <w:szCs w:val="28"/>
        <w:u w:val="none"/>
        <w:vertAlign w:val="baseline"/>
        <w:em w:val="none"/>
      </w:rPr>
    </w:lvl>
    <w:lvl w:ilvl="4">
      <w:start w:val="1"/>
      <w:numFmt w:val="none"/>
      <w:pStyle w:val="Heading5"/>
      <w:suff w:val="nothing"/>
      <w:lvlText w:val=""/>
      <w:lvlJc w:val="left"/>
      <w:pPr>
        <w:ind w:left="-504"/>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31" w15:restartNumberingAfterBreak="0">
    <w:nsid w:val="57814111"/>
    <w:multiLevelType w:val="hybridMultilevel"/>
    <w:tmpl w:val="CF90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E63B3A"/>
    <w:multiLevelType w:val="hybridMultilevel"/>
    <w:tmpl w:val="A9C2F93C"/>
    <w:lvl w:ilvl="0" w:tplc="66961610">
      <w:start w:val="1"/>
      <w:numFmt w:val="bullet"/>
      <w:lvlText w:val=""/>
      <w:lvlJc w:val="left"/>
      <w:pPr>
        <w:tabs>
          <w:tab w:val="num" w:pos="720"/>
        </w:tabs>
        <w:ind w:left="720" w:hanging="360"/>
      </w:pPr>
      <w:rPr>
        <w:rFonts w:ascii="Symbol" w:hAnsi="Symbol" w:hint="default"/>
        <w:color w:val="auto"/>
        <w:sz w:val="28"/>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382C1B"/>
    <w:multiLevelType w:val="hybridMultilevel"/>
    <w:tmpl w:val="4FECA568"/>
    <w:lvl w:ilvl="0" w:tplc="04090001">
      <w:start w:val="1"/>
      <w:numFmt w:val="bullet"/>
      <w:lvlText w:val=""/>
      <w:lvlJc w:val="left"/>
      <w:pPr>
        <w:tabs>
          <w:tab w:val="num" w:pos="360"/>
        </w:tabs>
        <w:ind w:left="360" w:hanging="360"/>
      </w:pPr>
      <w:rPr>
        <w:rFonts w:ascii="Symbol" w:hAnsi="Symbol" w:hint="default"/>
      </w:rPr>
    </w:lvl>
    <w:lvl w:ilvl="1" w:tplc="395CDB6A">
      <w:numFmt w:val="bullet"/>
      <w:lvlText w:val="-"/>
      <w:lvlJc w:val="left"/>
      <w:pPr>
        <w:tabs>
          <w:tab w:val="num" w:pos="1080"/>
        </w:tabs>
        <w:ind w:left="1080" w:hanging="360"/>
      </w:pPr>
      <w:rPr>
        <w:rFonts w:ascii="Times New Roman" w:eastAsia="Times New Roman" w:hAnsi="Times New Roman" w:hint="default"/>
      </w:rPr>
    </w:lvl>
    <w:lvl w:ilvl="2" w:tplc="04090005">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78102FA"/>
    <w:multiLevelType w:val="hybridMultilevel"/>
    <w:tmpl w:val="7BF4D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AB1438F"/>
    <w:multiLevelType w:val="hybridMultilevel"/>
    <w:tmpl w:val="0DC23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40530A"/>
    <w:multiLevelType w:val="hybridMultilevel"/>
    <w:tmpl w:val="E3DC1E50"/>
    <w:lvl w:ilvl="0" w:tplc="41780B10">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C45B36"/>
    <w:multiLevelType w:val="hybridMultilevel"/>
    <w:tmpl w:val="E258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25841"/>
    <w:multiLevelType w:val="hybridMultilevel"/>
    <w:tmpl w:val="E7647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E412AE"/>
    <w:multiLevelType w:val="hybridMultilevel"/>
    <w:tmpl w:val="A06252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30"/>
  </w:num>
  <w:num w:numId="2">
    <w:abstractNumId w:val="32"/>
  </w:num>
  <w:num w:numId="3">
    <w:abstractNumId w:val="33"/>
  </w:num>
  <w:num w:numId="4">
    <w:abstractNumId w:val="28"/>
  </w:num>
  <w:num w:numId="5">
    <w:abstractNumId w:val="3"/>
  </w:num>
  <w:num w:numId="6">
    <w:abstractNumId w:val="4"/>
  </w:num>
  <w:num w:numId="7">
    <w:abstractNumId w:val="15"/>
  </w:num>
  <w:num w:numId="8">
    <w:abstractNumId w:val="19"/>
  </w:num>
  <w:num w:numId="9">
    <w:abstractNumId w:val="17"/>
  </w:num>
  <w:num w:numId="10">
    <w:abstractNumId w:val="2"/>
  </w:num>
  <w:num w:numId="11">
    <w:abstractNumId w:val="5"/>
  </w:num>
  <w:num w:numId="12">
    <w:abstractNumId w:val="16"/>
  </w:num>
  <w:num w:numId="13">
    <w:abstractNumId w:val="39"/>
  </w:num>
  <w:num w:numId="14">
    <w:abstractNumId w:val="25"/>
  </w:num>
  <w:num w:numId="15">
    <w:abstractNumId w:val="18"/>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2"/>
  </w:num>
  <w:num w:numId="19">
    <w:abstractNumId w:val="34"/>
  </w:num>
  <w:num w:numId="20">
    <w:abstractNumId w:val="29"/>
  </w:num>
  <w:num w:numId="21">
    <w:abstractNumId w:val="27"/>
  </w:num>
  <w:num w:numId="22">
    <w:abstractNumId w:val="38"/>
  </w:num>
  <w:num w:numId="23">
    <w:abstractNumId w:val="21"/>
  </w:num>
  <w:num w:numId="24">
    <w:abstractNumId w:val="7"/>
  </w:num>
  <w:num w:numId="25">
    <w:abstractNumId w:val="26"/>
  </w:num>
  <w:num w:numId="26">
    <w:abstractNumId w:val="35"/>
  </w:num>
  <w:num w:numId="27">
    <w:abstractNumId w:val="37"/>
  </w:num>
  <w:num w:numId="28">
    <w:abstractNumId w:val="24"/>
  </w:num>
  <w:num w:numId="29">
    <w:abstractNumId w:val="29"/>
  </w:num>
  <w:num w:numId="30">
    <w:abstractNumId w:val="20"/>
  </w:num>
  <w:num w:numId="31">
    <w:abstractNumId w:val="31"/>
  </w:num>
  <w:num w:numId="32">
    <w:abstractNumId w:val="1"/>
  </w:num>
  <w:num w:numId="33">
    <w:abstractNumId w:val="23"/>
  </w:num>
  <w:num w:numId="34">
    <w:abstractNumId w:val="10"/>
  </w:num>
  <w:num w:numId="35">
    <w:abstractNumId w:val="14"/>
  </w:num>
  <w:num w:numId="36">
    <w:abstractNumId w:val="8"/>
  </w:num>
  <w:num w:numId="37">
    <w:abstractNumId w:val="13"/>
  </w:num>
  <w:num w:numId="38">
    <w:abstractNumId w:val="6"/>
  </w:num>
  <w:num w:numId="39">
    <w:abstractNumId w:val="9"/>
  </w:num>
  <w:num w:numId="40">
    <w:abstractNumId w:val="36"/>
  </w:num>
  <w:num w:numId="41">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doNotHyphenateCaps/>
  <w:drawingGridHorizontalSpacing w:val="110"/>
  <w:displayHorizontalDrawingGridEvery w:val="2"/>
  <w:characterSpacingControl w:val="doNotCompress"/>
  <w:hdrShapeDefaults>
    <o:shapedefaults v:ext="edit" spidmax="4956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5C"/>
    <w:rsid w:val="0000095F"/>
    <w:rsid w:val="00000A12"/>
    <w:rsid w:val="00000E3F"/>
    <w:rsid w:val="00000F57"/>
    <w:rsid w:val="0000204C"/>
    <w:rsid w:val="000024E5"/>
    <w:rsid w:val="0000260B"/>
    <w:rsid w:val="00002BA6"/>
    <w:rsid w:val="00002C3D"/>
    <w:rsid w:val="000032B9"/>
    <w:rsid w:val="00003340"/>
    <w:rsid w:val="000040E7"/>
    <w:rsid w:val="00004AD0"/>
    <w:rsid w:val="00004EE3"/>
    <w:rsid w:val="00005191"/>
    <w:rsid w:val="00005531"/>
    <w:rsid w:val="0000605A"/>
    <w:rsid w:val="000068A0"/>
    <w:rsid w:val="00006C0E"/>
    <w:rsid w:val="00006FBB"/>
    <w:rsid w:val="00007279"/>
    <w:rsid w:val="000073F6"/>
    <w:rsid w:val="000077E1"/>
    <w:rsid w:val="00007D2A"/>
    <w:rsid w:val="0001001F"/>
    <w:rsid w:val="0001007F"/>
    <w:rsid w:val="00010D9D"/>
    <w:rsid w:val="000113AA"/>
    <w:rsid w:val="00012063"/>
    <w:rsid w:val="000126AA"/>
    <w:rsid w:val="0001390B"/>
    <w:rsid w:val="000139A9"/>
    <w:rsid w:val="00013B10"/>
    <w:rsid w:val="0001444A"/>
    <w:rsid w:val="000149B8"/>
    <w:rsid w:val="00014AA9"/>
    <w:rsid w:val="00014FC1"/>
    <w:rsid w:val="00015391"/>
    <w:rsid w:val="000157F8"/>
    <w:rsid w:val="00015E41"/>
    <w:rsid w:val="00015EDB"/>
    <w:rsid w:val="00015F1E"/>
    <w:rsid w:val="00016DB7"/>
    <w:rsid w:val="0001743A"/>
    <w:rsid w:val="00017948"/>
    <w:rsid w:val="000200F6"/>
    <w:rsid w:val="000202D4"/>
    <w:rsid w:val="00020AB4"/>
    <w:rsid w:val="00021121"/>
    <w:rsid w:val="000215AC"/>
    <w:rsid w:val="00021AF8"/>
    <w:rsid w:val="00021D6A"/>
    <w:rsid w:val="00021E9D"/>
    <w:rsid w:val="00022216"/>
    <w:rsid w:val="00022B68"/>
    <w:rsid w:val="00022C38"/>
    <w:rsid w:val="00022D92"/>
    <w:rsid w:val="00023833"/>
    <w:rsid w:val="00023DBD"/>
    <w:rsid w:val="00024EEA"/>
    <w:rsid w:val="000252FA"/>
    <w:rsid w:val="0002549F"/>
    <w:rsid w:val="00025757"/>
    <w:rsid w:val="0002595E"/>
    <w:rsid w:val="00025A95"/>
    <w:rsid w:val="00025D52"/>
    <w:rsid w:val="0002608D"/>
    <w:rsid w:val="00026388"/>
    <w:rsid w:val="00026649"/>
    <w:rsid w:val="000273F3"/>
    <w:rsid w:val="00027626"/>
    <w:rsid w:val="0002782D"/>
    <w:rsid w:val="00027BD6"/>
    <w:rsid w:val="00027CBD"/>
    <w:rsid w:val="00027F84"/>
    <w:rsid w:val="000301BC"/>
    <w:rsid w:val="00030307"/>
    <w:rsid w:val="00030776"/>
    <w:rsid w:val="00030AEE"/>
    <w:rsid w:val="00030C0C"/>
    <w:rsid w:val="00030E6F"/>
    <w:rsid w:val="00030EA3"/>
    <w:rsid w:val="00031A9E"/>
    <w:rsid w:val="00031F7A"/>
    <w:rsid w:val="00032487"/>
    <w:rsid w:val="00032940"/>
    <w:rsid w:val="00032AF7"/>
    <w:rsid w:val="00032CD7"/>
    <w:rsid w:val="00033235"/>
    <w:rsid w:val="0003396D"/>
    <w:rsid w:val="00033D43"/>
    <w:rsid w:val="000341A1"/>
    <w:rsid w:val="00034250"/>
    <w:rsid w:val="00034BD6"/>
    <w:rsid w:val="00034E74"/>
    <w:rsid w:val="00034F6C"/>
    <w:rsid w:val="00034FEC"/>
    <w:rsid w:val="00035B6C"/>
    <w:rsid w:val="00035C12"/>
    <w:rsid w:val="0003601F"/>
    <w:rsid w:val="000361E6"/>
    <w:rsid w:val="0003641C"/>
    <w:rsid w:val="00036C26"/>
    <w:rsid w:val="000371D4"/>
    <w:rsid w:val="0003742E"/>
    <w:rsid w:val="00037BC0"/>
    <w:rsid w:val="00037F53"/>
    <w:rsid w:val="0004010F"/>
    <w:rsid w:val="000403BB"/>
    <w:rsid w:val="0004090F"/>
    <w:rsid w:val="00040A94"/>
    <w:rsid w:val="00040B0B"/>
    <w:rsid w:val="00040DCD"/>
    <w:rsid w:val="0004107A"/>
    <w:rsid w:val="00041213"/>
    <w:rsid w:val="00041218"/>
    <w:rsid w:val="000414A2"/>
    <w:rsid w:val="000416A1"/>
    <w:rsid w:val="00041BEE"/>
    <w:rsid w:val="00042183"/>
    <w:rsid w:val="00042307"/>
    <w:rsid w:val="00042BB9"/>
    <w:rsid w:val="00042DF4"/>
    <w:rsid w:val="000430FF"/>
    <w:rsid w:val="0004339E"/>
    <w:rsid w:val="00043606"/>
    <w:rsid w:val="00043632"/>
    <w:rsid w:val="00043EB3"/>
    <w:rsid w:val="0004412B"/>
    <w:rsid w:val="0004415B"/>
    <w:rsid w:val="0004495C"/>
    <w:rsid w:val="00044A93"/>
    <w:rsid w:val="00044B9F"/>
    <w:rsid w:val="00044E1B"/>
    <w:rsid w:val="000450FB"/>
    <w:rsid w:val="0004586E"/>
    <w:rsid w:val="00045CF2"/>
    <w:rsid w:val="00046369"/>
    <w:rsid w:val="00046917"/>
    <w:rsid w:val="000470C6"/>
    <w:rsid w:val="0004748C"/>
    <w:rsid w:val="000500CF"/>
    <w:rsid w:val="00050170"/>
    <w:rsid w:val="00050247"/>
    <w:rsid w:val="000505F2"/>
    <w:rsid w:val="00050AFE"/>
    <w:rsid w:val="00050BC1"/>
    <w:rsid w:val="00050BC8"/>
    <w:rsid w:val="00050DFA"/>
    <w:rsid w:val="00051DDE"/>
    <w:rsid w:val="0005227F"/>
    <w:rsid w:val="0005288F"/>
    <w:rsid w:val="00052C5F"/>
    <w:rsid w:val="00053510"/>
    <w:rsid w:val="00053673"/>
    <w:rsid w:val="000538A2"/>
    <w:rsid w:val="0005400F"/>
    <w:rsid w:val="0005517E"/>
    <w:rsid w:val="00055593"/>
    <w:rsid w:val="00055A68"/>
    <w:rsid w:val="00055C42"/>
    <w:rsid w:val="00055F46"/>
    <w:rsid w:val="0005653D"/>
    <w:rsid w:val="000568B6"/>
    <w:rsid w:val="00056B9E"/>
    <w:rsid w:val="00056BB7"/>
    <w:rsid w:val="000572B2"/>
    <w:rsid w:val="000573E1"/>
    <w:rsid w:val="00057883"/>
    <w:rsid w:val="00057901"/>
    <w:rsid w:val="00057DC7"/>
    <w:rsid w:val="00060BF6"/>
    <w:rsid w:val="00061C7F"/>
    <w:rsid w:val="000626BB"/>
    <w:rsid w:val="00062728"/>
    <w:rsid w:val="00062BCC"/>
    <w:rsid w:val="00063884"/>
    <w:rsid w:val="00063F27"/>
    <w:rsid w:val="0006413C"/>
    <w:rsid w:val="00064288"/>
    <w:rsid w:val="000653E1"/>
    <w:rsid w:val="00065BAE"/>
    <w:rsid w:val="00065D21"/>
    <w:rsid w:val="0006676B"/>
    <w:rsid w:val="0006678C"/>
    <w:rsid w:val="00066ABC"/>
    <w:rsid w:val="000670C4"/>
    <w:rsid w:val="000670F3"/>
    <w:rsid w:val="0006798B"/>
    <w:rsid w:val="00067A1A"/>
    <w:rsid w:val="00067A79"/>
    <w:rsid w:val="00067D93"/>
    <w:rsid w:val="000703F7"/>
    <w:rsid w:val="00070FF9"/>
    <w:rsid w:val="00071227"/>
    <w:rsid w:val="00071792"/>
    <w:rsid w:val="00071899"/>
    <w:rsid w:val="000719CD"/>
    <w:rsid w:val="00072366"/>
    <w:rsid w:val="00072750"/>
    <w:rsid w:val="00073ACA"/>
    <w:rsid w:val="000741A8"/>
    <w:rsid w:val="000747E0"/>
    <w:rsid w:val="00074C02"/>
    <w:rsid w:val="00075208"/>
    <w:rsid w:val="00075926"/>
    <w:rsid w:val="00075E60"/>
    <w:rsid w:val="000760DC"/>
    <w:rsid w:val="000767A6"/>
    <w:rsid w:val="000767D8"/>
    <w:rsid w:val="000802DB"/>
    <w:rsid w:val="00080992"/>
    <w:rsid w:val="00081A4B"/>
    <w:rsid w:val="00082399"/>
    <w:rsid w:val="00082B41"/>
    <w:rsid w:val="00082DAF"/>
    <w:rsid w:val="00082F09"/>
    <w:rsid w:val="0008376A"/>
    <w:rsid w:val="00083ADC"/>
    <w:rsid w:val="00083B74"/>
    <w:rsid w:val="00083BCA"/>
    <w:rsid w:val="00084D66"/>
    <w:rsid w:val="00084FB5"/>
    <w:rsid w:val="00085583"/>
    <w:rsid w:val="00085783"/>
    <w:rsid w:val="00085C6F"/>
    <w:rsid w:val="0008680F"/>
    <w:rsid w:val="0008735C"/>
    <w:rsid w:val="000905E6"/>
    <w:rsid w:val="000908BC"/>
    <w:rsid w:val="00090D69"/>
    <w:rsid w:val="00091165"/>
    <w:rsid w:val="0009132E"/>
    <w:rsid w:val="00091944"/>
    <w:rsid w:val="000919A6"/>
    <w:rsid w:val="00091A51"/>
    <w:rsid w:val="000920C6"/>
    <w:rsid w:val="0009282C"/>
    <w:rsid w:val="00092BD0"/>
    <w:rsid w:val="00092F97"/>
    <w:rsid w:val="00093401"/>
    <w:rsid w:val="000948DE"/>
    <w:rsid w:val="00094B9D"/>
    <w:rsid w:val="000957C3"/>
    <w:rsid w:val="00096504"/>
    <w:rsid w:val="00096691"/>
    <w:rsid w:val="00096D0E"/>
    <w:rsid w:val="00096ED9"/>
    <w:rsid w:val="0009719C"/>
    <w:rsid w:val="000971EE"/>
    <w:rsid w:val="0009798F"/>
    <w:rsid w:val="00097A11"/>
    <w:rsid w:val="00097A20"/>
    <w:rsid w:val="00097CA1"/>
    <w:rsid w:val="00097D6F"/>
    <w:rsid w:val="00097F1C"/>
    <w:rsid w:val="000A1E54"/>
    <w:rsid w:val="000A2285"/>
    <w:rsid w:val="000A26A5"/>
    <w:rsid w:val="000A3072"/>
    <w:rsid w:val="000A3417"/>
    <w:rsid w:val="000A3640"/>
    <w:rsid w:val="000A44A9"/>
    <w:rsid w:val="000A4781"/>
    <w:rsid w:val="000A4932"/>
    <w:rsid w:val="000A4B95"/>
    <w:rsid w:val="000A532F"/>
    <w:rsid w:val="000A5568"/>
    <w:rsid w:val="000A61F2"/>
    <w:rsid w:val="000A6F69"/>
    <w:rsid w:val="000A75AC"/>
    <w:rsid w:val="000B0AAC"/>
    <w:rsid w:val="000B185F"/>
    <w:rsid w:val="000B19E8"/>
    <w:rsid w:val="000B22E4"/>
    <w:rsid w:val="000B306A"/>
    <w:rsid w:val="000B360B"/>
    <w:rsid w:val="000B3B03"/>
    <w:rsid w:val="000B3C4A"/>
    <w:rsid w:val="000B4432"/>
    <w:rsid w:val="000B4833"/>
    <w:rsid w:val="000B4955"/>
    <w:rsid w:val="000B4C4F"/>
    <w:rsid w:val="000B4D58"/>
    <w:rsid w:val="000B5090"/>
    <w:rsid w:val="000B5150"/>
    <w:rsid w:val="000B51C4"/>
    <w:rsid w:val="000B51C7"/>
    <w:rsid w:val="000B53F5"/>
    <w:rsid w:val="000B5C21"/>
    <w:rsid w:val="000B5CFA"/>
    <w:rsid w:val="000B61F2"/>
    <w:rsid w:val="000B6ED7"/>
    <w:rsid w:val="000B750E"/>
    <w:rsid w:val="000B7853"/>
    <w:rsid w:val="000C03DC"/>
    <w:rsid w:val="000C07F4"/>
    <w:rsid w:val="000C09E9"/>
    <w:rsid w:val="000C0B6A"/>
    <w:rsid w:val="000C0BE9"/>
    <w:rsid w:val="000C120D"/>
    <w:rsid w:val="000C1A9F"/>
    <w:rsid w:val="000C1F43"/>
    <w:rsid w:val="000C20B8"/>
    <w:rsid w:val="000C2A96"/>
    <w:rsid w:val="000C386D"/>
    <w:rsid w:val="000C3D7D"/>
    <w:rsid w:val="000C413A"/>
    <w:rsid w:val="000C45D0"/>
    <w:rsid w:val="000C46C6"/>
    <w:rsid w:val="000C52FB"/>
    <w:rsid w:val="000C55A8"/>
    <w:rsid w:val="000C560F"/>
    <w:rsid w:val="000C5854"/>
    <w:rsid w:val="000C5E97"/>
    <w:rsid w:val="000C6445"/>
    <w:rsid w:val="000D0453"/>
    <w:rsid w:val="000D1010"/>
    <w:rsid w:val="000D2002"/>
    <w:rsid w:val="000D2054"/>
    <w:rsid w:val="000D2871"/>
    <w:rsid w:val="000D2F75"/>
    <w:rsid w:val="000D2F7C"/>
    <w:rsid w:val="000D3404"/>
    <w:rsid w:val="000D351A"/>
    <w:rsid w:val="000D3546"/>
    <w:rsid w:val="000D3863"/>
    <w:rsid w:val="000D4607"/>
    <w:rsid w:val="000D4863"/>
    <w:rsid w:val="000D67CE"/>
    <w:rsid w:val="000D6A51"/>
    <w:rsid w:val="000D6B28"/>
    <w:rsid w:val="000D6C4F"/>
    <w:rsid w:val="000D6F8E"/>
    <w:rsid w:val="000D700F"/>
    <w:rsid w:val="000D7D0F"/>
    <w:rsid w:val="000D7E33"/>
    <w:rsid w:val="000E0500"/>
    <w:rsid w:val="000E0B35"/>
    <w:rsid w:val="000E0EC9"/>
    <w:rsid w:val="000E1909"/>
    <w:rsid w:val="000E1B93"/>
    <w:rsid w:val="000E1D40"/>
    <w:rsid w:val="000E2568"/>
    <w:rsid w:val="000E2A8D"/>
    <w:rsid w:val="000E2B0B"/>
    <w:rsid w:val="000E2BA7"/>
    <w:rsid w:val="000E2C66"/>
    <w:rsid w:val="000E3699"/>
    <w:rsid w:val="000E3997"/>
    <w:rsid w:val="000E4071"/>
    <w:rsid w:val="000E439B"/>
    <w:rsid w:val="000E4434"/>
    <w:rsid w:val="000E4EBE"/>
    <w:rsid w:val="000E52A1"/>
    <w:rsid w:val="000E5661"/>
    <w:rsid w:val="000E5B93"/>
    <w:rsid w:val="000E607F"/>
    <w:rsid w:val="000E628C"/>
    <w:rsid w:val="000E6A3C"/>
    <w:rsid w:val="000E6BE6"/>
    <w:rsid w:val="000E6C23"/>
    <w:rsid w:val="000E6F21"/>
    <w:rsid w:val="000E7384"/>
    <w:rsid w:val="000E7D16"/>
    <w:rsid w:val="000F00EB"/>
    <w:rsid w:val="000F0159"/>
    <w:rsid w:val="000F025D"/>
    <w:rsid w:val="000F032F"/>
    <w:rsid w:val="000F0682"/>
    <w:rsid w:val="000F0925"/>
    <w:rsid w:val="000F0C95"/>
    <w:rsid w:val="000F11BB"/>
    <w:rsid w:val="000F1757"/>
    <w:rsid w:val="000F1F84"/>
    <w:rsid w:val="000F2269"/>
    <w:rsid w:val="000F2AAA"/>
    <w:rsid w:val="000F3179"/>
    <w:rsid w:val="000F327E"/>
    <w:rsid w:val="000F3405"/>
    <w:rsid w:val="000F3B82"/>
    <w:rsid w:val="000F40B2"/>
    <w:rsid w:val="000F42CB"/>
    <w:rsid w:val="000F44B9"/>
    <w:rsid w:val="000F4CD9"/>
    <w:rsid w:val="000F51F2"/>
    <w:rsid w:val="000F62CD"/>
    <w:rsid w:val="000F6FAA"/>
    <w:rsid w:val="000F6FF8"/>
    <w:rsid w:val="000F7347"/>
    <w:rsid w:val="000F7722"/>
    <w:rsid w:val="000F77C9"/>
    <w:rsid w:val="000F7890"/>
    <w:rsid w:val="000F7F9F"/>
    <w:rsid w:val="00100204"/>
    <w:rsid w:val="00100588"/>
    <w:rsid w:val="0010058E"/>
    <w:rsid w:val="00100DAB"/>
    <w:rsid w:val="0010117D"/>
    <w:rsid w:val="00101312"/>
    <w:rsid w:val="0010167A"/>
    <w:rsid w:val="001018BD"/>
    <w:rsid w:val="00101FF4"/>
    <w:rsid w:val="00102650"/>
    <w:rsid w:val="00102CCD"/>
    <w:rsid w:val="0010330E"/>
    <w:rsid w:val="0010334B"/>
    <w:rsid w:val="001037E8"/>
    <w:rsid w:val="001040C4"/>
    <w:rsid w:val="00104349"/>
    <w:rsid w:val="00104A0A"/>
    <w:rsid w:val="00105690"/>
    <w:rsid w:val="00105939"/>
    <w:rsid w:val="0010696D"/>
    <w:rsid w:val="00106E8B"/>
    <w:rsid w:val="001070BD"/>
    <w:rsid w:val="0010725B"/>
    <w:rsid w:val="00107796"/>
    <w:rsid w:val="00107EFC"/>
    <w:rsid w:val="001100F8"/>
    <w:rsid w:val="00110F1D"/>
    <w:rsid w:val="00111378"/>
    <w:rsid w:val="0011186B"/>
    <w:rsid w:val="00111C8E"/>
    <w:rsid w:val="00111FA8"/>
    <w:rsid w:val="00112C0D"/>
    <w:rsid w:val="00112CD5"/>
    <w:rsid w:val="00113A5C"/>
    <w:rsid w:val="00113CF7"/>
    <w:rsid w:val="00114154"/>
    <w:rsid w:val="00114A49"/>
    <w:rsid w:val="00114D42"/>
    <w:rsid w:val="001150CA"/>
    <w:rsid w:val="0011547C"/>
    <w:rsid w:val="001154ED"/>
    <w:rsid w:val="00115BC4"/>
    <w:rsid w:val="00116510"/>
    <w:rsid w:val="00116536"/>
    <w:rsid w:val="00116814"/>
    <w:rsid w:val="00116AB7"/>
    <w:rsid w:val="00116C64"/>
    <w:rsid w:val="00116CBB"/>
    <w:rsid w:val="00117771"/>
    <w:rsid w:val="00117919"/>
    <w:rsid w:val="00117AC4"/>
    <w:rsid w:val="00117BEC"/>
    <w:rsid w:val="00117D14"/>
    <w:rsid w:val="00117F7E"/>
    <w:rsid w:val="00120B89"/>
    <w:rsid w:val="0012145D"/>
    <w:rsid w:val="001218D5"/>
    <w:rsid w:val="00121BA0"/>
    <w:rsid w:val="00121E44"/>
    <w:rsid w:val="00121FA9"/>
    <w:rsid w:val="001221B8"/>
    <w:rsid w:val="00122522"/>
    <w:rsid w:val="0012314D"/>
    <w:rsid w:val="001234CA"/>
    <w:rsid w:val="001239ED"/>
    <w:rsid w:val="00123B0F"/>
    <w:rsid w:val="00124157"/>
    <w:rsid w:val="001245F9"/>
    <w:rsid w:val="00124EEE"/>
    <w:rsid w:val="00124FBC"/>
    <w:rsid w:val="00125195"/>
    <w:rsid w:val="0012571E"/>
    <w:rsid w:val="00125C16"/>
    <w:rsid w:val="00125E22"/>
    <w:rsid w:val="00125F72"/>
    <w:rsid w:val="00125FF8"/>
    <w:rsid w:val="001262C1"/>
    <w:rsid w:val="001267EE"/>
    <w:rsid w:val="001269CD"/>
    <w:rsid w:val="00126AA7"/>
    <w:rsid w:val="00126BE9"/>
    <w:rsid w:val="00126E9D"/>
    <w:rsid w:val="00127271"/>
    <w:rsid w:val="00127544"/>
    <w:rsid w:val="001305A4"/>
    <w:rsid w:val="00130648"/>
    <w:rsid w:val="001306CE"/>
    <w:rsid w:val="00130AB0"/>
    <w:rsid w:val="00130EDE"/>
    <w:rsid w:val="00131708"/>
    <w:rsid w:val="001318A6"/>
    <w:rsid w:val="00131D5F"/>
    <w:rsid w:val="00131FC1"/>
    <w:rsid w:val="001321AE"/>
    <w:rsid w:val="0013284D"/>
    <w:rsid w:val="00132AC3"/>
    <w:rsid w:val="00133545"/>
    <w:rsid w:val="00133FDA"/>
    <w:rsid w:val="00133FFF"/>
    <w:rsid w:val="00134060"/>
    <w:rsid w:val="0013431E"/>
    <w:rsid w:val="0013436C"/>
    <w:rsid w:val="0013494F"/>
    <w:rsid w:val="00134DE8"/>
    <w:rsid w:val="00134F68"/>
    <w:rsid w:val="0013504B"/>
    <w:rsid w:val="0013508A"/>
    <w:rsid w:val="001357F6"/>
    <w:rsid w:val="00136743"/>
    <w:rsid w:val="00136A80"/>
    <w:rsid w:val="00136C42"/>
    <w:rsid w:val="001376F1"/>
    <w:rsid w:val="00137764"/>
    <w:rsid w:val="00137B28"/>
    <w:rsid w:val="00137BB3"/>
    <w:rsid w:val="00137BF5"/>
    <w:rsid w:val="00141061"/>
    <w:rsid w:val="00141411"/>
    <w:rsid w:val="00141505"/>
    <w:rsid w:val="001416F2"/>
    <w:rsid w:val="00141A39"/>
    <w:rsid w:val="00141FE6"/>
    <w:rsid w:val="00142066"/>
    <w:rsid w:val="00142264"/>
    <w:rsid w:val="001426EB"/>
    <w:rsid w:val="00143200"/>
    <w:rsid w:val="001437D1"/>
    <w:rsid w:val="00143EA6"/>
    <w:rsid w:val="00143F84"/>
    <w:rsid w:val="0014428D"/>
    <w:rsid w:val="001442B1"/>
    <w:rsid w:val="00144328"/>
    <w:rsid w:val="001447D9"/>
    <w:rsid w:val="00144BF9"/>
    <w:rsid w:val="001458E5"/>
    <w:rsid w:val="001459E2"/>
    <w:rsid w:val="00146C41"/>
    <w:rsid w:val="00147684"/>
    <w:rsid w:val="0014788F"/>
    <w:rsid w:val="00147F6B"/>
    <w:rsid w:val="0015003E"/>
    <w:rsid w:val="001500D8"/>
    <w:rsid w:val="0015062C"/>
    <w:rsid w:val="00150CCB"/>
    <w:rsid w:val="00150CE9"/>
    <w:rsid w:val="0015203E"/>
    <w:rsid w:val="0015298C"/>
    <w:rsid w:val="00152A72"/>
    <w:rsid w:val="00152FDE"/>
    <w:rsid w:val="00153750"/>
    <w:rsid w:val="00153753"/>
    <w:rsid w:val="00153DBE"/>
    <w:rsid w:val="00154030"/>
    <w:rsid w:val="001540C9"/>
    <w:rsid w:val="00154136"/>
    <w:rsid w:val="001546C1"/>
    <w:rsid w:val="00155560"/>
    <w:rsid w:val="00156282"/>
    <w:rsid w:val="001562C0"/>
    <w:rsid w:val="001563D4"/>
    <w:rsid w:val="00157028"/>
    <w:rsid w:val="001570BB"/>
    <w:rsid w:val="0015731B"/>
    <w:rsid w:val="00157566"/>
    <w:rsid w:val="00157A4B"/>
    <w:rsid w:val="0016110D"/>
    <w:rsid w:val="00161356"/>
    <w:rsid w:val="0016180D"/>
    <w:rsid w:val="00161B21"/>
    <w:rsid w:val="00161BA9"/>
    <w:rsid w:val="00162BD7"/>
    <w:rsid w:val="00162CD4"/>
    <w:rsid w:val="00163521"/>
    <w:rsid w:val="001637AA"/>
    <w:rsid w:val="001637B1"/>
    <w:rsid w:val="00163A76"/>
    <w:rsid w:val="00163B2D"/>
    <w:rsid w:val="0016497D"/>
    <w:rsid w:val="00164A4D"/>
    <w:rsid w:val="00164B1E"/>
    <w:rsid w:val="001650AD"/>
    <w:rsid w:val="00165461"/>
    <w:rsid w:val="00165A8A"/>
    <w:rsid w:val="00165D0D"/>
    <w:rsid w:val="00165D7D"/>
    <w:rsid w:val="0016624F"/>
    <w:rsid w:val="001663BE"/>
    <w:rsid w:val="001665A9"/>
    <w:rsid w:val="00166AD6"/>
    <w:rsid w:val="00167214"/>
    <w:rsid w:val="001675D9"/>
    <w:rsid w:val="00170095"/>
    <w:rsid w:val="0017028A"/>
    <w:rsid w:val="00170570"/>
    <w:rsid w:val="00170E9E"/>
    <w:rsid w:val="00171201"/>
    <w:rsid w:val="001712F8"/>
    <w:rsid w:val="00171735"/>
    <w:rsid w:val="001719EB"/>
    <w:rsid w:val="00172211"/>
    <w:rsid w:val="001722D4"/>
    <w:rsid w:val="001723D2"/>
    <w:rsid w:val="00172445"/>
    <w:rsid w:val="001731C0"/>
    <w:rsid w:val="001733E5"/>
    <w:rsid w:val="00173DC2"/>
    <w:rsid w:val="00174B59"/>
    <w:rsid w:val="00174CFA"/>
    <w:rsid w:val="0017514F"/>
    <w:rsid w:val="00175450"/>
    <w:rsid w:val="00175493"/>
    <w:rsid w:val="001754BB"/>
    <w:rsid w:val="00175D95"/>
    <w:rsid w:val="001763E3"/>
    <w:rsid w:val="00176406"/>
    <w:rsid w:val="00177118"/>
    <w:rsid w:val="00177305"/>
    <w:rsid w:val="00177A94"/>
    <w:rsid w:val="00180C75"/>
    <w:rsid w:val="0018156B"/>
    <w:rsid w:val="00182314"/>
    <w:rsid w:val="001824C0"/>
    <w:rsid w:val="00182C03"/>
    <w:rsid w:val="00182D97"/>
    <w:rsid w:val="00182EFC"/>
    <w:rsid w:val="00182F57"/>
    <w:rsid w:val="001832A5"/>
    <w:rsid w:val="001836EA"/>
    <w:rsid w:val="00183871"/>
    <w:rsid w:val="001843BB"/>
    <w:rsid w:val="00184C7C"/>
    <w:rsid w:val="00184F5B"/>
    <w:rsid w:val="00185478"/>
    <w:rsid w:val="00185D6E"/>
    <w:rsid w:val="00186272"/>
    <w:rsid w:val="0018655A"/>
    <w:rsid w:val="001868E4"/>
    <w:rsid w:val="00186A4B"/>
    <w:rsid w:val="00186E3E"/>
    <w:rsid w:val="0018747D"/>
    <w:rsid w:val="0019002F"/>
    <w:rsid w:val="00190249"/>
    <w:rsid w:val="00190262"/>
    <w:rsid w:val="00190EA1"/>
    <w:rsid w:val="00191191"/>
    <w:rsid w:val="0019137F"/>
    <w:rsid w:val="0019144C"/>
    <w:rsid w:val="001920F6"/>
    <w:rsid w:val="00192736"/>
    <w:rsid w:val="00193828"/>
    <w:rsid w:val="00193A96"/>
    <w:rsid w:val="00193B4B"/>
    <w:rsid w:val="00193EF1"/>
    <w:rsid w:val="00194019"/>
    <w:rsid w:val="001943C1"/>
    <w:rsid w:val="0019462E"/>
    <w:rsid w:val="001946CA"/>
    <w:rsid w:val="001946FF"/>
    <w:rsid w:val="001949ED"/>
    <w:rsid w:val="00194F7F"/>
    <w:rsid w:val="0019525C"/>
    <w:rsid w:val="00195451"/>
    <w:rsid w:val="00195471"/>
    <w:rsid w:val="00195728"/>
    <w:rsid w:val="001959D0"/>
    <w:rsid w:val="00195DD0"/>
    <w:rsid w:val="00196135"/>
    <w:rsid w:val="00196225"/>
    <w:rsid w:val="0019654C"/>
    <w:rsid w:val="0019671B"/>
    <w:rsid w:val="001968FA"/>
    <w:rsid w:val="00196B26"/>
    <w:rsid w:val="00196D90"/>
    <w:rsid w:val="00196DC2"/>
    <w:rsid w:val="00197169"/>
    <w:rsid w:val="00197646"/>
    <w:rsid w:val="0019765B"/>
    <w:rsid w:val="001978E7"/>
    <w:rsid w:val="001978E8"/>
    <w:rsid w:val="001A0309"/>
    <w:rsid w:val="001A0CBD"/>
    <w:rsid w:val="001A140B"/>
    <w:rsid w:val="001A2335"/>
    <w:rsid w:val="001A271C"/>
    <w:rsid w:val="001A2ABC"/>
    <w:rsid w:val="001A2D85"/>
    <w:rsid w:val="001A3040"/>
    <w:rsid w:val="001A331C"/>
    <w:rsid w:val="001A36B7"/>
    <w:rsid w:val="001A3ACB"/>
    <w:rsid w:val="001A3E76"/>
    <w:rsid w:val="001A4D42"/>
    <w:rsid w:val="001A4E6C"/>
    <w:rsid w:val="001A56B7"/>
    <w:rsid w:val="001A5856"/>
    <w:rsid w:val="001A59FF"/>
    <w:rsid w:val="001A607A"/>
    <w:rsid w:val="001A61A1"/>
    <w:rsid w:val="001A6659"/>
    <w:rsid w:val="001A6D2D"/>
    <w:rsid w:val="001A6F2E"/>
    <w:rsid w:val="001A7175"/>
    <w:rsid w:val="001A71D7"/>
    <w:rsid w:val="001A7437"/>
    <w:rsid w:val="001A78FC"/>
    <w:rsid w:val="001B0289"/>
    <w:rsid w:val="001B0A79"/>
    <w:rsid w:val="001B0E5F"/>
    <w:rsid w:val="001B18E4"/>
    <w:rsid w:val="001B260C"/>
    <w:rsid w:val="001B3324"/>
    <w:rsid w:val="001B340E"/>
    <w:rsid w:val="001B379E"/>
    <w:rsid w:val="001B3998"/>
    <w:rsid w:val="001B3A69"/>
    <w:rsid w:val="001B3CFC"/>
    <w:rsid w:val="001B3E08"/>
    <w:rsid w:val="001B4AEE"/>
    <w:rsid w:val="001B4C63"/>
    <w:rsid w:val="001B5620"/>
    <w:rsid w:val="001B586D"/>
    <w:rsid w:val="001B5B50"/>
    <w:rsid w:val="001B5BE1"/>
    <w:rsid w:val="001B6167"/>
    <w:rsid w:val="001B6451"/>
    <w:rsid w:val="001B64AF"/>
    <w:rsid w:val="001B6518"/>
    <w:rsid w:val="001B686F"/>
    <w:rsid w:val="001B6A6A"/>
    <w:rsid w:val="001C0320"/>
    <w:rsid w:val="001C04E8"/>
    <w:rsid w:val="001C077F"/>
    <w:rsid w:val="001C1383"/>
    <w:rsid w:val="001C14B2"/>
    <w:rsid w:val="001C1631"/>
    <w:rsid w:val="001C1A48"/>
    <w:rsid w:val="001C22A2"/>
    <w:rsid w:val="001C32EA"/>
    <w:rsid w:val="001C383B"/>
    <w:rsid w:val="001C3E4E"/>
    <w:rsid w:val="001C4137"/>
    <w:rsid w:val="001C4316"/>
    <w:rsid w:val="001C46C4"/>
    <w:rsid w:val="001C4C05"/>
    <w:rsid w:val="001C4F5B"/>
    <w:rsid w:val="001C5326"/>
    <w:rsid w:val="001C5FCD"/>
    <w:rsid w:val="001C6CAB"/>
    <w:rsid w:val="001C6F10"/>
    <w:rsid w:val="001C714B"/>
    <w:rsid w:val="001D000A"/>
    <w:rsid w:val="001D0475"/>
    <w:rsid w:val="001D0E0F"/>
    <w:rsid w:val="001D0FEA"/>
    <w:rsid w:val="001D14F1"/>
    <w:rsid w:val="001D1F0E"/>
    <w:rsid w:val="001D22E5"/>
    <w:rsid w:val="001D2566"/>
    <w:rsid w:val="001D34DF"/>
    <w:rsid w:val="001D3511"/>
    <w:rsid w:val="001D3846"/>
    <w:rsid w:val="001D3E2F"/>
    <w:rsid w:val="001D3EFE"/>
    <w:rsid w:val="001D404E"/>
    <w:rsid w:val="001D45EB"/>
    <w:rsid w:val="001D4BEE"/>
    <w:rsid w:val="001D4E3A"/>
    <w:rsid w:val="001D4F46"/>
    <w:rsid w:val="001D501D"/>
    <w:rsid w:val="001D50B8"/>
    <w:rsid w:val="001D50EB"/>
    <w:rsid w:val="001D5186"/>
    <w:rsid w:val="001D545F"/>
    <w:rsid w:val="001D5718"/>
    <w:rsid w:val="001D5BCF"/>
    <w:rsid w:val="001D5BDE"/>
    <w:rsid w:val="001D632A"/>
    <w:rsid w:val="001D65C8"/>
    <w:rsid w:val="001D6AD5"/>
    <w:rsid w:val="001D74C5"/>
    <w:rsid w:val="001D7CAF"/>
    <w:rsid w:val="001D7F77"/>
    <w:rsid w:val="001E0D27"/>
    <w:rsid w:val="001E0D8C"/>
    <w:rsid w:val="001E0F09"/>
    <w:rsid w:val="001E1B86"/>
    <w:rsid w:val="001E2B09"/>
    <w:rsid w:val="001E3862"/>
    <w:rsid w:val="001E39E6"/>
    <w:rsid w:val="001E3FBD"/>
    <w:rsid w:val="001E482A"/>
    <w:rsid w:val="001E4959"/>
    <w:rsid w:val="001E4A0C"/>
    <w:rsid w:val="001E4C82"/>
    <w:rsid w:val="001E4E6E"/>
    <w:rsid w:val="001E4E91"/>
    <w:rsid w:val="001E4F38"/>
    <w:rsid w:val="001E4F60"/>
    <w:rsid w:val="001E5550"/>
    <w:rsid w:val="001E5BE6"/>
    <w:rsid w:val="001E6308"/>
    <w:rsid w:val="001E6330"/>
    <w:rsid w:val="001E68C7"/>
    <w:rsid w:val="001E7534"/>
    <w:rsid w:val="001E7DEC"/>
    <w:rsid w:val="001E7FB1"/>
    <w:rsid w:val="001F247B"/>
    <w:rsid w:val="001F2597"/>
    <w:rsid w:val="001F27F6"/>
    <w:rsid w:val="001F29F9"/>
    <w:rsid w:val="001F3D9A"/>
    <w:rsid w:val="001F3F93"/>
    <w:rsid w:val="001F422D"/>
    <w:rsid w:val="001F42F5"/>
    <w:rsid w:val="001F460E"/>
    <w:rsid w:val="001F49B7"/>
    <w:rsid w:val="001F500F"/>
    <w:rsid w:val="001F5654"/>
    <w:rsid w:val="001F5A73"/>
    <w:rsid w:val="001F5D3E"/>
    <w:rsid w:val="001F5F4E"/>
    <w:rsid w:val="001F658B"/>
    <w:rsid w:val="001F7671"/>
    <w:rsid w:val="001F7F74"/>
    <w:rsid w:val="00200591"/>
    <w:rsid w:val="00200BE7"/>
    <w:rsid w:val="00200DE0"/>
    <w:rsid w:val="00200E8E"/>
    <w:rsid w:val="002015CF"/>
    <w:rsid w:val="002016D3"/>
    <w:rsid w:val="002019DF"/>
    <w:rsid w:val="002019FE"/>
    <w:rsid w:val="00201A6A"/>
    <w:rsid w:val="00201E28"/>
    <w:rsid w:val="002027CE"/>
    <w:rsid w:val="00202859"/>
    <w:rsid w:val="00202C9B"/>
    <w:rsid w:val="002030FD"/>
    <w:rsid w:val="002033E0"/>
    <w:rsid w:val="00203976"/>
    <w:rsid w:val="002039CA"/>
    <w:rsid w:val="0020495B"/>
    <w:rsid w:val="0020497F"/>
    <w:rsid w:val="002049F1"/>
    <w:rsid w:val="00204A98"/>
    <w:rsid w:val="00206249"/>
    <w:rsid w:val="00206835"/>
    <w:rsid w:val="00206D1F"/>
    <w:rsid w:val="00206EC6"/>
    <w:rsid w:val="00206EFE"/>
    <w:rsid w:val="00207E0F"/>
    <w:rsid w:val="00210371"/>
    <w:rsid w:val="002105ED"/>
    <w:rsid w:val="00210830"/>
    <w:rsid w:val="002113DD"/>
    <w:rsid w:val="00212916"/>
    <w:rsid w:val="00212C95"/>
    <w:rsid w:val="00212DD6"/>
    <w:rsid w:val="002131C4"/>
    <w:rsid w:val="002137BA"/>
    <w:rsid w:val="00213A2E"/>
    <w:rsid w:val="00213E7A"/>
    <w:rsid w:val="00213ED4"/>
    <w:rsid w:val="0021421E"/>
    <w:rsid w:val="002143B1"/>
    <w:rsid w:val="002147C4"/>
    <w:rsid w:val="00214A6A"/>
    <w:rsid w:val="002161A4"/>
    <w:rsid w:val="002162F8"/>
    <w:rsid w:val="00216439"/>
    <w:rsid w:val="002166AF"/>
    <w:rsid w:val="00216797"/>
    <w:rsid w:val="00216F14"/>
    <w:rsid w:val="00216FB8"/>
    <w:rsid w:val="00217617"/>
    <w:rsid w:val="0021797A"/>
    <w:rsid w:val="002202EF"/>
    <w:rsid w:val="00220722"/>
    <w:rsid w:val="00220732"/>
    <w:rsid w:val="00220AB2"/>
    <w:rsid w:val="00220C45"/>
    <w:rsid w:val="00220DB6"/>
    <w:rsid w:val="00220E00"/>
    <w:rsid w:val="0022120D"/>
    <w:rsid w:val="00221688"/>
    <w:rsid w:val="0022174F"/>
    <w:rsid w:val="00221CEC"/>
    <w:rsid w:val="0022270A"/>
    <w:rsid w:val="00222A52"/>
    <w:rsid w:val="00223180"/>
    <w:rsid w:val="00223A17"/>
    <w:rsid w:val="0022403E"/>
    <w:rsid w:val="0022492D"/>
    <w:rsid w:val="00224AD4"/>
    <w:rsid w:val="00225735"/>
    <w:rsid w:val="002258C0"/>
    <w:rsid w:val="00225FFA"/>
    <w:rsid w:val="00226163"/>
    <w:rsid w:val="00226496"/>
    <w:rsid w:val="002266E9"/>
    <w:rsid w:val="00226A14"/>
    <w:rsid w:val="00226E01"/>
    <w:rsid w:val="00226FBB"/>
    <w:rsid w:val="0022732B"/>
    <w:rsid w:val="002274ED"/>
    <w:rsid w:val="00227926"/>
    <w:rsid w:val="00227EFA"/>
    <w:rsid w:val="00230264"/>
    <w:rsid w:val="002302C7"/>
    <w:rsid w:val="002308B3"/>
    <w:rsid w:val="00230D6E"/>
    <w:rsid w:val="00232BF3"/>
    <w:rsid w:val="00232C41"/>
    <w:rsid w:val="002331A5"/>
    <w:rsid w:val="002338B2"/>
    <w:rsid w:val="00233A16"/>
    <w:rsid w:val="00233C57"/>
    <w:rsid w:val="00233DA6"/>
    <w:rsid w:val="00233DC2"/>
    <w:rsid w:val="0023528D"/>
    <w:rsid w:val="002361C5"/>
    <w:rsid w:val="00236C82"/>
    <w:rsid w:val="00237528"/>
    <w:rsid w:val="0023784C"/>
    <w:rsid w:val="00237A6F"/>
    <w:rsid w:val="00240AE6"/>
    <w:rsid w:val="00240ED3"/>
    <w:rsid w:val="00241528"/>
    <w:rsid w:val="0024199B"/>
    <w:rsid w:val="00241BAC"/>
    <w:rsid w:val="002420C7"/>
    <w:rsid w:val="00242673"/>
    <w:rsid w:val="00242B4A"/>
    <w:rsid w:val="0024431D"/>
    <w:rsid w:val="002445ED"/>
    <w:rsid w:val="002446DE"/>
    <w:rsid w:val="002449F8"/>
    <w:rsid w:val="00245548"/>
    <w:rsid w:val="00245B99"/>
    <w:rsid w:val="00246341"/>
    <w:rsid w:val="00246AF5"/>
    <w:rsid w:val="00246B91"/>
    <w:rsid w:val="00246D21"/>
    <w:rsid w:val="0024701C"/>
    <w:rsid w:val="00247567"/>
    <w:rsid w:val="00247BD3"/>
    <w:rsid w:val="00250070"/>
    <w:rsid w:val="00250261"/>
    <w:rsid w:val="00250FAA"/>
    <w:rsid w:val="00251322"/>
    <w:rsid w:val="00251574"/>
    <w:rsid w:val="00251C3E"/>
    <w:rsid w:val="00251D97"/>
    <w:rsid w:val="00251E84"/>
    <w:rsid w:val="00252090"/>
    <w:rsid w:val="002525AB"/>
    <w:rsid w:val="00252632"/>
    <w:rsid w:val="002534CA"/>
    <w:rsid w:val="002535BC"/>
    <w:rsid w:val="00253699"/>
    <w:rsid w:val="00253DAD"/>
    <w:rsid w:val="002542F3"/>
    <w:rsid w:val="00254484"/>
    <w:rsid w:val="00254CD2"/>
    <w:rsid w:val="00255E12"/>
    <w:rsid w:val="002561EC"/>
    <w:rsid w:val="00256613"/>
    <w:rsid w:val="00256A2E"/>
    <w:rsid w:val="002574CA"/>
    <w:rsid w:val="00257944"/>
    <w:rsid w:val="002600B7"/>
    <w:rsid w:val="002604EA"/>
    <w:rsid w:val="00260A16"/>
    <w:rsid w:val="00260A73"/>
    <w:rsid w:val="0026187A"/>
    <w:rsid w:val="00261934"/>
    <w:rsid w:val="00261996"/>
    <w:rsid w:val="00261CB8"/>
    <w:rsid w:val="00262588"/>
    <w:rsid w:val="00263A56"/>
    <w:rsid w:val="00263EB6"/>
    <w:rsid w:val="0026423A"/>
    <w:rsid w:val="00264636"/>
    <w:rsid w:val="002648ED"/>
    <w:rsid w:val="00264C98"/>
    <w:rsid w:val="00264EA7"/>
    <w:rsid w:val="00265099"/>
    <w:rsid w:val="00265455"/>
    <w:rsid w:val="002658FD"/>
    <w:rsid w:val="002662E4"/>
    <w:rsid w:val="002665E7"/>
    <w:rsid w:val="002666CE"/>
    <w:rsid w:val="0026671B"/>
    <w:rsid w:val="00266A9B"/>
    <w:rsid w:val="00266C89"/>
    <w:rsid w:val="00266CE0"/>
    <w:rsid w:val="00266DC2"/>
    <w:rsid w:val="002678A6"/>
    <w:rsid w:val="00270044"/>
    <w:rsid w:val="002706D3"/>
    <w:rsid w:val="00270BFA"/>
    <w:rsid w:val="00270DF2"/>
    <w:rsid w:val="0027150A"/>
    <w:rsid w:val="00271557"/>
    <w:rsid w:val="0027183F"/>
    <w:rsid w:val="00272B98"/>
    <w:rsid w:val="00272CE9"/>
    <w:rsid w:val="00272E61"/>
    <w:rsid w:val="002731A5"/>
    <w:rsid w:val="00273A0F"/>
    <w:rsid w:val="00273E58"/>
    <w:rsid w:val="0027468C"/>
    <w:rsid w:val="002749A8"/>
    <w:rsid w:val="00274D83"/>
    <w:rsid w:val="00274F5F"/>
    <w:rsid w:val="002751F9"/>
    <w:rsid w:val="00275364"/>
    <w:rsid w:val="0027554E"/>
    <w:rsid w:val="002761E3"/>
    <w:rsid w:val="00276300"/>
    <w:rsid w:val="0027649A"/>
    <w:rsid w:val="002767F3"/>
    <w:rsid w:val="002769D4"/>
    <w:rsid w:val="00276A6B"/>
    <w:rsid w:val="00276B57"/>
    <w:rsid w:val="00276C27"/>
    <w:rsid w:val="00276CF9"/>
    <w:rsid w:val="00276F03"/>
    <w:rsid w:val="00280180"/>
    <w:rsid w:val="002801CA"/>
    <w:rsid w:val="0028097A"/>
    <w:rsid w:val="00280EC0"/>
    <w:rsid w:val="00280FDC"/>
    <w:rsid w:val="002812D6"/>
    <w:rsid w:val="00281655"/>
    <w:rsid w:val="0028171F"/>
    <w:rsid w:val="00281B7D"/>
    <w:rsid w:val="00281C54"/>
    <w:rsid w:val="0028282D"/>
    <w:rsid w:val="00282D1E"/>
    <w:rsid w:val="00282D78"/>
    <w:rsid w:val="00282E17"/>
    <w:rsid w:val="00283333"/>
    <w:rsid w:val="00283583"/>
    <w:rsid w:val="0028366E"/>
    <w:rsid w:val="00284023"/>
    <w:rsid w:val="00284CDE"/>
    <w:rsid w:val="00284F32"/>
    <w:rsid w:val="00285181"/>
    <w:rsid w:val="00285571"/>
    <w:rsid w:val="002857FE"/>
    <w:rsid w:val="00286110"/>
    <w:rsid w:val="0028634D"/>
    <w:rsid w:val="002866ED"/>
    <w:rsid w:val="00286DFA"/>
    <w:rsid w:val="00286EFF"/>
    <w:rsid w:val="00287370"/>
    <w:rsid w:val="00290325"/>
    <w:rsid w:val="00290B06"/>
    <w:rsid w:val="00290C00"/>
    <w:rsid w:val="0029191F"/>
    <w:rsid w:val="00291A6C"/>
    <w:rsid w:val="00292541"/>
    <w:rsid w:val="00292EA5"/>
    <w:rsid w:val="00293D39"/>
    <w:rsid w:val="00294667"/>
    <w:rsid w:val="0029486C"/>
    <w:rsid w:val="002952CB"/>
    <w:rsid w:val="00295512"/>
    <w:rsid w:val="002957A1"/>
    <w:rsid w:val="00295DA9"/>
    <w:rsid w:val="00296162"/>
    <w:rsid w:val="0029676F"/>
    <w:rsid w:val="002972FF"/>
    <w:rsid w:val="002978C6"/>
    <w:rsid w:val="00297C85"/>
    <w:rsid w:val="002A03D5"/>
    <w:rsid w:val="002A03D9"/>
    <w:rsid w:val="002A0466"/>
    <w:rsid w:val="002A0A18"/>
    <w:rsid w:val="002A0C58"/>
    <w:rsid w:val="002A0CD0"/>
    <w:rsid w:val="002A0E2A"/>
    <w:rsid w:val="002A1582"/>
    <w:rsid w:val="002A186A"/>
    <w:rsid w:val="002A1BC5"/>
    <w:rsid w:val="002A1DA6"/>
    <w:rsid w:val="002A1E64"/>
    <w:rsid w:val="002A1F51"/>
    <w:rsid w:val="002A209D"/>
    <w:rsid w:val="002A296A"/>
    <w:rsid w:val="002A3321"/>
    <w:rsid w:val="002A3987"/>
    <w:rsid w:val="002A3A3A"/>
    <w:rsid w:val="002A4257"/>
    <w:rsid w:val="002A46C5"/>
    <w:rsid w:val="002A4796"/>
    <w:rsid w:val="002A5004"/>
    <w:rsid w:val="002A5261"/>
    <w:rsid w:val="002A56E7"/>
    <w:rsid w:val="002A5768"/>
    <w:rsid w:val="002A5A33"/>
    <w:rsid w:val="002A5A5B"/>
    <w:rsid w:val="002A615A"/>
    <w:rsid w:val="002A651D"/>
    <w:rsid w:val="002A6C66"/>
    <w:rsid w:val="002A703B"/>
    <w:rsid w:val="002A7302"/>
    <w:rsid w:val="002A7A05"/>
    <w:rsid w:val="002A7C63"/>
    <w:rsid w:val="002A7F4C"/>
    <w:rsid w:val="002B12E1"/>
    <w:rsid w:val="002B133F"/>
    <w:rsid w:val="002B20F0"/>
    <w:rsid w:val="002B2163"/>
    <w:rsid w:val="002B2558"/>
    <w:rsid w:val="002B2C16"/>
    <w:rsid w:val="002B2FAB"/>
    <w:rsid w:val="002B3CE4"/>
    <w:rsid w:val="002B3DE1"/>
    <w:rsid w:val="002B3F24"/>
    <w:rsid w:val="002B416F"/>
    <w:rsid w:val="002B434A"/>
    <w:rsid w:val="002B4699"/>
    <w:rsid w:val="002B5FE6"/>
    <w:rsid w:val="002B6A43"/>
    <w:rsid w:val="002B6A5C"/>
    <w:rsid w:val="002B6B6A"/>
    <w:rsid w:val="002B6FEF"/>
    <w:rsid w:val="002B7636"/>
    <w:rsid w:val="002B7C0A"/>
    <w:rsid w:val="002C04B8"/>
    <w:rsid w:val="002C08F0"/>
    <w:rsid w:val="002C0C44"/>
    <w:rsid w:val="002C0DCE"/>
    <w:rsid w:val="002C1424"/>
    <w:rsid w:val="002C1630"/>
    <w:rsid w:val="002C17C1"/>
    <w:rsid w:val="002C2AE8"/>
    <w:rsid w:val="002C2C80"/>
    <w:rsid w:val="002C3367"/>
    <w:rsid w:val="002C3501"/>
    <w:rsid w:val="002C36AF"/>
    <w:rsid w:val="002C41C8"/>
    <w:rsid w:val="002C427D"/>
    <w:rsid w:val="002C4704"/>
    <w:rsid w:val="002C49C0"/>
    <w:rsid w:val="002C527D"/>
    <w:rsid w:val="002C599A"/>
    <w:rsid w:val="002C5CA7"/>
    <w:rsid w:val="002C6191"/>
    <w:rsid w:val="002C6526"/>
    <w:rsid w:val="002C65F2"/>
    <w:rsid w:val="002C661F"/>
    <w:rsid w:val="002C6C10"/>
    <w:rsid w:val="002C6E2A"/>
    <w:rsid w:val="002C6EE3"/>
    <w:rsid w:val="002C6FCA"/>
    <w:rsid w:val="002C7304"/>
    <w:rsid w:val="002C7547"/>
    <w:rsid w:val="002C7BB4"/>
    <w:rsid w:val="002D01C2"/>
    <w:rsid w:val="002D0284"/>
    <w:rsid w:val="002D0695"/>
    <w:rsid w:val="002D0F95"/>
    <w:rsid w:val="002D1479"/>
    <w:rsid w:val="002D1719"/>
    <w:rsid w:val="002D20C7"/>
    <w:rsid w:val="002D2770"/>
    <w:rsid w:val="002D35F7"/>
    <w:rsid w:val="002D3651"/>
    <w:rsid w:val="002D4428"/>
    <w:rsid w:val="002D4930"/>
    <w:rsid w:val="002D4CD4"/>
    <w:rsid w:val="002D5703"/>
    <w:rsid w:val="002D5CAD"/>
    <w:rsid w:val="002D6523"/>
    <w:rsid w:val="002D6AFA"/>
    <w:rsid w:val="002D6E16"/>
    <w:rsid w:val="002D740D"/>
    <w:rsid w:val="002D748B"/>
    <w:rsid w:val="002D7F99"/>
    <w:rsid w:val="002E0AF7"/>
    <w:rsid w:val="002E0C13"/>
    <w:rsid w:val="002E0E21"/>
    <w:rsid w:val="002E0FBB"/>
    <w:rsid w:val="002E12F4"/>
    <w:rsid w:val="002E1489"/>
    <w:rsid w:val="002E1512"/>
    <w:rsid w:val="002E17B4"/>
    <w:rsid w:val="002E1949"/>
    <w:rsid w:val="002E1AD3"/>
    <w:rsid w:val="002E1E27"/>
    <w:rsid w:val="002E2617"/>
    <w:rsid w:val="002E2861"/>
    <w:rsid w:val="002E2FD1"/>
    <w:rsid w:val="002E3CFC"/>
    <w:rsid w:val="002E43CF"/>
    <w:rsid w:val="002E44C9"/>
    <w:rsid w:val="002E4851"/>
    <w:rsid w:val="002E5C31"/>
    <w:rsid w:val="002E72BD"/>
    <w:rsid w:val="002E7B63"/>
    <w:rsid w:val="002F04B9"/>
    <w:rsid w:val="002F070B"/>
    <w:rsid w:val="002F0F4C"/>
    <w:rsid w:val="002F1860"/>
    <w:rsid w:val="002F1B1F"/>
    <w:rsid w:val="002F1DF0"/>
    <w:rsid w:val="002F1E52"/>
    <w:rsid w:val="002F1F6A"/>
    <w:rsid w:val="002F2010"/>
    <w:rsid w:val="002F2289"/>
    <w:rsid w:val="002F22CD"/>
    <w:rsid w:val="002F2394"/>
    <w:rsid w:val="002F2A4B"/>
    <w:rsid w:val="002F2D19"/>
    <w:rsid w:val="002F3043"/>
    <w:rsid w:val="002F317A"/>
    <w:rsid w:val="002F33FD"/>
    <w:rsid w:val="002F36D3"/>
    <w:rsid w:val="002F36E7"/>
    <w:rsid w:val="002F3B05"/>
    <w:rsid w:val="002F3D59"/>
    <w:rsid w:val="002F43B5"/>
    <w:rsid w:val="002F44B4"/>
    <w:rsid w:val="002F4616"/>
    <w:rsid w:val="002F501D"/>
    <w:rsid w:val="002F5D18"/>
    <w:rsid w:val="002F63CC"/>
    <w:rsid w:val="002F6A83"/>
    <w:rsid w:val="002F7338"/>
    <w:rsid w:val="002F7459"/>
    <w:rsid w:val="002F7691"/>
    <w:rsid w:val="002F77C0"/>
    <w:rsid w:val="002F7853"/>
    <w:rsid w:val="0030049D"/>
    <w:rsid w:val="00300765"/>
    <w:rsid w:val="00300843"/>
    <w:rsid w:val="00300897"/>
    <w:rsid w:val="0030108A"/>
    <w:rsid w:val="003011EA"/>
    <w:rsid w:val="0030125F"/>
    <w:rsid w:val="00301AB3"/>
    <w:rsid w:val="003022D1"/>
    <w:rsid w:val="0030260D"/>
    <w:rsid w:val="003026EC"/>
    <w:rsid w:val="00302B8A"/>
    <w:rsid w:val="003031CC"/>
    <w:rsid w:val="003034D4"/>
    <w:rsid w:val="00303A5E"/>
    <w:rsid w:val="003045CB"/>
    <w:rsid w:val="00304AA2"/>
    <w:rsid w:val="00305479"/>
    <w:rsid w:val="00305843"/>
    <w:rsid w:val="00305EB6"/>
    <w:rsid w:val="00305F95"/>
    <w:rsid w:val="00306081"/>
    <w:rsid w:val="00306243"/>
    <w:rsid w:val="00310241"/>
    <w:rsid w:val="00310CBE"/>
    <w:rsid w:val="00310F17"/>
    <w:rsid w:val="00310FDD"/>
    <w:rsid w:val="00311087"/>
    <w:rsid w:val="00311161"/>
    <w:rsid w:val="0031149F"/>
    <w:rsid w:val="0031168A"/>
    <w:rsid w:val="003122D8"/>
    <w:rsid w:val="003123A8"/>
    <w:rsid w:val="00312903"/>
    <w:rsid w:val="00312E16"/>
    <w:rsid w:val="00313111"/>
    <w:rsid w:val="0031333A"/>
    <w:rsid w:val="00313EC7"/>
    <w:rsid w:val="00313F8B"/>
    <w:rsid w:val="00314164"/>
    <w:rsid w:val="003141C6"/>
    <w:rsid w:val="0031454B"/>
    <w:rsid w:val="00315145"/>
    <w:rsid w:val="00315274"/>
    <w:rsid w:val="0031598A"/>
    <w:rsid w:val="0031693D"/>
    <w:rsid w:val="0031696D"/>
    <w:rsid w:val="00316B8D"/>
    <w:rsid w:val="00316D3A"/>
    <w:rsid w:val="003172A6"/>
    <w:rsid w:val="00317341"/>
    <w:rsid w:val="0031774F"/>
    <w:rsid w:val="003178AB"/>
    <w:rsid w:val="00317F7F"/>
    <w:rsid w:val="00320C3D"/>
    <w:rsid w:val="00320D0B"/>
    <w:rsid w:val="00321246"/>
    <w:rsid w:val="0032155F"/>
    <w:rsid w:val="0032185D"/>
    <w:rsid w:val="00321A19"/>
    <w:rsid w:val="00321C82"/>
    <w:rsid w:val="00321D60"/>
    <w:rsid w:val="00322B91"/>
    <w:rsid w:val="00322FC4"/>
    <w:rsid w:val="00323A94"/>
    <w:rsid w:val="00323B7D"/>
    <w:rsid w:val="00323D87"/>
    <w:rsid w:val="00323DF4"/>
    <w:rsid w:val="0032442C"/>
    <w:rsid w:val="003245FD"/>
    <w:rsid w:val="00324797"/>
    <w:rsid w:val="003247BA"/>
    <w:rsid w:val="0032488E"/>
    <w:rsid w:val="00324D9B"/>
    <w:rsid w:val="00324F18"/>
    <w:rsid w:val="00325011"/>
    <w:rsid w:val="003253B6"/>
    <w:rsid w:val="0032576A"/>
    <w:rsid w:val="00325E64"/>
    <w:rsid w:val="0032616C"/>
    <w:rsid w:val="00326516"/>
    <w:rsid w:val="0032652B"/>
    <w:rsid w:val="00326AF2"/>
    <w:rsid w:val="00326D32"/>
    <w:rsid w:val="00327580"/>
    <w:rsid w:val="00327AF1"/>
    <w:rsid w:val="00327BAA"/>
    <w:rsid w:val="00327CEE"/>
    <w:rsid w:val="00327E6C"/>
    <w:rsid w:val="0033010E"/>
    <w:rsid w:val="00330238"/>
    <w:rsid w:val="0033023F"/>
    <w:rsid w:val="00330788"/>
    <w:rsid w:val="003310B8"/>
    <w:rsid w:val="003313C9"/>
    <w:rsid w:val="00331601"/>
    <w:rsid w:val="003316A6"/>
    <w:rsid w:val="00331D41"/>
    <w:rsid w:val="00331E5B"/>
    <w:rsid w:val="00331E7E"/>
    <w:rsid w:val="003320A8"/>
    <w:rsid w:val="00332C00"/>
    <w:rsid w:val="003338EF"/>
    <w:rsid w:val="00333CF3"/>
    <w:rsid w:val="0033469D"/>
    <w:rsid w:val="00334AAC"/>
    <w:rsid w:val="00334B82"/>
    <w:rsid w:val="00334CEE"/>
    <w:rsid w:val="00334D6D"/>
    <w:rsid w:val="00334E2A"/>
    <w:rsid w:val="00334E6E"/>
    <w:rsid w:val="0033524E"/>
    <w:rsid w:val="0033527A"/>
    <w:rsid w:val="0033556A"/>
    <w:rsid w:val="00336D2B"/>
    <w:rsid w:val="0033744C"/>
    <w:rsid w:val="00337831"/>
    <w:rsid w:val="00337E7F"/>
    <w:rsid w:val="00340071"/>
    <w:rsid w:val="00340205"/>
    <w:rsid w:val="0034028F"/>
    <w:rsid w:val="00340C51"/>
    <w:rsid w:val="00341087"/>
    <w:rsid w:val="003416CA"/>
    <w:rsid w:val="0034178A"/>
    <w:rsid w:val="00341965"/>
    <w:rsid w:val="00341CCB"/>
    <w:rsid w:val="00342133"/>
    <w:rsid w:val="0034216A"/>
    <w:rsid w:val="003421AC"/>
    <w:rsid w:val="0034299C"/>
    <w:rsid w:val="00342DB1"/>
    <w:rsid w:val="00343704"/>
    <w:rsid w:val="00343745"/>
    <w:rsid w:val="003444CA"/>
    <w:rsid w:val="00344739"/>
    <w:rsid w:val="00344AC8"/>
    <w:rsid w:val="00345629"/>
    <w:rsid w:val="003456E0"/>
    <w:rsid w:val="003458B5"/>
    <w:rsid w:val="00345A2F"/>
    <w:rsid w:val="00345CDE"/>
    <w:rsid w:val="00345D58"/>
    <w:rsid w:val="00345E8F"/>
    <w:rsid w:val="00345F8E"/>
    <w:rsid w:val="003468CD"/>
    <w:rsid w:val="003469EF"/>
    <w:rsid w:val="00346B08"/>
    <w:rsid w:val="00346F5D"/>
    <w:rsid w:val="00347201"/>
    <w:rsid w:val="00347298"/>
    <w:rsid w:val="00347D0C"/>
    <w:rsid w:val="00347E17"/>
    <w:rsid w:val="00347FB1"/>
    <w:rsid w:val="003509B6"/>
    <w:rsid w:val="00350A33"/>
    <w:rsid w:val="00350BDC"/>
    <w:rsid w:val="00350BFE"/>
    <w:rsid w:val="00351019"/>
    <w:rsid w:val="003510BE"/>
    <w:rsid w:val="0035154E"/>
    <w:rsid w:val="0035177B"/>
    <w:rsid w:val="0035187E"/>
    <w:rsid w:val="003519CB"/>
    <w:rsid w:val="00351A17"/>
    <w:rsid w:val="00351DB6"/>
    <w:rsid w:val="00353071"/>
    <w:rsid w:val="00353962"/>
    <w:rsid w:val="003547EE"/>
    <w:rsid w:val="00354A71"/>
    <w:rsid w:val="00354E4C"/>
    <w:rsid w:val="003550D6"/>
    <w:rsid w:val="00355297"/>
    <w:rsid w:val="0035555C"/>
    <w:rsid w:val="003564CA"/>
    <w:rsid w:val="00356B42"/>
    <w:rsid w:val="003605A9"/>
    <w:rsid w:val="00360B93"/>
    <w:rsid w:val="00360CD7"/>
    <w:rsid w:val="00361387"/>
    <w:rsid w:val="003614B0"/>
    <w:rsid w:val="00361975"/>
    <w:rsid w:val="00361C42"/>
    <w:rsid w:val="00361FB0"/>
    <w:rsid w:val="00362F25"/>
    <w:rsid w:val="00364616"/>
    <w:rsid w:val="003652A6"/>
    <w:rsid w:val="00365377"/>
    <w:rsid w:val="003659C6"/>
    <w:rsid w:val="00365F31"/>
    <w:rsid w:val="00365F81"/>
    <w:rsid w:val="00366232"/>
    <w:rsid w:val="0036739D"/>
    <w:rsid w:val="0036752F"/>
    <w:rsid w:val="0036766C"/>
    <w:rsid w:val="00370000"/>
    <w:rsid w:val="00370BE8"/>
    <w:rsid w:val="003712DA"/>
    <w:rsid w:val="0037146D"/>
    <w:rsid w:val="00371CC0"/>
    <w:rsid w:val="00372021"/>
    <w:rsid w:val="0037225E"/>
    <w:rsid w:val="003724AB"/>
    <w:rsid w:val="003728D6"/>
    <w:rsid w:val="00373822"/>
    <w:rsid w:val="00373C24"/>
    <w:rsid w:val="0037515D"/>
    <w:rsid w:val="00375983"/>
    <w:rsid w:val="00375A30"/>
    <w:rsid w:val="00375F6B"/>
    <w:rsid w:val="003760EB"/>
    <w:rsid w:val="00376362"/>
    <w:rsid w:val="00376B77"/>
    <w:rsid w:val="00376BD5"/>
    <w:rsid w:val="003778A6"/>
    <w:rsid w:val="003778AF"/>
    <w:rsid w:val="00377B89"/>
    <w:rsid w:val="003812A4"/>
    <w:rsid w:val="00381BF9"/>
    <w:rsid w:val="0038357D"/>
    <w:rsid w:val="0038359E"/>
    <w:rsid w:val="00383648"/>
    <w:rsid w:val="00384B0C"/>
    <w:rsid w:val="00385118"/>
    <w:rsid w:val="003858D8"/>
    <w:rsid w:val="00385D1C"/>
    <w:rsid w:val="00385D67"/>
    <w:rsid w:val="00386184"/>
    <w:rsid w:val="00386365"/>
    <w:rsid w:val="003869E7"/>
    <w:rsid w:val="00386F2E"/>
    <w:rsid w:val="00386FAF"/>
    <w:rsid w:val="003874F5"/>
    <w:rsid w:val="003876B4"/>
    <w:rsid w:val="00390321"/>
    <w:rsid w:val="003905AA"/>
    <w:rsid w:val="0039077F"/>
    <w:rsid w:val="00390D00"/>
    <w:rsid w:val="00390D85"/>
    <w:rsid w:val="003912BA"/>
    <w:rsid w:val="0039145F"/>
    <w:rsid w:val="0039235F"/>
    <w:rsid w:val="003924C7"/>
    <w:rsid w:val="0039267C"/>
    <w:rsid w:val="00392C69"/>
    <w:rsid w:val="00393A10"/>
    <w:rsid w:val="00393B51"/>
    <w:rsid w:val="0039438B"/>
    <w:rsid w:val="003949E5"/>
    <w:rsid w:val="00394AA3"/>
    <w:rsid w:val="00395B08"/>
    <w:rsid w:val="00395D82"/>
    <w:rsid w:val="003961A5"/>
    <w:rsid w:val="003962BC"/>
    <w:rsid w:val="003963B5"/>
    <w:rsid w:val="00396A47"/>
    <w:rsid w:val="00396F58"/>
    <w:rsid w:val="00397044"/>
    <w:rsid w:val="00397351"/>
    <w:rsid w:val="00397E89"/>
    <w:rsid w:val="003A05E8"/>
    <w:rsid w:val="003A073F"/>
    <w:rsid w:val="003A0961"/>
    <w:rsid w:val="003A0A44"/>
    <w:rsid w:val="003A0C41"/>
    <w:rsid w:val="003A11B6"/>
    <w:rsid w:val="003A13B5"/>
    <w:rsid w:val="003A1D8E"/>
    <w:rsid w:val="003A1DBF"/>
    <w:rsid w:val="003A1F1E"/>
    <w:rsid w:val="003A2002"/>
    <w:rsid w:val="003A268C"/>
    <w:rsid w:val="003A272D"/>
    <w:rsid w:val="003A2A6C"/>
    <w:rsid w:val="003A2F4B"/>
    <w:rsid w:val="003A3714"/>
    <w:rsid w:val="003A4075"/>
    <w:rsid w:val="003A42B5"/>
    <w:rsid w:val="003A542E"/>
    <w:rsid w:val="003A555A"/>
    <w:rsid w:val="003A57D5"/>
    <w:rsid w:val="003A59DB"/>
    <w:rsid w:val="003A6205"/>
    <w:rsid w:val="003A6291"/>
    <w:rsid w:val="003A64AA"/>
    <w:rsid w:val="003A735B"/>
    <w:rsid w:val="003A795D"/>
    <w:rsid w:val="003A79E5"/>
    <w:rsid w:val="003B0F7E"/>
    <w:rsid w:val="003B1375"/>
    <w:rsid w:val="003B1963"/>
    <w:rsid w:val="003B19FF"/>
    <w:rsid w:val="003B1D0A"/>
    <w:rsid w:val="003B1E06"/>
    <w:rsid w:val="003B1E97"/>
    <w:rsid w:val="003B28F7"/>
    <w:rsid w:val="003B2E77"/>
    <w:rsid w:val="003B334F"/>
    <w:rsid w:val="003B3597"/>
    <w:rsid w:val="003B4D1C"/>
    <w:rsid w:val="003B51D2"/>
    <w:rsid w:val="003B522D"/>
    <w:rsid w:val="003B5753"/>
    <w:rsid w:val="003B59AF"/>
    <w:rsid w:val="003B5F22"/>
    <w:rsid w:val="003B61FE"/>
    <w:rsid w:val="003B62E7"/>
    <w:rsid w:val="003B6479"/>
    <w:rsid w:val="003B6613"/>
    <w:rsid w:val="003B6874"/>
    <w:rsid w:val="003B69CC"/>
    <w:rsid w:val="003B6A00"/>
    <w:rsid w:val="003B6D23"/>
    <w:rsid w:val="003B6E30"/>
    <w:rsid w:val="003B74B1"/>
    <w:rsid w:val="003B7C71"/>
    <w:rsid w:val="003B7FAF"/>
    <w:rsid w:val="003B7FDC"/>
    <w:rsid w:val="003C0971"/>
    <w:rsid w:val="003C0FBD"/>
    <w:rsid w:val="003C118F"/>
    <w:rsid w:val="003C1242"/>
    <w:rsid w:val="003C1479"/>
    <w:rsid w:val="003C171E"/>
    <w:rsid w:val="003C2324"/>
    <w:rsid w:val="003C2DF8"/>
    <w:rsid w:val="003C30C9"/>
    <w:rsid w:val="003C329E"/>
    <w:rsid w:val="003C3AD0"/>
    <w:rsid w:val="003C4A32"/>
    <w:rsid w:val="003C4FE3"/>
    <w:rsid w:val="003C60AC"/>
    <w:rsid w:val="003C69F8"/>
    <w:rsid w:val="003C6D07"/>
    <w:rsid w:val="003C6E9E"/>
    <w:rsid w:val="003C720F"/>
    <w:rsid w:val="003C772F"/>
    <w:rsid w:val="003C77C8"/>
    <w:rsid w:val="003C77F7"/>
    <w:rsid w:val="003C7EEB"/>
    <w:rsid w:val="003D0116"/>
    <w:rsid w:val="003D07D9"/>
    <w:rsid w:val="003D0802"/>
    <w:rsid w:val="003D0A36"/>
    <w:rsid w:val="003D0CC8"/>
    <w:rsid w:val="003D0DEB"/>
    <w:rsid w:val="003D0E2A"/>
    <w:rsid w:val="003D1293"/>
    <w:rsid w:val="003D135E"/>
    <w:rsid w:val="003D1711"/>
    <w:rsid w:val="003D1859"/>
    <w:rsid w:val="003D187E"/>
    <w:rsid w:val="003D1DD7"/>
    <w:rsid w:val="003D2F64"/>
    <w:rsid w:val="003D303B"/>
    <w:rsid w:val="003D3104"/>
    <w:rsid w:val="003D3A9F"/>
    <w:rsid w:val="003D442B"/>
    <w:rsid w:val="003D46BA"/>
    <w:rsid w:val="003D4B45"/>
    <w:rsid w:val="003D5C37"/>
    <w:rsid w:val="003D62F0"/>
    <w:rsid w:val="003D6A39"/>
    <w:rsid w:val="003D76DA"/>
    <w:rsid w:val="003D7FC4"/>
    <w:rsid w:val="003E03CE"/>
    <w:rsid w:val="003E09C9"/>
    <w:rsid w:val="003E10AE"/>
    <w:rsid w:val="003E1749"/>
    <w:rsid w:val="003E197F"/>
    <w:rsid w:val="003E1CFA"/>
    <w:rsid w:val="003E1D5A"/>
    <w:rsid w:val="003E24CC"/>
    <w:rsid w:val="003E290B"/>
    <w:rsid w:val="003E2BF5"/>
    <w:rsid w:val="003E388E"/>
    <w:rsid w:val="003E38C3"/>
    <w:rsid w:val="003E3EF4"/>
    <w:rsid w:val="003E49BC"/>
    <w:rsid w:val="003E49E5"/>
    <w:rsid w:val="003E5B06"/>
    <w:rsid w:val="003E5F3D"/>
    <w:rsid w:val="003E653A"/>
    <w:rsid w:val="003E68B5"/>
    <w:rsid w:val="003E6A37"/>
    <w:rsid w:val="003E6A39"/>
    <w:rsid w:val="003E6A4A"/>
    <w:rsid w:val="003E6F4D"/>
    <w:rsid w:val="003E728C"/>
    <w:rsid w:val="003E7D7E"/>
    <w:rsid w:val="003F0C25"/>
    <w:rsid w:val="003F0C90"/>
    <w:rsid w:val="003F0D00"/>
    <w:rsid w:val="003F0E7C"/>
    <w:rsid w:val="003F2633"/>
    <w:rsid w:val="003F2A22"/>
    <w:rsid w:val="003F2ABD"/>
    <w:rsid w:val="003F2B7C"/>
    <w:rsid w:val="003F30F8"/>
    <w:rsid w:val="003F32CA"/>
    <w:rsid w:val="003F33D9"/>
    <w:rsid w:val="003F3D55"/>
    <w:rsid w:val="003F412B"/>
    <w:rsid w:val="003F45D5"/>
    <w:rsid w:val="003F5062"/>
    <w:rsid w:val="003F59D2"/>
    <w:rsid w:val="003F5C45"/>
    <w:rsid w:val="003F6176"/>
    <w:rsid w:val="003F63CB"/>
    <w:rsid w:val="003F64DE"/>
    <w:rsid w:val="003F75F6"/>
    <w:rsid w:val="003F7E4A"/>
    <w:rsid w:val="003F7EE0"/>
    <w:rsid w:val="003F7EFD"/>
    <w:rsid w:val="004006E4"/>
    <w:rsid w:val="00400ABC"/>
    <w:rsid w:val="00400C4B"/>
    <w:rsid w:val="00401165"/>
    <w:rsid w:val="0040124A"/>
    <w:rsid w:val="004015E9"/>
    <w:rsid w:val="00401F79"/>
    <w:rsid w:val="004033A5"/>
    <w:rsid w:val="00403424"/>
    <w:rsid w:val="004046FB"/>
    <w:rsid w:val="00405005"/>
    <w:rsid w:val="00405629"/>
    <w:rsid w:val="00405889"/>
    <w:rsid w:val="00405A28"/>
    <w:rsid w:val="00405B4B"/>
    <w:rsid w:val="00405B78"/>
    <w:rsid w:val="004061E1"/>
    <w:rsid w:val="004068EB"/>
    <w:rsid w:val="00406B09"/>
    <w:rsid w:val="00407613"/>
    <w:rsid w:val="0040773A"/>
    <w:rsid w:val="00407806"/>
    <w:rsid w:val="00407BF5"/>
    <w:rsid w:val="004101D7"/>
    <w:rsid w:val="004102EA"/>
    <w:rsid w:val="004102FD"/>
    <w:rsid w:val="004104D3"/>
    <w:rsid w:val="00411747"/>
    <w:rsid w:val="00411D5B"/>
    <w:rsid w:val="004123F8"/>
    <w:rsid w:val="00412A05"/>
    <w:rsid w:val="00412FC3"/>
    <w:rsid w:val="00413892"/>
    <w:rsid w:val="0041394B"/>
    <w:rsid w:val="00414062"/>
    <w:rsid w:val="00414258"/>
    <w:rsid w:val="00414314"/>
    <w:rsid w:val="0041477D"/>
    <w:rsid w:val="00414DA2"/>
    <w:rsid w:val="00414E38"/>
    <w:rsid w:val="004151E8"/>
    <w:rsid w:val="00415503"/>
    <w:rsid w:val="00415B43"/>
    <w:rsid w:val="0041603F"/>
    <w:rsid w:val="004161FD"/>
    <w:rsid w:val="004167A1"/>
    <w:rsid w:val="004167E7"/>
    <w:rsid w:val="00416D10"/>
    <w:rsid w:val="00417811"/>
    <w:rsid w:val="00417AE3"/>
    <w:rsid w:val="00417DE6"/>
    <w:rsid w:val="004201BF"/>
    <w:rsid w:val="004203D1"/>
    <w:rsid w:val="004205D3"/>
    <w:rsid w:val="00420702"/>
    <w:rsid w:val="00420849"/>
    <w:rsid w:val="00420ABB"/>
    <w:rsid w:val="004214AA"/>
    <w:rsid w:val="004215A1"/>
    <w:rsid w:val="00422A46"/>
    <w:rsid w:val="00423213"/>
    <w:rsid w:val="004238A5"/>
    <w:rsid w:val="00424259"/>
    <w:rsid w:val="00424F9B"/>
    <w:rsid w:val="004250D0"/>
    <w:rsid w:val="00425D34"/>
    <w:rsid w:val="00425DA2"/>
    <w:rsid w:val="00425E20"/>
    <w:rsid w:val="00425F1D"/>
    <w:rsid w:val="0042771D"/>
    <w:rsid w:val="00427741"/>
    <w:rsid w:val="00427C73"/>
    <w:rsid w:val="00430033"/>
    <w:rsid w:val="004304A1"/>
    <w:rsid w:val="00430BD2"/>
    <w:rsid w:val="004311B2"/>
    <w:rsid w:val="0043174C"/>
    <w:rsid w:val="00431A9A"/>
    <w:rsid w:val="00432235"/>
    <w:rsid w:val="00432306"/>
    <w:rsid w:val="00432A70"/>
    <w:rsid w:val="00432F0E"/>
    <w:rsid w:val="0043311C"/>
    <w:rsid w:val="0043327F"/>
    <w:rsid w:val="004341CE"/>
    <w:rsid w:val="00434536"/>
    <w:rsid w:val="00434924"/>
    <w:rsid w:val="004356EF"/>
    <w:rsid w:val="00435DC6"/>
    <w:rsid w:val="00435F43"/>
    <w:rsid w:val="0043617E"/>
    <w:rsid w:val="004361F5"/>
    <w:rsid w:val="00436376"/>
    <w:rsid w:val="00436855"/>
    <w:rsid w:val="004372B4"/>
    <w:rsid w:val="00437417"/>
    <w:rsid w:val="004374F7"/>
    <w:rsid w:val="0044093E"/>
    <w:rsid w:val="004419F7"/>
    <w:rsid w:val="004419F8"/>
    <w:rsid w:val="00441FCB"/>
    <w:rsid w:val="004421EC"/>
    <w:rsid w:val="004421F7"/>
    <w:rsid w:val="004422D2"/>
    <w:rsid w:val="004424CA"/>
    <w:rsid w:val="00442689"/>
    <w:rsid w:val="00442943"/>
    <w:rsid w:val="00442D91"/>
    <w:rsid w:val="00442E6B"/>
    <w:rsid w:val="0044305C"/>
    <w:rsid w:val="00443524"/>
    <w:rsid w:val="004437F2"/>
    <w:rsid w:val="004439A0"/>
    <w:rsid w:val="00443FD0"/>
    <w:rsid w:val="00444054"/>
    <w:rsid w:val="00444973"/>
    <w:rsid w:val="004450F0"/>
    <w:rsid w:val="00445160"/>
    <w:rsid w:val="0044554E"/>
    <w:rsid w:val="0044567E"/>
    <w:rsid w:val="00445DBA"/>
    <w:rsid w:val="00445F1C"/>
    <w:rsid w:val="004462A6"/>
    <w:rsid w:val="004468A3"/>
    <w:rsid w:val="004468F3"/>
    <w:rsid w:val="00446BCE"/>
    <w:rsid w:val="00446CFD"/>
    <w:rsid w:val="00446D00"/>
    <w:rsid w:val="004470A5"/>
    <w:rsid w:val="00447187"/>
    <w:rsid w:val="0044726E"/>
    <w:rsid w:val="00447F8C"/>
    <w:rsid w:val="0045038E"/>
    <w:rsid w:val="00451081"/>
    <w:rsid w:val="00451127"/>
    <w:rsid w:val="00451467"/>
    <w:rsid w:val="00452315"/>
    <w:rsid w:val="00452382"/>
    <w:rsid w:val="004524C4"/>
    <w:rsid w:val="00452583"/>
    <w:rsid w:val="00452874"/>
    <w:rsid w:val="00452895"/>
    <w:rsid w:val="0045291D"/>
    <w:rsid w:val="00453015"/>
    <w:rsid w:val="00453B1C"/>
    <w:rsid w:val="004540B4"/>
    <w:rsid w:val="0045460D"/>
    <w:rsid w:val="00454639"/>
    <w:rsid w:val="00454F1D"/>
    <w:rsid w:val="0045553F"/>
    <w:rsid w:val="00455D01"/>
    <w:rsid w:val="0045616E"/>
    <w:rsid w:val="0045688B"/>
    <w:rsid w:val="004568A8"/>
    <w:rsid w:val="00456924"/>
    <w:rsid w:val="0045727C"/>
    <w:rsid w:val="00457864"/>
    <w:rsid w:val="0045792D"/>
    <w:rsid w:val="00457A4C"/>
    <w:rsid w:val="004600D5"/>
    <w:rsid w:val="00460212"/>
    <w:rsid w:val="00460558"/>
    <w:rsid w:val="00460F0E"/>
    <w:rsid w:val="00460F86"/>
    <w:rsid w:val="004616E6"/>
    <w:rsid w:val="00461AC7"/>
    <w:rsid w:val="00461DA5"/>
    <w:rsid w:val="00461F15"/>
    <w:rsid w:val="004620C2"/>
    <w:rsid w:val="00462886"/>
    <w:rsid w:val="00462E92"/>
    <w:rsid w:val="0046309B"/>
    <w:rsid w:val="00463EB6"/>
    <w:rsid w:val="00464BFF"/>
    <w:rsid w:val="004651B9"/>
    <w:rsid w:val="00465242"/>
    <w:rsid w:val="00465866"/>
    <w:rsid w:val="004668CD"/>
    <w:rsid w:val="00467BA6"/>
    <w:rsid w:val="00467FF0"/>
    <w:rsid w:val="00470252"/>
    <w:rsid w:val="0047032D"/>
    <w:rsid w:val="00470856"/>
    <w:rsid w:val="004710A2"/>
    <w:rsid w:val="00472920"/>
    <w:rsid w:val="00472CA2"/>
    <w:rsid w:val="00472F52"/>
    <w:rsid w:val="004741C1"/>
    <w:rsid w:val="004742A1"/>
    <w:rsid w:val="00474530"/>
    <w:rsid w:val="00475A39"/>
    <w:rsid w:val="00475B0C"/>
    <w:rsid w:val="00475D59"/>
    <w:rsid w:val="00475EC5"/>
    <w:rsid w:val="0047602D"/>
    <w:rsid w:val="00476258"/>
    <w:rsid w:val="00476347"/>
    <w:rsid w:val="004765E1"/>
    <w:rsid w:val="00476DA4"/>
    <w:rsid w:val="00477757"/>
    <w:rsid w:val="00477F2D"/>
    <w:rsid w:val="00477FCB"/>
    <w:rsid w:val="004800E8"/>
    <w:rsid w:val="004803FC"/>
    <w:rsid w:val="0048054F"/>
    <w:rsid w:val="004805BE"/>
    <w:rsid w:val="00480F8A"/>
    <w:rsid w:val="00481442"/>
    <w:rsid w:val="0048163C"/>
    <w:rsid w:val="00481699"/>
    <w:rsid w:val="00481781"/>
    <w:rsid w:val="00481897"/>
    <w:rsid w:val="00481967"/>
    <w:rsid w:val="00481A98"/>
    <w:rsid w:val="00481F68"/>
    <w:rsid w:val="0048227C"/>
    <w:rsid w:val="0048261C"/>
    <w:rsid w:val="00482815"/>
    <w:rsid w:val="00482A81"/>
    <w:rsid w:val="00482FCD"/>
    <w:rsid w:val="0048368A"/>
    <w:rsid w:val="004838D8"/>
    <w:rsid w:val="00483A06"/>
    <w:rsid w:val="00483A8E"/>
    <w:rsid w:val="00483E7C"/>
    <w:rsid w:val="00484430"/>
    <w:rsid w:val="004845AF"/>
    <w:rsid w:val="00484E5A"/>
    <w:rsid w:val="00485077"/>
    <w:rsid w:val="00485DCE"/>
    <w:rsid w:val="0048641B"/>
    <w:rsid w:val="0048649E"/>
    <w:rsid w:val="004865FF"/>
    <w:rsid w:val="004866EB"/>
    <w:rsid w:val="0048692F"/>
    <w:rsid w:val="00486AC6"/>
    <w:rsid w:val="00486EF4"/>
    <w:rsid w:val="00487323"/>
    <w:rsid w:val="004876E5"/>
    <w:rsid w:val="00487837"/>
    <w:rsid w:val="00487C40"/>
    <w:rsid w:val="00487DA4"/>
    <w:rsid w:val="00490057"/>
    <w:rsid w:val="00490107"/>
    <w:rsid w:val="00490A95"/>
    <w:rsid w:val="0049164F"/>
    <w:rsid w:val="00491B13"/>
    <w:rsid w:val="00491CF3"/>
    <w:rsid w:val="00492212"/>
    <w:rsid w:val="004923A6"/>
    <w:rsid w:val="004929F9"/>
    <w:rsid w:val="00492B53"/>
    <w:rsid w:val="00492BAC"/>
    <w:rsid w:val="0049327F"/>
    <w:rsid w:val="004939A1"/>
    <w:rsid w:val="00493C82"/>
    <w:rsid w:val="00493CCE"/>
    <w:rsid w:val="00493D8D"/>
    <w:rsid w:val="0049468A"/>
    <w:rsid w:val="004948CF"/>
    <w:rsid w:val="00495183"/>
    <w:rsid w:val="00495785"/>
    <w:rsid w:val="00495ACC"/>
    <w:rsid w:val="00495DDF"/>
    <w:rsid w:val="0049611E"/>
    <w:rsid w:val="004963CB"/>
    <w:rsid w:val="004963D4"/>
    <w:rsid w:val="00496802"/>
    <w:rsid w:val="00496E75"/>
    <w:rsid w:val="00497089"/>
    <w:rsid w:val="004973C8"/>
    <w:rsid w:val="00497976"/>
    <w:rsid w:val="00497BD6"/>
    <w:rsid w:val="00497C59"/>
    <w:rsid w:val="004A0961"/>
    <w:rsid w:val="004A0AC4"/>
    <w:rsid w:val="004A10A7"/>
    <w:rsid w:val="004A189E"/>
    <w:rsid w:val="004A1AE1"/>
    <w:rsid w:val="004A206A"/>
    <w:rsid w:val="004A2563"/>
    <w:rsid w:val="004A2A17"/>
    <w:rsid w:val="004A3326"/>
    <w:rsid w:val="004A3746"/>
    <w:rsid w:val="004A388F"/>
    <w:rsid w:val="004A41D3"/>
    <w:rsid w:val="004A52D0"/>
    <w:rsid w:val="004A54AC"/>
    <w:rsid w:val="004A5CE9"/>
    <w:rsid w:val="004A5F8D"/>
    <w:rsid w:val="004A640F"/>
    <w:rsid w:val="004A6EA4"/>
    <w:rsid w:val="004A6F9C"/>
    <w:rsid w:val="004A722E"/>
    <w:rsid w:val="004A7FC9"/>
    <w:rsid w:val="004B00EC"/>
    <w:rsid w:val="004B04E1"/>
    <w:rsid w:val="004B09E4"/>
    <w:rsid w:val="004B0C97"/>
    <w:rsid w:val="004B0DD1"/>
    <w:rsid w:val="004B0ECD"/>
    <w:rsid w:val="004B14E4"/>
    <w:rsid w:val="004B15E1"/>
    <w:rsid w:val="004B18B5"/>
    <w:rsid w:val="004B25CB"/>
    <w:rsid w:val="004B2CCD"/>
    <w:rsid w:val="004B40C4"/>
    <w:rsid w:val="004B49A6"/>
    <w:rsid w:val="004B4E85"/>
    <w:rsid w:val="004B4F1B"/>
    <w:rsid w:val="004B505F"/>
    <w:rsid w:val="004B547C"/>
    <w:rsid w:val="004B578C"/>
    <w:rsid w:val="004B596B"/>
    <w:rsid w:val="004B59D0"/>
    <w:rsid w:val="004B5A15"/>
    <w:rsid w:val="004B5D48"/>
    <w:rsid w:val="004B6D23"/>
    <w:rsid w:val="004B6EE1"/>
    <w:rsid w:val="004B725D"/>
    <w:rsid w:val="004B755F"/>
    <w:rsid w:val="004C0016"/>
    <w:rsid w:val="004C058F"/>
    <w:rsid w:val="004C0A42"/>
    <w:rsid w:val="004C0ADC"/>
    <w:rsid w:val="004C103E"/>
    <w:rsid w:val="004C1171"/>
    <w:rsid w:val="004C18AB"/>
    <w:rsid w:val="004C1C00"/>
    <w:rsid w:val="004C2916"/>
    <w:rsid w:val="004C29DB"/>
    <w:rsid w:val="004C2F2A"/>
    <w:rsid w:val="004C3297"/>
    <w:rsid w:val="004C3E44"/>
    <w:rsid w:val="004C41AC"/>
    <w:rsid w:val="004C4426"/>
    <w:rsid w:val="004C5A7A"/>
    <w:rsid w:val="004C5BB5"/>
    <w:rsid w:val="004C5C6E"/>
    <w:rsid w:val="004C6003"/>
    <w:rsid w:val="004C6839"/>
    <w:rsid w:val="004C7BF6"/>
    <w:rsid w:val="004D110A"/>
    <w:rsid w:val="004D1599"/>
    <w:rsid w:val="004D1621"/>
    <w:rsid w:val="004D1C8A"/>
    <w:rsid w:val="004D1FAB"/>
    <w:rsid w:val="004D21A3"/>
    <w:rsid w:val="004D36EC"/>
    <w:rsid w:val="004D3E48"/>
    <w:rsid w:val="004D3EDE"/>
    <w:rsid w:val="004D40D2"/>
    <w:rsid w:val="004D4E44"/>
    <w:rsid w:val="004D5A10"/>
    <w:rsid w:val="004D5A4C"/>
    <w:rsid w:val="004D65AF"/>
    <w:rsid w:val="004D67B5"/>
    <w:rsid w:val="004D767B"/>
    <w:rsid w:val="004D77AC"/>
    <w:rsid w:val="004D77CC"/>
    <w:rsid w:val="004D7AD1"/>
    <w:rsid w:val="004E125C"/>
    <w:rsid w:val="004E18A7"/>
    <w:rsid w:val="004E1A9F"/>
    <w:rsid w:val="004E2163"/>
    <w:rsid w:val="004E2254"/>
    <w:rsid w:val="004E24A9"/>
    <w:rsid w:val="004E25BE"/>
    <w:rsid w:val="004E2CC3"/>
    <w:rsid w:val="004E2D7B"/>
    <w:rsid w:val="004E2F81"/>
    <w:rsid w:val="004E31A9"/>
    <w:rsid w:val="004E337D"/>
    <w:rsid w:val="004E34A0"/>
    <w:rsid w:val="004E3DFA"/>
    <w:rsid w:val="004E4456"/>
    <w:rsid w:val="004E46DC"/>
    <w:rsid w:val="004E49AE"/>
    <w:rsid w:val="004E49D3"/>
    <w:rsid w:val="004E5622"/>
    <w:rsid w:val="004E6174"/>
    <w:rsid w:val="004E6BC1"/>
    <w:rsid w:val="004E6E7E"/>
    <w:rsid w:val="004E6F7D"/>
    <w:rsid w:val="004E743C"/>
    <w:rsid w:val="004E74DA"/>
    <w:rsid w:val="004E7A9F"/>
    <w:rsid w:val="004E7C85"/>
    <w:rsid w:val="004F09AE"/>
    <w:rsid w:val="004F0A09"/>
    <w:rsid w:val="004F147E"/>
    <w:rsid w:val="004F14AA"/>
    <w:rsid w:val="004F1C94"/>
    <w:rsid w:val="004F1DF6"/>
    <w:rsid w:val="004F2198"/>
    <w:rsid w:val="004F2384"/>
    <w:rsid w:val="004F29B9"/>
    <w:rsid w:val="004F2F9E"/>
    <w:rsid w:val="004F3144"/>
    <w:rsid w:val="004F3DAA"/>
    <w:rsid w:val="004F3F97"/>
    <w:rsid w:val="004F42FC"/>
    <w:rsid w:val="004F44AD"/>
    <w:rsid w:val="004F44B0"/>
    <w:rsid w:val="004F4FFA"/>
    <w:rsid w:val="004F6BBB"/>
    <w:rsid w:val="004F73B2"/>
    <w:rsid w:val="004F7DA0"/>
    <w:rsid w:val="004F7E40"/>
    <w:rsid w:val="004F7E66"/>
    <w:rsid w:val="00500138"/>
    <w:rsid w:val="00500594"/>
    <w:rsid w:val="005014D3"/>
    <w:rsid w:val="00501934"/>
    <w:rsid w:val="00502240"/>
    <w:rsid w:val="0050236D"/>
    <w:rsid w:val="005027EC"/>
    <w:rsid w:val="005029D4"/>
    <w:rsid w:val="00502B4A"/>
    <w:rsid w:val="00502E1E"/>
    <w:rsid w:val="0050370B"/>
    <w:rsid w:val="00503716"/>
    <w:rsid w:val="005039C8"/>
    <w:rsid w:val="00503B11"/>
    <w:rsid w:val="00503DA2"/>
    <w:rsid w:val="00504479"/>
    <w:rsid w:val="0050449B"/>
    <w:rsid w:val="0050457D"/>
    <w:rsid w:val="005045E6"/>
    <w:rsid w:val="00504E17"/>
    <w:rsid w:val="00505175"/>
    <w:rsid w:val="00505AE2"/>
    <w:rsid w:val="00505E19"/>
    <w:rsid w:val="00506908"/>
    <w:rsid w:val="00506916"/>
    <w:rsid w:val="005069D8"/>
    <w:rsid w:val="00506D40"/>
    <w:rsid w:val="00506E24"/>
    <w:rsid w:val="00507165"/>
    <w:rsid w:val="0050732E"/>
    <w:rsid w:val="005077C4"/>
    <w:rsid w:val="00507BD0"/>
    <w:rsid w:val="00510079"/>
    <w:rsid w:val="0051065E"/>
    <w:rsid w:val="00510C48"/>
    <w:rsid w:val="00510EE9"/>
    <w:rsid w:val="0051152D"/>
    <w:rsid w:val="00511D09"/>
    <w:rsid w:val="005128B4"/>
    <w:rsid w:val="00512F6B"/>
    <w:rsid w:val="00513491"/>
    <w:rsid w:val="00514488"/>
    <w:rsid w:val="00514C9C"/>
    <w:rsid w:val="00514DCA"/>
    <w:rsid w:val="00515339"/>
    <w:rsid w:val="005156B2"/>
    <w:rsid w:val="00515E4D"/>
    <w:rsid w:val="00516537"/>
    <w:rsid w:val="00516981"/>
    <w:rsid w:val="00517473"/>
    <w:rsid w:val="005176BD"/>
    <w:rsid w:val="00517814"/>
    <w:rsid w:val="0052068F"/>
    <w:rsid w:val="005207EC"/>
    <w:rsid w:val="00520AF7"/>
    <w:rsid w:val="00521C70"/>
    <w:rsid w:val="005221F1"/>
    <w:rsid w:val="005224A8"/>
    <w:rsid w:val="00522684"/>
    <w:rsid w:val="00522DA7"/>
    <w:rsid w:val="00523080"/>
    <w:rsid w:val="0052325D"/>
    <w:rsid w:val="0052329A"/>
    <w:rsid w:val="0052371C"/>
    <w:rsid w:val="00523824"/>
    <w:rsid w:val="0052463C"/>
    <w:rsid w:val="0052478D"/>
    <w:rsid w:val="005256EA"/>
    <w:rsid w:val="00525ACC"/>
    <w:rsid w:val="00525B4D"/>
    <w:rsid w:val="00525CCB"/>
    <w:rsid w:val="005261CD"/>
    <w:rsid w:val="00526492"/>
    <w:rsid w:val="00526809"/>
    <w:rsid w:val="005268CA"/>
    <w:rsid w:val="0052737B"/>
    <w:rsid w:val="0052761B"/>
    <w:rsid w:val="00527AC8"/>
    <w:rsid w:val="00527B85"/>
    <w:rsid w:val="00527C2F"/>
    <w:rsid w:val="00530157"/>
    <w:rsid w:val="005305E9"/>
    <w:rsid w:val="00530666"/>
    <w:rsid w:val="005308F8"/>
    <w:rsid w:val="00530B25"/>
    <w:rsid w:val="00530E07"/>
    <w:rsid w:val="00530FCA"/>
    <w:rsid w:val="005312F8"/>
    <w:rsid w:val="00531983"/>
    <w:rsid w:val="00532D16"/>
    <w:rsid w:val="00533A9C"/>
    <w:rsid w:val="00533CE9"/>
    <w:rsid w:val="00533DA8"/>
    <w:rsid w:val="00533DD6"/>
    <w:rsid w:val="00534052"/>
    <w:rsid w:val="0053486B"/>
    <w:rsid w:val="00534BDB"/>
    <w:rsid w:val="00535167"/>
    <w:rsid w:val="005351DF"/>
    <w:rsid w:val="00535341"/>
    <w:rsid w:val="005358E9"/>
    <w:rsid w:val="00535B6E"/>
    <w:rsid w:val="00535D21"/>
    <w:rsid w:val="00535FCC"/>
    <w:rsid w:val="005360A6"/>
    <w:rsid w:val="0053643B"/>
    <w:rsid w:val="00536A7D"/>
    <w:rsid w:val="005370C3"/>
    <w:rsid w:val="005370C8"/>
    <w:rsid w:val="00537212"/>
    <w:rsid w:val="005374D8"/>
    <w:rsid w:val="00537E73"/>
    <w:rsid w:val="00537FFD"/>
    <w:rsid w:val="0054023F"/>
    <w:rsid w:val="00540BF0"/>
    <w:rsid w:val="00541616"/>
    <w:rsid w:val="00541739"/>
    <w:rsid w:val="00541B03"/>
    <w:rsid w:val="00541B36"/>
    <w:rsid w:val="00541DA7"/>
    <w:rsid w:val="0054267F"/>
    <w:rsid w:val="00542BA5"/>
    <w:rsid w:val="005430F6"/>
    <w:rsid w:val="00543431"/>
    <w:rsid w:val="005435B4"/>
    <w:rsid w:val="005438B4"/>
    <w:rsid w:val="005441B7"/>
    <w:rsid w:val="00544641"/>
    <w:rsid w:val="00544A03"/>
    <w:rsid w:val="00544B07"/>
    <w:rsid w:val="00545F91"/>
    <w:rsid w:val="00546576"/>
    <w:rsid w:val="00546648"/>
    <w:rsid w:val="00546698"/>
    <w:rsid w:val="00546B6E"/>
    <w:rsid w:val="00546E7F"/>
    <w:rsid w:val="005470F1"/>
    <w:rsid w:val="0054743D"/>
    <w:rsid w:val="00547721"/>
    <w:rsid w:val="00550009"/>
    <w:rsid w:val="00550560"/>
    <w:rsid w:val="0055065F"/>
    <w:rsid w:val="00550C5D"/>
    <w:rsid w:val="00550D4D"/>
    <w:rsid w:val="00550D55"/>
    <w:rsid w:val="00550D8A"/>
    <w:rsid w:val="00551036"/>
    <w:rsid w:val="0055137F"/>
    <w:rsid w:val="00551467"/>
    <w:rsid w:val="0055158C"/>
    <w:rsid w:val="00551659"/>
    <w:rsid w:val="00552782"/>
    <w:rsid w:val="00552829"/>
    <w:rsid w:val="00552DDF"/>
    <w:rsid w:val="00552E66"/>
    <w:rsid w:val="00553182"/>
    <w:rsid w:val="00553CED"/>
    <w:rsid w:val="00554872"/>
    <w:rsid w:val="0055561C"/>
    <w:rsid w:val="00555788"/>
    <w:rsid w:val="005560C0"/>
    <w:rsid w:val="00556287"/>
    <w:rsid w:val="00556822"/>
    <w:rsid w:val="00556993"/>
    <w:rsid w:val="00556A0E"/>
    <w:rsid w:val="00556BD4"/>
    <w:rsid w:val="00556D67"/>
    <w:rsid w:val="00557153"/>
    <w:rsid w:val="00557797"/>
    <w:rsid w:val="00557C78"/>
    <w:rsid w:val="00560030"/>
    <w:rsid w:val="005601B1"/>
    <w:rsid w:val="0056095D"/>
    <w:rsid w:val="00561AA1"/>
    <w:rsid w:val="00561B23"/>
    <w:rsid w:val="00561CEC"/>
    <w:rsid w:val="0056254B"/>
    <w:rsid w:val="00562806"/>
    <w:rsid w:val="00562B21"/>
    <w:rsid w:val="00562DEB"/>
    <w:rsid w:val="005639AC"/>
    <w:rsid w:val="00563A81"/>
    <w:rsid w:val="00564105"/>
    <w:rsid w:val="00564255"/>
    <w:rsid w:val="00564312"/>
    <w:rsid w:val="005648DD"/>
    <w:rsid w:val="00564D51"/>
    <w:rsid w:val="00564E06"/>
    <w:rsid w:val="00564E3C"/>
    <w:rsid w:val="00565170"/>
    <w:rsid w:val="005656C7"/>
    <w:rsid w:val="00565801"/>
    <w:rsid w:val="0056588E"/>
    <w:rsid w:val="00565C68"/>
    <w:rsid w:val="005663FD"/>
    <w:rsid w:val="005667F7"/>
    <w:rsid w:val="00566FB9"/>
    <w:rsid w:val="005675FC"/>
    <w:rsid w:val="0056791B"/>
    <w:rsid w:val="005705E3"/>
    <w:rsid w:val="005716F0"/>
    <w:rsid w:val="00571CD7"/>
    <w:rsid w:val="005724C3"/>
    <w:rsid w:val="0057254A"/>
    <w:rsid w:val="00572AF8"/>
    <w:rsid w:val="0057321D"/>
    <w:rsid w:val="00573651"/>
    <w:rsid w:val="005736B6"/>
    <w:rsid w:val="005740A5"/>
    <w:rsid w:val="00574B88"/>
    <w:rsid w:val="005752F2"/>
    <w:rsid w:val="00575CF2"/>
    <w:rsid w:val="00575F39"/>
    <w:rsid w:val="005760F2"/>
    <w:rsid w:val="00576A3A"/>
    <w:rsid w:val="00576EFE"/>
    <w:rsid w:val="0057711D"/>
    <w:rsid w:val="0057715D"/>
    <w:rsid w:val="00577601"/>
    <w:rsid w:val="0057787B"/>
    <w:rsid w:val="00577FE6"/>
    <w:rsid w:val="005804C5"/>
    <w:rsid w:val="005808A4"/>
    <w:rsid w:val="005809B5"/>
    <w:rsid w:val="00580D97"/>
    <w:rsid w:val="0058129C"/>
    <w:rsid w:val="0058188F"/>
    <w:rsid w:val="005821F8"/>
    <w:rsid w:val="005823E0"/>
    <w:rsid w:val="0058251A"/>
    <w:rsid w:val="00582826"/>
    <w:rsid w:val="00582DD6"/>
    <w:rsid w:val="005832C5"/>
    <w:rsid w:val="0058369D"/>
    <w:rsid w:val="005837D8"/>
    <w:rsid w:val="00583A6F"/>
    <w:rsid w:val="00584232"/>
    <w:rsid w:val="0058477D"/>
    <w:rsid w:val="00584E77"/>
    <w:rsid w:val="00585052"/>
    <w:rsid w:val="005852C4"/>
    <w:rsid w:val="00585D1A"/>
    <w:rsid w:val="00585F4C"/>
    <w:rsid w:val="0058601B"/>
    <w:rsid w:val="0058626C"/>
    <w:rsid w:val="005864C7"/>
    <w:rsid w:val="005868AA"/>
    <w:rsid w:val="00586C86"/>
    <w:rsid w:val="00587634"/>
    <w:rsid w:val="00587FF6"/>
    <w:rsid w:val="0059013A"/>
    <w:rsid w:val="0059041C"/>
    <w:rsid w:val="00590C38"/>
    <w:rsid w:val="00590F8F"/>
    <w:rsid w:val="005910B4"/>
    <w:rsid w:val="00591E3A"/>
    <w:rsid w:val="00592DE6"/>
    <w:rsid w:val="00594351"/>
    <w:rsid w:val="00595013"/>
    <w:rsid w:val="005956BE"/>
    <w:rsid w:val="005957BD"/>
    <w:rsid w:val="00595C79"/>
    <w:rsid w:val="00595F10"/>
    <w:rsid w:val="00596822"/>
    <w:rsid w:val="0059699B"/>
    <w:rsid w:val="00596D6A"/>
    <w:rsid w:val="00596FAE"/>
    <w:rsid w:val="005977BA"/>
    <w:rsid w:val="00597CAF"/>
    <w:rsid w:val="005A0442"/>
    <w:rsid w:val="005A05AD"/>
    <w:rsid w:val="005A0603"/>
    <w:rsid w:val="005A0AB9"/>
    <w:rsid w:val="005A0FAA"/>
    <w:rsid w:val="005A1017"/>
    <w:rsid w:val="005A10DE"/>
    <w:rsid w:val="005A1407"/>
    <w:rsid w:val="005A1422"/>
    <w:rsid w:val="005A1872"/>
    <w:rsid w:val="005A1C64"/>
    <w:rsid w:val="005A1D58"/>
    <w:rsid w:val="005A2325"/>
    <w:rsid w:val="005A24E6"/>
    <w:rsid w:val="005A2D1F"/>
    <w:rsid w:val="005A32F4"/>
    <w:rsid w:val="005A3585"/>
    <w:rsid w:val="005A35FD"/>
    <w:rsid w:val="005A38F4"/>
    <w:rsid w:val="005A3F20"/>
    <w:rsid w:val="005A417A"/>
    <w:rsid w:val="005A4B2C"/>
    <w:rsid w:val="005A4DB9"/>
    <w:rsid w:val="005A5258"/>
    <w:rsid w:val="005A5E68"/>
    <w:rsid w:val="005A5E8E"/>
    <w:rsid w:val="005A6619"/>
    <w:rsid w:val="005A6AF7"/>
    <w:rsid w:val="005A6C66"/>
    <w:rsid w:val="005A6D7E"/>
    <w:rsid w:val="005A7127"/>
    <w:rsid w:val="005A78E4"/>
    <w:rsid w:val="005B053C"/>
    <w:rsid w:val="005B05D3"/>
    <w:rsid w:val="005B0A73"/>
    <w:rsid w:val="005B0D0F"/>
    <w:rsid w:val="005B0D20"/>
    <w:rsid w:val="005B0FF4"/>
    <w:rsid w:val="005B1332"/>
    <w:rsid w:val="005B1892"/>
    <w:rsid w:val="005B2452"/>
    <w:rsid w:val="005B2481"/>
    <w:rsid w:val="005B28A0"/>
    <w:rsid w:val="005B2CE4"/>
    <w:rsid w:val="005B301F"/>
    <w:rsid w:val="005B3021"/>
    <w:rsid w:val="005B34AF"/>
    <w:rsid w:val="005B4162"/>
    <w:rsid w:val="005B4484"/>
    <w:rsid w:val="005B4908"/>
    <w:rsid w:val="005B4968"/>
    <w:rsid w:val="005B4A79"/>
    <w:rsid w:val="005B52D7"/>
    <w:rsid w:val="005B55B7"/>
    <w:rsid w:val="005B57BD"/>
    <w:rsid w:val="005B596C"/>
    <w:rsid w:val="005B59CE"/>
    <w:rsid w:val="005B5EA3"/>
    <w:rsid w:val="005B6080"/>
    <w:rsid w:val="005B64D9"/>
    <w:rsid w:val="005B6800"/>
    <w:rsid w:val="005B6E5F"/>
    <w:rsid w:val="005B6E9E"/>
    <w:rsid w:val="005B7405"/>
    <w:rsid w:val="005B75AC"/>
    <w:rsid w:val="005B7963"/>
    <w:rsid w:val="005B7FEC"/>
    <w:rsid w:val="005C02FF"/>
    <w:rsid w:val="005C0760"/>
    <w:rsid w:val="005C084C"/>
    <w:rsid w:val="005C0B6A"/>
    <w:rsid w:val="005C1094"/>
    <w:rsid w:val="005C1414"/>
    <w:rsid w:val="005C15B1"/>
    <w:rsid w:val="005C1EA7"/>
    <w:rsid w:val="005C22D4"/>
    <w:rsid w:val="005C26E4"/>
    <w:rsid w:val="005C27D3"/>
    <w:rsid w:val="005C2AF6"/>
    <w:rsid w:val="005C2F9D"/>
    <w:rsid w:val="005C313B"/>
    <w:rsid w:val="005C3C74"/>
    <w:rsid w:val="005C3F7A"/>
    <w:rsid w:val="005C46DE"/>
    <w:rsid w:val="005C47DC"/>
    <w:rsid w:val="005C4C0E"/>
    <w:rsid w:val="005C6243"/>
    <w:rsid w:val="005C65E0"/>
    <w:rsid w:val="005C67CA"/>
    <w:rsid w:val="005C6A58"/>
    <w:rsid w:val="005C6C37"/>
    <w:rsid w:val="005C7310"/>
    <w:rsid w:val="005D01E4"/>
    <w:rsid w:val="005D0294"/>
    <w:rsid w:val="005D03E3"/>
    <w:rsid w:val="005D0978"/>
    <w:rsid w:val="005D0D28"/>
    <w:rsid w:val="005D137B"/>
    <w:rsid w:val="005D17E5"/>
    <w:rsid w:val="005D1D0C"/>
    <w:rsid w:val="005D2166"/>
    <w:rsid w:val="005D2204"/>
    <w:rsid w:val="005D225D"/>
    <w:rsid w:val="005D25F1"/>
    <w:rsid w:val="005D2BCB"/>
    <w:rsid w:val="005D2EA3"/>
    <w:rsid w:val="005D37BE"/>
    <w:rsid w:val="005D38C4"/>
    <w:rsid w:val="005D4311"/>
    <w:rsid w:val="005D45C2"/>
    <w:rsid w:val="005D4680"/>
    <w:rsid w:val="005D479F"/>
    <w:rsid w:val="005D489D"/>
    <w:rsid w:val="005D4B48"/>
    <w:rsid w:val="005D4DA8"/>
    <w:rsid w:val="005D4ECC"/>
    <w:rsid w:val="005D5ADB"/>
    <w:rsid w:val="005D5C1C"/>
    <w:rsid w:val="005D5CA6"/>
    <w:rsid w:val="005D5CDD"/>
    <w:rsid w:val="005D5D34"/>
    <w:rsid w:val="005D63EF"/>
    <w:rsid w:val="005D64F2"/>
    <w:rsid w:val="005D6BCE"/>
    <w:rsid w:val="005D6CEE"/>
    <w:rsid w:val="005D6D85"/>
    <w:rsid w:val="005D71D1"/>
    <w:rsid w:val="005D777F"/>
    <w:rsid w:val="005E0A33"/>
    <w:rsid w:val="005E0A73"/>
    <w:rsid w:val="005E0F10"/>
    <w:rsid w:val="005E1149"/>
    <w:rsid w:val="005E130B"/>
    <w:rsid w:val="005E1464"/>
    <w:rsid w:val="005E245A"/>
    <w:rsid w:val="005E2595"/>
    <w:rsid w:val="005E2632"/>
    <w:rsid w:val="005E2B5A"/>
    <w:rsid w:val="005E2B74"/>
    <w:rsid w:val="005E33DB"/>
    <w:rsid w:val="005E3705"/>
    <w:rsid w:val="005E381E"/>
    <w:rsid w:val="005E382E"/>
    <w:rsid w:val="005E4603"/>
    <w:rsid w:val="005E4707"/>
    <w:rsid w:val="005E5F79"/>
    <w:rsid w:val="005E6194"/>
    <w:rsid w:val="005E6799"/>
    <w:rsid w:val="005E6F38"/>
    <w:rsid w:val="005E787C"/>
    <w:rsid w:val="005E7882"/>
    <w:rsid w:val="005E7C16"/>
    <w:rsid w:val="005E7D88"/>
    <w:rsid w:val="005F048C"/>
    <w:rsid w:val="005F05EA"/>
    <w:rsid w:val="005F08E3"/>
    <w:rsid w:val="005F0A39"/>
    <w:rsid w:val="005F0C5D"/>
    <w:rsid w:val="005F13A2"/>
    <w:rsid w:val="005F1427"/>
    <w:rsid w:val="005F180F"/>
    <w:rsid w:val="005F1EDE"/>
    <w:rsid w:val="005F2E66"/>
    <w:rsid w:val="005F2F2E"/>
    <w:rsid w:val="005F324F"/>
    <w:rsid w:val="005F373F"/>
    <w:rsid w:val="005F3A28"/>
    <w:rsid w:val="005F42DE"/>
    <w:rsid w:val="005F4440"/>
    <w:rsid w:val="005F44B0"/>
    <w:rsid w:val="005F49BC"/>
    <w:rsid w:val="005F4B33"/>
    <w:rsid w:val="005F4C4E"/>
    <w:rsid w:val="005F571F"/>
    <w:rsid w:val="005F58F0"/>
    <w:rsid w:val="005F6B81"/>
    <w:rsid w:val="005F6CA7"/>
    <w:rsid w:val="005F6E72"/>
    <w:rsid w:val="005F71E2"/>
    <w:rsid w:val="005F7773"/>
    <w:rsid w:val="005F781C"/>
    <w:rsid w:val="005F7968"/>
    <w:rsid w:val="005F7A6E"/>
    <w:rsid w:val="005F7EF9"/>
    <w:rsid w:val="00600265"/>
    <w:rsid w:val="00600290"/>
    <w:rsid w:val="00600406"/>
    <w:rsid w:val="00600F28"/>
    <w:rsid w:val="00601304"/>
    <w:rsid w:val="00601452"/>
    <w:rsid w:val="00601DB7"/>
    <w:rsid w:val="00601F8E"/>
    <w:rsid w:val="0060239D"/>
    <w:rsid w:val="00603233"/>
    <w:rsid w:val="006036F0"/>
    <w:rsid w:val="00603917"/>
    <w:rsid w:val="00603972"/>
    <w:rsid w:val="00603BDA"/>
    <w:rsid w:val="00604039"/>
    <w:rsid w:val="006045B5"/>
    <w:rsid w:val="006047D7"/>
    <w:rsid w:val="00604E87"/>
    <w:rsid w:val="0060532F"/>
    <w:rsid w:val="0060562B"/>
    <w:rsid w:val="00605C9C"/>
    <w:rsid w:val="00605CBA"/>
    <w:rsid w:val="00605CCF"/>
    <w:rsid w:val="00606294"/>
    <w:rsid w:val="00607EA7"/>
    <w:rsid w:val="00610FD6"/>
    <w:rsid w:val="0061108F"/>
    <w:rsid w:val="00611196"/>
    <w:rsid w:val="006116F7"/>
    <w:rsid w:val="00611E3E"/>
    <w:rsid w:val="00611E8A"/>
    <w:rsid w:val="00612439"/>
    <w:rsid w:val="006129C7"/>
    <w:rsid w:val="00612E0F"/>
    <w:rsid w:val="0061313F"/>
    <w:rsid w:val="00613219"/>
    <w:rsid w:val="0061325D"/>
    <w:rsid w:val="0061349C"/>
    <w:rsid w:val="00613C24"/>
    <w:rsid w:val="0061408A"/>
    <w:rsid w:val="00614DD9"/>
    <w:rsid w:val="0061551A"/>
    <w:rsid w:val="00615605"/>
    <w:rsid w:val="00615BA1"/>
    <w:rsid w:val="006161C4"/>
    <w:rsid w:val="00616C83"/>
    <w:rsid w:val="006172B9"/>
    <w:rsid w:val="006178FC"/>
    <w:rsid w:val="00617B4D"/>
    <w:rsid w:val="00617E9B"/>
    <w:rsid w:val="0062005C"/>
    <w:rsid w:val="0062015B"/>
    <w:rsid w:val="0062083A"/>
    <w:rsid w:val="00620DC1"/>
    <w:rsid w:val="006214CC"/>
    <w:rsid w:val="0062195B"/>
    <w:rsid w:val="00622100"/>
    <w:rsid w:val="006225AB"/>
    <w:rsid w:val="006229BB"/>
    <w:rsid w:val="006231A0"/>
    <w:rsid w:val="00623279"/>
    <w:rsid w:val="006237F8"/>
    <w:rsid w:val="00624886"/>
    <w:rsid w:val="00624A70"/>
    <w:rsid w:val="00624D21"/>
    <w:rsid w:val="0062514D"/>
    <w:rsid w:val="00625463"/>
    <w:rsid w:val="00625760"/>
    <w:rsid w:val="00625E5F"/>
    <w:rsid w:val="00626136"/>
    <w:rsid w:val="006261F2"/>
    <w:rsid w:val="0062641B"/>
    <w:rsid w:val="006264E3"/>
    <w:rsid w:val="006267CF"/>
    <w:rsid w:val="00626B9D"/>
    <w:rsid w:val="00627243"/>
    <w:rsid w:val="00627AD5"/>
    <w:rsid w:val="0063001A"/>
    <w:rsid w:val="00630362"/>
    <w:rsid w:val="00630CF9"/>
    <w:rsid w:val="0063163B"/>
    <w:rsid w:val="00631981"/>
    <w:rsid w:val="00631D85"/>
    <w:rsid w:val="00631EA2"/>
    <w:rsid w:val="006320B8"/>
    <w:rsid w:val="006324FE"/>
    <w:rsid w:val="00632C1B"/>
    <w:rsid w:val="00633A5A"/>
    <w:rsid w:val="006340F2"/>
    <w:rsid w:val="006348E6"/>
    <w:rsid w:val="00635514"/>
    <w:rsid w:val="006355A0"/>
    <w:rsid w:val="00635F17"/>
    <w:rsid w:val="0063611C"/>
    <w:rsid w:val="00636336"/>
    <w:rsid w:val="0063651C"/>
    <w:rsid w:val="00636B24"/>
    <w:rsid w:val="00636E2A"/>
    <w:rsid w:val="00637112"/>
    <w:rsid w:val="00637313"/>
    <w:rsid w:val="00637AF4"/>
    <w:rsid w:val="00637D90"/>
    <w:rsid w:val="00640D15"/>
    <w:rsid w:val="006415F0"/>
    <w:rsid w:val="0064164D"/>
    <w:rsid w:val="00641824"/>
    <w:rsid w:val="00641A10"/>
    <w:rsid w:val="00641EE0"/>
    <w:rsid w:val="0064202A"/>
    <w:rsid w:val="006428B1"/>
    <w:rsid w:val="00642A8E"/>
    <w:rsid w:val="006433D6"/>
    <w:rsid w:val="0064397F"/>
    <w:rsid w:val="00643E62"/>
    <w:rsid w:val="00645264"/>
    <w:rsid w:val="006455E5"/>
    <w:rsid w:val="00645E4C"/>
    <w:rsid w:val="00646F26"/>
    <w:rsid w:val="00647092"/>
    <w:rsid w:val="0064735C"/>
    <w:rsid w:val="00647396"/>
    <w:rsid w:val="006474FB"/>
    <w:rsid w:val="006475FE"/>
    <w:rsid w:val="0064787C"/>
    <w:rsid w:val="00647BC9"/>
    <w:rsid w:val="00650E0F"/>
    <w:rsid w:val="0065146F"/>
    <w:rsid w:val="00651932"/>
    <w:rsid w:val="006519EC"/>
    <w:rsid w:val="00651E71"/>
    <w:rsid w:val="00652C28"/>
    <w:rsid w:val="00652FF6"/>
    <w:rsid w:val="0065317A"/>
    <w:rsid w:val="00653687"/>
    <w:rsid w:val="00653B99"/>
    <w:rsid w:val="00653ECF"/>
    <w:rsid w:val="006540DA"/>
    <w:rsid w:val="0065442B"/>
    <w:rsid w:val="006550B8"/>
    <w:rsid w:val="006557BB"/>
    <w:rsid w:val="00655D07"/>
    <w:rsid w:val="006560C8"/>
    <w:rsid w:val="006562DD"/>
    <w:rsid w:val="00656476"/>
    <w:rsid w:val="00657636"/>
    <w:rsid w:val="00657780"/>
    <w:rsid w:val="00657B3D"/>
    <w:rsid w:val="0066012F"/>
    <w:rsid w:val="0066082C"/>
    <w:rsid w:val="0066133B"/>
    <w:rsid w:val="0066157A"/>
    <w:rsid w:val="006626D0"/>
    <w:rsid w:val="006627DF"/>
    <w:rsid w:val="00662862"/>
    <w:rsid w:val="00662AC9"/>
    <w:rsid w:val="00662B09"/>
    <w:rsid w:val="00662DA3"/>
    <w:rsid w:val="00663ABA"/>
    <w:rsid w:val="00665658"/>
    <w:rsid w:val="00665777"/>
    <w:rsid w:val="006658CE"/>
    <w:rsid w:val="0066676A"/>
    <w:rsid w:val="00666B57"/>
    <w:rsid w:val="00667467"/>
    <w:rsid w:val="0066746E"/>
    <w:rsid w:val="0066755E"/>
    <w:rsid w:val="00667883"/>
    <w:rsid w:val="006707EA"/>
    <w:rsid w:val="006708EB"/>
    <w:rsid w:val="00670F28"/>
    <w:rsid w:val="006710EE"/>
    <w:rsid w:val="00671225"/>
    <w:rsid w:val="00671791"/>
    <w:rsid w:val="006719A7"/>
    <w:rsid w:val="00671CC7"/>
    <w:rsid w:val="00671ED0"/>
    <w:rsid w:val="006720D6"/>
    <w:rsid w:val="00672280"/>
    <w:rsid w:val="006725EA"/>
    <w:rsid w:val="006729D6"/>
    <w:rsid w:val="006731FC"/>
    <w:rsid w:val="0067395B"/>
    <w:rsid w:val="00673B12"/>
    <w:rsid w:val="00673B68"/>
    <w:rsid w:val="00673BA5"/>
    <w:rsid w:val="00673C6D"/>
    <w:rsid w:val="00673FD0"/>
    <w:rsid w:val="0067488E"/>
    <w:rsid w:val="00675244"/>
    <w:rsid w:val="00675B70"/>
    <w:rsid w:val="00675FE3"/>
    <w:rsid w:val="006765D3"/>
    <w:rsid w:val="00676A7E"/>
    <w:rsid w:val="00676E5E"/>
    <w:rsid w:val="0067708A"/>
    <w:rsid w:val="0067730E"/>
    <w:rsid w:val="0067736F"/>
    <w:rsid w:val="006803A2"/>
    <w:rsid w:val="0068125F"/>
    <w:rsid w:val="00681D3D"/>
    <w:rsid w:val="00681F4F"/>
    <w:rsid w:val="006820F1"/>
    <w:rsid w:val="0068244C"/>
    <w:rsid w:val="00682664"/>
    <w:rsid w:val="0068291B"/>
    <w:rsid w:val="006845E5"/>
    <w:rsid w:val="00684C5D"/>
    <w:rsid w:val="00684E1F"/>
    <w:rsid w:val="00684F9C"/>
    <w:rsid w:val="00685B5C"/>
    <w:rsid w:val="00685F93"/>
    <w:rsid w:val="0068631C"/>
    <w:rsid w:val="00686894"/>
    <w:rsid w:val="006868CA"/>
    <w:rsid w:val="00686CB2"/>
    <w:rsid w:val="00686CEB"/>
    <w:rsid w:val="006877DA"/>
    <w:rsid w:val="00687C39"/>
    <w:rsid w:val="00690097"/>
    <w:rsid w:val="00690722"/>
    <w:rsid w:val="00690C8C"/>
    <w:rsid w:val="00690D7A"/>
    <w:rsid w:val="00690E28"/>
    <w:rsid w:val="00691147"/>
    <w:rsid w:val="006914C2"/>
    <w:rsid w:val="00691542"/>
    <w:rsid w:val="00691E44"/>
    <w:rsid w:val="0069279A"/>
    <w:rsid w:val="006930F0"/>
    <w:rsid w:val="00693A0A"/>
    <w:rsid w:val="00693FB1"/>
    <w:rsid w:val="0069434A"/>
    <w:rsid w:val="006950B6"/>
    <w:rsid w:val="006957EE"/>
    <w:rsid w:val="00696B59"/>
    <w:rsid w:val="00697262"/>
    <w:rsid w:val="00697BA8"/>
    <w:rsid w:val="00697E37"/>
    <w:rsid w:val="006A0239"/>
    <w:rsid w:val="006A0523"/>
    <w:rsid w:val="006A0AB9"/>
    <w:rsid w:val="006A0BD7"/>
    <w:rsid w:val="006A1000"/>
    <w:rsid w:val="006A1220"/>
    <w:rsid w:val="006A1AB4"/>
    <w:rsid w:val="006A29FE"/>
    <w:rsid w:val="006A2AB3"/>
    <w:rsid w:val="006A391A"/>
    <w:rsid w:val="006A4B06"/>
    <w:rsid w:val="006A4D3C"/>
    <w:rsid w:val="006A4F6C"/>
    <w:rsid w:val="006A52BC"/>
    <w:rsid w:val="006A5C03"/>
    <w:rsid w:val="006A5F96"/>
    <w:rsid w:val="006A6058"/>
    <w:rsid w:val="006A68AC"/>
    <w:rsid w:val="006A6EED"/>
    <w:rsid w:val="006A7441"/>
    <w:rsid w:val="006A7631"/>
    <w:rsid w:val="006B0509"/>
    <w:rsid w:val="006B06A3"/>
    <w:rsid w:val="006B06AE"/>
    <w:rsid w:val="006B0D88"/>
    <w:rsid w:val="006B11D1"/>
    <w:rsid w:val="006B17BD"/>
    <w:rsid w:val="006B1FF6"/>
    <w:rsid w:val="006B24B7"/>
    <w:rsid w:val="006B2782"/>
    <w:rsid w:val="006B29CC"/>
    <w:rsid w:val="006B2D9F"/>
    <w:rsid w:val="006B3188"/>
    <w:rsid w:val="006B3A42"/>
    <w:rsid w:val="006B3A7E"/>
    <w:rsid w:val="006B3C2E"/>
    <w:rsid w:val="006B4261"/>
    <w:rsid w:val="006B4955"/>
    <w:rsid w:val="006B4D18"/>
    <w:rsid w:val="006B521A"/>
    <w:rsid w:val="006B5515"/>
    <w:rsid w:val="006B553F"/>
    <w:rsid w:val="006B595C"/>
    <w:rsid w:val="006B5B34"/>
    <w:rsid w:val="006B5C5B"/>
    <w:rsid w:val="006B672C"/>
    <w:rsid w:val="006B683E"/>
    <w:rsid w:val="006B6C8B"/>
    <w:rsid w:val="006B6F34"/>
    <w:rsid w:val="006B772B"/>
    <w:rsid w:val="006B7A1E"/>
    <w:rsid w:val="006C0775"/>
    <w:rsid w:val="006C0A2D"/>
    <w:rsid w:val="006C11B9"/>
    <w:rsid w:val="006C127E"/>
    <w:rsid w:val="006C225E"/>
    <w:rsid w:val="006C2603"/>
    <w:rsid w:val="006C30F6"/>
    <w:rsid w:val="006C3706"/>
    <w:rsid w:val="006C3BCC"/>
    <w:rsid w:val="006C3F1B"/>
    <w:rsid w:val="006C4207"/>
    <w:rsid w:val="006C458B"/>
    <w:rsid w:val="006C4A49"/>
    <w:rsid w:val="006C4C1C"/>
    <w:rsid w:val="006C5A21"/>
    <w:rsid w:val="006C5A28"/>
    <w:rsid w:val="006C5C54"/>
    <w:rsid w:val="006C5CC3"/>
    <w:rsid w:val="006C689B"/>
    <w:rsid w:val="006C6AA5"/>
    <w:rsid w:val="006C6CAC"/>
    <w:rsid w:val="006C6F68"/>
    <w:rsid w:val="006C7623"/>
    <w:rsid w:val="006C7E25"/>
    <w:rsid w:val="006C7F2D"/>
    <w:rsid w:val="006D00F1"/>
    <w:rsid w:val="006D02D5"/>
    <w:rsid w:val="006D0929"/>
    <w:rsid w:val="006D09B5"/>
    <w:rsid w:val="006D0AB2"/>
    <w:rsid w:val="006D0CDD"/>
    <w:rsid w:val="006D1602"/>
    <w:rsid w:val="006D213E"/>
    <w:rsid w:val="006D26A9"/>
    <w:rsid w:val="006D2DDC"/>
    <w:rsid w:val="006D303E"/>
    <w:rsid w:val="006D3387"/>
    <w:rsid w:val="006D33C2"/>
    <w:rsid w:val="006D3984"/>
    <w:rsid w:val="006D39B5"/>
    <w:rsid w:val="006D3EB5"/>
    <w:rsid w:val="006D44B6"/>
    <w:rsid w:val="006D5C71"/>
    <w:rsid w:val="006D5D9A"/>
    <w:rsid w:val="006D6050"/>
    <w:rsid w:val="006D61F6"/>
    <w:rsid w:val="006D6266"/>
    <w:rsid w:val="006D6AA7"/>
    <w:rsid w:val="006D7089"/>
    <w:rsid w:val="006D7344"/>
    <w:rsid w:val="006D74E1"/>
    <w:rsid w:val="006E00EF"/>
    <w:rsid w:val="006E03B9"/>
    <w:rsid w:val="006E0735"/>
    <w:rsid w:val="006E0F2D"/>
    <w:rsid w:val="006E0F8A"/>
    <w:rsid w:val="006E1113"/>
    <w:rsid w:val="006E2268"/>
    <w:rsid w:val="006E2385"/>
    <w:rsid w:val="006E2CCE"/>
    <w:rsid w:val="006E30CA"/>
    <w:rsid w:val="006E34C3"/>
    <w:rsid w:val="006E3952"/>
    <w:rsid w:val="006E3E10"/>
    <w:rsid w:val="006E3E75"/>
    <w:rsid w:val="006E4362"/>
    <w:rsid w:val="006E4394"/>
    <w:rsid w:val="006E43CA"/>
    <w:rsid w:val="006E444E"/>
    <w:rsid w:val="006E4531"/>
    <w:rsid w:val="006E45FB"/>
    <w:rsid w:val="006E4DA2"/>
    <w:rsid w:val="006E5530"/>
    <w:rsid w:val="006E5942"/>
    <w:rsid w:val="006E631F"/>
    <w:rsid w:val="006E6A37"/>
    <w:rsid w:val="006E6A94"/>
    <w:rsid w:val="006E6AE7"/>
    <w:rsid w:val="006F004F"/>
    <w:rsid w:val="006F1C03"/>
    <w:rsid w:val="006F1C39"/>
    <w:rsid w:val="006F1DFD"/>
    <w:rsid w:val="006F1F85"/>
    <w:rsid w:val="006F20B7"/>
    <w:rsid w:val="006F3574"/>
    <w:rsid w:val="006F395F"/>
    <w:rsid w:val="006F46F3"/>
    <w:rsid w:val="006F4FA4"/>
    <w:rsid w:val="006F53CA"/>
    <w:rsid w:val="006F5966"/>
    <w:rsid w:val="0070019A"/>
    <w:rsid w:val="00700202"/>
    <w:rsid w:val="00700708"/>
    <w:rsid w:val="00701103"/>
    <w:rsid w:val="0070112D"/>
    <w:rsid w:val="00701F89"/>
    <w:rsid w:val="00701FBE"/>
    <w:rsid w:val="007025C7"/>
    <w:rsid w:val="0070280C"/>
    <w:rsid w:val="00702899"/>
    <w:rsid w:val="007028D3"/>
    <w:rsid w:val="00702994"/>
    <w:rsid w:val="00703771"/>
    <w:rsid w:val="00703AC7"/>
    <w:rsid w:val="00704965"/>
    <w:rsid w:val="00704A7F"/>
    <w:rsid w:val="00705844"/>
    <w:rsid w:val="00705851"/>
    <w:rsid w:val="00706801"/>
    <w:rsid w:val="00706C42"/>
    <w:rsid w:val="00706F1E"/>
    <w:rsid w:val="00707144"/>
    <w:rsid w:val="00707595"/>
    <w:rsid w:val="007078E7"/>
    <w:rsid w:val="007103B5"/>
    <w:rsid w:val="00710F79"/>
    <w:rsid w:val="00711010"/>
    <w:rsid w:val="007111AB"/>
    <w:rsid w:val="007112A5"/>
    <w:rsid w:val="00711CED"/>
    <w:rsid w:val="00711E45"/>
    <w:rsid w:val="0071283D"/>
    <w:rsid w:val="0071311F"/>
    <w:rsid w:val="0071352B"/>
    <w:rsid w:val="00713E06"/>
    <w:rsid w:val="00713E18"/>
    <w:rsid w:val="00713F9A"/>
    <w:rsid w:val="00714390"/>
    <w:rsid w:val="00714539"/>
    <w:rsid w:val="00714CBF"/>
    <w:rsid w:val="007154A1"/>
    <w:rsid w:val="00715630"/>
    <w:rsid w:val="0071668D"/>
    <w:rsid w:val="00716727"/>
    <w:rsid w:val="00716889"/>
    <w:rsid w:val="00716A99"/>
    <w:rsid w:val="00716BEB"/>
    <w:rsid w:val="0071761F"/>
    <w:rsid w:val="00717ADC"/>
    <w:rsid w:val="00720831"/>
    <w:rsid w:val="00720BC5"/>
    <w:rsid w:val="00720D61"/>
    <w:rsid w:val="00720EEA"/>
    <w:rsid w:val="0072195A"/>
    <w:rsid w:val="00721D2B"/>
    <w:rsid w:val="00722272"/>
    <w:rsid w:val="007224DD"/>
    <w:rsid w:val="0072258D"/>
    <w:rsid w:val="007227E3"/>
    <w:rsid w:val="0072307B"/>
    <w:rsid w:val="007232C6"/>
    <w:rsid w:val="0072427D"/>
    <w:rsid w:val="00724C3F"/>
    <w:rsid w:val="00724D76"/>
    <w:rsid w:val="00725AFC"/>
    <w:rsid w:val="00725B45"/>
    <w:rsid w:val="00725C5B"/>
    <w:rsid w:val="00725DA8"/>
    <w:rsid w:val="0072607A"/>
    <w:rsid w:val="00726629"/>
    <w:rsid w:val="0072664B"/>
    <w:rsid w:val="00726B02"/>
    <w:rsid w:val="0072757C"/>
    <w:rsid w:val="00727653"/>
    <w:rsid w:val="00727CF0"/>
    <w:rsid w:val="00727EBA"/>
    <w:rsid w:val="00727EF2"/>
    <w:rsid w:val="007302D4"/>
    <w:rsid w:val="007306D5"/>
    <w:rsid w:val="00731A9F"/>
    <w:rsid w:val="00731B69"/>
    <w:rsid w:val="0073213B"/>
    <w:rsid w:val="0073289E"/>
    <w:rsid w:val="00732BA5"/>
    <w:rsid w:val="00732EA8"/>
    <w:rsid w:val="007335D9"/>
    <w:rsid w:val="007336C5"/>
    <w:rsid w:val="00733C9C"/>
    <w:rsid w:val="00734060"/>
    <w:rsid w:val="00734285"/>
    <w:rsid w:val="007344BB"/>
    <w:rsid w:val="0073494E"/>
    <w:rsid w:val="00734BD6"/>
    <w:rsid w:val="00735624"/>
    <w:rsid w:val="0073595E"/>
    <w:rsid w:val="0073598C"/>
    <w:rsid w:val="00735AC7"/>
    <w:rsid w:val="00735DE0"/>
    <w:rsid w:val="00736EA5"/>
    <w:rsid w:val="007374B5"/>
    <w:rsid w:val="007376BD"/>
    <w:rsid w:val="00737D3A"/>
    <w:rsid w:val="007407D0"/>
    <w:rsid w:val="0074092F"/>
    <w:rsid w:val="00740BE8"/>
    <w:rsid w:val="00740D73"/>
    <w:rsid w:val="00740F4E"/>
    <w:rsid w:val="007412CB"/>
    <w:rsid w:val="00742192"/>
    <w:rsid w:val="00742470"/>
    <w:rsid w:val="007432DF"/>
    <w:rsid w:val="00743587"/>
    <w:rsid w:val="00743DB8"/>
    <w:rsid w:val="00744152"/>
    <w:rsid w:val="00744C55"/>
    <w:rsid w:val="007450A9"/>
    <w:rsid w:val="00745D7A"/>
    <w:rsid w:val="0074650C"/>
    <w:rsid w:val="00746B4B"/>
    <w:rsid w:val="00746ED9"/>
    <w:rsid w:val="00747301"/>
    <w:rsid w:val="0074787D"/>
    <w:rsid w:val="0074797D"/>
    <w:rsid w:val="00747CC8"/>
    <w:rsid w:val="00747EA7"/>
    <w:rsid w:val="00750481"/>
    <w:rsid w:val="00750F14"/>
    <w:rsid w:val="007510E5"/>
    <w:rsid w:val="0075142C"/>
    <w:rsid w:val="00751504"/>
    <w:rsid w:val="00751BB4"/>
    <w:rsid w:val="00751C8D"/>
    <w:rsid w:val="00751F8A"/>
    <w:rsid w:val="00752058"/>
    <w:rsid w:val="00752263"/>
    <w:rsid w:val="00752432"/>
    <w:rsid w:val="007526EA"/>
    <w:rsid w:val="00752855"/>
    <w:rsid w:val="00752FFC"/>
    <w:rsid w:val="00753075"/>
    <w:rsid w:val="00753385"/>
    <w:rsid w:val="007533EB"/>
    <w:rsid w:val="007533EF"/>
    <w:rsid w:val="00753FDD"/>
    <w:rsid w:val="00754588"/>
    <w:rsid w:val="0075471A"/>
    <w:rsid w:val="007551A1"/>
    <w:rsid w:val="00755383"/>
    <w:rsid w:val="007554AC"/>
    <w:rsid w:val="007554C1"/>
    <w:rsid w:val="00755F24"/>
    <w:rsid w:val="00756575"/>
    <w:rsid w:val="00756CFA"/>
    <w:rsid w:val="00756D6C"/>
    <w:rsid w:val="00757A28"/>
    <w:rsid w:val="00757C62"/>
    <w:rsid w:val="00760307"/>
    <w:rsid w:val="0076045A"/>
    <w:rsid w:val="007607D2"/>
    <w:rsid w:val="0076099F"/>
    <w:rsid w:val="00760BD0"/>
    <w:rsid w:val="00760EE5"/>
    <w:rsid w:val="007614E1"/>
    <w:rsid w:val="00761850"/>
    <w:rsid w:val="00761885"/>
    <w:rsid w:val="007618F7"/>
    <w:rsid w:val="00761D22"/>
    <w:rsid w:val="00761FE2"/>
    <w:rsid w:val="0076203E"/>
    <w:rsid w:val="00762381"/>
    <w:rsid w:val="007638FA"/>
    <w:rsid w:val="00764220"/>
    <w:rsid w:val="00764639"/>
    <w:rsid w:val="00764844"/>
    <w:rsid w:val="00764BCA"/>
    <w:rsid w:val="00764D7B"/>
    <w:rsid w:val="007652DB"/>
    <w:rsid w:val="00766185"/>
    <w:rsid w:val="0076634A"/>
    <w:rsid w:val="00766AC4"/>
    <w:rsid w:val="00766BA4"/>
    <w:rsid w:val="00766BDF"/>
    <w:rsid w:val="007706ED"/>
    <w:rsid w:val="00770D8F"/>
    <w:rsid w:val="00770F0C"/>
    <w:rsid w:val="00770F5C"/>
    <w:rsid w:val="0077100E"/>
    <w:rsid w:val="00771CBB"/>
    <w:rsid w:val="00772ADD"/>
    <w:rsid w:val="00772EA7"/>
    <w:rsid w:val="00772F72"/>
    <w:rsid w:val="00773873"/>
    <w:rsid w:val="007738C2"/>
    <w:rsid w:val="00774089"/>
    <w:rsid w:val="007749C7"/>
    <w:rsid w:val="007757DA"/>
    <w:rsid w:val="00775EE6"/>
    <w:rsid w:val="00776C4B"/>
    <w:rsid w:val="0077731C"/>
    <w:rsid w:val="0077785B"/>
    <w:rsid w:val="007807BC"/>
    <w:rsid w:val="00780A49"/>
    <w:rsid w:val="00780F47"/>
    <w:rsid w:val="007817BE"/>
    <w:rsid w:val="00782078"/>
    <w:rsid w:val="00783157"/>
    <w:rsid w:val="0078346A"/>
    <w:rsid w:val="00783C88"/>
    <w:rsid w:val="00784187"/>
    <w:rsid w:val="00784F20"/>
    <w:rsid w:val="00784FDF"/>
    <w:rsid w:val="007851B2"/>
    <w:rsid w:val="007854B1"/>
    <w:rsid w:val="00785538"/>
    <w:rsid w:val="007856E9"/>
    <w:rsid w:val="00785E44"/>
    <w:rsid w:val="00785F36"/>
    <w:rsid w:val="00786755"/>
    <w:rsid w:val="007878BD"/>
    <w:rsid w:val="007900C3"/>
    <w:rsid w:val="007901E5"/>
    <w:rsid w:val="00790358"/>
    <w:rsid w:val="007911A5"/>
    <w:rsid w:val="00791BAC"/>
    <w:rsid w:val="007931AA"/>
    <w:rsid w:val="00793391"/>
    <w:rsid w:val="007940AA"/>
    <w:rsid w:val="00794718"/>
    <w:rsid w:val="007951BC"/>
    <w:rsid w:val="00795733"/>
    <w:rsid w:val="007959B5"/>
    <w:rsid w:val="00795A89"/>
    <w:rsid w:val="00795D16"/>
    <w:rsid w:val="00795D91"/>
    <w:rsid w:val="00796578"/>
    <w:rsid w:val="0079669E"/>
    <w:rsid w:val="007966AA"/>
    <w:rsid w:val="007966C2"/>
    <w:rsid w:val="0079689B"/>
    <w:rsid w:val="00796FC2"/>
    <w:rsid w:val="007A0320"/>
    <w:rsid w:val="007A1F93"/>
    <w:rsid w:val="007A225F"/>
    <w:rsid w:val="007A22C1"/>
    <w:rsid w:val="007A2956"/>
    <w:rsid w:val="007A2B95"/>
    <w:rsid w:val="007A2CA2"/>
    <w:rsid w:val="007A3291"/>
    <w:rsid w:val="007A355E"/>
    <w:rsid w:val="007A390C"/>
    <w:rsid w:val="007A3A63"/>
    <w:rsid w:val="007A428A"/>
    <w:rsid w:val="007A4290"/>
    <w:rsid w:val="007A42D8"/>
    <w:rsid w:val="007A5275"/>
    <w:rsid w:val="007A5CDA"/>
    <w:rsid w:val="007A5DD7"/>
    <w:rsid w:val="007A5E6A"/>
    <w:rsid w:val="007A5F06"/>
    <w:rsid w:val="007A686E"/>
    <w:rsid w:val="007A6CE1"/>
    <w:rsid w:val="007A7264"/>
    <w:rsid w:val="007A7647"/>
    <w:rsid w:val="007A7BE6"/>
    <w:rsid w:val="007A7EA3"/>
    <w:rsid w:val="007B005E"/>
    <w:rsid w:val="007B1D2D"/>
    <w:rsid w:val="007B1FC6"/>
    <w:rsid w:val="007B250B"/>
    <w:rsid w:val="007B29F8"/>
    <w:rsid w:val="007B2E4C"/>
    <w:rsid w:val="007B305A"/>
    <w:rsid w:val="007B31C9"/>
    <w:rsid w:val="007B3538"/>
    <w:rsid w:val="007B3791"/>
    <w:rsid w:val="007B49D7"/>
    <w:rsid w:val="007B4A3D"/>
    <w:rsid w:val="007B559C"/>
    <w:rsid w:val="007B5AB2"/>
    <w:rsid w:val="007B5BC4"/>
    <w:rsid w:val="007B5E74"/>
    <w:rsid w:val="007B5EA3"/>
    <w:rsid w:val="007B6921"/>
    <w:rsid w:val="007B696F"/>
    <w:rsid w:val="007B6A07"/>
    <w:rsid w:val="007B7007"/>
    <w:rsid w:val="007B7727"/>
    <w:rsid w:val="007C0725"/>
    <w:rsid w:val="007C0A58"/>
    <w:rsid w:val="007C1242"/>
    <w:rsid w:val="007C129D"/>
    <w:rsid w:val="007C29D6"/>
    <w:rsid w:val="007C2B08"/>
    <w:rsid w:val="007C2DB5"/>
    <w:rsid w:val="007C2ECD"/>
    <w:rsid w:val="007C3B70"/>
    <w:rsid w:val="007C3D58"/>
    <w:rsid w:val="007C3EBB"/>
    <w:rsid w:val="007C4035"/>
    <w:rsid w:val="007C431E"/>
    <w:rsid w:val="007C43E4"/>
    <w:rsid w:val="007C4753"/>
    <w:rsid w:val="007C4B10"/>
    <w:rsid w:val="007C5C2A"/>
    <w:rsid w:val="007C5E92"/>
    <w:rsid w:val="007C67F0"/>
    <w:rsid w:val="007C6928"/>
    <w:rsid w:val="007C6A97"/>
    <w:rsid w:val="007C7C40"/>
    <w:rsid w:val="007C7D38"/>
    <w:rsid w:val="007D00D7"/>
    <w:rsid w:val="007D03F0"/>
    <w:rsid w:val="007D0619"/>
    <w:rsid w:val="007D0761"/>
    <w:rsid w:val="007D07DA"/>
    <w:rsid w:val="007D0833"/>
    <w:rsid w:val="007D2095"/>
    <w:rsid w:val="007D3738"/>
    <w:rsid w:val="007D3B27"/>
    <w:rsid w:val="007D4776"/>
    <w:rsid w:val="007D4A47"/>
    <w:rsid w:val="007D59D4"/>
    <w:rsid w:val="007D60FD"/>
    <w:rsid w:val="007D6530"/>
    <w:rsid w:val="007D7317"/>
    <w:rsid w:val="007D796C"/>
    <w:rsid w:val="007D79E8"/>
    <w:rsid w:val="007E003B"/>
    <w:rsid w:val="007E0749"/>
    <w:rsid w:val="007E074B"/>
    <w:rsid w:val="007E0FD4"/>
    <w:rsid w:val="007E10D5"/>
    <w:rsid w:val="007E111F"/>
    <w:rsid w:val="007E16F0"/>
    <w:rsid w:val="007E19A4"/>
    <w:rsid w:val="007E1AA4"/>
    <w:rsid w:val="007E1D19"/>
    <w:rsid w:val="007E20D6"/>
    <w:rsid w:val="007E22C9"/>
    <w:rsid w:val="007E294A"/>
    <w:rsid w:val="007E310C"/>
    <w:rsid w:val="007E320E"/>
    <w:rsid w:val="007E3BFB"/>
    <w:rsid w:val="007E3C6F"/>
    <w:rsid w:val="007E465D"/>
    <w:rsid w:val="007E4CCF"/>
    <w:rsid w:val="007E5200"/>
    <w:rsid w:val="007E5CAE"/>
    <w:rsid w:val="007E63FD"/>
    <w:rsid w:val="007E64A2"/>
    <w:rsid w:val="007E6844"/>
    <w:rsid w:val="007E70E1"/>
    <w:rsid w:val="007E7B0B"/>
    <w:rsid w:val="007E7C7C"/>
    <w:rsid w:val="007E7FE2"/>
    <w:rsid w:val="007F02BE"/>
    <w:rsid w:val="007F087A"/>
    <w:rsid w:val="007F2CBA"/>
    <w:rsid w:val="007F2D1C"/>
    <w:rsid w:val="007F2DDF"/>
    <w:rsid w:val="007F2F59"/>
    <w:rsid w:val="007F2FDA"/>
    <w:rsid w:val="007F3274"/>
    <w:rsid w:val="007F389D"/>
    <w:rsid w:val="007F3D8D"/>
    <w:rsid w:val="007F4898"/>
    <w:rsid w:val="007F4A94"/>
    <w:rsid w:val="007F4C68"/>
    <w:rsid w:val="007F4CDD"/>
    <w:rsid w:val="007F5945"/>
    <w:rsid w:val="007F5EE7"/>
    <w:rsid w:val="007F5FE2"/>
    <w:rsid w:val="007F68F8"/>
    <w:rsid w:val="007F6E28"/>
    <w:rsid w:val="007F73C2"/>
    <w:rsid w:val="00800048"/>
    <w:rsid w:val="0080060B"/>
    <w:rsid w:val="00800812"/>
    <w:rsid w:val="00800CEB"/>
    <w:rsid w:val="0080144F"/>
    <w:rsid w:val="00801808"/>
    <w:rsid w:val="0080193D"/>
    <w:rsid w:val="00801A6F"/>
    <w:rsid w:val="00801C91"/>
    <w:rsid w:val="00801E06"/>
    <w:rsid w:val="00801EED"/>
    <w:rsid w:val="00802794"/>
    <w:rsid w:val="0080285C"/>
    <w:rsid w:val="00802D7F"/>
    <w:rsid w:val="00803293"/>
    <w:rsid w:val="0080331E"/>
    <w:rsid w:val="0080387E"/>
    <w:rsid w:val="008047C6"/>
    <w:rsid w:val="008049D4"/>
    <w:rsid w:val="00804F44"/>
    <w:rsid w:val="00804F98"/>
    <w:rsid w:val="0080552D"/>
    <w:rsid w:val="008055BC"/>
    <w:rsid w:val="008055F1"/>
    <w:rsid w:val="008056BE"/>
    <w:rsid w:val="00805CB7"/>
    <w:rsid w:val="00806D0A"/>
    <w:rsid w:val="008070A4"/>
    <w:rsid w:val="0080792E"/>
    <w:rsid w:val="00807F81"/>
    <w:rsid w:val="0081002D"/>
    <w:rsid w:val="00810370"/>
    <w:rsid w:val="0081137C"/>
    <w:rsid w:val="0081196F"/>
    <w:rsid w:val="0081220E"/>
    <w:rsid w:val="008122BB"/>
    <w:rsid w:val="008131D6"/>
    <w:rsid w:val="008134B4"/>
    <w:rsid w:val="008134E7"/>
    <w:rsid w:val="00813B7D"/>
    <w:rsid w:val="00813F28"/>
    <w:rsid w:val="00813FC8"/>
    <w:rsid w:val="0081454E"/>
    <w:rsid w:val="008149D6"/>
    <w:rsid w:val="00814C2B"/>
    <w:rsid w:val="00814EC5"/>
    <w:rsid w:val="00814F0F"/>
    <w:rsid w:val="00815432"/>
    <w:rsid w:val="008156E9"/>
    <w:rsid w:val="008157F4"/>
    <w:rsid w:val="0081596B"/>
    <w:rsid w:val="00815FCD"/>
    <w:rsid w:val="008166F6"/>
    <w:rsid w:val="0081691F"/>
    <w:rsid w:val="00816E3B"/>
    <w:rsid w:val="00817391"/>
    <w:rsid w:val="0081741B"/>
    <w:rsid w:val="008174B7"/>
    <w:rsid w:val="00817649"/>
    <w:rsid w:val="0081770C"/>
    <w:rsid w:val="00817B2A"/>
    <w:rsid w:val="008215C1"/>
    <w:rsid w:val="00821802"/>
    <w:rsid w:val="00821ABF"/>
    <w:rsid w:val="00821BB8"/>
    <w:rsid w:val="00821E15"/>
    <w:rsid w:val="00821F09"/>
    <w:rsid w:val="008221EB"/>
    <w:rsid w:val="00823CE0"/>
    <w:rsid w:val="00823D21"/>
    <w:rsid w:val="008241D6"/>
    <w:rsid w:val="008243AC"/>
    <w:rsid w:val="00824616"/>
    <w:rsid w:val="00824F6A"/>
    <w:rsid w:val="00825B27"/>
    <w:rsid w:val="00825CE7"/>
    <w:rsid w:val="00825FE8"/>
    <w:rsid w:val="0082624D"/>
    <w:rsid w:val="0082695D"/>
    <w:rsid w:val="00826D49"/>
    <w:rsid w:val="00827F66"/>
    <w:rsid w:val="008300C3"/>
    <w:rsid w:val="008304C4"/>
    <w:rsid w:val="0083150D"/>
    <w:rsid w:val="00831564"/>
    <w:rsid w:val="00831893"/>
    <w:rsid w:val="008318FE"/>
    <w:rsid w:val="008319B0"/>
    <w:rsid w:val="00832146"/>
    <w:rsid w:val="00832622"/>
    <w:rsid w:val="00832B39"/>
    <w:rsid w:val="0083412A"/>
    <w:rsid w:val="0083444F"/>
    <w:rsid w:val="00834EFD"/>
    <w:rsid w:val="00835392"/>
    <w:rsid w:val="00835674"/>
    <w:rsid w:val="008356C9"/>
    <w:rsid w:val="00835BE5"/>
    <w:rsid w:val="00835FDF"/>
    <w:rsid w:val="00836354"/>
    <w:rsid w:val="00836ACA"/>
    <w:rsid w:val="00836C0B"/>
    <w:rsid w:val="00836C42"/>
    <w:rsid w:val="00836C9C"/>
    <w:rsid w:val="00837B2E"/>
    <w:rsid w:val="00837D9B"/>
    <w:rsid w:val="00837F48"/>
    <w:rsid w:val="008401F4"/>
    <w:rsid w:val="00840A6E"/>
    <w:rsid w:val="008411B8"/>
    <w:rsid w:val="00841C94"/>
    <w:rsid w:val="00841D51"/>
    <w:rsid w:val="0084263A"/>
    <w:rsid w:val="00842C90"/>
    <w:rsid w:val="00842DA3"/>
    <w:rsid w:val="0084347C"/>
    <w:rsid w:val="0084350C"/>
    <w:rsid w:val="0084373D"/>
    <w:rsid w:val="00843BCC"/>
    <w:rsid w:val="00843DAA"/>
    <w:rsid w:val="00843F95"/>
    <w:rsid w:val="008441B0"/>
    <w:rsid w:val="008444F2"/>
    <w:rsid w:val="00844F04"/>
    <w:rsid w:val="00845471"/>
    <w:rsid w:val="0084580B"/>
    <w:rsid w:val="00846A07"/>
    <w:rsid w:val="00846BB7"/>
    <w:rsid w:val="00847135"/>
    <w:rsid w:val="008478BD"/>
    <w:rsid w:val="0085055F"/>
    <w:rsid w:val="00850846"/>
    <w:rsid w:val="00850AA2"/>
    <w:rsid w:val="00850C95"/>
    <w:rsid w:val="00850EF3"/>
    <w:rsid w:val="0085141A"/>
    <w:rsid w:val="0085176C"/>
    <w:rsid w:val="008518FA"/>
    <w:rsid w:val="00851984"/>
    <w:rsid w:val="00852390"/>
    <w:rsid w:val="008528A0"/>
    <w:rsid w:val="00852DD2"/>
    <w:rsid w:val="00853ABC"/>
    <w:rsid w:val="00854065"/>
    <w:rsid w:val="008543F8"/>
    <w:rsid w:val="00854989"/>
    <w:rsid w:val="00854C6D"/>
    <w:rsid w:val="00854CD1"/>
    <w:rsid w:val="00854DC7"/>
    <w:rsid w:val="00854E8E"/>
    <w:rsid w:val="00854F7B"/>
    <w:rsid w:val="00855755"/>
    <w:rsid w:val="00855C8A"/>
    <w:rsid w:val="008563D0"/>
    <w:rsid w:val="00856F1C"/>
    <w:rsid w:val="00857986"/>
    <w:rsid w:val="00857B90"/>
    <w:rsid w:val="008601C2"/>
    <w:rsid w:val="00860EF0"/>
    <w:rsid w:val="008611EE"/>
    <w:rsid w:val="00861E1C"/>
    <w:rsid w:val="00862200"/>
    <w:rsid w:val="008623D0"/>
    <w:rsid w:val="00862676"/>
    <w:rsid w:val="00862AD4"/>
    <w:rsid w:val="00862DA8"/>
    <w:rsid w:val="00862EB5"/>
    <w:rsid w:val="0086306C"/>
    <w:rsid w:val="00863179"/>
    <w:rsid w:val="0086380E"/>
    <w:rsid w:val="008645E4"/>
    <w:rsid w:val="008645FD"/>
    <w:rsid w:val="00864FB5"/>
    <w:rsid w:val="00865B68"/>
    <w:rsid w:val="00865B96"/>
    <w:rsid w:val="008664DD"/>
    <w:rsid w:val="00866C75"/>
    <w:rsid w:val="00866DD2"/>
    <w:rsid w:val="00867620"/>
    <w:rsid w:val="00867E21"/>
    <w:rsid w:val="00870607"/>
    <w:rsid w:val="0087118D"/>
    <w:rsid w:val="00871A01"/>
    <w:rsid w:val="00871A9E"/>
    <w:rsid w:val="00871AC5"/>
    <w:rsid w:val="00872624"/>
    <w:rsid w:val="00872F10"/>
    <w:rsid w:val="008739DA"/>
    <w:rsid w:val="00873A3F"/>
    <w:rsid w:val="00873F22"/>
    <w:rsid w:val="00874597"/>
    <w:rsid w:val="00874D6B"/>
    <w:rsid w:val="0087633D"/>
    <w:rsid w:val="00876581"/>
    <w:rsid w:val="008766E6"/>
    <w:rsid w:val="00876716"/>
    <w:rsid w:val="00876D5E"/>
    <w:rsid w:val="00877C3B"/>
    <w:rsid w:val="00877E31"/>
    <w:rsid w:val="00877EEC"/>
    <w:rsid w:val="0088067B"/>
    <w:rsid w:val="00880BE4"/>
    <w:rsid w:val="00880C58"/>
    <w:rsid w:val="008818AA"/>
    <w:rsid w:val="00881A80"/>
    <w:rsid w:val="00881B4F"/>
    <w:rsid w:val="00881C0B"/>
    <w:rsid w:val="00881C89"/>
    <w:rsid w:val="0088388B"/>
    <w:rsid w:val="00883CB1"/>
    <w:rsid w:val="00884F7E"/>
    <w:rsid w:val="008850A6"/>
    <w:rsid w:val="00885474"/>
    <w:rsid w:val="0088552F"/>
    <w:rsid w:val="0088573B"/>
    <w:rsid w:val="00885821"/>
    <w:rsid w:val="00885F9C"/>
    <w:rsid w:val="00886CD3"/>
    <w:rsid w:val="00886EBE"/>
    <w:rsid w:val="008871AF"/>
    <w:rsid w:val="0088735E"/>
    <w:rsid w:val="008873E1"/>
    <w:rsid w:val="0088751C"/>
    <w:rsid w:val="008875FF"/>
    <w:rsid w:val="008877B2"/>
    <w:rsid w:val="0089016F"/>
    <w:rsid w:val="00890379"/>
    <w:rsid w:val="008903B5"/>
    <w:rsid w:val="00890BB7"/>
    <w:rsid w:val="00890DFB"/>
    <w:rsid w:val="00891B73"/>
    <w:rsid w:val="00891E5C"/>
    <w:rsid w:val="00891F3B"/>
    <w:rsid w:val="00892120"/>
    <w:rsid w:val="00892469"/>
    <w:rsid w:val="008925E8"/>
    <w:rsid w:val="0089260E"/>
    <w:rsid w:val="008930D9"/>
    <w:rsid w:val="00893768"/>
    <w:rsid w:val="00894018"/>
    <w:rsid w:val="00894342"/>
    <w:rsid w:val="008943BE"/>
    <w:rsid w:val="008946AD"/>
    <w:rsid w:val="00894D8A"/>
    <w:rsid w:val="00895581"/>
    <w:rsid w:val="00895983"/>
    <w:rsid w:val="008959AB"/>
    <w:rsid w:val="00896100"/>
    <w:rsid w:val="00896C48"/>
    <w:rsid w:val="00896C4C"/>
    <w:rsid w:val="00896D37"/>
    <w:rsid w:val="008974AF"/>
    <w:rsid w:val="008976B9"/>
    <w:rsid w:val="00897A7E"/>
    <w:rsid w:val="008A0238"/>
    <w:rsid w:val="008A0944"/>
    <w:rsid w:val="008A0A54"/>
    <w:rsid w:val="008A11AB"/>
    <w:rsid w:val="008A1764"/>
    <w:rsid w:val="008A23D2"/>
    <w:rsid w:val="008A2F52"/>
    <w:rsid w:val="008A391B"/>
    <w:rsid w:val="008A3B09"/>
    <w:rsid w:val="008A4452"/>
    <w:rsid w:val="008A4D49"/>
    <w:rsid w:val="008A53D6"/>
    <w:rsid w:val="008A56A3"/>
    <w:rsid w:val="008A5A02"/>
    <w:rsid w:val="008A5B75"/>
    <w:rsid w:val="008A5D46"/>
    <w:rsid w:val="008A606C"/>
    <w:rsid w:val="008A619E"/>
    <w:rsid w:val="008A645A"/>
    <w:rsid w:val="008A64AC"/>
    <w:rsid w:val="008A6B25"/>
    <w:rsid w:val="008B05B3"/>
    <w:rsid w:val="008B06A8"/>
    <w:rsid w:val="008B1228"/>
    <w:rsid w:val="008B1BB4"/>
    <w:rsid w:val="008B2453"/>
    <w:rsid w:val="008B3055"/>
    <w:rsid w:val="008B3194"/>
    <w:rsid w:val="008B39E3"/>
    <w:rsid w:val="008B42E6"/>
    <w:rsid w:val="008B49D6"/>
    <w:rsid w:val="008B4FD6"/>
    <w:rsid w:val="008B53B5"/>
    <w:rsid w:val="008B5685"/>
    <w:rsid w:val="008B584C"/>
    <w:rsid w:val="008B5BC8"/>
    <w:rsid w:val="008B5D5D"/>
    <w:rsid w:val="008B5DE7"/>
    <w:rsid w:val="008B6982"/>
    <w:rsid w:val="008B6A18"/>
    <w:rsid w:val="008B6AAF"/>
    <w:rsid w:val="008B76E1"/>
    <w:rsid w:val="008B7A64"/>
    <w:rsid w:val="008B7C59"/>
    <w:rsid w:val="008B7CAA"/>
    <w:rsid w:val="008C11AF"/>
    <w:rsid w:val="008C186A"/>
    <w:rsid w:val="008C1C56"/>
    <w:rsid w:val="008C278B"/>
    <w:rsid w:val="008C28C4"/>
    <w:rsid w:val="008C2D4F"/>
    <w:rsid w:val="008C4196"/>
    <w:rsid w:val="008C468E"/>
    <w:rsid w:val="008C5316"/>
    <w:rsid w:val="008C55F8"/>
    <w:rsid w:val="008C57D2"/>
    <w:rsid w:val="008C6EAC"/>
    <w:rsid w:val="008C721F"/>
    <w:rsid w:val="008C7696"/>
    <w:rsid w:val="008C76B1"/>
    <w:rsid w:val="008D0F10"/>
    <w:rsid w:val="008D0FA7"/>
    <w:rsid w:val="008D17FD"/>
    <w:rsid w:val="008D1833"/>
    <w:rsid w:val="008D2403"/>
    <w:rsid w:val="008D24BD"/>
    <w:rsid w:val="008D2550"/>
    <w:rsid w:val="008D27EA"/>
    <w:rsid w:val="008D2AB1"/>
    <w:rsid w:val="008D2C7B"/>
    <w:rsid w:val="008D2DDD"/>
    <w:rsid w:val="008D2F4E"/>
    <w:rsid w:val="008D3008"/>
    <w:rsid w:val="008D3616"/>
    <w:rsid w:val="008D3A36"/>
    <w:rsid w:val="008D4A2D"/>
    <w:rsid w:val="008D4B6D"/>
    <w:rsid w:val="008D4C40"/>
    <w:rsid w:val="008D4CC3"/>
    <w:rsid w:val="008D4CD6"/>
    <w:rsid w:val="008D4F11"/>
    <w:rsid w:val="008D51A7"/>
    <w:rsid w:val="008D529D"/>
    <w:rsid w:val="008D5BDA"/>
    <w:rsid w:val="008D5D31"/>
    <w:rsid w:val="008D5F3B"/>
    <w:rsid w:val="008D64BE"/>
    <w:rsid w:val="008D6862"/>
    <w:rsid w:val="008D6B49"/>
    <w:rsid w:val="008D6C1D"/>
    <w:rsid w:val="008D6D93"/>
    <w:rsid w:val="008D754B"/>
    <w:rsid w:val="008D7C61"/>
    <w:rsid w:val="008D7E01"/>
    <w:rsid w:val="008D7F4C"/>
    <w:rsid w:val="008E12B6"/>
    <w:rsid w:val="008E1B97"/>
    <w:rsid w:val="008E2071"/>
    <w:rsid w:val="008E2E66"/>
    <w:rsid w:val="008E308D"/>
    <w:rsid w:val="008E3108"/>
    <w:rsid w:val="008E32FB"/>
    <w:rsid w:val="008E3B61"/>
    <w:rsid w:val="008E4232"/>
    <w:rsid w:val="008E4FEA"/>
    <w:rsid w:val="008E500C"/>
    <w:rsid w:val="008E5052"/>
    <w:rsid w:val="008E5CC9"/>
    <w:rsid w:val="008E5E7F"/>
    <w:rsid w:val="008E64B1"/>
    <w:rsid w:val="008E6691"/>
    <w:rsid w:val="008E6810"/>
    <w:rsid w:val="008E6D00"/>
    <w:rsid w:val="008E76E1"/>
    <w:rsid w:val="008E7911"/>
    <w:rsid w:val="008F00DF"/>
    <w:rsid w:val="008F0666"/>
    <w:rsid w:val="008F0B22"/>
    <w:rsid w:val="008F215B"/>
    <w:rsid w:val="008F225B"/>
    <w:rsid w:val="008F260A"/>
    <w:rsid w:val="008F2A2A"/>
    <w:rsid w:val="008F32BF"/>
    <w:rsid w:val="008F37FC"/>
    <w:rsid w:val="008F3B42"/>
    <w:rsid w:val="008F3B77"/>
    <w:rsid w:val="008F4184"/>
    <w:rsid w:val="008F4E5D"/>
    <w:rsid w:val="008F4FFA"/>
    <w:rsid w:val="008F507F"/>
    <w:rsid w:val="008F515C"/>
    <w:rsid w:val="008F5CBE"/>
    <w:rsid w:val="008F5DD7"/>
    <w:rsid w:val="008F5EB2"/>
    <w:rsid w:val="008F60FA"/>
    <w:rsid w:val="008F615E"/>
    <w:rsid w:val="008F66FC"/>
    <w:rsid w:val="008F6989"/>
    <w:rsid w:val="008F7160"/>
    <w:rsid w:val="008F7690"/>
    <w:rsid w:val="008F7DC1"/>
    <w:rsid w:val="008F7ED2"/>
    <w:rsid w:val="008F7F1C"/>
    <w:rsid w:val="00900201"/>
    <w:rsid w:val="009002C7"/>
    <w:rsid w:val="009003B5"/>
    <w:rsid w:val="0090086B"/>
    <w:rsid w:val="00900CD7"/>
    <w:rsid w:val="009012F0"/>
    <w:rsid w:val="00901957"/>
    <w:rsid w:val="00902543"/>
    <w:rsid w:val="009026F9"/>
    <w:rsid w:val="009026FE"/>
    <w:rsid w:val="00902767"/>
    <w:rsid w:val="0090284E"/>
    <w:rsid w:val="009028DD"/>
    <w:rsid w:val="00902AD7"/>
    <w:rsid w:val="00902C98"/>
    <w:rsid w:val="00903468"/>
    <w:rsid w:val="00903740"/>
    <w:rsid w:val="00903D91"/>
    <w:rsid w:val="0090433A"/>
    <w:rsid w:val="009044F7"/>
    <w:rsid w:val="00905090"/>
    <w:rsid w:val="0090523E"/>
    <w:rsid w:val="00905287"/>
    <w:rsid w:val="009056DD"/>
    <w:rsid w:val="00905C95"/>
    <w:rsid w:val="00905F6B"/>
    <w:rsid w:val="00906A1A"/>
    <w:rsid w:val="00906DC4"/>
    <w:rsid w:val="0090783F"/>
    <w:rsid w:val="0091073A"/>
    <w:rsid w:val="00910A16"/>
    <w:rsid w:val="009110BC"/>
    <w:rsid w:val="0091132E"/>
    <w:rsid w:val="00911E58"/>
    <w:rsid w:val="009124B5"/>
    <w:rsid w:val="009136A7"/>
    <w:rsid w:val="009137E7"/>
    <w:rsid w:val="00913977"/>
    <w:rsid w:val="00913E90"/>
    <w:rsid w:val="00914948"/>
    <w:rsid w:val="0091569F"/>
    <w:rsid w:val="00915884"/>
    <w:rsid w:val="00915D42"/>
    <w:rsid w:val="009163FA"/>
    <w:rsid w:val="009163FD"/>
    <w:rsid w:val="0091647A"/>
    <w:rsid w:val="00916498"/>
    <w:rsid w:val="00916E80"/>
    <w:rsid w:val="009172A5"/>
    <w:rsid w:val="009176B2"/>
    <w:rsid w:val="009179E2"/>
    <w:rsid w:val="009203A8"/>
    <w:rsid w:val="009204F8"/>
    <w:rsid w:val="0092135A"/>
    <w:rsid w:val="00921C73"/>
    <w:rsid w:val="00921E3A"/>
    <w:rsid w:val="0092273B"/>
    <w:rsid w:val="00923FB3"/>
    <w:rsid w:val="00924145"/>
    <w:rsid w:val="0092425C"/>
    <w:rsid w:val="0092438C"/>
    <w:rsid w:val="009248A4"/>
    <w:rsid w:val="00924F0B"/>
    <w:rsid w:val="00925275"/>
    <w:rsid w:val="009252C2"/>
    <w:rsid w:val="00925868"/>
    <w:rsid w:val="009259B8"/>
    <w:rsid w:val="00926280"/>
    <w:rsid w:val="009268CA"/>
    <w:rsid w:val="00927754"/>
    <w:rsid w:val="00927AC8"/>
    <w:rsid w:val="00930DCB"/>
    <w:rsid w:val="0093107E"/>
    <w:rsid w:val="009310F1"/>
    <w:rsid w:val="0093123F"/>
    <w:rsid w:val="00931475"/>
    <w:rsid w:val="0093147D"/>
    <w:rsid w:val="009314C9"/>
    <w:rsid w:val="00931504"/>
    <w:rsid w:val="009317B1"/>
    <w:rsid w:val="00931861"/>
    <w:rsid w:val="00931B57"/>
    <w:rsid w:val="00931FDD"/>
    <w:rsid w:val="00932168"/>
    <w:rsid w:val="009321D2"/>
    <w:rsid w:val="0093234C"/>
    <w:rsid w:val="009326FC"/>
    <w:rsid w:val="00932969"/>
    <w:rsid w:val="00932DEE"/>
    <w:rsid w:val="00933152"/>
    <w:rsid w:val="00933545"/>
    <w:rsid w:val="00933A40"/>
    <w:rsid w:val="00933E2A"/>
    <w:rsid w:val="009347AF"/>
    <w:rsid w:val="00934CD7"/>
    <w:rsid w:val="00934E41"/>
    <w:rsid w:val="00934FD4"/>
    <w:rsid w:val="00935B56"/>
    <w:rsid w:val="00935BB1"/>
    <w:rsid w:val="00935E03"/>
    <w:rsid w:val="009360A5"/>
    <w:rsid w:val="009360C0"/>
    <w:rsid w:val="009361AC"/>
    <w:rsid w:val="00936246"/>
    <w:rsid w:val="00936403"/>
    <w:rsid w:val="00936564"/>
    <w:rsid w:val="00936869"/>
    <w:rsid w:val="00936B00"/>
    <w:rsid w:val="00936DBD"/>
    <w:rsid w:val="0093701E"/>
    <w:rsid w:val="009370A8"/>
    <w:rsid w:val="00937186"/>
    <w:rsid w:val="009373EA"/>
    <w:rsid w:val="00937411"/>
    <w:rsid w:val="0094063F"/>
    <w:rsid w:val="00940BDC"/>
    <w:rsid w:val="00940C46"/>
    <w:rsid w:val="009412F2"/>
    <w:rsid w:val="0094136F"/>
    <w:rsid w:val="00941789"/>
    <w:rsid w:val="00941A83"/>
    <w:rsid w:val="00942043"/>
    <w:rsid w:val="0094205A"/>
    <w:rsid w:val="009422DB"/>
    <w:rsid w:val="00942474"/>
    <w:rsid w:val="009424C8"/>
    <w:rsid w:val="00942521"/>
    <w:rsid w:val="009425F5"/>
    <w:rsid w:val="00942C58"/>
    <w:rsid w:val="009435B4"/>
    <w:rsid w:val="009435EC"/>
    <w:rsid w:val="00943B02"/>
    <w:rsid w:val="00943D7C"/>
    <w:rsid w:val="00944223"/>
    <w:rsid w:val="0094424F"/>
    <w:rsid w:val="009443F1"/>
    <w:rsid w:val="00944654"/>
    <w:rsid w:val="00944B28"/>
    <w:rsid w:val="0094570F"/>
    <w:rsid w:val="009458BA"/>
    <w:rsid w:val="0094598B"/>
    <w:rsid w:val="00945B54"/>
    <w:rsid w:val="00945EFD"/>
    <w:rsid w:val="009460CA"/>
    <w:rsid w:val="00946614"/>
    <w:rsid w:val="00946616"/>
    <w:rsid w:val="00946A7F"/>
    <w:rsid w:val="00946C02"/>
    <w:rsid w:val="0094755E"/>
    <w:rsid w:val="00947DAB"/>
    <w:rsid w:val="00947FC5"/>
    <w:rsid w:val="0095001C"/>
    <w:rsid w:val="009504EE"/>
    <w:rsid w:val="009508D4"/>
    <w:rsid w:val="0095211E"/>
    <w:rsid w:val="009521DB"/>
    <w:rsid w:val="0095327E"/>
    <w:rsid w:val="00953B34"/>
    <w:rsid w:val="00953E20"/>
    <w:rsid w:val="00954219"/>
    <w:rsid w:val="00954533"/>
    <w:rsid w:val="00954B34"/>
    <w:rsid w:val="00955630"/>
    <w:rsid w:val="0095570E"/>
    <w:rsid w:val="00955923"/>
    <w:rsid w:val="00955E07"/>
    <w:rsid w:val="00955F13"/>
    <w:rsid w:val="0095664A"/>
    <w:rsid w:val="009571DF"/>
    <w:rsid w:val="009573F2"/>
    <w:rsid w:val="009577B4"/>
    <w:rsid w:val="009603EF"/>
    <w:rsid w:val="009603FD"/>
    <w:rsid w:val="009608AC"/>
    <w:rsid w:val="00960A7E"/>
    <w:rsid w:val="00960E8E"/>
    <w:rsid w:val="00961768"/>
    <w:rsid w:val="009617D8"/>
    <w:rsid w:val="00961F71"/>
    <w:rsid w:val="0096214C"/>
    <w:rsid w:val="0096290F"/>
    <w:rsid w:val="0096321B"/>
    <w:rsid w:val="0096325D"/>
    <w:rsid w:val="0096338D"/>
    <w:rsid w:val="00963458"/>
    <w:rsid w:val="009636B4"/>
    <w:rsid w:val="009639E5"/>
    <w:rsid w:val="00963B53"/>
    <w:rsid w:val="00963C7A"/>
    <w:rsid w:val="00963E94"/>
    <w:rsid w:val="0096447E"/>
    <w:rsid w:val="00964514"/>
    <w:rsid w:val="00964E93"/>
    <w:rsid w:val="0096513C"/>
    <w:rsid w:val="0096551B"/>
    <w:rsid w:val="00965540"/>
    <w:rsid w:val="00965950"/>
    <w:rsid w:val="00965A03"/>
    <w:rsid w:val="00965A2E"/>
    <w:rsid w:val="00965ADC"/>
    <w:rsid w:val="00965F51"/>
    <w:rsid w:val="009669E3"/>
    <w:rsid w:val="0096781E"/>
    <w:rsid w:val="00967D38"/>
    <w:rsid w:val="00967D81"/>
    <w:rsid w:val="0097010A"/>
    <w:rsid w:val="00970C41"/>
    <w:rsid w:val="00970E95"/>
    <w:rsid w:val="00971467"/>
    <w:rsid w:val="00971A93"/>
    <w:rsid w:val="0097210B"/>
    <w:rsid w:val="00972284"/>
    <w:rsid w:val="009728AB"/>
    <w:rsid w:val="00972A2A"/>
    <w:rsid w:val="00972B43"/>
    <w:rsid w:val="00972D8E"/>
    <w:rsid w:val="00973C08"/>
    <w:rsid w:val="00974013"/>
    <w:rsid w:val="0097408E"/>
    <w:rsid w:val="009745BE"/>
    <w:rsid w:val="00974734"/>
    <w:rsid w:val="009748C5"/>
    <w:rsid w:val="00974C3A"/>
    <w:rsid w:val="00974D74"/>
    <w:rsid w:val="0097515E"/>
    <w:rsid w:val="00975630"/>
    <w:rsid w:val="0097567F"/>
    <w:rsid w:val="00975726"/>
    <w:rsid w:val="00975A5B"/>
    <w:rsid w:val="00975F74"/>
    <w:rsid w:val="009760C4"/>
    <w:rsid w:val="00976B92"/>
    <w:rsid w:val="00976BC9"/>
    <w:rsid w:val="00976D31"/>
    <w:rsid w:val="0097720D"/>
    <w:rsid w:val="00977562"/>
    <w:rsid w:val="0097781C"/>
    <w:rsid w:val="0097787F"/>
    <w:rsid w:val="00977C53"/>
    <w:rsid w:val="00977FCB"/>
    <w:rsid w:val="00977FD3"/>
    <w:rsid w:val="00980AB7"/>
    <w:rsid w:val="00981D3A"/>
    <w:rsid w:val="009820EE"/>
    <w:rsid w:val="0098230F"/>
    <w:rsid w:val="00982B86"/>
    <w:rsid w:val="00983490"/>
    <w:rsid w:val="00983CDA"/>
    <w:rsid w:val="009840DF"/>
    <w:rsid w:val="009844A5"/>
    <w:rsid w:val="0098463D"/>
    <w:rsid w:val="0098546C"/>
    <w:rsid w:val="00985869"/>
    <w:rsid w:val="00985A7B"/>
    <w:rsid w:val="00985CF6"/>
    <w:rsid w:val="00985F54"/>
    <w:rsid w:val="0098601C"/>
    <w:rsid w:val="009874FB"/>
    <w:rsid w:val="009878E1"/>
    <w:rsid w:val="00987C28"/>
    <w:rsid w:val="00990094"/>
    <w:rsid w:val="00990BAA"/>
    <w:rsid w:val="00990F77"/>
    <w:rsid w:val="009912C9"/>
    <w:rsid w:val="009918CC"/>
    <w:rsid w:val="00991B6A"/>
    <w:rsid w:val="00992C0D"/>
    <w:rsid w:val="009931E3"/>
    <w:rsid w:val="009936B5"/>
    <w:rsid w:val="009940C2"/>
    <w:rsid w:val="00994555"/>
    <w:rsid w:val="00994937"/>
    <w:rsid w:val="00994B7C"/>
    <w:rsid w:val="00994CDF"/>
    <w:rsid w:val="00994F33"/>
    <w:rsid w:val="00995087"/>
    <w:rsid w:val="00995258"/>
    <w:rsid w:val="00995290"/>
    <w:rsid w:val="00995ABE"/>
    <w:rsid w:val="00996229"/>
    <w:rsid w:val="0099652E"/>
    <w:rsid w:val="009966BF"/>
    <w:rsid w:val="00996780"/>
    <w:rsid w:val="009968F4"/>
    <w:rsid w:val="00996ABF"/>
    <w:rsid w:val="00996D66"/>
    <w:rsid w:val="00996DFB"/>
    <w:rsid w:val="00996E54"/>
    <w:rsid w:val="00997779"/>
    <w:rsid w:val="00997984"/>
    <w:rsid w:val="00997A90"/>
    <w:rsid w:val="009A0374"/>
    <w:rsid w:val="009A06CD"/>
    <w:rsid w:val="009A0F2B"/>
    <w:rsid w:val="009A1014"/>
    <w:rsid w:val="009A124D"/>
    <w:rsid w:val="009A1541"/>
    <w:rsid w:val="009A1582"/>
    <w:rsid w:val="009A1C69"/>
    <w:rsid w:val="009A1C95"/>
    <w:rsid w:val="009A205E"/>
    <w:rsid w:val="009A20D3"/>
    <w:rsid w:val="009A2263"/>
    <w:rsid w:val="009A2B19"/>
    <w:rsid w:val="009A313C"/>
    <w:rsid w:val="009A333D"/>
    <w:rsid w:val="009A357C"/>
    <w:rsid w:val="009A3B09"/>
    <w:rsid w:val="009A3E8B"/>
    <w:rsid w:val="009A415C"/>
    <w:rsid w:val="009A416E"/>
    <w:rsid w:val="009A454D"/>
    <w:rsid w:val="009A544C"/>
    <w:rsid w:val="009A5BE8"/>
    <w:rsid w:val="009A6011"/>
    <w:rsid w:val="009A629A"/>
    <w:rsid w:val="009A638E"/>
    <w:rsid w:val="009A64ED"/>
    <w:rsid w:val="009A67BE"/>
    <w:rsid w:val="009A6A5D"/>
    <w:rsid w:val="009A6F7F"/>
    <w:rsid w:val="009A7375"/>
    <w:rsid w:val="009A754C"/>
    <w:rsid w:val="009B0509"/>
    <w:rsid w:val="009B171B"/>
    <w:rsid w:val="009B2005"/>
    <w:rsid w:val="009B21C9"/>
    <w:rsid w:val="009B22B2"/>
    <w:rsid w:val="009B24BE"/>
    <w:rsid w:val="009B2689"/>
    <w:rsid w:val="009B2902"/>
    <w:rsid w:val="009B309C"/>
    <w:rsid w:val="009B3577"/>
    <w:rsid w:val="009B3B00"/>
    <w:rsid w:val="009B441D"/>
    <w:rsid w:val="009B5281"/>
    <w:rsid w:val="009B5708"/>
    <w:rsid w:val="009B5BE2"/>
    <w:rsid w:val="009B5D07"/>
    <w:rsid w:val="009B65EC"/>
    <w:rsid w:val="009B6738"/>
    <w:rsid w:val="009B688D"/>
    <w:rsid w:val="009B6DC0"/>
    <w:rsid w:val="009B7207"/>
    <w:rsid w:val="009B775C"/>
    <w:rsid w:val="009C0203"/>
    <w:rsid w:val="009C0A0D"/>
    <w:rsid w:val="009C0CE5"/>
    <w:rsid w:val="009C0F21"/>
    <w:rsid w:val="009C2B91"/>
    <w:rsid w:val="009C2E28"/>
    <w:rsid w:val="009C3083"/>
    <w:rsid w:val="009C3851"/>
    <w:rsid w:val="009C3AD5"/>
    <w:rsid w:val="009C3E90"/>
    <w:rsid w:val="009C447D"/>
    <w:rsid w:val="009C463C"/>
    <w:rsid w:val="009C46EB"/>
    <w:rsid w:val="009C4CA2"/>
    <w:rsid w:val="009C532D"/>
    <w:rsid w:val="009C5357"/>
    <w:rsid w:val="009C55A0"/>
    <w:rsid w:val="009C5C70"/>
    <w:rsid w:val="009C5EEC"/>
    <w:rsid w:val="009C6A9A"/>
    <w:rsid w:val="009C72CE"/>
    <w:rsid w:val="009C747D"/>
    <w:rsid w:val="009C7E96"/>
    <w:rsid w:val="009D0121"/>
    <w:rsid w:val="009D02E1"/>
    <w:rsid w:val="009D080F"/>
    <w:rsid w:val="009D0D68"/>
    <w:rsid w:val="009D0DCB"/>
    <w:rsid w:val="009D1A95"/>
    <w:rsid w:val="009D232A"/>
    <w:rsid w:val="009D2872"/>
    <w:rsid w:val="009D3613"/>
    <w:rsid w:val="009D3921"/>
    <w:rsid w:val="009D3AB3"/>
    <w:rsid w:val="009D4E01"/>
    <w:rsid w:val="009D5685"/>
    <w:rsid w:val="009D5988"/>
    <w:rsid w:val="009D5B2D"/>
    <w:rsid w:val="009D6276"/>
    <w:rsid w:val="009D6332"/>
    <w:rsid w:val="009D66CE"/>
    <w:rsid w:val="009D6B69"/>
    <w:rsid w:val="009D72D3"/>
    <w:rsid w:val="009D79C4"/>
    <w:rsid w:val="009E0B5A"/>
    <w:rsid w:val="009E0D05"/>
    <w:rsid w:val="009E0DC4"/>
    <w:rsid w:val="009E117A"/>
    <w:rsid w:val="009E1308"/>
    <w:rsid w:val="009E13D5"/>
    <w:rsid w:val="009E1770"/>
    <w:rsid w:val="009E1919"/>
    <w:rsid w:val="009E2333"/>
    <w:rsid w:val="009E3850"/>
    <w:rsid w:val="009E3A9F"/>
    <w:rsid w:val="009E3D4E"/>
    <w:rsid w:val="009E3FE1"/>
    <w:rsid w:val="009E40A9"/>
    <w:rsid w:val="009E421B"/>
    <w:rsid w:val="009E44F9"/>
    <w:rsid w:val="009E4BA8"/>
    <w:rsid w:val="009E4FD5"/>
    <w:rsid w:val="009E54AD"/>
    <w:rsid w:val="009E5D0F"/>
    <w:rsid w:val="009E638C"/>
    <w:rsid w:val="009E6D32"/>
    <w:rsid w:val="009E6D7A"/>
    <w:rsid w:val="009E6EE6"/>
    <w:rsid w:val="009E74B5"/>
    <w:rsid w:val="009F07FB"/>
    <w:rsid w:val="009F08F7"/>
    <w:rsid w:val="009F114D"/>
    <w:rsid w:val="009F1163"/>
    <w:rsid w:val="009F19B3"/>
    <w:rsid w:val="009F2514"/>
    <w:rsid w:val="009F26D0"/>
    <w:rsid w:val="009F2E8D"/>
    <w:rsid w:val="009F2EF1"/>
    <w:rsid w:val="009F339A"/>
    <w:rsid w:val="009F43A5"/>
    <w:rsid w:val="009F463C"/>
    <w:rsid w:val="009F4AD3"/>
    <w:rsid w:val="009F4B71"/>
    <w:rsid w:val="009F50EE"/>
    <w:rsid w:val="009F573E"/>
    <w:rsid w:val="009F5C10"/>
    <w:rsid w:val="009F6240"/>
    <w:rsid w:val="009F6889"/>
    <w:rsid w:val="009F688F"/>
    <w:rsid w:val="009F6910"/>
    <w:rsid w:val="009F6928"/>
    <w:rsid w:val="009F6AB6"/>
    <w:rsid w:val="009F6D91"/>
    <w:rsid w:val="009F7105"/>
    <w:rsid w:val="009F71CD"/>
    <w:rsid w:val="009F753C"/>
    <w:rsid w:val="009F7A41"/>
    <w:rsid w:val="009F7B8B"/>
    <w:rsid w:val="00A0070C"/>
    <w:rsid w:val="00A0093D"/>
    <w:rsid w:val="00A00D09"/>
    <w:rsid w:val="00A00D9F"/>
    <w:rsid w:val="00A01368"/>
    <w:rsid w:val="00A0263B"/>
    <w:rsid w:val="00A03424"/>
    <w:rsid w:val="00A04739"/>
    <w:rsid w:val="00A0493E"/>
    <w:rsid w:val="00A04F2B"/>
    <w:rsid w:val="00A050A2"/>
    <w:rsid w:val="00A052EF"/>
    <w:rsid w:val="00A0530E"/>
    <w:rsid w:val="00A0531F"/>
    <w:rsid w:val="00A056A9"/>
    <w:rsid w:val="00A05A31"/>
    <w:rsid w:val="00A05DE9"/>
    <w:rsid w:val="00A05FDF"/>
    <w:rsid w:val="00A06415"/>
    <w:rsid w:val="00A06657"/>
    <w:rsid w:val="00A06A3C"/>
    <w:rsid w:val="00A073DB"/>
    <w:rsid w:val="00A10DBB"/>
    <w:rsid w:val="00A11235"/>
    <w:rsid w:val="00A1188E"/>
    <w:rsid w:val="00A119F6"/>
    <w:rsid w:val="00A11C77"/>
    <w:rsid w:val="00A1293C"/>
    <w:rsid w:val="00A12C2A"/>
    <w:rsid w:val="00A13064"/>
    <w:rsid w:val="00A13B35"/>
    <w:rsid w:val="00A13CD5"/>
    <w:rsid w:val="00A14009"/>
    <w:rsid w:val="00A1448F"/>
    <w:rsid w:val="00A14DEF"/>
    <w:rsid w:val="00A15255"/>
    <w:rsid w:val="00A152BE"/>
    <w:rsid w:val="00A15F7D"/>
    <w:rsid w:val="00A161EC"/>
    <w:rsid w:val="00A16A95"/>
    <w:rsid w:val="00A17A2D"/>
    <w:rsid w:val="00A20120"/>
    <w:rsid w:val="00A207B2"/>
    <w:rsid w:val="00A21978"/>
    <w:rsid w:val="00A219EC"/>
    <w:rsid w:val="00A21C17"/>
    <w:rsid w:val="00A220EF"/>
    <w:rsid w:val="00A2271E"/>
    <w:rsid w:val="00A227D8"/>
    <w:rsid w:val="00A22E88"/>
    <w:rsid w:val="00A22EFD"/>
    <w:rsid w:val="00A23BF4"/>
    <w:rsid w:val="00A24B0C"/>
    <w:rsid w:val="00A253DE"/>
    <w:rsid w:val="00A25847"/>
    <w:rsid w:val="00A25AC3"/>
    <w:rsid w:val="00A25E84"/>
    <w:rsid w:val="00A261C1"/>
    <w:rsid w:val="00A2651D"/>
    <w:rsid w:val="00A26844"/>
    <w:rsid w:val="00A2695A"/>
    <w:rsid w:val="00A26BF2"/>
    <w:rsid w:val="00A26F26"/>
    <w:rsid w:val="00A2770F"/>
    <w:rsid w:val="00A27CFA"/>
    <w:rsid w:val="00A30C08"/>
    <w:rsid w:val="00A31209"/>
    <w:rsid w:val="00A317D1"/>
    <w:rsid w:val="00A31851"/>
    <w:rsid w:val="00A32222"/>
    <w:rsid w:val="00A32444"/>
    <w:rsid w:val="00A32778"/>
    <w:rsid w:val="00A32865"/>
    <w:rsid w:val="00A32AA1"/>
    <w:rsid w:val="00A33811"/>
    <w:rsid w:val="00A33A5C"/>
    <w:rsid w:val="00A34BB1"/>
    <w:rsid w:val="00A34FB3"/>
    <w:rsid w:val="00A355FC"/>
    <w:rsid w:val="00A36316"/>
    <w:rsid w:val="00A364FA"/>
    <w:rsid w:val="00A36A18"/>
    <w:rsid w:val="00A36C2B"/>
    <w:rsid w:val="00A37007"/>
    <w:rsid w:val="00A3713F"/>
    <w:rsid w:val="00A37175"/>
    <w:rsid w:val="00A37292"/>
    <w:rsid w:val="00A37402"/>
    <w:rsid w:val="00A37463"/>
    <w:rsid w:val="00A37CE9"/>
    <w:rsid w:val="00A37EF3"/>
    <w:rsid w:val="00A402CC"/>
    <w:rsid w:val="00A40796"/>
    <w:rsid w:val="00A407A2"/>
    <w:rsid w:val="00A40D68"/>
    <w:rsid w:val="00A41F5A"/>
    <w:rsid w:val="00A42022"/>
    <w:rsid w:val="00A427C5"/>
    <w:rsid w:val="00A42C3C"/>
    <w:rsid w:val="00A43EE9"/>
    <w:rsid w:val="00A4400D"/>
    <w:rsid w:val="00A4477C"/>
    <w:rsid w:val="00A4489F"/>
    <w:rsid w:val="00A44A19"/>
    <w:rsid w:val="00A45227"/>
    <w:rsid w:val="00A456C4"/>
    <w:rsid w:val="00A45EC5"/>
    <w:rsid w:val="00A45EF8"/>
    <w:rsid w:val="00A468D7"/>
    <w:rsid w:val="00A4702E"/>
    <w:rsid w:val="00A47220"/>
    <w:rsid w:val="00A4743B"/>
    <w:rsid w:val="00A478B8"/>
    <w:rsid w:val="00A47E27"/>
    <w:rsid w:val="00A502ED"/>
    <w:rsid w:val="00A51605"/>
    <w:rsid w:val="00A5191E"/>
    <w:rsid w:val="00A5249D"/>
    <w:rsid w:val="00A528B5"/>
    <w:rsid w:val="00A52D85"/>
    <w:rsid w:val="00A52FCD"/>
    <w:rsid w:val="00A532D9"/>
    <w:rsid w:val="00A534A7"/>
    <w:rsid w:val="00A5350C"/>
    <w:rsid w:val="00A5377D"/>
    <w:rsid w:val="00A53B33"/>
    <w:rsid w:val="00A53C79"/>
    <w:rsid w:val="00A54096"/>
    <w:rsid w:val="00A54605"/>
    <w:rsid w:val="00A54827"/>
    <w:rsid w:val="00A5493B"/>
    <w:rsid w:val="00A54A55"/>
    <w:rsid w:val="00A54AD7"/>
    <w:rsid w:val="00A54DF4"/>
    <w:rsid w:val="00A54FE5"/>
    <w:rsid w:val="00A554F2"/>
    <w:rsid w:val="00A55742"/>
    <w:rsid w:val="00A55C2C"/>
    <w:rsid w:val="00A5615E"/>
    <w:rsid w:val="00A5623D"/>
    <w:rsid w:val="00A56566"/>
    <w:rsid w:val="00A56788"/>
    <w:rsid w:val="00A568DF"/>
    <w:rsid w:val="00A57AC1"/>
    <w:rsid w:val="00A57E13"/>
    <w:rsid w:val="00A60343"/>
    <w:rsid w:val="00A60957"/>
    <w:rsid w:val="00A61B71"/>
    <w:rsid w:val="00A623AA"/>
    <w:rsid w:val="00A62561"/>
    <w:rsid w:val="00A62818"/>
    <w:rsid w:val="00A62C22"/>
    <w:rsid w:val="00A637C6"/>
    <w:rsid w:val="00A63D55"/>
    <w:rsid w:val="00A63F2E"/>
    <w:rsid w:val="00A64EBF"/>
    <w:rsid w:val="00A6541C"/>
    <w:rsid w:val="00A65565"/>
    <w:rsid w:val="00A6598C"/>
    <w:rsid w:val="00A65C7E"/>
    <w:rsid w:val="00A6609B"/>
    <w:rsid w:val="00A6655D"/>
    <w:rsid w:val="00A673D6"/>
    <w:rsid w:val="00A678B2"/>
    <w:rsid w:val="00A67DE7"/>
    <w:rsid w:val="00A701CC"/>
    <w:rsid w:val="00A70A16"/>
    <w:rsid w:val="00A70A43"/>
    <w:rsid w:val="00A70E62"/>
    <w:rsid w:val="00A72069"/>
    <w:rsid w:val="00A721FD"/>
    <w:rsid w:val="00A72303"/>
    <w:rsid w:val="00A72879"/>
    <w:rsid w:val="00A72B94"/>
    <w:rsid w:val="00A73628"/>
    <w:rsid w:val="00A73944"/>
    <w:rsid w:val="00A73FA1"/>
    <w:rsid w:val="00A74817"/>
    <w:rsid w:val="00A74A96"/>
    <w:rsid w:val="00A74ABD"/>
    <w:rsid w:val="00A74FA6"/>
    <w:rsid w:val="00A75013"/>
    <w:rsid w:val="00A7509F"/>
    <w:rsid w:val="00A75236"/>
    <w:rsid w:val="00A752D4"/>
    <w:rsid w:val="00A7583C"/>
    <w:rsid w:val="00A76000"/>
    <w:rsid w:val="00A76B56"/>
    <w:rsid w:val="00A80201"/>
    <w:rsid w:val="00A802E1"/>
    <w:rsid w:val="00A80B93"/>
    <w:rsid w:val="00A81001"/>
    <w:rsid w:val="00A81982"/>
    <w:rsid w:val="00A8234D"/>
    <w:rsid w:val="00A82508"/>
    <w:rsid w:val="00A82768"/>
    <w:rsid w:val="00A828BF"/>
    <w:rsid w:val="00A82ACA"/>
    <w:rsid w:val="00A82C88"/>
    <w:rsid w:val="00A831F3"/>
    <w:rsid w:val="00A832F1"/>
    <w:rsid w:val="00A83C2D"/>
    <w:rsid w:val="00A83F74"/>
    <w:rsid w:val="00A84383"/>
    <w:rsid w:val="00A84550"/>
    <w:rsid w:val="00A850FB"/>
    <w:rsid w:val="00A85200"/>
    <w:rsid w:val="00A85220"/>
    <w:rsid w:val="00A855B7"/>
    <w:rsid w:val="00A85917"/>
    <w:rsid w:val="00A85F91"/>
    <w:rsid w:val="00A864D7"/>
    <w:rsid w:val="00A87313"/>
    <w:rsid w:val="00A877D4"/>
    <w:rsid w:val="00A87F5F"/>
    <w:rsid w:val="00A90217"/>
    <w:rsid w:val="00A907E4"/>
    <w:rsid w:val="00A90AF5"/>
    <w:rsid w:val="00A90D1E"/>
    <w:rsid w:val="00A913EC"/>
    <w:rsid w:val="00A91483"/>
    <w:rsid w:val="00A9175B"/>
    <w:rsid w:val="00A91892"/>
    <w:rsid w:val="00A91A46"/>
    <w:rsid w:val="00A92183"/>
    <w:rsid w:val="00A92308"/>
    <w:rsid w:val="00A925F4"/>
    <w:rsid w:val="00A92A30"/>
    <w:rsid w:val="00A9311F"/>
    <w:rsid w:val="00A933C0"/>
    <w:rsid w:val="00A93741"/>
    <w:rsid w:val="00A944DF"/>
    <w:rsid w:val="00A947B7"/>
    <w:rsid w:val="00A948C5"/>
    <w:rsid w:val="00A94903"/>
    <w:rsid w:val="00A95DDC"/>
    <w:rsid w:val="00A96618"/>
    <w:rsid w:val="00A96DCB"/>
    <w:rsid w:val="00A973B6"/>
    <w:rsid w:val="00A97C6D"/>
    <w:rsid w:val="00AA008C"/>
    <w:rsid w:val="00AA080D"/>
    <w:rsid w:val="00AA0A53"/>
    <w:rsid w:val="00AA0ADA"/>
    <w:rsid w:val="00AA0C32"/>
    <w:rsid w:val="00AA0CFB"/>
    <w:rsid w:val="00AA11B3"/>
    <w:rsid w:val="00AA136B"/>
    <w:rsid w:val="00AA167C"/>
    <w:rsid w:val="00AA230C"/>
    <w:rsid w:val="00AA2399"/>
    <w:rsid w:val="00AA24F5"/>
    <w:rsid w:val="00AA2A9D"/>
    <w:rsid w:val="00AA2FD1"/>
    <w:rsid w:val="00AA326A"/>
    <w:rsid w:val="00AA3294"/>
    <w:rsid w:val="00AA3CC3"/>
    <w:rsid w:val="00AA3F71"/>
    <w:rsid w:val="00AA43B3"/>
    <w:rsid w:val="00AA4F6A"/>
    <w:rsid w:val="00AA5405"/>
    <w:rsid w:val="00AA58B7"/>
    <w:rsid w:val="00AA62D0"/>
    <w:rsid w:val="00AA709A"/>
    <w:rsid w:val="00AA797A"/>
    <w:rsid w:val="00AB03B0"/>
    <w:rsid w:val="00AB04DF"/>
    <w:rsid w:val="00AB0D03"/>
    <w:rsid w:val="00AB0FE6"/>
    <w:rsid w:val="00AB10F6"/>
    <w:rsid w:val="00AB1170"/>
    <w:rsid w:val="00AB1ACF"/>
    <w:rsid w:val="00AB2222"/>
    <w:rsid w:val="00AB2223"/>
    <w:rsid w:val="00AB24C5"/>
    <w:rsid w:val="00AB30F5"/>
    <w:rsid w:val="00AB3983"/>
    <w:rsid w:val="00AB3D7A"/>
    <w:rsid w:val="00AB43CB"/>
    <w:rsid w:val="00AB466F"/>
    <w:rsid w:val="00AB4A97"/>
    <w:rsid w:val="00AB4E15"/>
    <w:rsid w:val="00AB5155"/>
    <w:rsid w:val="00AB52F3"/>
    <w:rsid w:val="00AB578D"/>
    <w:rsid w:val="00AB5B3A"/>
    <w:rsid w:val="00AB5D0A"/>
    <w:rsid w:val="00AB5F6B"/>
    <w:rsid w:val="00AB622D"/>
    <w:rsid w:val="00AB64DD"/>
    <w:rsid w:val="00AB7558"/>
    <w:rsid w:val="00AB7A94"/>
    <w:rsid w:val="00AB7ECE"/>
    <w:rsid w:val="00AB7FB5"/>
    <w:rsid w:val="00AC0261"/>
    <w:rsid w:val="00AC0634"/>
    <w:rsid w:val="00AC09E1"/>
    <w:rsid w:val="00AC111B"/>
    <w:rsid w:val="00AC112F"/>
    <w:rsid w:val="00AC12D6"/>
    <w:rsid w:val="00AC1B7A"/>
    <w:rsid w:val="00AC1BC3"/>
    <w:rsid w:val="00AC20C4"/>
    <w:rsid w:val="00AC2751"/>
    <w:rsid w:val="00AC3129"/>
    <w:rsid w:val="00AC3D6A"/>
    <w:rsid w:val="00AC40CA"/>
    <w:rsid w:val="00AC43DF"/>
    <w:rsid w:val="00AC4422"/>
    <w:rsid w:val="00AC4DCE"/>
    <w:rsid w:val="00AC50C6"/>
    <w:rsid w:val="00AC5972"/>
    <w:rsid w:val="00AC5A0D"/>
    <w:rsid w:val="00AC606F"/>
    <w:rsid w:val="00AC74A6"/>
    <w:rsid w:val="00AC75BE"/>
    <w:rsid w:val="00AC7693"/>
    <w:rsid w:val="00AC77EA"/>
    <w:rsid w:val="00AC7AB0"/>
    <w:rsid w:val="00AD0014"/>
    <w:rsid w:val="00AD00B8"/>
    <w:rsid w:val="00AD0119"/>
    <w:rsid w:val="00AD05F1"/>
    <w:rsid w:val="00AD0B76"/>
    <w:rsid w:val="00AD13EC"/>
    <w:rsid w:val="00AD13F3"/>
    <w:rsid w:val="00AD15CC"/>
    <w:rsid w:val="00AD15DC"/>
    <w:rsid w:val="00AD1835"/>
    <w:rsid w:val="00AD2B30"/>
    <w:rsid w:val="00AD2F54"/>
    <w:rsid w:val="00AD332A"/>
    <w:rsid w:val="00AD3F21"/>
    <w:rsid w:val="00AD428B"/>
    <w:rsid w:val="00AD48CC"/>
    <w:rsid w:val="00AD4A7A"/>
    <w:rsid w:val="00AD4F03"/>
    <w:rsid w:val="00AD5067"/>
    <w:rsid w:val="00AD5144"/>
    <w:rsid w:val="00AD5200"/>
    <w:rsid w:val="00AD5C28"/>
    <w:rsid w:val="00AD5DA1"/>
    <w:rsid w:val="00AD6225"/>
    <w:rsid w:val="00AD625C"/>
    <w:rsid w:val="00AD66B2"/>
    <w:rsid w:val="00AD687F"/>
    <w:rsid w:val="00AD6CD2"/>
    <w:rsid w:val="00AD7359"/>
    <w:rsid w:val="00AD7F3C"/>
    <w:rsid w:val="00AE002A"/>
    <w:rsid w:val="00AE04EE"/>
    <w:rsid w:val="00AE0B63"/>
    <w:rsid w:val="00AE1802"/>
    <w:rsid w:val="00AE1852"/>
    <w:rsid w:val="00AE197B"/>
    <w:rsid w:val="00AE2308"/>
    <w:rsid w:val="00AE23E1"/>
    <w:rsid w:val="00AE2730"/>
    <w:rsid w:val="00AE28D9"/>
    <w:rsid w:val="00AE33C8"/>
    <w:rsid w:val="00AE3726"/>
    <w:rsid w:val="00AE3F96"/>
    <w:rsid w:val="00AE422B"/>
    <w:rsid w:val="00AE4A29"/>
    <w:rsid w:val="00AE4E07"/>
    <w:rsid w:val="00AE5205"/>
    <w:rsid w:val="00AE5ADA"/>
    <w:rsid w:val="00AE5C8F"/>
    <w:rsid w:val="00AE5C9D"/>
    <w:rsid w:val="00AE5D23"/>
    <w:rsid w:val="00AE64E1"/>
    <w:rsid w:val="00AE66E8"/>
    <w:rsid w:val="00AE7268"/>
    <w:rsid w:val="00AE756B"/>
    <w:rsid w:val="00AE7B5F"/>
    <w:rsid w:val="00AE7C34"/>
    <w:rsid w:val="00AF003F"/>
    <w:rsid w:val="00AF00A7"/>
    <w:rsid w:val="00AF045C"/>
    <w:rsid w:val="00AF1470"/>
    <w:rsid w:val="00AF1489"/>
    <w:rsid w:val="00AF19F5"/>
    <w:rsid w:val="00AF1DDC"/>
    <w:rsid w:val="00AF2251"/>
    <w:rsid w:val="00AF276F"/>
    <w:rsid w:val="00AF2848"/>
    <w:rsid w:val="00AF2AC7"/>
    <w:rsid w:val="00AF36A9"/>
    <w:rsid w:val="00AF3CA9"/>
    <w:rsid w:val="00AF3ED1"/>
    <w:rsid w:val="00AF3FC2"/>
    <w:rsid w:val="00AF3FE5"/>
    <w:rsid w:val="00AF4B83"/>
    <w:rsid w:val="00AF62A1"/>
    <w:rsid w:val="00AF6802"/>
    <w:rsid w:val="00AF6B5F"/>
    <w:rsid w:val="00AF6D3D"/>
    <w:rsid w:val="00AF7074"/>
    <w:rsid w:val="00AF71FD"/>
    <w:rsid w:val="00B003B5"/>
    <w:rsid w:val="00B0045B"/>
    <w:rsid w:val="00B0065A"/>
    <w:rsid w:val="00B00B6B"/>
    <w:rsid w:val="00B00E01"/>
    <w:rsid w:val="00B017A7"/>
    <w:rsid w:val="00B01F87"/>
    <w:rsid w:val="00B0242D"/>
    <w:rsid w:val="00B02813"/>
    <w:rsid w:val="00B02FE5"/>
    <w:rsid w:val="00B0322C"/>
    <w:rsid w:val="00B03432"/>
    <w:rsid w:val="00B041AA"/>
    <w:rsid w:val="00B04664"/>
    <w:rsid w:val="00B04901"/>
    <w:rsid w:val="00B04FB8"/>
    <w:rsid w:val="00B0505A"/>
    <w:rsid w:val="00B05F54"/>
    <w:rsid w:val="00B06152"/>
    <w:rsid w:val="00B06344"/>
    <w:rsid w:val="00B06372"/>
    <w:rsid w:val="00B06467"/>
    <w:rsid w:val="00B06676"/>
    <w:rsid w:val="00B067D9"/>
    <w:rsid w:val="00B06998"/>
    <w:rsid w:val="00B06B74"/>
    <w:rsid w:val="00B06FE1"/>
    <w:rsid w:val="00B070BC"/>
    <w:rsid w:val="00B074B0"/>
    <w:rsid w:val="00B0791E"/>
    <w:rsid w:val="00B07C63"/>
    <w:rsid w:val="00B07CAF"/>
    <w:rsid w:val="00B10487"/>
    <w:rsid w:val="00B105B5"/>
    <w:rsid w:val="00B105E4"/>
    <w:rsid w:val="00B1071E"/>
    <w:rsid w:val="00B11699"/>
    <w:rsid w:val="00B121E7"/>
    <w:rsid w:val="00B12288"/>
    <w:rsid w:val="00B130A8"/>
    <w:rsid w:val="00B13DED"/>
    <w:rsid w:val="00B1460F"/>
    <w:rsid w:val="00B14DDC"/>
    <w:rsid w:val="00B14F03"/>
    <w:rsid w:val="00B15361"/>
    <w:rsid w:val="00B15483"/>
    <w:rsid w:val="00B158E3"/>
    <w:rsid w:val="00B15C54"/>
    <w:rsid w:val="00B15CCE"/>
    <w:rsid w:val="00B161DC"/>
    <w:rsid w:val="00B168F5"/>
    <w:rsid w:val="00B2018B"/>
    <w:rsid w:val="00B20427"/>
    <w:rsid w:val="00B2068C"/>
    <w:rsid w:val="00B206AE"/>
    <w:rsid w:val="00B20F33"/>
    <w:rsid w:val="00B2106B"/>
    <w:rsid w:val="00B2156A"/>
    <w:rsid w:val="00B21945"/>
    <w:rsid w:val="00B2194B"/>
    <w:rsid w:val="00B21F77"/>
    <w:rsid w:val="00B221B8"/>
    <w:rsid w:val="00B227F2"/>
    <w:rsid w:val="00B22955"/>
    <w:rsid w:val="00B22DC3"/>
    <w:rsid w:val="00B23488"/>
    <w:rsid w:val="00B234B5"/>
    <w:rsid w:val="00B23AA0"/>
    <w:rsid w:val="00B24C23"/>
    <w:rsid w:val="00B252A9"/>
    <w:rsid w:val="00B2591A"/>
    <w:rsid w:val="00B25974"/>
    <w:rsid w:val="00B25E9F"/>
    <w:rsid w:val="00B26028"/>
    <w:rsid w:val="00B266E4"/>
    <w:rsid w:val="00B26D1A"/>
    <w:rsid w:val="00B26E07"/>
    <w:rsid w:val="00B278C0"/>
    <w:rsid w:val="00B27A12"/>
    <w:rsid w:val="00B27CA2"/>
    <w:rsid w:val="00B27E3A"/>
    <w:rsid w:val="00B27E45"/>
    <w:rsid w:val="00B27EB4"/>
    <w:rsid w:val="00B27F2A"/>
    <w:rsid w:val="00B30429"/>
    <w:rsid w:val="00B305C7"/>
    <w:rsid w:val="00B317C0"/>
    <w:rsid w:val="00B3198C"/>
    <w:rsid w:val="00B32213"/>
    <w:rsid w:val="00B326B3"/>
    <w:rsid w:val="00B32A53"/>
    <w:rsid w:val="00B33C5A"/>
    <w:rsid w:val="00B33D1F"/>
    <w:rsid w:val="00B3470E"/>
    <w:rsid w:val="00B35B2A"/>
    <w:rsid w:val="00B35E67"/>
    <w:rsid w:val="00B3638D"/>
    <w:rsid w:val="00B3650F"/>
    <w:rsid w:val="00B36611"/>
    <w:rsid w:val="00B368A3"/>
    <w:rsid w:val="00B36ECF"/>
    <w:rsid w:val="00B373B0"/>
    <w:rsid w:val="00B378AC"/>
    <w:rsid w:val="00B40F66"/>
    <w:rsid w:val="00B41989"/>
    <w:rsid w:val="00B419D9"/>
    <w:rsid w:val="00B42010"/>
    <w:rsid w:val="00B42133"/>
    <w:rsid w:val="00B4274C"/>
    <w:rsid w:val="00B43BD4"/>
    <w:rsid w:val="00B43D87"/>
    <w:rsid w:val="00B44C68"/>
    <w:rsid w:val="00B44E1C"/>
    <w:rsid w:val="00B44E5E"/>
    <w:rsid w:val="00B45393"/>
    <w:rsid w:val="00B4551C"/>
    <w:rsid w:val="00B45EBA"/>
    <w:rsid w:val="00B460BE"/>
    <w:rsid w:val="00B46B58"/>
    <w:rsid w:val="00B46D4F"/>
    <w:rsid w:val="00B46E76"/>
    <w:rsid w:val="00B47179"/>
    <w:rsid w:val="00B476FD"/>
    <w:rsid w:val="00B477E5"/>
    <w:rsid w:val="00B47854"/>
    <w:rsid w:val="00B5004F"/>
    <w:rsid w:val="00B500C1"/>
    <w:rsid w:val="00B50A06"/>
    <w:rsid w:val="00B50A99"/>
    <w:rsid w:val="00B50AD1"/>
    <w:rsid w:val="00B522DE"/>
    <w:rsid w:val="00B5239D"/>
    <w:rsid w:val="00B52884"/>
    <w:rsid w:val="00B52DF2"/>
    <w:rsid w:val="00B5351C"/>
    <w:rsid w:val="00B53AF3"/>
    <w:rsid w:val="00B53C59"/>
    <w:rsid w:val="00B53E9F"/>
    <w:rsid w:val="00B545A2"/>
    <w:rsid w:val="00B54939"/>
    <w:rsid w:val="00B54F4C"/>
    <w:rsid w:val="00B550BC"/>
    <w:rsid w:val="00B5517C"/>
    <w:rsid w:val="00B56636"/>
    <w:rsid w:val="00B56697"/>
    <w:rsid w:val="00B568CD"/>
    <w:rsid w:val="00B56F68"/>
    <w:rsid w:val="00B577F3"/>
    <w:rsid w:val="00B57B87"/>
    <w:rsid w:val="00B57D9F"/>
    <w:rsid w:val="00B60007"/>
    <w:rsid w:val="00B60486"/>
    <w:rsid w:val="00B604AD"/>
    <w:rsid w:val="00B60CA0"/>
    <w:rsid w:val="00B60E96"/>
    <w:rsid w:val="00B60F0B"/>
    <w:rsid w:val="00B6103E"/>
    <w:rsid w:val="00B6123A"/>
    <w:rsid w:val="00B616EB"/>
    <w:rsid w:val="00B6224C"/>
    <w:rsid w:val="00B6269A"/>
    <w:rsid w:val="00B6288C"/>
    <w:rsid w:val="00B63250"/>
    <w:rsid w:val="00B63793"/>
    <w:rsid w:val="00B6381D"/>
    <w:rsid w:val="00B63948"/>
    <w:rsid w:val="00B63AED"/>
    <w:rsid w:val="00B6420B"/>
    <w:rsid w:val="00B6420C"/>
    <w:rsid w:val="00B64861"/>
    <w:rsid w:val="00B64BFD"/>
    <w:rsid w:val="00B6546F"/>
    <w:rsid w:val="00B657E3"/>
    <w:rsid w:val="00B657FD"/>
    <w:rsid w:val="00B66E50"/>
    <w:rsid w:val="00B6742E"/>
    <w:rsid w:val="00B677EF"/>
    <w:rsid w:val="00B6798E"/>
    <w:rsid w:val="00B679E7"/>
    <w:rsid w:val="00B67C6E"/>
    <w:rsid w:val="00B70052"/>
    <w:rsid w:val="00B70385"/>
    <w:rsid w:val="00B706E7"/>
    <w:rsid w:val="00B70805"/>
    <w:rsid w:val="00B70D6C"/>
    <w:rsid w:val="00B7146B"/>
    <w:rsid w:val="00B714B5"/>
    <w:rsid w:val="00B7157F"/>
    <w:rsid w:val="00B716FA"/>
    <w:rsid w:val="00B71941"/>
    <w:rsid w:val="00B71BF9"/>
    <w:rsid w:val="00B72492"/>
    <w:rsid w:val="00B725F8"/>
    <w:rsid w:val="00B72957"/>
    <w:rsid w:val="00B7315F"/>
    <w:rsid w:val="00B7348D"/>
    <w:rsid w:val="00B739CB"/>
    <w:rsid w:val="00B73CBF"/>
    <w:rsid w:val="00B73F6A"/>
    <w:rsid w:val="00B742E8"/>
    <w:rsid w:val="00B7431C"/>
    <w:rsid w:val="00B7451E"/>
    <w:rsid w:val="00B7499B"/>
    <w:rsid w:val="00B75BF7"/>
    <w:rsid w:val="00B75C33"/>
    <w:rsid w:val="00B75D95"/>
    <w:rsid w:val="00B75E0C"/>
    <w:rsid w:val="00B76536"/>
    <w:rsid w:val="00B765C9"/>
    <w:rsid w:val="00B767AE"/>
    <w:rsid w:val="00B767AF"/>
    <w:rsid w:val="00B76B54"/>
    <w:rsid w:val="00B774D6"/>
    <w:rsid w:val="00B776F0"/>
    <w:rsid w:val="00B77877"/>
    <w:rsid w:val="00B77D03"/>
    <w:rsid w:val="00B80709"/>
    <w:rsid w:val="00B80F1D"/>
    <w:rsid w:val="00B81606"/>
    <w:rsid w:val="00B8189B"/>
    <w:rsid w:val="00B8189C"/>
    <w:rsid w:val="00B81948"/>
    <w:rsid w:val="00B82322"/>
    <w:rsid w:val="00B824D7"/>
    <w:rsid w:val="00B828CF"/>
    <w:rsid w:val="00B82B75"/>
    <w:rsid w:val="00B82CB7"/>
    <w:rsid w:val="00B82F4A"/>
    <w:rsid w:val="00B83163"/>
    <w:rsid w:val="00B83599"/>
    <w:rsid w:val="00B83B45"/>
    <w:rsid w:val="00B83C08"/>
    <w:rsid w:val="00B83EB6"/>
    <w:rsid w:val="00B847DB"/>
    <w:rsid w:val="00B84A40"/>
    <w:rsid w:val="00B84DFC"/>
    <w:rsid w:val="00B8556D"/>
    <w:rsid w:val="00B85C26"/>
    <w:rsid w:val="00B85D8A"/>
    <w:rsid w:val="00B8770D"/>
    <w:rsid w:val="00B87D57"/>
    <w:rsid w:val="00B90F50"/>
    <w:rsid w:val="00B911D8"/>
    <w:rsid w:val="00B914F5"/>
    <w:rsid w:val="00B91B42"/>
    <w:rsid w:val="00B91EF8"/>
    <w:rsid w:val="00B9218D"/>
    <w:rsid w:val="00B92497"/>
    <w:rsid w:val="00B92892"/>
    <w:rsid w:val="00B928E7"/>
    <w:rsid w:val="00B92B82"/>
    <w:rsid w:val="00B92E36"/>
    <w:rsid w:val="00B935C8"/>
    <w:rsid w:val="00B937BF"/>
    <w:rsid w:val="00B93906"/>
    <w:rsid w:val="00B9414E"/>
    <w:rsid w:val="00B9487A"/>
    <w:rsid w:val="00B94DF7"/>
    <w:rsid w:val="00B950EC"/>
    <w:rsid w:val="00B95238"/>
    <w:rsid w:val="00B9578A"/>
    <w:rsid w:val="00B96215"/>
    <w:rsid w:val="00B962D8"/>
    <w:rsid w:val="00B965AE"/>
    <w:rsid w:val="00B9661B"/>
    <w:rsid w:val="00B966D3"/>
    <w:rsid w:val="00B967FD"/>
    <w:rsid w:val="00B96E44"/>
    <w:rsid w:val="00B97EE3"/>
    <w:rsid w:val="00BA068A"/>
    <w:rsid w:val="00BA0B08"/>
    <w:rsid w:val="00BA0B70"/>
    <w:rsid w:val="00BA0BA4"/>
    <w:rsid w:val="00BA0BD6"/>
    <w:rsid w:val="00BA0E53"/>
    <w:rsid w:val="00BA203A"/>
    <w:rsid w:val="00BA25C0"/>
    <w:rsid w:val="00BA307A"/>
    <w:rsid w:val="00BA3763"/>
    <w:rsid w:val="00BA3895"/>
    <w:rsid w:val="00BA4E09"/>
    <w:rsid w:val="00BA50D6"/>
    <w:rsid w:val="00BA62BA"/>
    <w:rsid w:val="00BA65CB"/>
    <w:rsid w:val="00BA6664"/>
    <w:rsid w:val="00BA6777"/>
    <w:rsid w:val="00BA6C9F"/>
    <w:rsid w:val="00BA7395"/>
    <w:rsid w:val="00BA77D6"/>
    <w:rsid w:val="00BA79EC"/>
    <w:rsid w:val="00BA7A31"/>
    <w:rsid w:val="00BA7CE5"/>
    <w:rsid w:val="00BA7E83"/>
    <w:rsid w:val="00BB0756"/>
    <w:rsid w:val="00BB10B1"/>
    <w:rsid w:val="00BB12E7"/>
    <w:rsid w:val="00BB177A"/>
    <w:rsid w:val="00BB18CB"/>
    <w:rsid w:val="00BB1A31"/>
    <w:rsid w:val="00BB1DD7"/>
    <w:rsid w:val="00BB2B85"/>
    <w:rsid w:val="00BB2EE3"/>
    <w:rsid w:val="00BB3765"/>
    <w:rsid w:val="00BB4004"/>
    <w:rsid w:val="00BB424E"/>
    <w:rsid w:val="00BB431E"/>
    <w:rsid w:val="00BB435D"/>
    <w:rsid w:val="00BB4822"/>
    <w:rsid w:val="00BB4CAC"/>
    <w:rsid w:val="00BB4EC8"/>
    <w:rsid w:val="00BB5CB7"/>
    <w:rsid w:val="00BB6875"/>
    <w:rsid w:val="00BB6EF3"/>
    <w:rsid w:val="00BB7155"/>
    <w:rsid w:val="00BC0250"/>
    <w:rsid w:val="00BC030C"/>
    <w:rsid w:val="00BC0682"/>
    <w:rsid w:val="00BC278A"/>
    <w:rsid w:val="00BC2B6B"/>
    <w:rsid w:val="00BC3098"/>
    <w:rsid w:val="00BC327F"/>
    <w:rsid w:val="00BC3ACC"/>
    <w:rsid w:val="00BC3DFE"/>
    <w:rsid w:val="00BC3E05"/>
    <w:rsid w:val="00BC3E61"/>
    <w:rsid w:val="00BC3FFC"/>
    <w:rsid w:val="00BC4088"/>
    <w:rsid w:val="00BC46AE"/>
    <w:rsid w:val="00BC5207"/>
    <w:rsid w:val="00BC572A"/>
    <w:rsid w:val="00BC598D"/>
    <w:rsid w:val="00BC6BBE"/>
    <w:rsid w:val="00BC6C4A"/>
    <w:rsid w:val="00BC6E8F"/>
    <w:rsid w:val="00BC6F93"/>
    <w:rsid w:val="00BC6FDA"/>
    <w:rsid w:val="00BC7AF9"/>
    <w:rsid w:val="00BC7B67"/>
    <w:rsid w:val="00BD0377"/>
    <w:rsid w:val="00BD0ABA"/>
    <w:rsid w:val="00BD100B"/>
    <w:rsid w:val="00BD10EE"/>
    <w:rsid w:val="00BD112E"/>
    <w:rsid w:val="00BD115D"/>
    <w:rsid w:val="00BD1173"/>
    <w:rsid w:val="00BD176D"/>
    <w:rsid w:val="00BD1986"/>
    <w:rsid w:val="00BD22CF"/>
    <w:rsid w:val="00BD2605"/>
    <w:rsid w:val="00BD28BF"/>
    <w:rsid w:val="00BD2BAC"/>
    <w:rsid w:val="00BD334B"/>
    <w:rsid w:val="00BD39D5"/>
    <w:rsid w:val="00BD3D0D"/>
    <w:rsid w:val="00BD4206"/>
    <w:rsid w:val="00BD426C"/>
    <w:rsid w:val="00BD43D2"/>
    <w:rsid w:val="00BD456F"/>
    <w:rsid w:val="00BD4C07"/>
    <w:rsid w:val="00BD4F62"/>
    <w:rsid w:val="00BD54D0"/>
    <w:rsid w:val="00BD64F7"/>
    <w:rsid w:val="00BD6685"/>
    <w:rsid w:val="00BD66F3"/>
    <w:rsid w:val="00BD6741"/>
    <w:rsid w:val="00BD6AB5"/>
    <w:rsid w:val="00BD709B"/>
    <w:rsid w:val="00BD789F"/>
    <w:rsid w:val="00BE032C"/>
    <w:rsid w:val="00BE087A"/>
    <w:rsid w:val="00BE0BEE"/>
    <w:rsid w:val="00BE0EF0"/>
    <w:rsid w:val="00BE0F1B"/>
    <w:rsid w:val="00BE1E02"/>
    <w:rsid w:val="00BE2940"/>
    <w:rsid w:val="00BE2F21"/>
    <w:rsid w:val="00BE3825"/>
    <w:rsid w:val="00BE3BA9"/>
    <w:rsid w:val="00BE51B0"/>
    <w:rsid w:val="00BE52E8"/>
    <w:rsid w:val="00BE5942"/>
    <w:rsid w:val="00BE5FBD"/>
    <w:rsid w:val="00BE6146"/>
    <w:rsid w:val="00BE6847"/>
    <w:rsid w:val="00BE72B8"/>
    <w:rsid w:val="00BE7E94"/>
    <w:rsid w:val="00BF00AD"/>
    <w:rsid w:val="00BF0231"/>
    <w:rsid w:val="00BF0708"/>
    <w:rsid w:val="00BF0949"/>
    <w:rsid w:val="00BF117E"/>
    <w:rsid w:val="00BF180B"/>
    <w:rsid w:val="00BF21A0"/>
    <w:rsid w:val="00BF292B"/>
    <w:rsid w:val="00BF2A19"/>
    <w:rsid w:val="00BF2DCA"/>
    <w:rsid w:val="00BF2E33"/>
    <w:rsid w:val="00BF4090"/>
    <w:rsid w:val="00BF4507"/>
    <w:rsid w:val="00BF4605"/>
    <w:rsid w:val="00BF4BE5"/>
    <w:rsid w:val="00BF4C89"/>
    <w:rsid w:val="00BF559E"/>
    <w:rsid w:val="00BF63D1"/>
    <w:rsid w:val="00BF69EE"/>
    <w:rsid w:val="00BF6FB0"/>
    <w:rsid w:val="00BF7831"/>
    <w:rsid w:val="00BF793D"/>
    <w:rsid w:val="00BF7A63"/>
    <w:rsid w:val="00C0002E"/>
    <w:rsid w:val="00C000EC"/>
    <w:rsid w:val="00C00B24"/>
    <w:rsid w:val="00C00B93"/>
    <w:rsid w:val="00C00CB9"/>
    <w:rsid w:val="00C00DE0"/>
    <w:rsid w:val="00C016F7"/>
    <w:rsid w:val="00C017D6"/>
    <w:rsid w:val="00C01898"/>
    <w:rsid w:val="00C01922"/>
    <w:rsid w:val="00C01A26"/>
    <w:rsid w:val="00C01AE9"/>
    <w:rsid w:val="00C01EF2"/>
    <w:rsid w:val="00C01F5B"/>
    <w:rsid w:val="00C027B8"/>
    <w:rsid w:val="00C02968"/>
    <w:rsid w:val="00C02A12"/>
    <w:rsid w:val="00C02B80"/>
    <w:rsid w:val="00C037F3"/>
    <w:rsid w:val="00C0388E"/>
    <w:rsid w:val="00C03AD9"/>
    <w:rsid w:val="00C03F37"/>
    <w:rsid w:val="00C03F61"/>
    <w:rsid w:val="00C04B03"/>
    <w:rsid w:val="00C056EB"/>
    <w:rsid w:val="00C06C01"/>
    <w:rsid w:val="00C070DE"/>
    <w:rsid w:val="00C0754D"/>
    <w:rsid w:val="00C0797B"/>
    <w:rsid w:val="00C07F9B"/>
    <w:rsid w:val="00C1099D"/>
    <w:rsid w:val="00C11F55"/>
    <w:rsid w:val="00C12857"/>
    <w:rsid w:val="00C12FF7"/>
    <w:rsid w:val="00C130D1"/>
    <w:rsid w:val="00C13A6D"/>
    <w:rsid w:val="00C13AE3"/>
    <w:rsid w:val="00C13F8E"/>
    <w:rsid w:val="00C1418D"/>
    <w:rsid w:val="00C15876"/>
    <w:rsid w:val="00C15DA4"/>
    <w:rsid w:val="00C15EB7"/>
    <w:rsid w:val="00C16033"/>
    <w:rsid w:val="00C1672B"/>
    <w:rsid w:val="00C17B77"/>
    <w:rsid w:val="00C218FA"/>
    <w:rsid w:val="00C21D86"/>
    <w:rsid w:val="00C21F64"/>
    <w:rsid w:val="00C226F4"/>
    <w:rsid w:val="00C228C0"/>
    <w:rsid w:val="00C22DC2"/>
    <w:rsid w:val="00C2318B"/>
    <w:rsid w:val="00C23BB6"/>
    <w:rsid w:val="00C242B5"/>
    <w:rsid w:val="00C24898"/>
    <w:rsid w:val="00C2596B"/>
    <w:rsid w:val="00C25E08"/>
    <w:rsid w:val="00C261F3"/>
    <w:rsid w:val="00C2689B"/>
    <w:rsid w:val="00C26B53"/>
    <w:rsid w:val="00C26C87"/>
    <w:rsid w:val="00C26D80"/>
    <w:rsid w:val="00C26E12"/>
    <w:rsid w:val="00C27F21"/>
    <w:rsid w:val="00C303A3"/>
    <w:rsid w:val="00C304BA"/>
    <w:rsid w:val="00C308C7"/>
    <w:rsid w:val="00C30976"/>
    <w:rsid w:val="00C309BF"/>
    <w:rsid w:val="00C30EC4"/>
    <w:rsid w:val="00C31231"/>
    <w:rsid w:val="00C32C07"/>
    <w:rsid w:val="00C32FDB"/>
    <w:rsid w:val="00C333CC"/>
    <w:rsid w:val="00C33491"/>
    <w:rsid w:val="00C338EF"/>
    <w:rsid w:val="00C33A4E"/>
    <w:rsid w:val="00C34170"/>
    <w:rsid w:val="00C35536"/>
    <w:rsid w:val="00C35BE9"/>
    <w:rsid w:val="00C36254"/>
    <w:rsid w:val="00C363A5"/>
    <w:rsid w:val="00C368A4"/>
    <w:rsid w:val="00C4017E"/>
    <w:rsid w:val="00C40829"/>
    <w:rsid w:val="00C40853"/>
    <w:rsid w:val="00C40873"/>
    <w:rsid w:val="00C408FE"/>
    <w:rsid w:val="00C40FF2"/>
    <w:rsid w:val="00C411E2"/>
    <w:rsid w:val="00C412B3"/>
    <w:rsid w:val="00C41536"/>
    <w:rsid w:val="00C41555"/>
    <w:rsid w:val="00C416AE"/>
    <w:rsid w:val="00C42308"/>
    <w:rsid w:val="00C42430"/>
    <w:rsid w:val="00C425FD"/>
    <w:rsid w:val="00C42CD6"/>
    <w:rsid w:val="00C42F2C"/>
    <w:rsid w:val="00C43A26"/>
    <w:rsid w:val="00C44767"/>
    <w:rsid w:val="00C447FE"/>
    <w:rsid w:val="00C448EF"/>
    <w:rsid w:val="00C44AD0"/>
    <w:rsid w:val="00C44B67"/>
    <w:rsid w:val="00C45356"/>
    <w:rsid w:val="00C453D0"/>
    <w:rsid w:val="00C45683"/>
    <w:rsid w:val="00C4667E"/>
    <w:rsid w:val="00C466AB"/>
    <w:rsid w:val="00C46894"/>
    <w:rsid w:val="00C46930"/>
    <w:rsid w:val="00C4745E"/>
    <w:rsid w:val="00C4754C"/>
    <w:rsid w:val="00C502C9"/>
    <w:rsid w:val="00C50317"/>
    <w:rsid w:val="00C50A0D"/>
    <w:rsid w:val="00C51210"/>
    <w:rsid w:val="00C52264"/>
    <w:rsid w:val="00C52925"/>
    <w:rsid w:val="00C52B41"/>
    <w:rsid w:val="00C52FEF"/>
    <w:rsid w:val="00C5339A"/>
    <w:rsid w:val="00C53505"/>
    <w:rsid w:val="00C53C9F"/>
    <w:rsid w:val="00C542D0"/>
    <w:rsid w:val="00C547D8"/>
    <w:rsid w:val="00C54A36"/>
    <w:rsid w:val="00C54F15"/>
    <w:rsid w:val="00C5570B"/>
    <w:rsid w:val="00C55D16"/>
    <w:rsid w:val="00C55DC2"/>
    <w:rsid w:val="00C55E44"/>
    <w:rsid w:val="00C56198"/>
    <w:rsid w:val="00C567A8"/>
    <w:rsid w:val="00C56DF9"/>
    <w:rsid w:val="00C57464"/>
    <w:rsid w:val="00C57A81"/>
    <w:rsid w:val="00C6000C"/>
    <w:rsid w:val="00C60F07"/>
    <w:rsid w:val="00C61666"/>
    <w:rsid w:val="00C619D4"/>
    <w:rsid w:val="00C6203D"/>
    <w:rsid w:val="00C625AB"/>
    <w:rsid w:val="00C635EA"/>
    <w:rsid w:val="00C644FD"/>
    <w:rsid w:val="00C647A3"/>
    <w:rsid w:val="00C64B21"/>
    <w:rsid w:val="00C64CD2"/>
    <w:rsid w:val="00C64D5D"/>
    <w:rsid w:val="00C64FED"/>
    <w:rsid w:val="00C6612E"/>
    <w:rsid w:val="00C665D2"/>
    <w:rsid w:val="00C666DE"/>
    <w:rsid w:val="00C66B22"/>
    <w:rsid w:val="00C66FF1"/>
    <w:rsid w:val="00C66FF3"/>
    <w:rsid w:val="00C678A0"/>
    <w:rsid w:val="00C67F52"/>
    <w:rsid w:val="00C70454"/>
    <w:rsid w:val="00C70855"/>
    <w:rsid w:val="00C70970"/>
    <w:rsid w:val="00C70AFF"/>
    <w:rsid w:val="00C70DA6"/>
    <w:rsid w:val="00C7195C"/>
    <w:rsid w:val="00C71CC6"/>
    <w:rsid w:val="00C721D8"/>
    <w:rsid w:val="00C722D1"/>
    <w:rsid w:val="00C72453"/>
    <w:rsid w:val="00C724DD"/>
    <w:rsid w:val="00C7254D"/>
    <w:rsid w:val="00C725E5"/>
    <w:rsid w:val="00C729F1"/>
    <w:rsid w:val="00C72C78"/>
    <w:rsid w:val="00C72E47"/>
    <w:rsid w:val="00C72EE5"/>
    <w:rsid w:val="00C72F83"/>
    <w:rsid w:val="00C73355"/>
    <w:rsid w:val="00C73A54"/>
    <w:rsid w:val="00C74176"/>
    <w:rsid w:val="00C746D5"/>
    <w:rsid w:val="00C74BFD"/>
    <w:rsid w:val="00C74E48"/>
    <w:rsid w:val="00C75548"/>
    <w:rsid w:val="00C75DD2"/>
    <w:rsid w:val="00C75EAF"/>
    <w:rsid w:val="00C7612C"/>
    <w:rsid w:val="00C76374"/>
    <w:rsid w:val="00C76EAA"/>
    <w:rsid w:val="00C77656"/>
    <w:rsid w:val="00C776A0"/>
    <w:rsid w:val="00C77E60"/>
    <w:rsid w:val="00C80B5E"/>
    <w:rsid w:val="00C80D61"/>
    <w:rsid w:val="00C80EE6"/>
    <w:rsid w:val="00C80FB9"/>
    <w:rsid w:val="00C81021"/>
    <w:rsid w:val="00C8219F"/>
    <w:rsid w:val="00C822DE"/>
    <w:rsid w:val="00C82368"/>
    <w:rsid w:val="00C8269D"/>
    <w:rsid w:val="00C82751"/>
    <w:rsid w:val="00C82A36"/>
    <w:rsid w:val="00C82D92"/>
    <w:rsid w:val="00C82DA5"/>
    <w:rsid w:val="00C83182"/>
    <w:rsid w:val="00C8327D"/>
    <w:rsid w:val="00C83A41"/>
    <w:rsid w:val="00C83A57"/>
    <w:rsid w:val="00C86261"/>
    <w:rsid w:val="00C866D5"/>
    <w:rsid w:val="00C878FF"/>
    <w:rsid w:val="00C8799D"/>
    <w:rsid w:val="00C87C90"/>
    <w:rsid w:val="00C87D8A"/>
    <w:rsid w:val="00C90069"/>
    <w:rsid w:val="00C9062D"/>
    <w:rsid w:val="00C90643"/>
    <w:rsid w:val="00C907C8"/>
    <w:rsid w:val="00C90A36"/>
    <w:rsid w:val="00C9115E"/>
    <w:rsid w:val="00C91487"/>
    <w:rsid w:val="00C9173B"/>
    <w:rsid w:val="00C917B4"/>
    <w:rsid w:val="00C92750"/>
    <w:rsid w:val="00C928A2"/>
    <w:rsid w:val="00C92B3C"/>
    <w:rsid w:val="00C92CE1"/>
    <w:rsid w:val="00C92F11"/>
    <w:rsid w:val="00C93482"/>
    <w:rsid w:val="00C935C2"/>
    <w:rsid w:val="00C93C63"/>
    <w:rsid w:val="00C940A1"/>
    <w:rsid w:val="00C943DF"/>
    <w:rsid w:val="00C94A59"/>
    <w:rsid w:val="00C9515D"/>
    <w:rsid w:val="00C95E58"/>
    <w:rsid w:val="00C9614E"/>
    <w:rsid w:val="00C962EA"/>
    <w:rsid w:val="00C963DD"/>
    <w:rsid w:val="00C979AB"/>
    <w:rsid w:val="00C97AE9"/>
    <w:rsid w:val="00CA0445"/>
    <w:rsid w:val="00CA078B"/>
    <w:rsid w:val="00CA0C54"/>
    <w:rsid w:val="00CA0CB3"/>
    <w:rsid w:val="00CA0CC6"/>
    <w:rsid w:val="00CA0D09"/>
    <w:rsid w:val="00CA1589"/>
    <w:rsid w:val="00CA17EC"/>
    <w:rsid w:val="00CA1C36"/>
    <w:rsid w:val="00CA2419"/>
    <w:rsid w:val="00CA3498"/>
    <w:rsid w:val="00CA3E13"/>
    <w:rsid w:val="00CA3E24"/>
    <w:rsid w:val="00CA41C2"/>
    <w:rsid w:val="00CA4B6A"/>
    <w:rsid w:val="00CA4B6F"/>
    <w:rsid w:val="00CA4D1F"/>
    <w:rsid w:val="00CA539C"/>
    <w:rsid w:val="00CA546E"/>
    <w:rsid w:val="00CA6125"/>
    <w:rsid w:val="00CA62A9"/>
    <w:rsid w:val="00CA643C"/>
    <w:rsid w:val="00CA667D"/>
    <w:rsid w:val="00CA6E92"/>
    <w:rsid w:val="00CA6FAF"/>
    <w:rsid w:val="00CA7021"/>
    <w:rsid w:val="00CA70A3"/>
    <w:rsid w:val="00CA71B9"/>
    <w:rsid w:val="00CA7A88"/>
    <w:rsid w:val="00CA7AA0"/>
    <w:rsid w:val="00CA7B04"/>
    <w:rsid w:val="00CA7D01"/>
    <w:rsid w:val="00CA7F72"/>
    <w:rsid w:val="00CB05E3"/>
    <w:rsid w:val="00CB0E85"/>
    <w:rsid w:val="00CB0EB3"/>
    <w:rsid w:val="00CB1C4D"/>
    <w:rsid w:val="00CB24AE"/>
    <w:rsid w:val="00CB353C"/>
    <w:rsid w:val="00CB3ECD"/>
    <w:rsid w:val="00CB4054"/>
    <w:rsid w:val="00CB43F2"/>
    <w:rsid w:val="00CB46E4"/>
    <w:rsid w:val="00CB4811"/>
    <w:rsid w:val="00CB49C4"/>
    <w:rsid w:val="00CB5462"/>
    <w:rsid w:val="00CB55EE"/>
    <w:rsid w:val="00CB5D2A"/>
    <w:rsid w:val="00CB5DA3"/>
    <w:rsid w:val="00CB673F"/>
    <w:rsid w:val="00CB6A53"/>
    <w:rsid w:val="00CB6AD4"/>
    <w:rsid w:val="00CB718C"/>
    <w:rsid w:val="00CB7813"/>
    <w:rsid w:val="00CB7C37"/>
    <w:rsid w:val="00CB7F52"/>
    <w:rsid w:val="00CC06CF"/>
    <w:rsid w:val="00CC0716"/>
    <w:rsid w:val="00CC09D4"/>
    <w:rsid w:val="00CC0CF7"/>
    <w:rsid w:val="00CC0EA2"/>
    <w:rsid w:val="00CC1B4C"/>
    <w:rsid w:val="00CC1E2C"/>
    <w:rsid w:val="00CC1E4C"/>
    <w:rsid w:val="00CC26B4"/>
    <w:rsid w:val="00CC2AF9"/>
    <w:rsid w:val="00CC2FCE"/>
    <w:rsid w:val="00CC3153"/>
    <w:rsid w:val="00CC3B67"/>
    <w:rsid w:val="00CC3EE8"/>
    <w:rsid w:val="00CC3FBE"/>
    <w:rsid w:val="00CC3FE8"/>
    <w:rsid w:val="00CC4B4E"/>
    <w:rsid w:val="00CC523A"/>
    <w:rsid w:val="00CC5314"/>
    <w:rsid w:val="00CC5609"/>
    <w:rsid w:val="00CC5AA4"/>
    <w:rsid w:val="00CC6086"/>
    <w:rsid w:val="00CC6160"/>
    <w:rsid w:val="00CD17CE"/>
    <w:rsid w:val="00CD1B81"/>
    <w:rsid w:val="00CD1BBB"/>
    <w:rsid w:val="00CD1F10"/>
    <w:rsid w:val="00CD21F4"/>
    <w:rsid w:val="00CD2609"/>
    <w:rsid w:val="00CD2D75"/>
    <w:rsid w:val="00CD348F"/>
    <w:rsid w:val="00CD36A3"/>
    <w:rsid w:val="00CD3FF7"/>
    <w:rsid w:val="00CD4050"/>
    <w:rsid w:val="00CD487B"/>
    <w:rsid w:val="00CD4C54"/>
    <w:rsid w:val="00CD4DA8"/>
    <w:rsid w:val="00CD4E48"/>
    <w:rsid w:val="00CD51B3"/>
    <w:rsid w:val="00CD547B"/>
    <w:rsid w:val="00CD5487"/>
    <w:rsid w:val="00CD569D"/>
    <w:rsid w:val="00CD5802"/>
    <w:rsid w:val="00CD6300"/>
    <w:rsid w:val="00CD67D5"/>
    <w:rsid w:val="00CD6993"/>
    <w:rsid w:val="00CD6BB6"/>
    <w:rsid w:val="00CD6E38"/>
    <w:rsid w:val="00CD72FC"/>
    <w:rsid w:val="00CE00C1"/>
    <w:rsid w:val="00CE02A5"/>
    <w:rsid w:val="00CE04D3"/>
    <w:rsid w:val="00CE0595"/>
    <w:rsid w:val="00CE0A7B"/>
    <w:rsid w:val="00CE0FEE"/>
    <w:rsid w:val="00CE1006"/>
    <w:rsid w:val="00CE1299"/>
    <w:rsid w:val="00CE1525"/>
    <w:rsid w:val="00CE1D7F"/>
    <w:rsid w:val="00CE1DF0"/>
    <w:rsid w:val="00CE221C"/>
    <w:rsid w:val="00CE2860"/>
    <w:rsid w:val="00CE2D8A"/>
    <w:rsid w:val="00CE3B60"/>
    <w:rsid w:val="00CE4312"/>
    <w:rsid w:val="00CE46F6"/>
    <w:rsid w:val="00CE4731"/>
    <w:rsid w:val="00CE4821"/>
    <w:rsid w:val="00CE4A68"/>
    <w:rsid w:val="00CE4C41"/>
    <w:rsid w:val="00CE4E13"/>
    <w:rsid w:val="00CE4FFB"/>
    <w:rsid w:val="00CE561C"/>
    <w:rsid w:val="00CE5681"/>
    <w:rsid w:val="00CE63FB"/>
    <w:rsid w:val="00CE647A"/>
    <w:rsid w:val="00CE6673"/>
    <w:rsid w:val="00CE6895"/>
    <w:rsid w:val="00CE6A52"/>
    <w:rsid w:val="00CE6CC5"/>
    <w:rsid w:val="00CE6D9A"/>
    <w:rsid w:val="00CE7544"/>
    <w:rsid w:val="00CE758E"/>
    <w:rsid w:val="00CE7ABF"/>
    <w:rsid w:val="00CE7B55"/>
    <w:rsid w:val="00CF0145"/>
    <w:rsid w:val="00CF0612"/>
    <w:rsid w:val="00CF0E30"/>
    <w:rsid w:val="00CF11C7"/>
    <w:rsid w:val="00CF176B"/>
    <w:rsid w:val="00CF1EE3"/>
    <w:rsid w:val="00CF23E4"/>
    <w:rsid w:val="00CF26C1"/>
    <w:rsid w:val="00CF3140"/>
    <w:rsid w:val="00CF39C7"/>
    <w:rsid w:val="00CF3FC1"/>
    <w:rsid w:val="00CF4C62"/>
    <w:rsid w:val="00CF58F8"/>
    <w:rsid w:val="00CF5C67"/>
    <w:rsid w:val="00CF600B"/>
    <w:rsid w:val="00CF644A"/>
    <w:rsid w:val="00CF6624"/>
    <w:rsid w:val="00CF6CA8"/>
    <w:rsid w:val="00CF708E"/>
    <w:rsid w:val="00CF73E3"/>
    <w:rsid w:val="00CF7449"/>
    <w:rsid w:val="00D00086"/>
    <w:rsid w:val="00D005E0"/>
    <w:rsid w:val="00D008E7"/>
    <w:rsid w:val="00D00DCF"/>
    <w:rsid w:val="00D0106E"/>
    <w:rsid w:val="00D024C0"/>
    <w:rsid w:val="00D0273D"/>
    <w:rsid w:val="00D02839"/>
    <w:rsid w:val="00D02845"/>
    <w:rsid w:val="00D03452"/>
    <w:rsid w:val="00D042BF"/>
    <w:rsid w:val="00D04A2B"/>
    <w:rsid w:val="00D04BD2"/>
    <w:rsid w:val="00D04C40"/>
    <w:rsid w:val="00D04CBA"/>
    <w:rsid w:val="00D05AAF"/>
    <w:rsid w:val="00D0669C"/>
    <w:rsid w:val="00D067D0"/>
    <w:rsid w:val="00D06AC0"/>
    <w:rsid w:val="00D06F1F"/>
    <w:rsid w:val="00D074C8"/>
    <w:rsid w:val="00D0762E"/>
    <w:rsid w:val="00D101E3"/>
    <w:rsid w:val="00D1090D"/>
    <w:rsid w:val="00D11985"/>
    <w:rsid w:val="00D11BB5"/>
    <w:rsid w:val="00D12967"/>
    <w:rsid w:val="00D12D23"/>
    <w:rsid w:val="00D13065"/>
    <w:rsid w:val="00D13129"/>
    <w:rsid w:val="00D1381F"/>
    <w:rsid w:val="00D142A9"/>
    <w:rsid w:val="00D1457E"/>
    <w:rsid w:val="00D14F9A"/>
    <w:rsid w:val="00D15242"/>
    <w:rsid w:val="00D15477"/>
    <w:rsid w:val="00D1563B"/>
    <w:rsid w:val="00D156B6"/>
    <w:rsid w:val="00D15B03"/>
    <w:rsid w:val="00D15C35"/>
    <w:rsid w:val="00D16A28"/>
    <w:rsid w:val="00D17383"/>
    <w:rsid w:val="00D17490"/>
    <w:rsid w:val="00D17A9B"/>
    <w:rsid w:val="00D20B59"/>
    <w:rsid w:val="00D2119D"/>
    <w:rsid w:val="00D219A7"/>
    <w:rsid w:val="00D220AC"/>
    <w:rsid w:val="00D22150"/>
    <w:rsid w:val="00D22181"/>
    <w:rsid w:val="00D229FB"/>
    <w:rsid w:val="00D22C65"/>
    <w:rsid w:val="00D23D08"/>
    <w:rsid w:val="00D23FD9"/>
    <w:rsid w:val="00D24037"/>
    <w:rsid w:val="00D2448D"/>
    <w:rsid w:val="00D244C0"/>
    <w:rsid w:val="00D24908"/>
    <w:rsid w:val="00D24D9B"/>
    <w:rsid w:val="00D257A0"/>
    <w:rsid w:val="00D25BC5"/>
    <w:rsid w:val="00D25C44"/>
    <w:rsid w:val="00D25F8E"/>
    <w:rsid w:val="00D267B9"/>
    <w:rsid w:val="00D269FD"/>
    <w:rsid w:val="00D273D5"/>
    <w:rsid w:val="00D277EA"/>
    <w:rsid w:val="00D27C2A"/>
    <w:rsid w:val="00D3000D"/>
    <w:rsid w:val="00D30975"/>
    <w:rsid w:val="00D30A72"/>
    <w:rsid w:val="00D314B6"/>
    <w:rsid w:val="00D31797"/>
    <w:rsid w:val="00D318BD"/>
    <w:rsid w:val="00D31930"/>
    <w:rsid w:val="00D31D2A"/>
    <w:rsid w:val="00D31DC3"/>
    <w:rsid w:val="00D31F46"/>
    <w:rsid w:val="00D32723"/>
    <w:rsid w:val="00D327D8"/>
    <w:rsid w:val="00D328C4"/>
    <w:rsid w:val="00D328D4"/>
    <w:rsid w:val="00D32EF0"/>
    <w:rsid w:val="00D335A6"/>
    <w:rsid w:val="00D338A7"/>
    <w:rsid w:val="00D33AFC"/>
    <w:rsid w:val="00D33F99"/>
    <w:rsid w:val="00D340D3"/>
    <w:rsid w:val="00D3433D"/>
    <w:rsid w:val="00D349BD"/>
    <w:rsid w:val="00D34CED"/>
    <w:rsid w:val="00D3505C"/>
    <w:rsid w:val="00D352DE"/>
    <w:rsid w:val="00D35CD7"/>
    <w:rsid w:val="00D36011"/>
    <w:rsid w:val="00D364F2"/>
    <w:rsid w:val="00D366AC"/>
    <w:rsid w:val="00D3671A"/>
    <w:rsid w:val="00D40074"/>
    <w:rsid w:val="00D40172"/>
    <w:rsid w:val="00D41151"/>
    <w:rsid w:val="00D4133A"/>
    <w:rsid w:val="00D414B9"/>
    <w:rsid w:val="00D41621"/>
    <w:rsid w:val="00D4202F"/>
    <w:rsid w:val="00D42A04"/>
    <w:rsid w:val="00D42BA0"/>
    <w:rsid w:val="00D42C1B"/>
    <w:rsid w:val="00D43070"/>
    <w:rsid w:val="00D43829"/>
    <w:rsid w:val="00D43BD4"/>
    <w:rsid w:val="00D44008"/>
    <w:rsid w:val="00D447CE"/>
    <w:rsid w:val="00D449E7"/>
    <w:rsid w:val="00D4543C"/>
    <w:rsid w:val="00D45B54"/>
    <w:rsid w:val="00D45D11"/>
    <w:rsid w:val="00D46460"/>
    <w:rsid w:val="00D46A65"/>
    <w:rsid w:val="00D46CA1"/>
    <w:rsid w:val="00D47434"/>
    <w:rsid w:val="00D475B0"/>
    <w:rsid w:val="00D47721"/>
    <w:rsid w:val="00D509F2"/>
    <w:rsid w:val="00D50BDA"/>
    <w:rsid w:val="00D50D27"/>
    <w:rsid w:val="00D50E81"/>
    <w:rsid w:val="00D513A4"/>
    <w:rsid w:val="00D5150E"/>
    <w:rsid w:val="00D52391"/>
    <w:rsid w:val="00D52419"/>
    <w:rsid w:val="00D5289F"/>
    <w:rsid w:val="00D52B18"/>
    <w:rsid w:val="00D52B29"/>
    <w:rsid w:val="00D52F5D"/>
    <w:rsid w:val="00D53221"/>
    <w:rsid w:val="00D53333"/>
    <w:rsid w:val="00D53815"/>
    <w:rsid w:val="00D53912"/>
    <w:rsid w:val="00D541C2"/>
    <w:rsid w:val="00D5423C"/>
    <w:rsid w:val="00D54D4D"/>
    <w:rsid w:val="00D551B1"/>
    <w:rsid w:val="00D5524C"/>
    <w:rsid w:val="00D553AA"/>
    <w:rsid w:val="00D5564D"/>
    <w:rsid w:val="00D55B47"/>
    <w:rsid w:val="00D56542"/>
    <w:rsid w:val="00D567CD"/>
    <w:rsid w:val="00D56BDD"/>
    <w:rsid w:val="00D56EE3"/>
    <w:rsid w:val="00D57959"/>
    <w:rsid w:val="00D600DD"/>
    <w:rsid w:val="00D6038F"/>
    <w:rsid w:val="00D605E4"/>
    <w:rsid w:val="00D606F8"/>
    <w:rsid w:val="00D6072B"/>
    <w:rsid w:val="00D60EFE"/>
    <w:rsid w:val="00D61A72"/>
    <w:rsid w:val="00D61F48"/>
    <w:rsid w:val="00D62062"/>
    <w:rsid w:val="00D62579"/>
    <w:rsid w:val="00D63801"/>
    <w:rsid w:val="00D639C2"/>
    <w:rsid w:val="00D63A38"/>
    <w:rsid w:val="00D63F2E"/>
    <w:rsid w:val="00D643E2"/>
    <w:rsid w:val="00D647E5"/>
    <w:rsid w:val="00D65937"/>
    <w:rsid w:val="00D65AF5"/>
    <w:rsid w:val="00D6600D"/>
    <w:rsid w:val="00D6612F"/>
    <w:rsid w:val="00D66721"/>
    <w:rsid w:val="00D66C56"/>
    <w:rsid w:val="00D66D62"/>
    <w:rsid w:val="00D7038E"/>
    <w:rsid w:val="00D70685"/>
    <w:rsid w:val="00D706C4"/>
    <w:rsid w:val="00D70A1D"/>
    <w:rsid w:val="00D70D42"/>
    <w:rsid w:val="00D70DA0"/>
    <w:rsid w:val="00D70E7B"/>
    <w:rsid w:val="00D7163C"/>
    <w:rsid w:val="00D71741"/>
    <w:rsid w:val="00D71A6B"/>
    <w:rsid w:val="00D71B8E"/>
    <w:rsid w:val="00D71C9E"/>
    <w:rsid w:val="00D7229E"/>
    <w:rsid w:val="00D723A0"/>
    <w:rsid w:val="00D72405"/>
    <w:rsid w:val="00D725A0"/>
    <w:rsid w:val="00D728A2"/>
    <w:rsid w:val="00D72937"/>
    <w:rsid w:val="00D72FC3"/>
    <w:rsid w:val="00D73513"/>
    <w:rsid w:val="00D73531"/>
    <w:rsid w:val="00D73777"/>
    <w:rsid w:val="00D739CA"/>
    <w:rsid w:val="00D739D4"/>
    <w:rsid w:val="00D73DE9"/>
    <w:rsid w:val="00D74271"/>
    <w:rsid w:val="00D7460A"/>
    <w:rsid w:val="00D7472F"/>
    <w:rsid w:val="00D756B9"/>
    <w:rsid w:val="00D75C60"/>
    <w:rsid w:val="00D75D0C"/>
    <w:rsid w:val="00D760B5"/>
    <w:rsid w:val="00D763F1"/>
    <w:rsid w:val="00D763FD"/>
    <w:rsid w:val="00D7643B"/>
    <w:rsid w:val="00D7645F"/>
    <w:rsid w:val="00D768F8"/>
    <w:rsid w:val="00D76D53"/>
    <w:rsid w:val="00D77B6C"/>
    <w:rsid w:val="00D77C5E"/>
    <w:rsid w:val="00D8081B"/>
    <w:rsid w:val="00D80C1E"/>
    <w:rsid w:val="00D80C47"/>
    <w:rsid w:val="00D811D0"/>
    <w:rsid w:val="00D81206"/>
    <w:rsid w:val="00D817B7"/>
    <w:rsid w:val="00D81E87"/>
    <w:rsid w:val="00D822AD"/>
    <w:rsid w:val="00D82F37"/>
    <w:rsid w:val="00D837DC"/>
    <w:rsid w:val="00D8424D"/>
    <w:rsid w:val="00D84868"/>
    <w:rsid w:val="00D84B67"/>
    <w:rsid w:val="00D84DEE"/>
    <w:rsid w:val="00D84FA5"/>
    <w:rsid w:val="00D850D3"/>
    <w:rsid w:val="00D8587E"/>
    <w:rsid w:val="00D862F3"/>
    <w:rsid w:val="00D86B04"/>
    <w:rsid w:val="00D86C29"/>
    <w:rsid w:val="00D86E46"/>
    <w:rsid w:val="00D87630"/>
    <w:rsid w:val="00D876F9"/>
    <w:rsid w:val="00D878DF"/>
    <w:rsid w:val="00D87DA5"/>
    <w:rsid w:val="00D87E97"/>
    <w:rsid w:val="00D90321"/>
    <w:rsid w:val="00D9060B"/>
    <w:rsid w:val="00D907DD"/>
    <w:rsid w:val="00D90B9A"/>
    <w:rsid w:val="00D90C1A"/>
    <w:rsid w:val="00D90D87"/>
    <w:rsid w:val="00D90DDA"/>
    <w:rsid w:val="00D9132E"/>
    <w:rsid w:val="00D9142A"/>
    <w:rsid w:val="00D91F3B"/>
    <w:rsid w:val="00D92975"/>
    <w:rsid w:val="00D929C6"/>
    <w:rsid w:val="00D92C69"/>
    <w:rsid w:val="00D92CDD"/>
    <w:rsid w:val="00D933AC"/>
    <w:rsid w:val="00D93EBE"/>
    <w:rsid w:val="00D93EED"/>
    <w:rsid w:val="00D940D4"/>
    <w:rsid w:val="00D94100"/>
    <w:rsid w:val="00D94FDA"/>
    <w:rsid w:val="00D9585F"/>
    <w:rsid w:val="00D9626A"/>
    <w:rsid w:val="00D9645B"/>
    <w:rsid w:val="00D96EB5"/>
    <w:rsid w:val="00D9768B"/>
    <w:rsid w:val="00D97867"/>
    <w:rsid w:val="00D97AF5"/>
    <w:rsid w:val="00D97EC3"/>
    <w:rsid w:val="00DA0127"/>
    <w:rsid w:val="00DA012D"/>
    <w:rsid w:val="00DA0354"/>
    <w:rsid w:val="00DA131C"/>
    <w:rsid w:val="00DA1C1C"/>
    <w:rsid w:val="00DA2231"/>
    <w:rsid w:val="00DA2292"/>
    <w:rsid w:val="00DA2334"/>
    <w:rsid w:val="00DA23F7"/>
    <w:rsid w:val="00DA2C02"/>
    <w:rsid w:val="00DA31B6"/>
    <w:rsid w:val="00DA3401"/>
    <w:rsid w:val="00DA37C0"/>
    <w:rsid w:val="00DA411C"/>
    <w:rsid w:val="00DA4140"/>
    <w:rsid w:val="00DA4439"/>
    <w:rsid w:val="00DA4C83"/>
    <w:rsid w:val="00DA4DBE"/>
    <w:rsid w:val="00DA502F"/>
    <w:rsid w:val="00DA522A"/>
    <w:rsid w:val="00DA52F0"/>
    <w:rsid w:val="00DA54CD"/>
    <w:rsid w:val="00DA58F0"/>
    <w:rsid w:val="00DA59AE"/>
    <w:rsid w:val="00DA5DA1"/>
    <w:rsid w:val="00DA6000"/>
    <w:rsid w:val="00DA6076"/>
    <w:rsid w:val="00DA6598"/>
    <w:rsid w:val="00DA6A12"/>
    <w:rsid w:val="00DA6BFE"/>
    <w:rsid w:val="00DA6CAB"/>
    <w:rsid w:val="00DA6F65"/>
    <w:rsid w:val="00DA7228"/>
    <w:rsid w:val="00DA76C7"/>
    <w:rsid w:val="00DA7C78"/>
    <w:rsid w:val="00DB06ED"/>
    <w:rsid w:val="00DB0739"/>
    <w:rsid w:val="00DB0E92"/>
    <w:rsid w:val="00DB11E7"/>
    <w:rsid w:val="00DB138E"/>
    <w:rsid w:val="00DB15DC"/>
    <w:rsid w:val="00DB177F"/>
    <w:rsid w:val="00DB1C2D"/>
    <w:rsid w:val="00DB1D3A"/>
    <w:rsid w:val="00DB1F0C"/>
    <w:rsid w:val="00DB1F99"/>
    <w:rsid w:val="00DB24E5"/>
    <w:rsid w:val="00DB302F"/>
    <w:rsid w:val="00DB3E3C"/>
    <w:rsid w:val="00DB3FF0"/>
    <w:rsid w:val="00DB486E"/>
    <w:rsid w:val="00DB5483"/>
    <w:rsid w:val="00DB56E2"/>
    <w:rsid w:val="00DB5883"/>
    <w:rsid w:val="00DB6003"/>
    <w:rsid w:val="00DB603B"/>
    <w:rsid w:val="00DB6282"/>
    <w:rsid w:val="00DB6817"/>
    <w:rsid w:val="00DB6FB5"/>
    <w:rsid w:val="00DB6FE4"/>
    <w:rsid w:val="00DB7156"/>
    <w:rsid w:val="00DB7263"/>
    <w:rsid w:val="00DB72DE"/>
    <w:rsid w:val="00DB7623"/>
    <w:rsid w:val="00DB7703"/>
    <w:rsid w:val="00DB7F75"/>
    <w:rsid w:val="00DC0580"/>
    <w:rsid w:val="00DC063B"/>
    <w:rsid w:val="00DC0640"/>
    <w:rsid w:val="00DC1319"/>
    <w:rsid w:val="00DC1471"/>
    <w:rsid w:val="00DC14A0"/>
    <w:rsid w:val="00DC18B4"/>
    <w:rsid w:val="00DC1985"/>
    <w:rsid w:val="00DC1996"/>
    <w:rsid w:val="00DC1E5A"/>
    <w:rsid w:val="00DC24E6"/>
    <w:rsid w:val="00DC25F0"/>
    <w:rsid w:val="00DC26A9"/>
    <w:rsid w:val="00DC2718"/>
    <w:rsid w:val="00DC299F"/>
    <w:rsid w:val="00DC2C23"/>
    <w:rsid w:val="00DC3153"/>
    <w:rsid w:val="00DC37E5"/>
    <w:rsid w:val="00DC3E96"/>
    <w:rsid w:val="00DC436D"/>
    <w:rsid w:val="00DC468A"/>
    <w:rsid w:val="00DC4CE2"/>
    <w:rsid w:val="00DC4DDC"/>
    <w:rsid w:val="00DC4E8C"/>
    <w:rsid w:val="00DC4FBE"/>
    <w:rsid w:val="00DC526E"/>
    <w:rsid w:val="00DC552F"/>
    <w:rsid w:val="00DC5713"/>
    <w:rsid w:val="00DC5DBE"/>
    <w:rsid w:val="00DC6112"/>
    <w:rsid w:val="00DC7641"/>
    <w:rsid w:val="00DC775D"/>
    <w:rsid w:val="00DC796D"/>
    <w:rsid w:val="00DC7F23"/>
    <w:rsid w:val="00DD02D3"/>
    <w:rsid w:val="00DD0517"/>
    <w:rsid w:val="00DD0BC1"/>
    <w:rsid w:val="00DD0CE3"/>
    <w:rsid w:val="00DD11AE"/>
    <w:rsid w:val="00DD1DCD"/>
    <w:rsid w:val="00DD1F4B"/>
    <w:rsid w:val="00DD22D1"/>
    <w:rsid w:val="00DD2A0B"/>
    <w:rsid w:val="00DD3132"/>
    <w:rsid w:val="00DD3ADE"/>
    <w:rsid w:val="00DD40BE"/>
    <w:rsid w:val="00DD42EF"/>
    <w:rsid w:val="00DD441C"/>
    <w:rsid w:val="00DD470E"/>
    <w:rsid w:val="00DD49FF"/>
    <w:rsid w:val="00DD4D5E"/>
    <w:rsid w:val="00DD4DE5"/>
    <w:rsid w:val="00DD52C4"/>
    <w:rsid w:val="00DD54AA"/>
    <w:rsid w:val="00DD5591"/>
    <w:rsid w:val="00DD55B8"/>
    <w:rsid w:val="00DD584D"/>
    <w:rsid w:val="00DD5888"/>
    <w:rsid w:val="00DD5C7F"/>
    <w:rsid w:val="00DD5E32"/>
    <w:rsid w:val="00DD603A"/>
    <w:rsid w:val="00DD63D2"/>
    <w:rsid w:val="00DD64EC"/>
    <w:rsid w:val="00DD6534"/>
    <w:rsid w:val="00DD6B0D"/>
    <w:rsid w:val="00DD744C"/>
    <w:rsid w:val="00DE0549"/>
    <w:rsid w:val="00DE073A"/>
    <w:rsid w:val="00DE0806"/>
    <w:rsid w:val="00DE08B5"/>
    <w:rsid w:val="00DE0EC0"/>
    <w:rsid w:val="00DE1040"/>
    <w:rsid w:val="00DE1426"/>
    <w:rsid w:val="00DE26D4"/>
    <w:rsid w:val="00DE2D56"/>
    <w:rsid w:val="00DE385C"/>
    <w:rsid w:val="00DE3B44"/>
    <w:rsid w:val="00DE3D36"/>
    <w:rsid w:val="00DE3FD2"/>
    <w:rsid w:val="00DE45F5"/>
    <w:rsid w:val="00DE47D3"/>
    <w:rsid w:val="00DE486E"/>
    <w:rsid w:val="00DE5222"/>
    <w:rsid w:val="00DE637D"/>
    <w:rsid w:val="00DE6456"/>
    <w:rsid w:val="00DE6627"/>
    <w:rsid w:val="00DE68B5"/>
    <w:rsid w:val="00DF00A1"/>
    <w:rsid w:val="00DF01D4"/>
    <w:rsid w:val="00DF083C"/>
    <w:rsid w:val="00DF0D18"/>
    <w:rsid w:val="00DF0E05"/>
    <w:rsid w:val="00DF117A"/>
    <w:rsid w:val="00DF119C"/>
    <w:rsid w:val="00DF123A"/>
    <w:rsid w:val="00DF17B0"/>
    <w:rsid w:val="00DF1A55"/>
    <w:rsid w:val="00DF1C78"/>
    <w:rsid w:val="00DF234A"/>
    <w:rsid w:val="00DF2B20"/>
    <w:rsid w:val="00DF2C29"/>
    <w:rsid w:val="00DF2D62"/>
    <w:rsid w:val="00DF35FA"/>
    <w:rsid w:val="00DF36D8"/>
    <w:rsid w:val="00DF3ED0"/>
    <w:rsid w:val="00DF4032"/>
    <w:rsid w:val="00DF4102"/>
    <w:rsid w:val="00DF46AB"/>
    <w:rsid w:val="00DF46B0"/>
    <w:rsid w:val="00DF4DCB"/>
    <w:rsid w:val="00DF5291"/>
    <w:rsid w:val="00DF52CA"/>
    <w:rsid w:val="00DF5550"/>
    <w:rsid w:val="00DF5954"/>
    <w:rsid w:val="00DF639E"/>
    <w:rsid w:val="00DF65A5"/>
    <w:rsid w:val="00DF681C"/>
    <w:rsid w:val="00DF6B75"/>
    <w:rsid w:val="00DF6C63"/>
    <w:rsid w:val="00DF7959"/>
    <w:rsid w:val="00E000C8"/>
    <w:rsid w:val="00E00219"/>
    <w:rsid w:val="00E00260"/>
    <w:rsid w:val="00E00915"/>
    <w:rsid w:val="00E00A34"/>
    <w:rsid w:val="00E00DFD"/>
    <w:rsid w:val="00E01048"/>
    <w:rsid w:val="00E015D7"/>
    <w:rsid w:val="00E01899"/>
    <w:rsid w:val="00E01FBF"/>
    <w:rsid w:val="00E021A8"/>
    <w:rsid w:val="00E02317"/>
    <w:rsid w:val="00E0231E"/>
    <w:rsid w:val="00E02347"/>
    <w:rsid w:val="00E02C01"/>
    <w:rsid w:val="00E02EFB"/>
    <w:rsid w:val="00E03843"/>
    <w:rsid w:val="00E03EA0"/>
    <w:rsid w:val="00E046ED"/>
    <w:rsid w:val="00E049FD"/>
    <w:rsid w:val="00E04DB4"/>
    <w:rsid w:val="00E05C70"/>
    <w:rsid w:val="00E05CB1"/>
    <w:rsid w:val="00E05ED3"/>
    <w:rsid w:val="00E0606D"/>
    <w:rsid w:val="00E066DE"/>
    <w:rsid w:val="00E067FC"/>
    <w:rsid w:val="00E06BDF"/>
    <w:rsid w:val="00E06F40"/>
    <w:rsid w:val="00E07104"/>
    <w:rsid w:val="00E07588"/>
    <w:rsid w:val="00E075D2"/>
    <w:rsid w:val="00E077D0"/>
    <w:rsid w:val="00E07917"/>
    <w:rsid w:val="00E07A9A"/>
    <w:rsid w:val="00E07B03"/>
    <w:rsid w:val="00E10766"/>
    <w:rsid w:val="00E11094"/>
    <w:rsid w:val="00E115FD"/>
    <w:rsid w:val="00E117C1"/>
    <w:rsid w:val="00E12754"/>
    <w:rsid w:val="00E12913"/>
    <w:rsid w:val="00E12980"/>
    <w:rsid w:val="00E1301C"/>
    <w:rsid w:val="00E1387B"/>
    <w:rsid w:val="00E138BA"/>
    <w:rsid w:val="00E13977"/>
    <w:rsid w:val="00E13C14"/>
    <w:rsid w:val="00E145EA"/>
    <w:rsid w:val="00E15983"/>
    <w:rsid w:val="00E15B86"/>
    <w:rsid w:val="00E16376"/>
    <w:rsid w:val="00E16B55"/>
    <w:rsid w:val="00E16F37"/>
    <w:rsid w:val="00E1744D"/>
    <w:rsid w:val="00E17FDD"/>
    <w:rsid w:val="00E2076E"/>
    <w:rsid w:val="00E213FE"/>
    <w:rsid w:val="00E215B5"/>
    <w:rsid w:val="00E215F8"/>
    <w:rsid w:val="00E21E9D"/>
    <w:rsid w:val="00E222F0"/>
    <w:rsid w:val="00E224BA"/>
    <w:rsid w:val="00E227CA"/>
    <w:rsid w:val="00E22837"/>
    <w:rsid w:val="00E23424"/>
    <w:rsid w:val="00E2386A"/>
    <w:rsid w:val="00E23BF3"/>
    <w:rsid w:val="00E24A5E"/>
    <w:rsid w:val="00E24B1D"/>
    <w:rsid w:val="00E24DCD"/>
    <w:rsid w:val="00E2507E"/>
    <w:rsid w:val="00E254FA"/>
    <w:rsid w:val="00E256F1"/>
    <w:rsid w:val="00E25A72"/>
    <w:rsid w:val="00E25C64"/>
    <w:rsid w:val="00E25ECB"/>
    <w:rsid w:val="00E2622E"/>
    <w:rsid w:val="00E26234"/>
    <w:rsid w:val="00E266D8"/>
    <w:rsid w:val="00E26A84"/>
    <w:rsid w:val="00E26ECE"/>
    <w:rsid w:val="00E279DC"/>
    <w:rsid w:val="00E27F51"/>
    <w:rsid w:val="00E30677"/>
    <w:rsid w:val="00E30E09"/>
    <w:rsid w:val="00E30E31"/>
    <w:rsid w:val="00E31000"/>
    <w:rsid w:val="00E318CA"/>
    <w:rsid w:val="00E31A3F"/>
    <w:rsid w:val="00E3203C"/>
    <w:rsid w:val="00E3286B"/>
    <w:rsid w:val="00E32944"/>
    <w:rsid w:val="00E32A69"/>
    <w:rsid w:val="00E32AD6"/>
    <w:rsid w:val="00E3327C"/>
    <w:rsid w:val="00E33C3B"/>
    <w:rsid w:val="00E33CB5"/>
    <w:rsid w:val="00E33F6E"/>
    <w:rsid w:val="00E343F7"/>
    <w:rsid w:val="00E34510"/>
    <w:rsid w:val="00E347D4"/>
    <w:rsid w:val="00E34F90"/>
    <w:rsid w:val="00E35002"/>
    <w:rsid w:val="00E350A9"/>
    <w:rsid w:val="00E356A9"/>
    <w:rsid w:val="00E35BBB"/>
    <w:rsid w:val="00E35DB6"/>
    <w:rsid w:val="00E368EF"/>
    <w:rsid w:val="00E36FD3"/>
    <w:rsid w:val="00E375D7"/>
    <w:rsid w:val="00E377C9"/>
    <w:rsid w:val="00E37CA8"/>
    <w:rsid w:val="00E37E61"/>
    <w:rsid w:val="00E37F0E"/>
    <w:rsid w:val="00E404F5"/>
    <w:rsid w:val="00E40535"/>
    <w:rsid w:val="00E40BE1"/>
    <w:rsid w:val="00E40FBF"/>
    <w:rsid w:val="00E40FC2"/>
    <w:rsid w:val="00E41840"/>
    <w:rsid w:val="00E419DF"/>
    <w:rsid w:val="00E41C00"/>
    <w:rsid w:val="00E41EC1"/>
    <w:rsid w:val="00E4208A"/>
    <w:rsid w:val="00E4251C"/>
    <w:rsid w:val="00E4291A"/>
    <w:rsid w:val="00E42A86"/>
    <w:rsid w:val="00E42A97"/>
    <w:rsid w:val="00E430BA"/>
    <w:rsid w:val="00E43394"/>
    <w:rsid w:val="00E433DE"/>
    <w:rsid w:val="00E437D5"/>
    <w:rsid w:val="00E43982"/>
    <w:rsid w:val="00E44DAF"/>
    <w:rsid w:val="00E4570B"/>
    <w:rsid w:val="00E45DE0"/>
    <w:rsid w:val="00E4618F"/>
    <w:rsid w:val="00E46522"/>
    <w:rsid w:val="00E465F2"/>
    <w:rsid w:val="00E46B44"/>
    <w:rsid w:val="00E47D29"/>
    <w:rsid w:val="00E47F1C"/>
    <w:rsid w:val="00E501E0"/>
    <w:rsid w:val="00E5071B"/>
    <w:rsid w:val="00E5234A"/>
    <w:rsid w:val="00E5240F"/>
    <w:rsid w:val="00E524FC"/>
    <w:rsid w:val="00E527F6"/>
    <w:rsid w:val="00E53667"/>
    <w:rsid w:val="00E537D8"/>
    <w:rsid w:val="00E53839"/>
    <w:rsid w:val="00E5385D"/>
    <w:rsid w:val="00E53AC1"/>
    <w:rsid w:val="00E54085"/>
    <w:rsid w:val="00E54166"/>
    <w:rsid w:val="00E5425B"/>
    <w:rsid w:val="00E542AF"/>
    <w:rsid w:val="00E5443C"/>
    <w:rsid w:val="00E54AC5"/>
    <w:rsid w:val="00E54B65"/>
    <w:rsid w:val="00E54BE0"/>
    <w:rsid w:val="00E54F4E"/>
    <w:rsid w:val="00E55168"/>
    <w:rsid w:val="00E558FE"/>
    <w:rsid w:val="00E55CEF"/>
    <w:rsid w:val="00E55D93"/>
    <w:rsid w:val="00E56FAF"/>
    <w:rsid w:val="00E575AA"/>
    <w:rsid w:val="00E60699"/>
    <w:rsid w:val="00E608CF"/>
    <w:rsid w:val="00E60A08"/>
    <w:rsid w:val="00E619E9"/>
    <w:rsid w:val="00E61A31"/>
    <w:rsid w:val="00E61E4D"/>
    <w:rsid w:val="00E61F0E"/>
    <w:rsid w:val="00E61FF5"/>
    <w:rsid w:val="00E6206C"/>
    <w:rsid w:val="00E62254"/>
    <w:rsid w:val="00E624B5"/>
    <w:rsid w:val="00E62500"/>
    <w:rsid w:val="00E62BC6"/>
    <w:rsid w:val="00E645D7"/>
    <w:rsid w:val="00E64A0F"/>
    <w:rsid w:val="00E64E4A"/>
    <w:rsid w:val="00E6528F"/>
    <w:rsid w:val="00E66B61"/>
    <w:rsid w:val="00E66D5C"/>
    <w:rsid w:val="00E672A7"/>
    <w:rsid w:val="00E67367"/>
    <w:rsid w:val="00E6776F"/>
    <w:rsid w:val="00E67CD2"/>
    <w:rsid w:val="00E707B8"/>
    <w:rsid w:val="00E7096D"/>
    <w:rsid w:val="00E70B3A"/>
    <w:rsid w:val="00E70CC6"/>
    <w:rsid w:val="00E70F27"/>
    <w:rsid w:val="00E71410"/>
    <w:rsid w:val="00E717A8"/>
    <w:rsid w:val="00E71AE4"/>
    <w:rsid w:val="00E7244A"/>
    <w:rsid w:val="00E7250E"/>
    <w:rsid w:val="00E73176"/>
    <w:rsid w:val="00E738FB"/>
    <w:rsid w:val="00E73920"/>
    <w:rsid w:val="00E73C71"/>
    <w:rsid w:val="00E753B1"/>
    <w:rsid w:val="00E75D6C"/>
    <w:rsid w:val="00E75ECF"/>
    <w:rsid w:val="00E75F65"/>
    <w:rsid w:val="00E760EF"/>
    <w:rsid w:val="00E76695"/>
    <w:rsid w:val="00E76B90"/>
    <w:rsid w:val="00E76BD1"/>
    <w:rsid w:val="00E77343"/>
    <w:rsid w:val="00E77527"/>
    <w:rsid w:val="00E80378"/>
    <w:rsid w:val="00E806D2"/>
    <w:rsid w:val="00E80BCC"/>
    <w:rsid w:val="00E80BEF"/>
    <w:rsid w:val="00E80F82"/>
    <w:rsid w:val="00E81427"/>
    <w:rsid w:val="00E819F4"/>
    <w:rsid w:val="00E81EDF"/>
    <w:rsid w:val="00E82652"/>
    <w:rsid w:val="00E82A00"/>
    <w:rsid w:val="00E82C97"/>
    <w:rsid w:val="00E83293"/>
    <w:rsid w:val="00E8363A"/>
    <w:rsid w:val="00E83809"/>
    <w:rsid w:val="00E838A1"/>
    <w:rsid w:val="00E83945"/>
    <w:rsid w:val="00E8421F"/>
    <w:rsid w:val="00E84357"/>
    <w:rsid w:val="00E84BC9"/>
    <w:rsid w:val="00E856E1"/>
    <w:rsid w:val="00E8571D"/>
    <w:rsid w:val="00E85731"/>
    <w:rsid w:val="00E8579F"/>
    <w:rsid w:val="00E85DE2"/>
    <w:rsid w:val="00E8654D"/>
    <w:rsid w:val="00E86A40"/>
    <w:rsid w:val="00E875B2"/>
    <w:rsid w:val="00E87B8E"/>
    <w:rsid w:val="00E87DFB"/>
    <w:rsid w:val="00E87F65"/>
    <w:rsid w:val="00E90E4E"/>
    <w:rsid w:val="00E90FE8"/>
    <w:rsid w:val="00E916F9"/>
    <w:rsid w:val="00E91B73"/>
    <w:rsid w:val="00E92372"/>
    <w:rsid w:val="00E9276B"/>
    <w:rsid w:val="00E92C43"/>
    <w:rsid w:val="00E930EA"/>
    <w:rsid w:val="00E937A5"/>
    <w:rsid w:val="00E938C5"/>
    <w:rsid w:val="00E93A22"/>
    <w:rsid w:val="00E93C2B"/>
    <w:rsid w:val="00E93FDA"/>
    <w:rsid w:val="00E9409A"/>
    <w:rsid w:val="00E9411C"/>
    <w:rsid w:val="00E94248"/>
    <w:rsid w:val="00E949D4"/>
    <w:rsid w:val="00E94DBF"/>
    <w:rsid w:val="00E94F39"/>
    <w:rsid w:val="00E950DC"/>
    <w:rsid w:val="00E9550F"/>
    <w:rsid w:val="00E9563B"/>
    <w:rsid w:val="00E958C2"/>
    <w:rsid w:val="00E95B7C"/>
    <w:rsid w:val="00E95C5D"/>
    <w:rsid w:val="00E95FF6"/>
    <w:rsid w:val="00E96B8C"/>
    <w:rsid w:val="00E96C6A"/>
    <w:rsid w:val="00E96CFE"/>
    <w:rsid w:val="00E96E4B"/>
    <w:rsid w:val="00E97FBF"/>
    <w:rsid w:val="00EA0103"/>
    <w:rsid w:val="00EA01D5"/>
    <w:rsid w:val="00EA055B"/>
    <w:rsid w:val="00EA0778"/>
    <w:rsid w:val="00EA07B9"/>
    <w:rsid w:val="00EA10DA"/>
    <w:rsid w:val="00EA156E"/>
    <w:rsid w:val="00EA16F5"/>
    <w:rsid w:val="00EA1711"/>
    <w:rsid w:val="00EA1A92"/>
    <w:rsid w:val="00EA1E10"/>
    <w:rsid w:val="00EA2314"/>
    <w:rsid w:val="00EA285B"/>
    <w:rsid w:val="00EA2AE5"/>
    <w:rsid w:val="00EA2B8D"/>
    <w:rsid w:val="00EA2BB1"/>
    <w:rsid w:val="00EA2BB6"/>
    <w:rsid w:val="00EA33E8"/>
    <w:rsid w:val="00EA4B45"/>
    <w:rsid w:val="00EA4CD4"/>
    <w:rsid w:val="00EA4DCA"/>
    <w:rsid w:val="00EA4DEA"/>
    <w:rsid w:val="00EA5620"/>
    <w:rsid w:val="00EA5F4D"/>
    <w:rsid w:val="00EA64EA"/>
    <w:rsid w:val="00EA6A3B"/>
    <w:rsid w:val="00EA6F4C"/>
    <w:rsid w:val="00EA76C1"/>
    <w:rsid w:val="00EA7A79"/>
    <w:rsid w:val="00EA7F55"/>
    <w:rsid w:val="00EB0111"/>
    <w:rsid w:val="00EB01EB"/>
    <w:rsid w:val="00EB022C"/>
    <w:rsid w:val="00EB0AB0"/>
    <w:rsid w:val="00EB0EAF"/>
    <w:rsid w:val="00EB104A"/>
    <w:rsid w:val="00EB1841"/>
    <w:rsid w:val="00EB1C8E"/>
    <w:rsid w:val="00EB1D69"/>
    <w:rsid w:val="00EB22A4"/>
    <w:rsid w:val="00EB274A"/>
    <w:rsid w:val="00EB2B36"/>
    <w:rsid w:val="00EB2D10"/>
    <w:rsid w:val="00EB2DB2"/>
    <w:rsid w:val="00EB3183"/>
    <w:rsid w:val="00EB34A4"/>
    <w:rsid w:val="00EB37B4"/>
    <w:rsid w:val="00EB3AD4"/>
    <w:rsid w:val="00EB3DB8"/>
    <w:rsid w:val="00EB3DE1"/>
    <w:rsid w:val="00EB418E"/>
    <w:rsid w:val="00EB4B11"/>
    <w:rsid w:val="00EB4C59"/>
    <w:rsid w:val="00EB4D87"/>
    <w:rsid w:val="00EB533E"/>
    <w:rsid w:val="00EB535E"/>
    <w:rsid w:val="00EB53CD"/>
    <w:rsid w:val="00EB571B"/>
    <w:rsid w:val="00EB592B"/>
    <w:rsid w:val="00EB5A2D"/>
    <w:rsid w:val="00EB6850"/>
    <w:rsid w:val="00EB6995"/>
    <w:rsid w:val="00EB6AD4"/>
    <w:rsid w:val="00EB6F97"/>
    <w:rsid w:val="00EB7620"/>
    <w:rsid w:val="00EB7675"/>
    <w:rsid w:val="00EB7724"/>
    <w:rsid w:val="00EB774D"/>
    <w:rsid w:val="00EB781A"/>
    <w:rsid w:val="00EB793D"/>
    <w:rsid w:val="00EB7D96"/>
    <w:rsid w:val="00EB7E25"/>
    <w:rsid w:val="00EC0043"/>
    <w:rsid w:val="00EC1103"/>
    <w:rsid w:val="00EC145A"/>
    <w:rsid w:val="00EC173B"/>
    <w:rsid w:val="00EC1935"/>
    <w:rsid w:val="00EC1E89"/>
    <w:rsid w:val="00EC21BB"/>
    <w:rsid w:val="00EC24B6"/>
    <w:rsid w:val="00EC2687"/>
    <w:rsid w:val="00EC27E8"/>
    <w:rsid w:val="00EC2E02"/>
    <w:rsid w:val="00EC31D3"/>
    <w:rsid w:val="00EC3347"/>
    <w:rsid w:val="00EC3503"/>
    <w:rsid w:val="00EC35B8"/>
    <w:rsid w:val="00EC3913"/>
    <w:rsid w:val="00EC3DDE"/>
    <w:rsid w:val="00EC3E67"/>
    <w:rsid w:val="00EC517B"/>
    <w:rsid w:val="00EC5247"/>
    <w:rsid w:val="00EC53DE"/>
    <w:rsid w:val="00EC556D"/>
    <w:rsid w:val="00EC559D"/>
    <w:rsid w:val="00EC5667"/>
    <w:rsid w:val="00EC58BA"/>
    <w:rsid w:val="00EC5A24"/>
    <w:rsid w:val="00EC65CF"/>
    <w:rsid w:val="00EC6674"/>
    <w:rsid w:val="00EC6D0C"/>
    <w:rsid w:val="00EC7109"/>
    <w:rsid w:val="00EC7D7D"/>
    <w:rsid w:val="00ED059E"/>
    <w:rsid w:val="00ED0A9D"/>
    <w:rsid w:val="00ED104D"/>
    <w:rsid w:val="00ED18C2"/>
    <w:rsid w:val="00ED1B19"/>
    <w:rsid w:val="00ED1DB6"/>
    <w:rsid w:val="00ED23DE"/>
    <w:rsid w:val="00ED2838"/>
    <w:rsid w:val="00ED2968"/>
    <w:rsid w:val="00ED2A36"/>
    <w:rsid w:val="00ED2B14"/>
    <w:rsid w:val="00ED2DF1"/>
    <w:rsid w:val="00ED3090"/>
    <w:rsid w:val="00ED3195"/>
    <w:rsid w:val="00ED32D2"/>
    <w:rsid w:val="00ED3814"/>
    <w:rsid w:val="00ED3CD3"/>
    <w:rsid w:val="00ED3F9E"/>
    <w:rsid w:val="00ED4083"/>
    <w:rsid w:val="00ED4530"/>
    <w:rsid w:val="00ED4DB1"/>
    <w:rsid w:val="00ED51E8"/>
    <w:rsid w:val="00ED578A"/>
    <w:rsid w:val="00ED608C"/>
    <w:rsid w:val="00ED61FB"/>
    <w:rsid w:val="00ED64EE"/>
    <w:rsid w:val="00ED6AC9"/>
    <w:rsid w:val="00ED7E11"/>
    <w:rsid w:val="00ED7E20"/>
    <w:rsid w:val="00EE0BF8"/>
    <w:rsid w:val="00EE0E05"/>
    <w:rsid w:val="00EE108E"/>
    <w:rsid w:val="00EE131F"/>
    <w:rsid w:val="00EE149B"/>
    <w:rsid w:val="00EE1B18"/>
    <w:rsid w:val="00EE1E0E"/>
    <w:rsid w:val="00EE20FA"/>
    <w:rsid w:val="00EE22C9"/>
    <w:rsid w:val="00EE2598"/>
    <w:rsid w:val="00EE25D1"/>
    <w:rsid w:val="00EE3A63"/>
    <w:rsid w:val="00EE3A8D"/>
    <w:rsid w:val="00EE3AA5"/>
    <w:rsid w:val="00EE3CEE"/>
    <w:rsid w:val="00EE3F67"/>
    <w:rsid w:val="00EE412B"/>
    <w:rsid w:val="00EE4750"/>
    <w:rsid w:val="00EE4CD7"/>
    <w:rsid w:val="00EE4F9E"/>
    <w:rsid w:val="00EE53EC"/>
    <w:rsid w:val="00EE58DA"/>
    <w:rsid w:val="00EE58FD"/>
    <w:rsid w:val="00EE5933"/>
    <w:rsid w:val="00EE6023"/>
    <w:rsid w:val="00EE63F4"/>
    <w:rsid w:val="00EE660A"/>
    <w:rsid w:val="00EE6846"/>
    <w:rsid w:val="00EE7094"/>
    <w:rsid w:val="00EE719E"/>
    <w:rsid w:val="00EE778B"/>
    <w:rsid w:val="00EE7B8C"/>
    <w:rsid w:val="00EF04A7"/>
    <w:rsid w:val="00EF0D80"/>
    <w:rsid w:val="00EF1FE5"/>
    <w:rsid w:val="00EF231E"/>
    <w:rsid w:val="00EF236D"/>
    <w:rsid w:val="00EF26F2"/>
    <w:rsid w:val="00EF2B1A"/>
    <w:rsid w:val="00EF37E7"/>
    <w:rsid w:val="00EF3B16"/>
    <w:rsid w:val="00EF3B7B"/>
    <w:rsid w:val="00EF3D02"/>
    <w:rsid w:val="00EF408E"/>
    <w:rsid w:val="00EF4265"/>
    <w:rsid w:val="00EF48AE"/>
    <w:rsid w:val="00EF4B05"/>
    <w:rsid w:val="00EF52CC"/>
    <w:rsid w:val="00EF52D3"/>
    <w:rsid w:val="00EF5857"/>
    <w:rsid w:val="00EF586C"/>
    <w:rsid w:val="00EF5A56"/>
    <w:rsid w:val="00EF5BDC"/>
    <w:rsid w:val="00EF5F82"/>
    <w:rsid w:val="00EF60F9"/>
    <w:rsid w:val="00EF657E"/>
    <w:rsid w:val="00EF66F5"/>
    <w:rsid w:val="00EF67BD"/>
    <w:rsid w:val="00EF6822"/>
    <w:rsid w:val="00EF6864"/>
    <w:rsid w:val="00EF6BEA"/>
    <w:rsid w:val="00EF7486"/>
    <w:rsid w:val="00EF7824"/>
    <w:rsid w:val="00EF7B26"/>
    <w:rsid w:val="00EF7C96"/>
    <w:rsid w:val="00EF7E1D"/>
    <w:rsid w:val="00F00B67"/>
    <w:rsid w:val="00F0116E"/>
    <w:rsid w:val="00F01A4D"/>
    <w:rsid w:val="00F0216F"/>
    <w:rsid w:val="00F02306"/>
    <w:rsid w:val="00F02723"/>
    <w:rsid w:val="00F02945"/>
    <w:rsid w:val="00F02CF4"/>
    <w:rsid w:val="00F02DC2"/>
    <w:rsid w:val="00F02F32"/>
    <w:rsid w:val="00F02FFC"/>
    <w:rsid w:val="00F03B73"/>
    <w:rsid w:val="00F03EA0"/>
    <w:rsid w:val="00F0439A"/>
    <w:rsid w:val="00F043D1"/>
    <w:rsid w:val="00F046C7"/>
    <w:rsid w:val="00F04D46"/>
    <w:rsid w:val="00F05777"/>
    <w:rsid w:val="00F05942"/>
    <w:rsid w:val="00F05981"/>
    <w:rsid w:val="00F065C5"/>
    <w:rsid w:val="00F066C8"/>
    <w:rsid w:val="00F067C1"/>
    <w:rsid w:val="00F06939"/>
    <w:rsid w:val="00F06F38"/>
    <w:rsid w:val="00F0716F"/>
    <w:rsid w:val="00F0720E"/>
    <w:rsid w:val="00F0735B"/>
    <w:rsid w:val="00F0786D"/>
    <w:rsid w:val="00F1014C"/>
    <w:rsid w:val="00F10307"/>
    <w:rsid w:val="00F106FF"/>
    <w:rsid w:val="00F10DE9"/>
    <w:rsid w:val="00F11CEC"/>
    <w:rsid w:val="00F128A1"/>
    <w:rsid w:val="00F139BB"/>
    <w:rsid w:val="00F144C7"/>
    <w:rsid w:val="00F14C0E"/>
    <w:rsid w:val="00F14C9A"/>
    <w:rsid w:val="00F15BB6"/>
    <w:rsid w:val="00F161E8"/>
    <w:rsid w:val="00F1659A"/>
    <w:rsid w:val="00F16E90"/>
    <w:rsid w:val="00F20384"/>
    <w:rsid w:val="00F20DAC"/>
    <w:rsid w:val="00F2183D"/>
    <w:rsid w:val="00F2208A"/>
    <w:rsid w:val="00F22D53"/>
    <w:rsid w:val="00F22F33"/>
    <w:rsid w:val="00F23287"/>
    <w:rsid w:val="00F23EF1"/>
    <w:rsid w:val="00F24141"/>
    <w:rsid w:val="00F26117"/>
    <w:rsid w:val="00F261C4"/>
    <w:rsid w:val="00F2661D"/>
    <w:rsid w:val="00F26B13"/>
    <w:rsid w:val="00F26B58"/>
    <w:rsid w:val="00F2712C"/>
    <w:rsid w:val="00F27310"/>
    <w:rsid w:val="00F278DF"/>
    <w:rsid w:val="00F27A3A"/>
    <w:rsid w:val="00F301A9"/>
    <w:rsid w:val="00F303BC"/>
    <w:rsid w:val="00F306E4"/>
    <w:rsid w:val="00F30B08"/>
    <w:rsid w:val="00F30CD2"/>
    <w:rsid w:val="00F30D2D"/>
    <w:rsid w:val="00F30E62"/>
    <w:rsid w:val="00F311D4"/>
    <w:rsid w:val="00F31281"/>
    <w:rsid w:val="00F31778"/>
    <w:rsid w:val="00F31BFF"/>
    <w:rsid w:val="00F31CEA"/>
    <w:rsid w:val="00F3202F"/>
    <w:rsid w:val="00F32147"/>
    <w:rsid w:val="00F329DF"/>
    <w:rsid w:val="00F32E94"/>
    <w:rsid w:val="00F3386D"/>
    <w:rsid w:val="00F33BBC"/>
    <w:rsid w:val="00F33F15"/>
    <w:rsid w:val="00F341B6"/>
    <w:rsid w:val="00F344D0"/>
    <w:rsid w:val="00F34B76"/>
    <w:rsid w:val="00F34D1D"/>
    <w:rsid w:val="00F34E89"/>
    <w:rsid w:val="00F35EEA"/>
    <w:rsid w:val="00F36A74"/>
    <w:rsid w:val="00F36D62"/>
    <w:rsid w:val="00F375E1"/>
    <w:rsid w:val="00F37C38"/>
    <w:rsid w:val="00F4025B"/>
    <w:rsid w:val="00F4050F"/>
    <w:rsid w:val="00F40B6F"/>
    <w:rsid w:val="00F415DA"/>
    <w:rsid w:val="00F4257C"/>
    <w:rsid w:val="00F42A10"/>
    <w:rsid w:val="00F42F4B"/>
    <w:rsid w:val="00F43276"/>
    <w:rsid w:val="00F43848"/>
    <w:rsid w:val="00F441FE"/>
    <w:rsid w:val="00F44224"/>
    <w:rsid w:val="00F44229"/>
    <w:rsid w:val="00F445AA"/>
    <w:rsid w:val="00F44E70"/>
    <w:rsid w:val="00F44F7E"/>
    <w:rsid w:val="00F45066"/>
    <w:rsid w:val="00F45AF2"/>
    <w:rsid w:val="00F45D8B"/>
    <w:rsid w:val="00F45F46"/>
    <w:rsid w:val="00F4652A"/>
    <w:rsid w:val="00F468AE"/>
    <w:rsid w:val="00F46B80"/>
    <w:rsid w:val="00F47508"/>
    <w:rsid w:val="00F51EEA"/>
    <w:rsid w:val="00F535E5"/>
    <w:rsid w:val="00F53C81"/>
    <w:rsid w:val="00F53EC1"/>
    <w:rsid w:val="00F53EE8"/>
    <w:rsid w:val="00F545F0"/>
    <w:rsid w:val="00F54D1B"/>
    <w:rsid w:val="00F55359"/>
    <w:rsid w:val="00F5551F"/>
    <w:rsid w:val="00F55A64"/>
    <w:rsid w:val="00F55AEB"/>
    <w:rsid w:val="00F5602B"/>
    <w:rsid w:val="00F56434"/>
    <w:rsid w:val="00F56605"/>
    <w:rsid w:val="00F56B1D"/>
    <w:rsid w:val="00F56D90"/>
    <w:rsid w:val="00F56F42"/>
    <w:rsid w:val="00F57919"/>
    <w:rsid w:val="00F60295"/>
    <w:rsid w:val="00F6058F"/>
    <w:rsid w:val="00F60E4E"/>
    <w:rsid w:val="00F61983"/>
    <w:rsid w:val="00F62287"/>
    <w:rsid w:val="00F626D8"/>
    <w:rsid w:val="00F6275E"/>
    <w:rsid w:val="00F62AA3"/>
    <w:rsid w:val="00F62B6D"/>
    <w:rsid w:val="00F62B91"/>
    <w:rsid w:val="00F631AC"/>
    <w:rsid w:val="00F6336A"/>
    <w:rsid w:val="00F6353E"/>
    <w:rsid w:val="00F638CD"/>
    <w:rsid w:val="00F63A9A"/>
    <w:rsid w:val="00F6406C"/>
    <w:rsid w:val="00F641AD"/>
    <w:rsid w:val="00F645C0"/>
    <w:rsid w:val="00F647D7"/>
    <w:rsid w:val="00F6529F"/>
    <w:rsid w:val="00F65A2B"/>
    <w:rsid w:val="00F65E17"/>
    <w:rsid w:val="00F65F27"/>
    <w:rsid w:val="00F661B0"/>
    <w:rsid w:val="00F6628B"/>
    <w:rsid w:val="00F6646F"/>
    <w:rsid w:val="00F6671E"/>
    <w:rsid w:val="00F668C4"/>
    <w:rsid w:val="00F6729D"/>
    <w:rsid w:val="00F709DE"/>
    <w:rsid w:val="00F70DDA"/>
    <w:rsid w:val="00F70EB9"/>
    <w:rsid w:val="00F71419"/>
    <w:rsid w:val="00F719E4"/>
    <w:rsid w:val="00F721D6"/>
    <w:rsid w:val="00F72F7C"/>
    <w:rsid w:val="00F7335C"/>
    <w:rsid w:val="00F7346D"/>
    <w:rsid w:val="00F736EB"/>
    <w:rsid w:val="00F73D20"/>
    <w:rsid w:val="00F741EA"/>
    <w:rsid w:val="00F74D33"/>
    <w:rsid w:val="00F75125"/>
    <w:rsid w:val="00F75566"/>
    <w:rsid w:val="00F755A2"/>
    <w:rsid w:val="00F759EC"/>
    <w:rsid w:val="00F75E98"/>
    <w:rsid w:val="00F75FEA"/>
    <w:rsid w:val="00F76D2F"/>
    <w:rsid w:val="00F76EC3"/>
    <w:rsid w:val="00F8007B"/>
    <w:rsid w:val="00F8108A"/>
    <w:rsid w:val="00F81AE6"/>
    <w:rsid w:val="00F81BF7"/>
    <w:rsid w:val="00F81C2F"/>
    <w:rsid w:val="00F81CB9"/>
    <w:rsid w:val="00F81F5B"/>
    <w:rsid w:val="00F821E5"/>
    <w:rsid w:val="00F822AA"/>
    <w:rsid w:val="00F8272B"/>
    <w:rsid w:val="00F82CF4"/>
    <w:rsid w:val="00F8305B"/>
    <w:rsid w:val="00F831C4"/>
    <w:rsid w:val="00F834DC"/>
    <w:rsid w:val="00F837CF"/>
    <w:rsid w:val="00F83FDB"/>
    <w:rsid w:val="00F84B1B"/>
    <w:rsid w:val="00F8518A"/>
    <w:rsid w:val="00F853D2"/>
    <w:rsid w:val="00F858F0"/>
    <w:rsid w:val="00F85ADB"/>
    <w:rsid w:val="00F86063"/>
    <w:rsid w:val="00F8627B"/>
    <w:rsid w:val="00F866E7"/>
    <w:rsid w:val="00F86B30"/>
    <w:rsid w:val="00F86E72"/>
    <w:rsid w:val="00F870B8"/>
    <w:rsid w:val="00F87CF4"/>
    <w:rsid w:val="00F87D27"/>
    <w:rsid w:val="00F87E66"/>
    <w:rsid w:val="00F87F5E"/>
    <w:rsid w:val="00F90AAD"/>
    <w:rsid w:val="00F91707"/>
    <w:rsid w:val="00F91E1C"/>
    <w:rsid w:val="00F92375"/>
    <w:rsid w:val="00F937EE"/>
    <w:rsid w:val="00F938B9"/>
    <w:rsid w:val="00F93C38"/>
    <w:rsid w:val="00F94534"/>
    <w:rsid w:val="00F9484F"/>
    <w:rsid w:val="00F94BC8"/>
    <w:rsid w:val="00F950D6"/>
    <w:rsid w:val="00F951F7"/>
    <w:rsid w:val="00F9528B"/>
    <w:rsid w:val="00F95734"/>
    <w:rsid w:val="00F95854"/>
    <w:rsid w:val="00F95AC3"/>
    <w:rsid w:val="00F96565"/>
    <w:rsid w:val="00F9657F"/>
    <w:rsid w:val="00F968A7"/>
    <w:rsid w:val="00F96A8D"/>
    <w:rsid w:val="00F973C6"/>
    <w:rsid w:val="00F976DD"/>
    <w:rsid w:val="00F97B65"/>
    <w:rsid w:val="00F97D0F"/>
    <w:rsid w:val="00F97D68"/>
    <w:rsid w:val="00FA03C0"/>
    <w:rsid w:val="00FA0585"/>
    <w:rsid w:val="00FA0CFF"/>
    <w:rsid w:val="00FA0FAC"/>
    <w:rsid w:val="00FA1366"/>
    <w:rsid w:val="00FA241B"/>
    <w:rsid w:val="00FA2A43"/>
    <w:rsid w:val="00FA2BDF"/>
    <w:rsid w:val="00FA2C9C"/>
    <w:rsid w:val="00FA452E"/>
    <w:rsid w:val="00FA45F7"/>
    <w:rsid w:val="00FA4ACA"/>
    <w:rsid w:val="00FA4B92"/>
    <w:rsid w:val="00FA4BC9"/>
    <w:rsid w:val="00FA4EFB"/>
    <w:rsid w:val="00FA5298"/>
    <w:rsid w:val="00FA5EF1"/>
    <w:rsid w:val="00FA61BE"/>
    <w:rsid w:val="00FA6B5F"/>
    <w:rsid w:val="00FA7A1D"/>
    <w:rsid w:val="00FA7F83"/>
    <w:rsid w:val="00FB0D6F"/>
    <w:rsid w:val="00FB0F89"/>
    <w:rsid w:val="00FB1C0F"/>
    <w:rsid w:val="00FB22D1"/>
    <w:rsid w:val="00FB26BE"/>
    <w:rsid w:val="00FB2844"/>
    <w:rsid w:val="00FB2F30"/>
    <w:rsid w:val="00FB2F64"/>
    <w:rsid w:val="00FB3459"/>
    <w:rsid w:val="00FB353C"/>
    <w:rsid w:val="00FB42E0"/>
    <w:rsid w:val="00FB44FD"/>
    <w:rsid w:val="00FB50F5"/>
    <w:rsid w:val="00FB515B"/>
    <w:rsid w:val="00FB587A"/>
    <w:rsid w:val="00FB5CE0"/>
    <w:rsid w:val="00FB6018"/>
    <w:rsid w:val="00FB6105"/>
    <w:rsid w:val="00FB6720"/>
    <w:rsid w:val="00FB6B70"/>
    <w:rsid w:val="00FB6BE7"/>
    <w:rsid w:val="00FB7256"/>
    <w:rsid w:val="00FB732D"/>
    <w:rsid w:val="00FB7656"/>
    <w:rsid w:val="00FB7FC6"/>
    <w:rsid w:val="00FC046F"/>
    <w:rsid w:val="00FC0593"/>
    <w:rsid w:val="00FC05A9"/>
    <w:rsid w:val="00FC08C1"/>
    <w:rsid w:val="00FC1156"/>
    <w:rsid w:val="00FC1187"/>
    <w:rsid w:val="00FC1643"/>
    <w:rsid w:val="00FC18C3"/>
    <w:rsid w:val="00FC18F9"/>
    <w:rsid w:val="00FC1DE3"/>
    <w:rsid w:val="00FC1EB7"/>
    <w:rsid w:val="00FC20B9"/>
    <w:rsid w:val="00FC298B"/>
    <w:rsid w:val="00FC2D72"/>
    <w:rsid w:val="00FC322F"/>
    <w:rsid w:val="00FC3243"/>
    <w:rsid w:val="00FC34F3"/>
    <w:rsid w:val="00FC3682"/>
    <w:rsid w:val="00FC3A6A"/>
    <w:rsid w:val="00FC3BBB"/>
    <w:rsid w:val="00FC3DD8"/>
    <w:rsid w:val="00FC3FD8"/>
    <w:rsid w:val="00FC45A5"/>
    <w:rsid w:val="00FC4A39"/>
    <w:rsid w:val="00FC4A9E"/>
    <w:rsid w:val="00FC55C8"/>
    <w:rsid w:val="00FC5B84"/>
    <w:rsid w:val="00FC5BD8"/>
    <w:rsid w:val="00FC61FF"/>
    <w:rsid w:val="00FC67F9"/>
    <w:rsid w:val="00FC6AF4"/>
    <w:rsid w:val="00FC6D4A"/>
    <w:rsid w:val="00FC6E20"/>
    <w:rsid w:val="00FC7DA3"/>
    <w:rsid w:val="00FD036A"/>
    <w:rsid w:val="00FD0503"/>
    <w:rsid w:val="00FD0613"/>
    <w:rsid w:val="00FD0694"/>
    <w:rsid w:val="00FD08F5"/>
    <w:rsid w:val="00FD1747"/>
    <w:rsid w:val="00FD1F5C"/>
    <w:rsid w:val="00FD2667"/>
    <w:rsid w:val="00FD2866"/>
    <w:rsid w:val="00FD3010"/>
    <w:rsid w:val="00FD39A3"/>
    <w:rsid w:val="00FD3B08"/>
    <w:rsid w:val="00FD53E6"/>
    <w:rsid w:val="00FD55E5"/>
    <w:rsid w:val="00FD59A6"/>
    <w:rsid w:val="00FD5C0C"/>
    <w:rsid w:val="00FD6064"/>
    <w:rsid w:val="00FD6088"/>
    <w:rsid w:val="00FD6092"/>
    <w:rsid w:val="00FD62BD"/>
    <w:rsid w:val="00FD6473"/>
    <w:rsid w:val="00FD6886"/>
    <w:rsid w:val="00FD68FE"/>
    <w:rsid w:val="00FD6A88"/>
    <w:rsid w:val="00FD6D98"/>
    <w:rsid w:val="00FD744A"/>
    <w:rsid w:val="00FD7527"/>
    <w:rsid w:val="00FD79D5"/>
    <w:rsid w:val="00FD7EF9"/>
    <w:rsid w:val="00FE02A9"/>
    <w:rsid w:val="00FE0FF3"/>
    <w:rsid w:val="00FE12B3"/>
    <w:rsid w:val="00FE170D"/>
    <w:rsid w:val="00FE21E2"/>
    <w:rsid w:val="00FE2A47"/>
    <w:rsid w:val="00FE2B7E"/>
    <w:rsid w:val="00FE2F7F"/>
    <w:rsid w:val="00FE3671"/>
    <w:rsid w:val="00FE44D2"/>
    <w:rsid w:val="00FE4628"/>
    <w:rsid w:val="00FE4860"/>
    <w:rsid w:val="00FE4B0D"/>
    <w:rsid w:val="00FE4B50"/>
    <w:rsid w:val="00FE4CBE"/>
    <w:rsid w:val="00FE4ED3"/>
    <w:rsid w:val="00FE4F36"/>
    <w:rsid w:val="00FE5526"/>
    <w:rsid w:val="00FE59AD"/>
    <w:rsid w:val="00FE73E7"/>
    <w:rsid w:val="00FE766B"/>
    <w:rsid w:val="00FE79B6"/>
    <w:rsid w:val="00FF00AE"/>
    <w:rsid w:val="00FF0256"/>
    <w:rsid w:val="00FF06E5"/>
    <w:rsid w:val="00FF0A7E"/>
    <w:rsid w:val="00FF0E88"/>
    <w:rsid w:val="00FF104A"/>
    <w:rsid w:val="00FF1275"/>
    <w:rsid w:val="00FF1716"/>
    <w:rsid w:val="00FF2216"/>
    <w:rsid w:val="00FF2306"/>
    <w:rsid w:val="00FF2A25"/>
    <w:rsid w:val="00FF2D31"/>
    <w:rsid w:val="00FF2D85"/>
    <w:rsid w:val="00FF32A1"/>
    <w:rsid w:val="00FF43D3"/>
    <w:rsid w:val="00FF52F9"/>
    <w:rsid w:val="00FF5697"/>
    <w:rsid w:val="00FF5FAC"/>
    <w:rsid w:val="00FF6184"/>
    <w:rsid w:val="00FF6AB7"/>
    <w:rsid w:val="00FF7062"/>
    <w:rsid w:val="00FF78FF"/>
    <w:rsid w:val="00FF7A8D"/>
    <w:rsid w:val="00FF7CBB"/>
    <w:rsid w:val="4CF30409"/>
    <w:rsid w:val="64F9427A"/>
    <w:rsid w:val="7AAA4080"/>
    <w:rsid w:val="7EC8AE1C"/>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5617"/>
    <o:shapelayout v:ext="edit">
      <o:idmap v:ext="edit" data="1"/>
    </o:shapelayout>
  </w:shapeDefaults>
  <w:doNotEmbedSmartTags/>
  <w:decimalSymbol w:val="."/>
  <w:listSeparator w:val=","/>
  <w14:docId w14:val="22BA4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3505"/>
    <w:pPr>
      <w:spacing w:after="200" w:line="276" w:lineRule="auto"/>
    </w:pPr>
    <w:rPr>
      <w:rFonts w:eastAsia="Times New Roman"/>
      <w:sz w:val="22"/>
      <w:szCs w:val="22"/>
    </w:rPr>
  </w:style>
  <w:style w:type="paragraph" w:styleId="Heading1">
    <w:name w:val="heading 1"/>
    <w:basedOn w:val="Normal"/>
    <w:next w:val="BodyText"/>
    <w:link w:val="Heading1Char"/>
    <w:uiPriority w:val="99"/>
    <w:qFormat/>
    <w:rsid w:val="0062005C"/>
    <w:pPr>
      <w:numPr>
        <w:numId w:val="1"/>
      </w:numPr>
      <w:spacing w:before="240" w:after="0" w:line="480" w:lineRule="auto"/>
      <w:outlineLvl w:val="0"/>
    </w:pPr>
    <w:rPr>
      <w:rFonts w:ascii="Times New Roman Bold" w:eastAsia="Calibri" w:hAnsi="Times New Roman Bold" w:cs="Arial"/>
      <w:b/>
      <w:sz w:val="28"/>
      <w:szCs w:val="28"/>
      <w:u w:val="single"/>
    </w:rPr>
  </w:style>
  <w:style w:type="paragraph" w:styleId="Heading2">
    <w:name w:val="heading 2"/>
    <w:basedOn w:val="BodyText"/>
    <w:next w:val="BodyText"/>
    <w:link w:val="Heading2Char"/>
    <w:uiPriority w:val="99"/>
    <w:qFormat/>
    <w:rsid w:val="0062005C"/>
    <w:pPr>
      <w:numPr>
        <w:ilvl w:val="1"/>
        <w:numId w:val="1"/>
      </w:numPr>
      <w:tabs>
        <w:tab w:val="num" w:pos="1530"/>
      </w:tabs>
      <w:spacing w:after="0" w:line="360" w:lineRule="auto"/>
      <w:ind w:left="2250"/>
      <w:jc w:val="both"/>
      <w:outlineLvl w:val="1"/>
    </w:pPr>
    <w:rPr>
      <w:rFonts w:ascii="Times New Roman" w:eastAsia="Calibri" w:hAnsi="Times New Roman" w:cs="Arial"/>
      <w:b/>
      <w:sz w:val="28"/>
      <w:szCs w:val="24"/>
    </w:rPr>
  </w:style>
  <w:style w:type="paragraph" w:styleId="Heading3">
    <w:name w:val="heading 3"/>
    <w:basedOn w:val="Normal"/>
    <w:next w:val="BodyText"/>
    <w:link w:val="Heading3Char"/>
    <w:uiPriority w:val="99"/>
    <w:qFormat/>
    <w:rsid w:val="0062005C"/>
    <w:pPr>
      <w:keepNext/>
      <w:numPr>
        <w:ilvl w:val="2"/>
        <w:numId w:val="1"/>
      </w:numPr>
      <w:tabs>
        <w:tab w:val="clear" w:pos="-108"/>
        <w:tab w:val="num" w:pos="882"/>
      </w:tabs>
      <w:spacing w:after="0" w:line="360" w:lineRule="auto"/>
      <w:ind w:left="5058"/>
      <w:jc w:val="both"/>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62005C"/>
    <w:pPr>
      <w:numPr>
        <w:ilvl w:val="3"/>
      </w:numPr>
      <w:tabs>
        <w:tab w:val="num" w:pos="702"/>
      </w:tabs>
      <w:ind w:left="4374"/>
      <w:outlineLvl w:val="3"/>
    </w:pPr>
  </w:style>
  <w:style w:type="paragraph" w:styleId="Heading5">
    <w:name w:val="heading 5"/>
    <w:basedOn w:val="Normal"/>
    <w:next w:val="BodyText"/>
    <w:link w:val="Heading5Char"/>
    <w:uiPriority w:val="99"/>
    <w:qFormat/>
    <w:rsid w:val="0062005C"/>
    <w:pPr>
      <w:keepNext/>
      <w:numPr>
        <w:ilvl w:val="4"/>
        <w:numId w:val="1"/>
      </w:numPr>
      <w:spacing w:after="0" w:line="240" w:lineRule="auto"/>
      <w:outlineLvl w:val="4"/>
    </w:pPr>
    <w:rPr>
      <w:rFonts w:ascii="Times New Roman" w:eastAsia="Calibri" w:hAnsi="Times New Roman"/>
      <w:b/>
      <w:sz w:val="28"/>
      <w:szCs w:val="20"/>
    </w:rPr>
  </w:style>
  <w:style w:type="paragraph" w:styleId="Heading6">
    <w:name w:val="heading 6"/>
    <w:basedOn w:val="Normal"/>
    <w:next w:val="BodyText"/>
    <w:link w:val="Heading6Char"/>
    <w:uiPriority w:val="99"/>
    <w:qFormat/>
    <w:rsid w:val="0062005C"/>
    <w:pPr>
      <w:keepNext/>
      <w:numPr>
        <w:ilvl w:val="5"/>
        <w:numId w:val="1"/>
      </w:numPr>
      <w:spacing w:after="0" w:line="240" w:lineRule="auto"/>
      <w:jc w:val="center"/>
      <w:outlineLvl w:val="5"/>
    </w:pPr>
    <w:rPr>
      <w:rFonts w:ascii="Times New Roman" w:eastAsia="Calibri" w:hAnsi="Times New Roman"/>
      <w:b/>
      <w:sz w:val="28"/>
      <w:szCs w:val="20"/>
    </w:rPr>
  </w:style>
  <w:style w:type="paragraph" w:styleId="Heading7">
    <w:name w:val="heading 7"/>
    <w:basedOn w:val="Normal"/>
    <w:next w:val="BodyText"/>
    <w:link w:val="Heading7Char"/>
    <w:qFormat/>
    <w:rsid w:val="0062005C"/>
    <w:pPr>
      <w:keepNext/>
      <w:numPr>
        <w:ilvl w:val="6"/>
        <w:numId w:val="1"/>
      </w:numPr>
      <w:spacing w:after="0" w:line="240" w:lineRule="auto"/>
      <w:outlineLvl w:val="6"/>
    </w:pPr>
    <w:rPr>
      <w:rFonts w:ascii="Times New Roman" w:eastAsia="Calibri" w:hAnsi="Times New Roman"/>
      <w:b/>
      <w:sz w:val="24"/>
      <w:szCs w:val="20"/>
    </w:rPr>
  </w:style>
  <w:style w:type="paragraph" w:styleId="Heading8">
    <w:name w:val="heading 8"/>
    <w:basedOn w:val="Normal"/>
    <w:next w:val="BodyText"/>
    <w:link w:val="Heading8Char"/>
    <w:uiPriority w:val="99"/>
    <w:qFormat/>
    <w:rsid w:val="0062005C"/>
    <w:pPr>
      <w:keepNext/>
      <w:numPr>
        <w:ilvl w:val="7"/>
        <w:numId w:val="1"/>
      </w:numPr>
      <w:spacing w:after="0" w:line="240" w:lineRule="auto"/>
      <w:outlineLvl w:val="7"/>
    </w:pPr>
    <w:rPr>
      <w:rFonts w:ascii="Times New Roman" w:eastAsia="Calibri" w:hAnsi="Times New Roman"/>
      <w:b/>
      <w:color w:val="000000"/>
      <w:sz w:val="24"/>
      <w:szCs w:val="20"/>
    </w:rPr>
  </w:style>
  <w:style w:type="paragraph" w:styleId="Heading9">
    <w:name w:val="heading 9"/>
    <w:basedOn w:val="Normal"/>
    <w:next w:val="BodyText"/>
    <w:link w:val="Heading9Char"/>
    <w:uiPriority w:val="99"/>
    <w:qFormat/>
    <w:rsid w:val="0062005C"/>
    <w:pPr>
      <w:keepNext/>
      <w:numPr>
        <w:ilvl w:val="8"/>
        <w:numId w:val="1"/>
      </w:numPr>
      <w:spacing w:after="0" w:line="240" w:lineRule="auto"/>
      <w:outlineLvl w:val="8"/>
    </w:pPr>
    <w:rPr>
      <w:rFonts w:ascii="Times New Roman" w:eastAsia="Calibri"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2005C"/>
    <w:rPr>
      <w:rFonts w:ascii="Times New Roman Bold" w:hAnsi="Times New Roman Bold" w:cs="Arial"/>
      <w:b/>
      <w:sz w:val="28"/>
      <w:szCs w:val="28"/>
      <w:u w:val="single"/>
    </w:rPr>
  </w:style>
  <w:style w:type="character" w:customStyle="1" w:styleId="Heading2Char">
    <w:name w:val="Heading 2 Char"/>
    <w:basedOn w:val="DefaultParagraphFont"/>
    <w:link w:val="Heading2"/>
    <w:uiPriority w:val="99"/>
    <w:rsid w:val="0062005C"/>
    <w:rPr>
      <w:rFonts w:ascii="Times New Roman" w:hAnsi="Times New Roman" w:cs="Arial"/>
      <w:b/>
      <w:sz w:val="28"/>
      <w:szCs w:val="24"/>
    </w:rPr>
  </w:style>
  <w:style w:type="character" w:customStyle="1" w:styleId="Heading3Char">
    <w:name w:val="Heading 3 Char"/>
    <w:basedOn w:val="DefaultParagraphFont"/>
    <w:link w:val="Heading3"/>
    <w:uiPriority w:val="99"/>
    <w:rsid w:val="0062005C"/>
    <w:rPr>
      <w:rFonts w:ascii="Times New Roman Bold" w:hAnsi="Times New Roman Bold" w:cs="Arial"/>
      <w:b/>
      <w:sz w:val="28"/>
      <w:szCs w:val="28"/>
    </w:rPr>
  </w:style>
  <w:style w:type="character" w:customStyle="1" w:styleId="Heading4Char">
    <w:name w:val="Heading 4 Char"/>
    <w:basedOn w:val="DefaultParagraphFont"/>
    <w:link w:val="Heading4"/>
    <w:uiPriority w:val="99"/>
    <w:rsid w:val="0062005C"/>
    <w:rPr>
      <w:rFonts w:ascii="Times New Roman Bold" w:hAnsi="Times New Roman Bold" w:cs="Arial"/>
      <w:b/>
      <w:sz w:val="28"/>
      <w:szCs w:val="28"/>
    </w:rPr>
  </w:style>
  <w:style w:type="character" w:customStyle="1" w:styleId="Heading5Char">
    <w:name w:val="Heading 5 Char"/>
    <w:basedOn w:val="DefaultParagraphFont"/>
    <w:link w:val="Heading5"/>
    <w:uiPriority w:val="99"/>
    <w:rsid w:val="0062005C"/>
    <w:rPr>
      <w:rFonts w:ascii="Times New Roman" w:hAnsi="Times New Roman"/>
      <w:b/>
      <w:sz w:val="28"/>
    </w:rPr>
  </w:style>
  <w:style w:type="character" w:customStyle="1" w:styleId="Heading6Char">
    <w:name w:val="Heading 6 Char"/>
    <w:basedOn w:val="DefaultParagraphFont"/>
    <w:link w:val="Heading6"/>
    <w:uiPriority w:val="99"/>
    <w:rsid w:val="0062005C"/>
    <w:rPr>
      <w:rFonts w:ascii="Times New Roman" w:hAnsi="Times New Roman"/>
      <w:b/>
      <w:sz w:val="28"/>
    </w:rPr>
  </w:style>
  <w:style w:type="character" w:customStyle="1" w:styleId="Heading7Char">
    <w:name w:val="Heading 7 Char"/>
    <w:basedOn w:val="DefaultParagraphFont"/>
    <w:link w:val="Heading7"/>
    <w:rsid w:val="0062005C"/>
    <w:rPr>
      <w:rFonts w:ascii="Times New Roman" w:hAnsi="Times New Roman"/>
      <w:b/>
      <w:sz w:val="24"/>
    </w:rPr>
  </w:style>
  <w:style w:type="character" w:customStyle="1" w:styleId="Heading8Char">
    <w:name w:val="Heading 8 Char"/>
    <w:basedOn w:val="DefaultParagraphFont"/>
    <w:link w:val="Heading8"/>
    <w:uiPriority w:val="99"/>
    <w:rsid w:val="0062005C"/>
    <w:rPr>
      <w:rFonts w:ascii="Times New Roman" w:hAnsi="Times New Roman"/>
      <w:b/>
      <w:color w:val="000000"/>
      <w:sz w:val="24"/>
    </w:rPr>
  </w:style>
  <w:style w:type="character" w:customStyle="1" w:styleId="Heading9Char">
    <w:name w:val="Heading 9 Char"/>
    <w:basedOn w:val="DefaultParagraphFont"/>
    <w:link w:val="Heading9"/>
    <w:uiPriority w:val="99"/>
    <w:rsid w:val="0062005C"/>
    <w:rPr>
      <w:rFonts w:ascii="Times New Roman" w:hAnsi="Times New Roman"/>
      <w:b/>
      <w:sz w:val="24"/>
    </w:rPr>
  </w:style>
  <w:style w:type="paragraph" w:styleId="BodyText">
    <w:name w:val="Body Text"/>
    <w:basedOn w:val="Normal"/>
    <w:link w:val="BodyTextChar"/>
    <w:uiPriority w:val="99"/>
    <w:rsid w:val="0062005C"/>
    <w:pPr>
      <w:spacing w:after="120"/>
    </w:pPr>
  </w:style>
  <w:style w:type="character" w:customStyle="1" w:styleId="BodyTextChar">
    <w:name w:val="Body Text Char"/>
    <w:basedOn w:val="DefaultParagraphFont"/>
    <w:link w:val="BodyText"/>
    <w:uiPriority w:val="99"/>
    <w:rsid w:val="0062005C"/>
    <w:rPr>
      <w:rFonts w:cs="Times New Roman"/>
    </w:rPr>
  </w:style>
  <w:style w:type="paragraph" w:styleId="TOCHeading">
    <w:name w:val="TOC Heading"/>
    <w:basedOn w:val="Heading1"/>
    <w:next w:val="Normal"/>
    <w:uiPriority w:val="39"/>
    <w:qFormat/>
    <w:rsid w:val="00691542"/>
    <w:pPr>
      <w:keepNext/>
      <w:keepLines/>
      <w:numPr>
        <w:numId w:val="0"/>
      </w:numPr>
      <w:spacing w:before="480" w:line="276" w:lineRule="auto"/>
      <w:outlineLvl w:val="9"/>
    </w:pPr>
    <w:rPr>
      <w:rFonts w:ascii="Cambria" w:hAnsi="Cambria" w:cs="Times New Roman"/>
      <w:bCs/>
      <w:color w:val="365F91"/>
      <w:u w:val="none"/>
    </w:rPr>
  </w:style>
  <w:style w:type="paragraph" w:styleId="TOC2">
    <w:name w:val="toc 2"/>
    <w:basedOn w:val="Normal"/>
    <w:next w:val="Normal"/>
    <w:autoRedefine/>
    <w:uiPriority w:val="39"/>
    <w:rsid w:val="007376BD"/>
    <w:pPr>
      <w:tabs>
        <w:tab w:val="left" w:pos="1350"/>
        <w:tab w:val="right" w:leader="dot" w:pos="9350"/>
      </w:tabs>
      <w:spacing w:after="0" w:line="240" w:lineRule="auto"/>
      <w:ind w:left="720" w:hanging="504"/>
    </w:pPr>
    <w:rPr>
      <w:rFonts w:ascii="Times New Roman" w:hAnsi="Times New Roman"/>
    </w:rPr>
  </w:style>
  <w:style w:type="character" w:styleId="Hyperlink">
    <w:name w:val="Hyperlink"/>
    <w:basedOn w:val="DefaultParagraphFont"/>
    <w:uiPriority w:val="99"/>
    <w:rsid w:val="00691542"/>
    <w:rPr>
      <w:rFonts w:cs="Times New Roman"/>
      <w:color w:val="0000FF"/>
      <w:u w:val="single"/>
    </w:rPr>
  </w:style>
  <w:style w:type="paragraph" w:styleId="ListParagraph">
    <w:name w:val="List Paragraph"/>
    <w:basedOn w:val="Normal"/>
    <w:uiPriority w:val="34"/>
    <w:qFormat/>
    <w:rsid w:val="00AC09E1"/>
    <w:pPr>
      <w:spacing w:after="0" w:line="240" w:lineRule="auto"/>
      <w:ind w:left="720"/>
    </w:pPr>
    <w:rPr>
      <w:rFonts w:ascii="Times New Roman" w:eastAsia="Calibri" w:hAnsi="Times New Roman"/>
      <w:sz w:val="24"/>
      <w:szCs w:val="24"/>
    </w:rPr>
  </w:style>
  <w:style w:type="paragraph" w:customStyle="1" w:styleId="Style5">
    <w:name w:val="Style5"/>
    <w:basedOn w:val="NormalWeb"/>
    <w:link w:val="Style5Char"/>
    <w:qFormat/>
    <w:rsid w:val="00AC09E1"/>
    <w:pPr>
      <w:spacing w:before="100" w:beforeAutospacing="1" w:after="100" w:afterAutospacing="1" w:line="240" w:lineRule="auto"/>
    </w:pPr>
    <w:rPr>
      <w:rFonts w:eastAsia="Calibri"/>
    </w:rPr>
  </w:style>
  <w:style w:type="character" w:customStyle="1" w:styleId="Style5Char">
    <w:name w:val="Style5 Char"/>
    <w:basedOn w:val="DefaultParagraphFont"/>
    <w:link w:val="Style5"/>
    <w:rsid w:val="00AC09E1"/>
    <w:rPr>
      <w:rFonts w:ascii="Times New Roman" w:hAnsi="Times New Roman" w:cs="Times New Roman"/>
      <w:sz w:val="24"/>
      <w:szCs w:val="24"/>
    </w:rPr>
  </w:style>
  <w:style w:type="paragraph" w:styleId="NormalWeb">
    <w:name w:val="Normal (Web)"/>
    <w:aliases w:val="Normal (Web) Char1,Normal (Web) Char Char"/>
    <w:basedOn w:val="Normal"/>
    <w:link w:val="NormalWebChar"/>
    <w:uiPriority w:val="99"/>
    <w:rsid w:val="00AC09E1"/>
    <w:rPr>
      <w:rFonts w:ascii="Times New Roman" w:hAnsi="Times New Roman"/>
      <w:sz w:val="24"/>
      <w:szCs w:val="24"/>
    </w:rPr>
  </w:style>
  <w:style w:type="table" w:styleId="TableGrid">
    <w:name w:val="Table Grid"/>
    <w:basedOn w:val="TableNormal"/>
    <w:uiPriority w:val="59"/>
    <w:rsid w:val="00E368E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68EF"/>
    <w:rPr>
      <w:rFonts w:cs="Times New Roman"/>
      <w:sz w:val="16"/>
      <w:szCs w:val="16"/>
    </w:rPr>
  </w:style>
  <w:style w:type="paragraph" w:styleId="CommentText">
    <w:name w:val="annotation text"/>
    <w:basedOn w:val="Normal"/>
    <w:link w:val="CommentTextChar"/>
    <w:uiPriority w:val="99"/>
    <w:rsid w:val="00E368EF"/>
    <w:pPr>
      <w:spacing w:line="240" w:lineRule="auto"/>
    </w:pPr>
    <w:rPr>
      <w:sz w:val="20"/>
      <w:szCs w:val="20"/>
    </w:rPr>
  </w:style>
  <w:style w:type="character" w:customStyle="1" w:styleId="CommentTextChar">
    <w:name w:val="Comment Text Char"/>
    <w:basedOn w:val="DefaultParagraphFont"/>
    <w:link w:val="CommentText"/>
    <w:uiPriority w:val="99"/>
    <w:rsid w:val="00E368EF"/>
    <w:rPr>
      <w:rFonts w:ascii="Calibri" w:eastAsia="Times New Roman" w:hAnsi="Calibri" w:cs="Times New Roman"/>
    </w:rPr>
  </w:style>
  <w:style w:type="paragraph" w:styleId="NoSpacing">
    <w:name w:val="No Spacing"/>
    <w:link w:val="NoSpacingChar"/>
    <w:uiPriority w:val="1"/>
    <w:qFormat/>
    <w:rsid w:val="00E368EF"/>
    <w:rPr>
      <w:rFonts w:eastAsia="Times New Roman"/>
      <w:sz w:val="22"/>
      <w:szCs w:val="22"/>
    </w:rPr>
  </w:style>
  <w:style w:type="paragraph" w:styleId="BalloonText">
    <w:name w:val="Balloon Text"/>
    <w:basedOn w:val="Normal"/>
    <w:link w:val="BalloonTextChar"/>
    <w:uiPriority w:val="99"/>
    <w:rsid w:val="00E36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368EF"/>
    <w:rPr>
      <w:rFonts w:ascii="Tahoma" w:hAnsi="Tahoma" w:cs="Tahoma"/>
      <w:sz w:val="16"/>
      <w:szCs w:val="16"/>
    </w:rPr>
  </w:style>
  <w:style w:type="paragraph" w:styleId="CommentSubject">
    <w:name w:val="annotation subject"/>
    <w:basedOn w:val="CommentText"/>
    <w:next w:val="CommentText"/>
    <w:link w:val="CommentSubjectChar"/>
    <w:uiPriority w:val="99"/>
    <w:rsid w:val="00E368EF"/>
    <w:pPr>
      <w:spacing w:line="276" w:lineRule="auto"/>
    </w:pPr>
    <w:rPr>
      <w:b/>
      <w:bCs/>
    </w:rPr>
  </w:style>
  <w:style w:type="character" w:customStyle="1" w:styleId="CommentSubjectChar">
    <w:name w:val="Comment Subject Char"/>
    <w:basedOn w:val="CommentTextChar"/>
    <w:link w:val="CommentSubject"/>
    <w:uiPriority w:val="99"/>
    <w:rsid w:val="00E368EF"/>
    <w:rPr>
      <w:rFonts w:ascii="Calibri" w:eastAsia="Times New Roman" w:hAnsi="Calibri" w:cs="Times New Roman"/>
      <w:b/>
      <w:bCs/>
    </w:rPr>
  </w:style>
  <w:style w:type="paragraph" w:styleId="Header">
    <w:name w:val="header"/>
    <w:basedOn w:val="Normal"/>
    <w:link w:val="HeaderChar"/>
    <w:uiPriority w:val="99"/>
    <w:rsid w:val="00926280"/>
    <w:pPr>
      <w:tabs>
        <w:tab w:val="center" w:pos="4320"/>
        <w:tab w:val="right" w:pos="8640"/>
      </w:tabs>
    </w:pPr>
  </w:style>
  <w:style w:type="paragraph" w:styleId="Footer">
    <w:name w:val="footer"/>
    <w:basedOn w:val="Normal"/>
    <w:link w:val="FooterChar"/>
    <w:uiPriority w:val="99"/>
    <w:rsid w:val="00926280"/>
    <w:pPr>
      <w:tabs>
        <w:tab w:val="center" w:pos="4320"/>
        <w:tab w:val="right" w:pos="8640"/>
      </w:tabs>
    </w:pPr>
  </w:style>
  <w:style w:type="paragraph" w:styleId="Revision">
    <w:name w:val="Revision"/>
    <w:hidden/>
    <w:uiPriority w:val="99"/>
    <w:semiHidden/>
    <w:rsid w:val="00DF46AB"/>
    <w:rPr>
      <w:rFonts w:eastAsia="Times New Roman"/>
      <w:sz w:val="22"/>
      <w:szCs w:val="22"/>
    </w:rPr>
  </w:style>
  <w:style w:type="character" w:customStyle="1" w:styleId="FooterChar">
    <w:name w:val="Footer Char"/>
    <w:basedOn w:val="DefaultParagraphFont"/>
    <w:link w:val="Footer"/>
    <w:uiPriority w:val="99"/>
    <w:rsid w:val="00DD0CE3"/>
    <w:rPr>
      <w:rFonts w:eastAsia="Times New Roman"/>
      <w:sz w:val="22"/>
      <w:szCs w:val="22"/>
    </w:rPr>
  </w:style>
  <w:style w:type="paragraph" w:customStyle="1" w:styleId="MacPacTrailer">
    <w:name w:val="MacPac Trailer"/>
    <w:rsid w:val="00DD0CE3"/>
    <w:pPr>
      <w:widowControl w:val="0"/>
      <w:spacing w:line="200" w:lineRule="exact"/>
    </w:pPr>
    <w:rPr>
      <w:rFonts w:ascii="Times New Roman" w:eastAsia="Times New Roman" w:hAnsi="Times New Roman"/>
      <w:sz w:val="16"/>
      <w:szCs w:val="22"/>
    </w:rPr>
  </w:style>
  <w:style w:type="character" w:customStyle="1" w:styleId="HeaderChar">
    <w:name w:val="Header Char"/>
    <w:basedOn w:val="DefaultParagraphFont"/>
    <w:link w:val="Header"/>
    <w:uiPriority w:val="99"/>
    <w:rsid w:val="00E949D4"/>
    <w:rPr>
      <w:rFonts w:eastAsia="Times New Roman"/>
      <w:sz w:val="22"/>
      <w:szCs w:val="22"/>
    </w:rPr>
  </w:style>
  <w:style w:type="paragraph" w:styleId="FootnoteText">
    <w:name w:val="footnote text"/>
    <w:basedOn w:val="Normal"/>
    <w:link w:val="FootnoteTextChar"/>
    <w:uiPriority w:val="99"/>
    <w:semiHidden/>
    <w:unhideWhenUsed/>
    <w:rsid w:val="00027B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7BD6"/>
    <w:rPr>
      <w:rFonts w:eastAsia="Times New Roman"/>
    </w:rPr>
  </w:style>
  <w:style w:type="character" w:styleId="FootnoteReference">
    <w:name w:val="footnote reference"/>
    <w:basedOn w:val="DefaultParagraphFont"/>
    <w:uiPriority w:val="99"/>
    <w:semiHidden/>
    <w:unhideWhenUsed/>
    <w:rsid w:val="00027BD6"/>
    <w:rPr>
      <w:vertAlign w:val="superscript"/>
    </w:rPr>
  </w:style>
  <w:style w:type="paragraph" w:styleId="BodyText3">
    <w:name w:val="Body Text 3"/>
    <w:basedOn w:val="Normal"/>
    <w:link w:val="BodyText3Char"/>
    <w:rsid w:val="00432306"/>
    <w:pPr>
      <w:tabs>
        <w:tab w:val="left" w:pos="720"/>
        <w:tab w:val="left" w:pos="1428"/>
        <w:tab w:val="left" w:pos="4716"/>
        <w:tab w:val="left" w:pos="4896"/>
        <w:tab w:val="left" w:pos="6718"/>
      </w:tabs>
      <w:suppressAutoHyphens/>
      <w:spacing w:after="0" w:line="240" w:lineRule="auto"/>
    </w:pPr>
    <w:rPr>
      <w:rFonts w:ascii="Times New Roman" w:hAnsi="Times New Roman"/>
      <w:sz w:val="24"/>
      <w:szCs w:val="20"/>
    </w:rPr>
  </w:style>
  <w:style w:type="character" w:customStyle="1" w:styleId="BodyText3Char">
    <w:name w:val="Body Text 3 Char"/>
    <w:basedOn w:val="DefaultParagraphFont"/>
    <w:link w:val="BodyText3"/>
    <w:rsid w:val="00432306"/>
    <w:rPr>
      <w:rFonts w:ascii="Times New Roman" w:eastAsia="Times New Roman" w:hAnsi="Times New Roman"/>
      <w:sz w:val="24"/>
    </w:rPr>
  </w:style>
  <w:style w:type="paragraph" w:styleId="TOC1">
    <w:name w:val="toc 1"/>
    <w:basedOn w:val="Normal"/>
    <w:next w:val="Normal"/>
    <w:autoRedefine/>
    <w:uiPriority w:val="39"/>
    <w:unhideWhenUsed/>
    <w:rsid w:val="005736B6"/>
    <w:pPr>
      <w:tabs>
        <w:tab w:val="right" w:leader="dot" w:pos="9350"/>
      </w:tabs>
      <w:spacing w:before="120" w:after="0" w:line="240" w:lineRule="auto"/>
      <w:outlineLvl w:val="0"/>
    </w:pPr>
    <w:rPr>
      <w:rFonts w:ascii="Times New Roman" w:hAnsi="Times New Roman"/>
    </w:rPr>
  </w:style>
  <w:style w:type="paragraph" w:styleId="TOC3">
    <w:name w:val="toc 3"/>
    <w:basedOn w:val="Normal"/>
    <w:next w:val="Normal"/>
    <w:autoRedefine/>
    <w:uiPriority w:val="39"/>
    <w:unhideWhenUsed/>
    <w:rsid w:val="00755383"/>
    <w:pPr>
      <w:tabs>
        <w:tab w:val="left" w:pos="1320"/>
        <w:tab w:val="right" w:leader="dot" w:pos="9350"/>
      </w:tabs>
      <w:spacing w:after="100" w:line="240" w:lineRule="auto"/>
      <w:ind w:left="1353" w:right="1008" w:hanging="907"/>
    </w:pPr>
    <w:rPr>
      <w:rFonts w:ascii="Times New Roman" w:hAnsi="Times New Roman"/>
    </w:rPr>
  </w:style>
  <w:style w:type="character" w:customStyle="1" w:styleId="NoSpacingChar">
    <w:name w:val="No Spacing Char"/>
    <w:basedOn w:val="DefaultParagraphFont"/>
    <w:link w:val="NoSpacing"/>
    <w:uiPriority w:val="1"/>
    <w:rsid w:val="007A3A63"/>
    <w:rPr>
      <w:rFonts w:eastAsia="Times New Roman"/>
      <w:sz w:val="22"/>
      <w:szCs w:val="22"/>
      <w:lang w:val="en-US" w:eastAsia="en-US" w:bidi="ar-SA"/>
    </w:rPr>
  </w:style>
  <w:style w:type="numbering" w:customStyle="1" w:styleId="NoList1">
    <w:name w:val="No List1"/>
    <w:next w:val="NoList"/>
    <w:uiPriority w:val="99"/>
    <w:semiHidden/>
    <w:unhideWhenUsed/>
    <w:rsid w:val="00ED7E20"/>
  </w:style>
  <w:style w:type="character" w:styleId="PageNumber">
    <w:name w:val="page number"/>
    <w:basedOn w:val="DefaultParagraphFont"/>
    <w:rsid w:val="00ED7E20"/>
    <w:rPr>
      <w:rFonts w:cs="Times New Roman"/>
    </w:rPr>
  </w:style>
  <w:style w:type="character" w:customStyle="1" w:styleId="NormalWebChar">
    <w:name w:val="Normal (Web) Char"/>
    <w:aliases w:val="Normal (Web) Char1 Char,Normal (Web) Char Char Char"/>
    <w:basedOn w:val="DefaultParagraphFont"/>
    <w:link w:val="NormalWeb"/>
    <w:uiPriority w:val="99"/>
    <w:locked/>
    <w:rsid w:val="00ED7E20"/>
    <w:rPr>
      <w:rFonts w:ascii="Times New Roman" w:eastAsia="Times New Roman" w:hAnsi="Times New Roman"/>
      <w:sz w:val="24"/>
      <w:szCs w:val="24"/>
    </w:rPr>
  </w:style>
  <w:style w:type="paragraph" w:styleId="PlainText">
    <w:name w:val="Plain Text"/>
    <w:basedOn w:val="Normal"/>
    <w:link w:val="PlainTextChar"/>
    <w:uiPriority w:val="99"/>
    <w:rsid w:val="00ED7E20"/>
    <w:pPr>
      <w:spacing w:after="0" w:line="240" w:lineRule="auto"/>
    </w:pPr>
    <w:rPr>
      <w:rFonts w:ascii="Courier" w:hAnsi="Courier"/>
      <w:sz w:val="24"/>
      <w:szCs w:val="20"/>
    </w:rPr>
  </w:style>
  <w:style w:type="character" w:customStyle="1" w:styleId="PlainTextChar">
    <w:name w:val="Plain Text Char"/>
    <w:basedOn w:val="DefaultParagraphFont"/>
    <w:link w:val="PlainText"/>
    <w:uiPriority w:val="99"/>
    <w:rsid w:val="00ED7E20"/>
    <w:rPr>
      <w:rFonts w:ascii="Courier" w:eastAsia="Times New Roman" w:hAnsi="Courier"/>
      <w:sz w:val="24"/>
    </w:rPr>
  </w:style>
  <w:style w:type="table" w:customStyle="1" w:styleId="TableGrid1">
    <w:name w:val="Table Grid1"/>
    <w:basedOn w:val="TableNormal"/>
    <w:next w:val="TableGrid"/>
    <w:uiPriority w:val="99"/>
    <w:rsid w:val="00ED7E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ED7E20"/>
    <w:rPr>
      <w:rFonts w:cs="Times New Roman"/>
      <w:color w:val="606420"/>
      <w:u w:val="single"/>
    </w:rPr>
  </w:style>
  <w:style w:type="paragraph" w:styleId="BlockText">
    <w:name w:val="Block Text"/>
    <w:basedOn w:val="Normal"/>
    <w:uiPriority w:val="99"/>
    <w:rsid w:val="00ED7E20"/>
    <w:pPr>
      <w:spacing w:after="0" w:line="240" w:lineRule="auto"/>
      <w:ind w:left="720" w:right="72"/>
    </w:pPr>
    <w:rPr>
      <w:rFonts w:ascii="Times New Roman" w:hAnsi="Times New Roman"/>
      <w:sz w:val="24"/>
      <w:szCs w:val="20"/>
    </w:rPr>
  </w:style>
  <w:style w:type="paragraph" w:styleId="EnvelopeReturn">
    <w:name w:val="envelope return"/>
    <w:basedOn w:val="Normal"/>
    <w:uiPriority w:val="99"/>
    <w:rsid w:val="00ED7E20"/>
    <w:pPr>
      <w:spacing w:after="0" w:line="240" w:lineRule="auto"/>
    </w:pPr>
    <w:rPr>
      <w:rFonts w:ascii="Arial" w:hAnsi="Arial"/>
      <w:sz w:val="24"/>
      <w:szCs w:val="20"/>
    </w:rPr>
  </w:style>
  <w:style w:type="paragraph" w:styleId="Date">
    <w:name w:val="Date"/>
    <w:basedOn w:val="Normal"/>
    <w:link w:val="DateChar"/>
    <w:uiPriority w:val="99"/>
    <w:rsid w:val="00ED7E20"/>
    <w:pPr>
      <w:widowControl w:val="0"/>
      <w:spacing w:after="0" w:line="240" w:lineRule="auto"/>
    </w:pPr>
    <w:rPr>
      <w:rFonts w:ascii="Times New Roman" w:hAnsi="Times New Roman"/>
      <w:sz w:val="24"/>
      <w:szCs w:val="24"/>
    </w:rPr>
  </w:style>
  <w:style w:type="character" w:customStyle="1" w:styleId="DateChar">
    <w:name w:val="Date Char"/>
    <w:basedOn w:val="DefaultParagraphFont"/>
    <w:link w:val="Date"/>
    <w:uiPriority w:val="99"/>
    <w:rsid w:val="00ED7E20"/>
    <w:rPr>
      <w:rFonts w:ascii="Times New Roman" w:eastAsia="Times New Roman" w:hAnsi="Times New Roman"/>
      <w:sz w:val="24"/>
      <w:szCs w:val="24"/>
    </w:rPr>
  </w:style>
  <w:style w:type="paragraph" w:styleId="Title">
    <w:name w:val="Title"/>
    <w:basedOn w:val="Normal"/>
    <w:link w:val="TitleChar"/>
    <w:uiPriority w:val="99"/>
    <w:qFormat/>
    <w:rsid w:val="00ED7E20"/>
    <w:pPr>
      <w:widowControl w:val="0"/>
      <w:spacing w:before="240" w:after="60" w:line="240" w:lineRule="auto"/>
      <w:jc w:val="center"/>
    </w:pPr>
    <w:rPr>
      <w:rFonts w:ascii="Arial" w:hAnsi="Arial" w:cs="Arial"/>
      <w:b/>
      <w:bCs/>
      <w:kern w:val="28"/>
      <w:sz w:val="32"/>
      <w:szCs w:val="32"/>
    </w:rPr>
  </w:style>
  <w:style w:type="character" w:customStyle="1" w:styleId="TitleChar">
    <w:name w:val="Title Char"/>
    <w:basedOn w:val="DefaultParagraphFont"/>
    <w:link w:val="Title"/>
    <w:uiPriority w:val="99"/>
    <w:rsid w:val="00ED7E20"/>
    <w:rPr>
      <w:rFonts w:ascii="Arial" w:eastAsia="Times New Roman" w:hAnsi="Arial" w:cs="Arial"/>
      <w:b/>
      <w:bCs/>
      <w:kern w:val="28"/>
      <w:sz w:val="32"/>
      <w:szCs w:val="32"/>
    </w:rPr>
  </w:style>
  <w:style w:type="paragraph" w:styleId="Subtitle">
    <w:name w:val="Subtitle"/>
    <w:basedOn w:val="Normal"/>
    <w:link w:val="SubtitleChar"/>
    <w:uiPriority w:val="99"/>
    <w:qFormat/>
    <w:rsid w:val="00ED7E20"/>
    <w:pPr>
      <w:widowControl w:val="0"/>
      <w:spacing w:after="60" w:line="240" w:lineRule="auto"/>
      <w:jc w:val="center"/>
    </w:pPr>
    <w:rPr>
      <w:rFonts w:ascii="Arial" w:hAnsi="Arial" w:cs="Arial"/>
      <w:i/>
      <w:iCs/>
      <w:sz w:val="24"/>
      <w:szCs w:val="24"/>
    </w:rPr>
  </w:style>
  <w:style w:type="character" w:customStyle="1" w:styleId="SubtitleChar">
    <w:name w:val="Subtitle Char"/>
    <w:basedOn w:val="DefaultParagraphFont"/>
    <w:link w:val="Subtitle"/>
    <w:uiPriority w:val="99"/>
    <w:rsid w:val="00ED7E20"/>
    <w:rPr>
      <w:rFonts w:ascii="Arial" w:eastAsia="Times New Roman" w:hAnsi="Arial" w:cs="Arial"/>
      <w:i/>
      <w:iCs/>
      <w:sz w:val="24"/>
      <w:szCs w:val="24"/>
    </w:rPr>
  </w:style>
  <w:style w:type="character" w:styleId="Strong">
    <w:name w:val="Strong"/>
    <w:basedOn w:val="DefaultParagraphFont"/>
    <w:uiPriority w:val="22"/>
    <w:qFormat/>
    <w:rsid w:val="00ED7E20"/>
    <w:rPr>
      <w:rFonts w:cs="Times New Roman"/>
      <w:b/>
      <w:bCs/>
    </w:rPr>
  </w:style>
  <w:style w:type="character" w:customStyle="1" w:styleId="DeltaViewInsertion">
    <w:name w:val="DeltaView Insertion"/>
    <w:uiPriority w:val="99"/>
    <w:rsid w:val="00ED7E20"/>
    <w:rPr>
      <w:color w:val="0000FF"/>
      <w:spacing w:val="0"/>
      <w:u w:val="double"/>
    </w:rPr>
  </w:style>
  <w:style w:type="paragraph" w:styleId="ListBullet">
    <w:name w:val="List Bullet"/>
    <w:basedOn w:val="Normal"/>
    <w:autoRedefine/>
    <w:uiPriority w:val="99"/>
    <w:rsid w:val="00ED7E20"/>
    <w:pPr>
      <w:spacing w:after="0" w:line="240" w:lineRule="auto"/>
      <w:ind w:left="1080" w:hanging="540"/>
    </w:pPr>
    <w:rPr>
      <w:rFonts w:ascii="Times New Roman" w:hAnsi="Times New Roman"/>
      <w:sz w:val="24"/>
      <w:szCs w:val="20"/>
    </w:rPr>
  </w:style>
  <w:style w:type="paragraph" w:styleId="ListBullet2">
    <w:name w:val="List Bullet 2"/>
    <w:basedOn w:val="Normal"/>
    <w:autoRedefine/>
    <w:uiPriority w:val="99"/>
    <w:rsid w:val="00ED7E20"/>
    <w:pPr>
      <w:tabs>
        <w:tab w:val="num" w:pos="720"/>
      </w:tabs>
      <w:spacing w:after="0" w:line="240" w:lineRule="auto"/>
      <w:ind w:left="720" w:hanging="360"/>
    </w:pPr>
    <w:rPr>
      <w:rFonts w:ascii="Times New Roman" w:hAnsi="Times New Roman"/>
      <w:sz w:val="24"/>
      <w:szCs w:val="20"/>
    </w:rPr>
  </w:style>
  <w:style w:type="paragraph" w:styleId="ListBullet3">
    <w:name w:val="List Bullet 3"/>
    <w:basedOn w:val="Normal"/>
    <w:autoRedefine/>
    <w:uiPriority w:val="99"/>
    <w:rsid w:val="00ED7E20"/>
    <w:pPr>
      <w:tabs>
        <w:tab w:val="num" w:pos="1080"/>
      </w:tabs>
      <w:spacing w:after="0" w:line="240" w:lineRule="auto"/>
      <w:ind w:left="1080" w:hanging="360"/>
    </w:pPr>
    <w:rPr>
      <w:rFonts w:ascii="Times New Roman" w:hAnsi="Times New Roman"/>
      <w:sz w:val="24"/>
      <w:szCs w:val="20"/>
    </w:rPr>
  </w:style>
  <w:style w:type="paragraph" w:styleId="ListBullet4">
    <w:name w:val="List Bullet 4"/>
    <w:basedOn w:val="Normal"/>
    <w:autoRedefine/>
    <w:uiPriority w:val="99"/>
    <w:rsid w:val="00ED7E20"/>
    <w:pPr>
      <w:tabs>
        <w:tab w:val="num" w:pos="1440"/>
      </w:tabs>
      <w:spacing w:after="0" w:line="240" w:lineRule="auto"/>
      <w:ind w:left="1440" w:hanging="360"/>
    </w:pPr>
    <w:rPr>
      <w:rFonts w:ascii="Times New Roman" w:hAnsi="Times New Roman"/>
      <w:sz w:val="24"/>
      <w:szCs w:val="20"/>
    </w:rPr>
  </w:style>
  <w:style w:type="paragraph" w:styleId="ListBullet5">
    <w:name w:val="List Bullet 5"/>
    <w:basedOn w:val="Normal"/>
    <w:autoRedefine/>
    <w:uiPriority w:val="99"/>
    <w:rsid w:val="00ED7E20"/>
    <w:pPr>
      <w:tabs>
        <w:tab w:val="num" w:pos="1800"/>
      </w:tabs>
      <w:spacing w:after="0" w:line="240" w:lineRule="auto"/>
      <w:ind w:left="1800" w:hanging="360"/>
    </w:pPr>
    <w:rPr>
      <w:rFonts w:ascii="Times New Roman" w:hAnsi="Times New Roman"/>
      <w:sz w:val="24"/>
      <w:szCs w:val="20"/>
    </w:rPr>
  </w:style>
  <w:style w:type="paragraph" w:styleId="ListNumber">
    <w:name w:val="List Number"/>
    <w:basedOn w:val="Normal"/>
    <w:uiPriority w:val="99"/>
    <w:rsid w:val="00ED7E20"/>
    <w:pPr>
      <w:tabs>
        <w:tab w:val="num" w:pos="360"/>
      </w:tabs>
      <w:spacing w:after="0" w:line="240" w:lineRule="auto"/>
      <w:ind w:left="360" w:hanging="360"/>
    </w:pPr>
    <w:rPr>
      <w:rFonts w:ascii="Times New Roman" w:hAnsi="Times New Roman"/>
      <w:sz w:val="24"/>
      <w:szCs w:val="20"/>
    </w:rPr>
  </w:style>
  <w:style w:type="paragraph" w:styleId="ListNumber2">
    <w:name w:val="List Number 2"/>
    <w:basedOn w:val="Normal"/>
    <w:uiPriority w:val="99"/>
    <w:rsid w:val="00ED7E20"/>
    <w:pPr>
      <w:tabs>
        <w:tab w:val="num" w:pos="720"/>
      </w:tabs>
      <w:spacing w:after="0" w:line="240" w:lineRule="auto"/>
      <w:ind w:left="720" w:hanging="360"/>
    </w:pPr>
    <w:rPr>
      <w:rFonts w:ascii="Times New Roman" w:hAnsi="Times New Roman"/>
      <w:sz w:val="24"/>
      <w:szCs w:val="20"/>
    </w:rPr>
  </w:style>
  <w:style w:type="paragraph" w:styleId="ListNumber3">
    <w:name w:val="List Number 3"/>
    <w:basedOn w:val="Normal"/>
    <w:uiPriority w:val="99"/>
    <w:rsid w:val="00ED7E20"/>
    <w:pPr>
      <w:tabs>
        <w:tab w:val="num" w:pos="1080"/>
      </w:tabs>
      <w:spacing w:after="0" w:line="240" w:lineRule="auto"/>
      <w:ind w:left="1080" w:hanging="360"/>
    </w:pPr>
    <w:rPr>
      <w:rFonts w:ascii="Times New Roman" w:hAnsi="Times New Roman"/>
      <w:sz w:val="24"/>
      <w:szCs w:val="20"/>
    </w:rPr>
  </w:style>
  <w:style w:type="paragraph" w:styleId="ListNumber4">
    <w:name w:val="List Number 4"/>
    <w:basedOn w:val="Normal"/>
    <w:uiPriority w:val="99"/>
    <w:rsid w:val="00ED7E20"/>
    <w:pPr>
      <w:tabs>
        <w:tab w:val="num" w:pos="1440"/>
      </w:tabs>
      <w:spacing w:after="0" w:line="240" w:lineRule="auto"/>
      <w:ind w:left="1440" w:hanging="360"/>
    </w:pPr>
    <w:rPr>
      <w:rFonts w:ascii="Times New Roman" w:hAnsi="Times New Roman"/>
      <w:sz w:val="24"/>
      <w:szCs w:val="20"/>
    </w:rPr>
  </w:style>
  <w:style w:type="paragraph" w:styleId="ListNumber5">
    <w:name w:val="List Number 5"/>
    <w:basedOn w:val="Normal"/>
    <w:uiPriority w:val="99"/>
    <w:rsid w:val="00ED7E20"/>
    <w:pPr>
      <w:tabs>
        <w:tab w:val="num" w:pos="1800"/>
      </w:tabs>
      <w:spacing w:after="0" w:line="240" w:lineRule="auto"/>
      <w:ind w:left="1800" w:hanging="360"/>
    </w:pPr>
    <w:rPr>
      <w:rFonts w:ascii="Times New Roman" w:hAnsi="Times New Roman"/>
      <w:sz w:val="24"/>
      <w:szCs w:val="20"/>
    </w:rPr>
  </w:style>
  <w:style w:type="paragraph" w:styleId="BodyTextIndent">
    <w:name w:val="Body Text Indent"/>
    <w:basedOn w:val="Normal"/>
    <w:link w:val="BodyTextIndentChar"/>
    <w:uiPriority w:val="99"/>
    <w:rsid w:val="00ED7E20"/>
    <w:pPr>
      <w:tabs>
        <w:tab w:val="left" w:pos="720"/>
        <w:tab w:val="left" w:pos="1428"/>
        <w:tab w:val="left" w:pos="4716"/>
        <w:tab w:val="left" w:pos="4896"/>
        <w:tab w:val="left" w:pos="6718"/>
      </w:tabs>
      <w:suppressAutoHyphens/>
      <w:spacing w:after="0" w:line="240" w:lineRule="auto"/>
      <w:ind w:left="990"/>
    </w:pPr>
    <w:rPr>
      <w:rFonts w:ascii="Times New Roman" w:hAnsi="Times New Roman"/>
      <w:sz w:val="20"/>
      <w:szCs w:val="20"/>
    </w:rPr>
  </w:style>
  <w:style w:type="character" w:customStyle="1" w:styleId="BodyTextIndentChar">
    <w:name w:val="Body Text Indent Char"/>
    <w:basedOn w:val="DefaultParagraphFont"/>
    <w:link w:val="BodyTextIndent"/>
    <w:uiPriority w:val="99"/>
    <w:rsid w:val="00ED7E20"/>
    <w:rPr>
      <w:rFonts w:ascii="Times New Roman" w:eastAsia="Times New Roman" w:hAnsi="Times New Roman"/>
    </w:rPr>
  </w:style>
  <w:style w:type="paragraph" w:styleId="BodyText2">
    <w:name w:val="Body Text 2"/>
    <w:basedOn w:val="Normal"/>
    <w:link w:val="BodyText2Char"/>
    <w:uiPriority w:val="99"/>
    <w:rsid w:val="00ED7E20"/>
    <w:pPr>
      <w:spacing w:after="0" w:line="240" w:lineRule="auto"/>
      <w:jc w:val="center"/>
    </w:pPr>
    <w:rPr>
      <w:rFonts w:ascii="Times New Roman" w:hAnsi="Times New Roman"/>
      <w:color w:val="000000"/>
      <w:sz w:val="24"/>
      <w:szCs w:val="20"/>
    </w:rPr>
  </w:style>
  <w:style w:type="character" w:customStyle="1" w:styleId="BodyText2Char">
    <w:name w:val="Body Text 2 Char"/>
    <w:basedOn w:val="DefaultParagraphFont"/>
    <w:link w:val="BodyText2"/>
    <w:uiPriority w:val="99"/>
    <w:rsid w:val="00ED7E20"/>
    <w:rPr>
      <w:rFonts w:ascii="Times New Roman" w:eastAsia="Times New Roman" w:hAnsi="Times New Roman"/>
      <w:color w:val="000000"/>
      <w:sz w:val="24"/>
    </w:rPr>
  </w:style>
  <w:style w:type="paragraph" w:styleId="BodyTextIndent2">
    <w:name w:val="Body Text Indent 2"/>
    <w:basedOn w:val="Normal"/>
    <w:link w:val="BodyTextIndent2Char"/>
    <w:uiPriority w:val="99"/>
    <w:rsid w:val="00ED7E20"/>
    <w:pPr>
      <w:spacing w:after="120" w:line="480" w:lineRule="auto"/>
      <w:ind w:left="360"/>
    </w:pPr>
    <w:rPr>
      <w:rFonts w:ascii="Times New Roman" w:hAnsi="Times New Roman"/>
      <w:sz w:val="24"/>
      <w:szCs w:val="20"/>
    </w:rPr>
  </w:style>
  <w:style w:type="character" w:customStyle="1" w:styleId="BodyTextIndent2Char">
    <w:name w:val="Body Text Indent 2 Char"/>
    <w:basedOn w:val="DefaultParagraphFont"/>
    <w:link w:val="BodyTextIndent2"/>
    <w:uiPriority w:val="99"/>
    <w:rsid w:val="00ED7E20"/>
    <w:rPr>
      <w:rFonts w:ascii="Times New Roman" w:eastAsia="Times New Roman" w:hAnsi="Times New Roman"/>
      <w:sz w:val="24"/>
    </w:rPr>
  </w:style>
  <w:style w:type="paragraph" w:styleId="BodyTextIndent3">
    <w:name w:val="Body Text Indent 3"/>
    <w:basedOn w:val="Normal"/>
    <w:link w:val="BodyTextIndent3Char"/>
    <w:uiPriority w:val="99"/>
    <w:rsid w:val="00ED7E20"/>
    <w:pPr>
      <w:spacing w:after="120" w:line="240" w:lineRule="auto"/>
      <w:ind w:left="360"/>
    </w:pPr>
    <w:rPr>
      <w:rFonts w:ascii="Times New Roman" w:hAnsi="Times New Roman"/>
      <w:sz w:val="16"/>
      <w:szCs w:val="16"/>
    </w:rPr>
  </w:style>
  <w:style w:type="character" w:customStyle="1" w:styleId="BodyTextIndent3Char">
    <w:name w:val="Body Text Indent 3 Char"/>
    <w:basedOn w:val="DefaultParagraphFont"/>
    <w:link w:val="BodyTextIndent3"/>
    <w:uiPriority w:val="99"/>
    <w:rsid w:val="00ED7E20"/>
    <w:rPr>
      <w:rFonts w:ascii="Times New Roman" w:eastAsia="Times New Roman" w:hAnsi="Times New Roman"/>
      <w:sz w:val="16"/>
      <w:szCs w:val="16"/>
    </w:rPr>
  </w:style>
  <w:style w:type="paragraph" w:customStyle="1" w:styleId="Style1">
    <w:name w:val="Style1"/>
    <w:basedOn w:val="Normal"/>
    <w:link w:val="Style1Char"/>
    <w:uiPriority w:val="99"/>
    <w:rsid w:val="00ED7E20"/>
    <w:pPr>
      <w:keepNext/>
      <w:autoSpaceDE w:val="0"/>
      <w:autoSpaceDN w:val="0"/>
      <w:adjustRightInd w:val="0"/>
      <w:spacing w:after="0" w:line="240" w:lineRule="auto"/>
    </w:pPr>
    <w:rPr>
      <w:rFonts w:ascii="Times New Roman" w:hAnsi="Times New Roman"/>
      <w:b/>
      <w:bCs/>
      <w:color w:val="000080"/>
      <w:sz w:val="24"/>
      <w:szCs w:val="24"/>
    </w:rPr>
  </w:style>
  <w:style w:type="paragraph" w:customStyle="1" w:styleId="Style2">
    <w:name w:val="Style2"/>
    <w:basedOn w:val="Normal"/>
    <w:link w:val="Style2Char"/>
    <w:rsid w:val="00ED7E20"/>
    <w:pPr>
      <w:spacing w:after="0" w:line="240" w:lineRule="auto"/>
      <w:ind w:left="540" w:hanging="540"/>
    </w:pPr>
    <w:rPr>
      <w:rFonts w:ascii="Times New Roman" w:hAnsi="Times New Roman"/>
      <w:sz w:val="24"/>
      <w:szCs w:val="24"/>
    </w:rPr>
  </w:style>
  <w:style w:type="character" w:customStyle="1" w:styleId="Style1Char">
    <w:name w:val="Style1 Char"/>
    <w:basedOn w:val="DefaultParagraphFont"/>
    <w:link w:val="Style1"/>
    <w:uiPriority w:val="99"/>
    <w:rsid w:val="00ED7E20"/>
    <w:rPr>
      <w:rFonts w:ascii="Times New Roman" w:eastAsia="Times New Roman" w:hAnsi="Times New Roman"/>
      <w:b/>
      <w:bCs/>
      <w:color w:val="000080"/>
      <w:sz w:val="24"/>
      <w:szCs w:val="24"/>
    </w:rPr>
  </w:style>
  <w:style w:type="paragraph" w:customStyle="1" w:styleId="paragraphtitle">
    <w:name w:val="paragraph title"/>
    <w:basedOn w:val="Normal"/>
    <w:link w:val="paragraphtitleChar"/>
    <w:uiPriority w:val="99"/>
    <w:qFormat/>
    <w:rsid w:val="00ED7E20"/>
    <w:pPr>
      <w:keepNext/>
      <w:autoSpaceDE w:val="0"/>
      <w:autoSpaceDN w:val="0"/>
      <w:adjustRightInd w:val="0"/>
      <w:spacing w:after="0" w:line="240" w:lineRule="auto"/>
    </w:pPr>
    <w:rPr>
      <w:rFonts w:ascii="Times New Roman" w:hAnsi="Times New Roman"/>
      <w:b/>
      <w:bCs/>
      <w:color w:val="000080"/>
      <w:sz w:val="24"/>
      <w:szCs w:val="24"/>
    </w:rPr>
  </w:style>
  <w:style w:type="character" w:customStyle="1" w:styleId="Style2Char">
    <w:name w:val="Style2 Char"/>
    <w:basedOn w:val="DefaultParagraphFont"/>
    <w:link w:val="Style2"/>
    <w:rsid w:val="00ED7E20"/>
    <w:rPr>
      <w:rFonts w:ascii="Times New Roman" w:eastAsia="Times New Roman" w:hAnsi="Times New Roman"/>
      <w:sz w:val="24"/>
      <w:szCs w:val="24"/>
    </w:rPr>
  </w:style>
  <w:style w:type="character" w:customStyle="1" w:styleId="paragraphtitleChar">
    <w:name w:val="paragraph title Char"/>
    <w:basedOn w:val="DefaultParagraphFont"/>
    <w:link w:val="paragraphtitle"/>
    <w:uiPriority w:val="99"/>
    <w:rsid w:val="00ED7E20"/>
    <w:rPr>
      <w:rFonts w:ascii="Times New Roman" w:eastAsia="Times New Roman" w:hAnsi="Times New Roman"/>
      <w:b/>
      <w:bCs/>
      <w:color w:val="000080"/>
      <w:sz w:val="24"/>
      <w:szCs w:val="24"/>
    </w:rPr>
  </w:style>
  <w:style w:type="paragraph" w:customStyle="1" w:styleId="Default">
    <w:name w:val="Default"/>
    <w:rsid w:val="00ED7E20"/>
    <w:pPr>
      <w:autoSpaceDE w:val="0"/>
      <w:autoSpaceDN w:val="0"/>
      <w:adjustRightInd w:val="0"/>
    </w:pPr>
    <w:rPr>
      <w:rFonts w:ascii="Times New Roman" w:eastAsia="Times New Roman" w:hAnsi="Times New Roman"/>
      <w:color w:val="000000"/>
      <w:sz w:val="24"/>
      <w:szCs w:val="24"/>
    </w:rPr>
  </w:style>
  <w:style w:type="paragraph" w:customStyle="1" w:styleId="Chapter">
    <w:name w:val="Chapter"/>
    <w:basedOn w:val="Normal"/>
    <w:link w:val="ChapterChar"/>
    <w:qFormat/>
    <w:rsid w:val="00ED7E20"/>
    <w:pPr>
      <w:autoSpaceDE w:val="0"/>
      <w:autoSpaceDN w:val="0"/>
      <w:adjustRightInd w:val="0"/>
      <w:spacing w:after="0" w:line="240" w:lineRule="auto"/>
      <w:jc w:val="center"/>
    </w:pPr>
    <w:rPr>
      <w:rFonts w:ascii="Times New Roman" w:hAnsi="Times New Roman"/>
      <w:b/>
      <w:bCs/>
      <w:color w:val="000080"/>
      <w:sz w:val="28"/>
      <w:szCs w:val="28"/>
    </w:rPr>
  </w:style>
  <w:style w:type="numbering" w:customStyle="1" w:styleId="ECS">
    <w:name w:val="ECS"/>
    <w:uiPriority w:val="99"/>
    <w:rsid w:val="00ED7E20"/>
    <w:pPr>
      <w:numPr>
        <w:numId w:val="11"/>
      </w:numPr>
    </w:pPr>
  </w:style>
  <w:style w:type="character" w:customStyle="1" w:styleId="ChapterChar">
    <w:name w:val="Chapter Char"/>
    <w:basedOn w:val="DefaultParagraphFont"/>
    <w:link w:val="Chapter"/>
    <w:rsid w:val="00ED7E20"/>
    <w:rPr>
      <w:rFonts w:ascii="Times New Roman" w:eastAsia="Times New Roman" w:hAnsi="Times New Roman"/>
      <w:b/>
      <w:bCs/>
      <w:color w:val="000080"/>
      <w:sz w:val="28"/>
      <w:szCs w:val="28"/>
    </w:rPr>
  </w:style>
  <w:style w:type="paragraph" w:styleId="Caption">
    <w:name w:val="caption"/>
    <w:basedOn w:val="Normal"/>
    <w:next w:val="Normal"/>
    <w:unhideWhenUsed/>
    <w:qFormat/>
    <w:rsid w:val="00ED7E20"/>
    <w:pPr>
      <w:spacing w:after="0" w:line="240" w:lineRule="auto"/>
    </w:pPr>
    <w:rPr>
      <w:rFonts w:ascii="Times New Roman" w:hAnsi="Times New Roman"/>
      <w:b/>
      <w:bCs/>
      <w:sz w:val="20"/>
      <w:szCs w:val="20"/>
    </w:rPr>
  </w:style>
  <w:style w:type="numbering" w:customStyle="1" w:styleId="Style3">
    <w:name w:val="Style3"/>
    <w:uiPriority w:val="99"/>
    <w:rsid w:val="00ED7E20"/>
    <w:pPr>
      <w:numPr>
        <w:numId w:val="12"/>
      </w:numPr>
    </w:pPr>
  </w:style>
  <w:style w:type="paragraph" w:customStyle="1" w:styleId="Style4">
    <w:name w:val="Style4"/>
    <w:basedOn w:val="Normal"/>
    <w:link w:val="Style4Char"/>
    <w:qFormat/>
    <w:rsid w:val="00ED7E20"/>
    <w:pPr>
      <w:tabs>
        <w:tab w:val="left" w:pos="360"/>
      </w:tabs>
      <w:spacing w:after="0" w:line="240" w:lineRule="auto"/>
    </w:pPr>
    <w:rPr>
      <w:rFonts w:ascii="Times New Roman" w:hAnsi="Times New Roman"/>
      <w:b/>
      <w:color w:val="CC0000"/>
      <w:sz w:val="24"/>
      <w:szCs w:val="24"/>
      <w:u w:val="single"/>
    </w:rPr>
  </w:style>
  <w:style w:type="character" w:customStyle="1" w:styleId="Style4Char">
    <w:name w:val="Style4 Char"/>
    <w:basedOn w:val="DefaultParagraphFont"/>
    <w:link w:val="Style4"/>
    <w:rsid w:val="00ED7E20"/>
    <w:rPr>
      <w:rFonts w:ascii="Times New Roman" w:eastAsia="Times New Roman" w:hAnsi="Times New Roman"/>
      <w:b/>
      <w:color w:val="CC0000"/>
      <w:sz w:val="24"/>
      <w:szCs w:val="24"/>
      <w:u w:val="single"/>
    </w:rPr>
  </w:style>
  <w:style w:type="character" w:customStyle="1" w:styleId="Style3Char">
    <w:name w:val="Style3 Char"/>
    <w:basedOn w:val="DefaultParagraphFont"/>
    <w:uiPriority w:val="99"/>
    <w:locked/>
    <w:rsid w:val="00ED7E20"/>
    <w:rPr>
      <w:rFonts w:cs="Times New Roman"/>
      <w:sz w:val="24"/>
      <w:szCs w:val="24"/>
    </w:rPr>
  </w:style>
  <w:style w:type="paragraph" w:customStyle="1" w:styleId="default0">
    <w:name w:val="default"/>
    <w:basedOn w:val="Normal"/>
    <w:uiPriority w:val="99"/>
    <w:rsid w:val="00ED7E20"/>
    <w:pPr>
      <w:autoSpaceDE w:val="0"/>
      <w:autoSpaceDN w:val="0"/>
      <w:spacing w:after="0" w:line="240" w:lineRule="auto"/>
    </w:pPr>
    <w:rPr>
      <w:rFonts w:ascii="Times New Roman" w:hAnsi="Times New Roman"/>
      <w:color w:val="000000"/>
      <w:sz w:val="24"/>
      <w:szCs w:val="24"/>
    </w:rPr>
  </w:style>
  <w:style w:type="paragraph" w:styleId="TOC4">
    <w:name w:val="toc 4"/>
    <w:basedOn w:val="Normal"/>
    <w:next w:val="Normal"/>
    <w:autoRedefine/>
    <w:uiPriority w:val="39"/>
    <w:unhideWhenUsed/>
    <w:rsid w:val="008A56A3"/>
    <w:pPr>
      <w:spacing w:after="100"/>
      <w:ind w:left="660"/>
    </w:pPr>
  </w:style>
  <w:style w:type="paragraph" w:styleId="TOC5">
    <w:name w:val="toc 5"/>
    <w:basedOn w:val="Normal"/>
    <w:next w:val="Normal"/>
    <w:autoRedefine/>
    <w:uiPriority w:val="39"/>
    <w:unhideWhenUsed/>
    <w:rsid w:val="008A56A3"/>
    <w:pPr>
      <w:spacing w:after="100"/>
      <w:ind w:left="880"/>
    </w:pPr>
  </w:style>
  <w:style w:type="paragraph" w:styleId="TOC6">
    <w:name w:val="toc 6"/>
    <w:basedOn w:val="Normal"/>
    <w:next w:val="Normal"/>
    <w:autoRedefine/>
    <w:uiPriority w:val="39"/>
    <w:unhideWhenUsed/>
    <w:rsid w:val="008A56A3"/>
    <w:pPr>
      <w:spacing w:after="100"/>
      <w:ind w:left="1100"/>
    </w:pPr>
  </w:style>
  <w:style w:type="paragraph" w:styleId="TOC7">
    <w:name w:val="toc 7"/>
    <w:basedOn w:val="Normal"/>
    <w:next w:val="Normal"/>
    <w:autoRedefine/>
    <w:uiPriority w:val="39"/>
    <w:unhideWhenUsed/>
    <w:rsid w:val="008A56A3"/>
    <w:pPr>
      <w:spacing w:after="100"/>
      <w:ind w:left="1320"/>
    </w:pPr>
  </w:style>
  <w:style w:type="paragraph" w:styleId="TOC8">
    <w:name w:val="toc 8"/>
    <w:basedOn w:val="Normal"/>
    <w:next w:val="Normal"/>
    <w:autoRedefine/>
    <w:uiPriority w:val="39"/>
    <w:unhideWhenUsed/>
    <w:rsid w:val="008A56A3"/>
    <w:pPr>
      <w:spacing w:after="100"/>
      <w:ind w:left="1540"/>
    </w:pPr>
  </w:style>
  <w:style w:type="paragraph" w:styleId="TOC9">
    <w:name w:val="toc 9"/>
    <w:basedOn w:val="Normal"/>
    <w:next w:val="Normal"/>
    <w:autoRedefine/>
    <w:uiPriority w:val="39"/>
    <w:unhideWhenUsed/>
    <w:rsid w:val="008A56A3"/>
    <w:pPr>
      <w:spacing w:after="100"/>
      <w:ind w:left="1760"/>
    </w:pPr>
  </w:style>
  <w:style w:type="character" w:styleId="Emphasis">
    <w:name w:val="Emphasis"/>
    <w:basedOn w:val="DefaultParagraphFont"/>
    <w:uiPriority w:val="20"/>
    <w:qFormat/>
    <w:rsid w:val="001E4E6E"/>
    <w:rPr>
      <w:i/>
      <w:iCs/>
    </w:rPr>
  </w:style>
  <w:style w:type="paragraph" w:styleId="EndnoteText">
    <w:name w:val="endnote text"/>
    <w:basedOn w:val="Normal"/>
    <w:link w:val="EndnoteTextChar"/>
    <w:uiPriority w:val="99"/>
    <w:semiHidden/>
    <w:unhideWhenUsed/>
    <w:rsid w:val="00C70A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0AFF"/>
    <w:rPr>
      <w:rFonts w:eastAsia="Times New Roman"/>
    </w:rPr>
  </w:style>
  <w:style w:type="character" w:styleId="EndnoteReference">
    <w:name w:val="endnote reference"/>
    <w:basedOn w:val="DefaultParagraphFont"/>
    <w:uiPriority w:val="99"/>
    <w:semiHidden/>
    <w:unhideWhenUsed/>
    <w:rsid w:val="00C70AFF"/>
    <w:rPr>
      <w:vertAlign w:val="superscript"/>
    </w:rPr>
  </w:style>
  <w:style w:type="table" w:customStyle="1" w:styleId="LightShading1">
    <w:name w:val="Light Shading1"/>
    <w:basedOn w:val="TableNormal"/>
    <w:uiPriority w:val="60"/>
    <w:rsid w:val="00CA044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4">
    <w:name w:val="Light Shading Accent 4"/>
    <w:basedOn w:val="TableNormal"/>
    <w:uiPriority w:val="60"/>
    <w:rsid w:val="00CA0445"/>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3">
    <w:name w:val="Light Shading Accent 3"/>
    <w:basedOn w:val="TableNormal"/>
    <w:uiPriority w:val="60"/>
    <w:rsid w:val="00CA0445"/>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2">
    <w:name w:val="Light Shading Accent 2"/>
    <w:basedOn w:val="TableNormal"/>
    <w:uiPriority w:val="60"/>
    <w:rsid w:val="00CA0445"/>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11">
    <w:name w:val="Light Shading - Accent 11"/>
    <w:basedOn w:val="TableNormal"/>
    <w:uiPriority w:val="60"/>
    <w:rsid w:val="00CA044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1">
    <w:name w:val="Medium Shading 11"/>
    <w:basedOn w:val="TableNormal"/>
    <w:uiPriority w:val="63"/>
    <w:rsid w:val="00CA0445"/>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CA044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BBBodyTextFlush">
    <w:name w:val="BB Body Text Flush"/>
    <w:basedOn w:val="Normal"/>
    <w:qFormat/>
    <w:rsid w:val="000D7D0F"/>
    <w:pPr>
      <w:spacing w:after="240" w:line="240" w:lineRule="auto"/>
      <w:jc w:val="both"/>
    </w:pPr>
    <w:rPr>
      <w:rFonts w:ascii="Times New Roman" w:eastAsia="Calibri" w:hAnsi="Times New Roman"/>
      <w:sz w:val="24"/>
      <w:szCs w:val="24"/>
    </w:rPr>
  </w:style>
  <w:style w:type="character" w:customStyle="1" w:styleId="ssens">
    <w:name w:val="ssens"/>
    <w:basedOn w:val="DefaultParagraphFont"/>
    <w:rsid w:val="002F2289"/>
  </w:style>
  <w:style w:type="table" w:customStyle="1" w:styleId="TableGrid0">
    <w:name w:val="TableGrid"/>
    <w:rsid w:val="004963C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bumpedfont15">
    <w:name w:val="bumpedfont15"/>
    <w:basedOn w:val="DefaultParagraphFont"/>
    <w:rsid w:val="00A261C1"/>
  </w:style>
  <w:style w:type="paragraph" w:customStyle="1" w:styleId="BodyText1">
    <w:name w:val="Body Text 1"/>
    <w:basedOn w:val="Normal"/>
    <w:rsid w:val="0072258D"/>
    <w:pPr>
      <w:spacing w:after="120" w:line="240" w:lineRule="auto"/>
    </w:pPr>
    <w:rPr>
      <w:rFonts w:ascii="Arial" w:eastAsiaTheme="minorHAnsi" w:hAnsi="Arial" w:cs="Arial"/>
    </w:rPr>
  </w:style>
  <w:style w:type="paragraph" w:customStyle="1" w:styleId="paragraph">
    <w:name w:val="paragraph"/>
    <w:basedOn w:val="Normal"/>
    <w:rsid w:val="00FB1C0F"/>
    <w:pPr>
      <w:spacing w:after="0" w:line="240" w:lineRule="auto"/>
    </w:pPr>
    <w:rPr>
      <w:rFonts w:ascii="Times New Roman" w:hAnsi="Times New Roman"/>
      <w:sz w:val="24"/>
      <w:szCs w:val="24"/>
    </w:rPr>
  </w:style>
  <w:style w:type="character" w:customStyle="1" w:styleId="contextualspellingandgrammarerror">
    <w:name w:val="contextualspellingandgrammarerror"/>
    <w:basedOn w:val="DefaultParagraphFont"/>
    <w:rsid w:val="00FB1C0F"/>
  </w:style>
  <w:style w:type="character" w:customStyle="1" w:styleId="normaltextrun1">
    <w:name w:val="normaltextrun1"/>
    <w:basedOn w:val="DefaultParagraphFont"/>
    <w:rsid w:val="00FB1C0F"/>
  </w:style>
  <w:style w:type="character" w:customStyle="1" w:styleId="eop">
    <w:name w:val="eop"/>
    <w:basedOn w:val="DefaultParagraphFont"/>
    <w:rsid w:val="00FB1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524">
      <w:bodyDiv w:val="1"/>
      <w:marLeft w:val="0"/>
      <w:marRight w:val="0"/>
      <w:marTop w:val="0"/>
      <w:marBottom w:val="0"/>
      <w:divBdr>
        <w:top w:val="none" w:sz="0" w:space="0" w:color="auto"/>
        <w:left w:val="none" w:sz="0" w:space="0" w:color="auto"/>
        <w:bottom w:val="none" w:sz="0" w:space="0" w:color="auto"/>
        <w:right w:val="none" w:sz="0" w:space="0" w:color="auto"/>
      </w:divBdr>
    </w:div>
    <w:div w:id="49423569">
      <w:bodyDiv w:val="1"/>
      <w:marLeft w:val="0"/>
      <w:marRight w:val="0"/>
      <w:marTop w:val="0"/>
      <w:marBottom w:val="0"/>
      <w:divBdr>
        <w:top w:val="none" w:sz="0" w:space="0" w:color="auto"/>
        <w:left w:val="none" w:sz="0" w:space="0" w:color="auto"/>
        <w:bottom w:val="none" w:sz="0" w:space="0" w:color="auto"/>
        <w:right w:val="none" w:sz="0" w:space="0" w:color="auto"/>
      </w:divBdr>
    </w:div>
    <w:div w:id="64767457">
      <w:bodyDiv w:val="1"/>
      <w:marLeft w:val="0"/>
      <w:marRight w:val="0"/>
      <w:marTop w:val="0"/>
      <w:marBottom w:val="0"/>
      <w:divBdr>
        <w:top w:val="none" w:sz="0" w:space="0" w:color="auto"/>
        <w:left w:val="none" w:sz="0" w:space="0" w:color="auto"/>
        <w:bottom w:val="none" w:sz="0" w:space="0" w:color="auto"/>
        <w:right w:val="none" w:sz="0" w:space="0" w:color="auto"/>
      </w:divBdr>
    </w:div>
    <w:div w:id="73168116">
      <w:bodyDiv w:val="1"/>
      <w:marLeft w:val="0"/>
      <w:marRight w:val="0"/>
      <w:marTop w:val="0"/>
      <w:marBottom w:val="0"/>
      <w:divBdr>
        <w:top w:val="none" w:sz="0" w:space="0" w:color="auto"/>
        <w:left w:val="none" w:sz="0" w:space="0" w:color="auto"/>
        <w:bottom w:val="none" w:sz="0" w:space="0" w:color="auto"/>
        <w:right w:val="none" w:sz="0" w:space="0" w:color="auto"/>
      </w:divBdr>
    </w:div>
    <w:div w:id="76443415">
      <w:bodyDiv w:val="1"/>
      <w:marLeft w:val="0"/>
      <w:marRight w:val="0"/>
      <w:marTop w:val="0"/>
      <w:marBottom w:val="0"/>
      <w:divBdr>
        <w:top w:val="none" w:sz="0" w:space="0" w:color="auto"/>
        <w:left w:val="none" w:sz="0" w:space="0" w:color="auto"/>
        <w:bottom w:val="none" w:sz="0" w:space="0" w:color="auto"/>
        <w:right w:val="none" w:sz="0" w:space="0" w:color="auto"/>
      </w:divBdr>
    </w:div>
    <w:div w:id="104274653">
      <w:bodyDiv w:val="1"/>
      <w:marLeft w:val="0"/>
      <w:marRight w:val="0"/>
      <w:marTop w:val="0"/>
      <w:marBottom w:val="0"/>
      <w:divBdr>
        <w:top w:val="none" w:sz="0" w:space="0" w:color="auto"/>
        <w:left w:val="none" w:sz="0" w:space="0" w:color="auto"/>
        <w:bottom w:val="none" w:sz="0" w:space="0" w:color="auto"/>
        <w:right w:val="none" w:sz="0" w:space="0" w:color="auto"/>
      </w:divBdr>
    </w:div>
    <w:div w:id="120000591">
      <w:bodyDiv w:val="1"/>
      <w:marLeft w:val="0"/>
      <w:marRight w:val="0"/>
      <w:marTop w:val="0"/>
      <w:marBottom w:val="0"/>
      <w:divBdr>
        <w:top w:val="none" w:sz="0" w:space="0" w:color="auto"/>
        <w:left w:val="none" w:sz="0" w:space="0" w:color="auto"/>
        <w:bottom w:val="none" w:sz="0" w:space="0" w:color="auto"/>
        <w:right w:val="none" w:sz="0" w:space="0" w:color="auto"/>
      </w:divBdr>
      <w:divsChild>
        <w:div w:id="871842370">
          <w:marLeft w:val="187"/>
          <w:marRight w:val="0"/>
          <w:marTop w:val="0"/>
          <w:marBottom w:val="0"/>
          <w:divBdr>
            <w:top w:val="none" w:sz="0" w:space="0" w:color="auto"/>
            <w:left w:val="none" w:sz="0" w:space="0" w:color="auto"/>
            <w:bottom w:val="none" w:sz="0" w:space="0" w:color="auto"/>
            <w:right w:val="none" w:sz="0" w:space="0" w:color="auto"/>
          </w:divBdr>
        </w:div>
        <w:div w:id="1678386682">
          <w:marLeft w:val="187"/>
          <w:marRight w:val="0"/>
          <w:marTop w:val="0"/>
          <w:marBottom w:val="0"/>
          <w:divBdr>
            <w:top w:val="none" w:sz="0" w:space="0" w:color="auto"/>
            <w:left w:val="none" w:sz="0" w:space="0" w:color="auto"/>
            <w:bottom w:val="none" w:sz="0" w:space="0" w:color="auto"/>
            <w:right w:val="none" w:sz="0" w:space="0" w:color="auto"/>
          </w:divBdr>
        </w:div>
        <w:div w:id="2078896696">
          <w:marLeft w:val="187"/>
          <w:marRight w:val="0"/>
          <w:marTop w:val="0"/>
          <w:marBottom w:val="0"/>
          <w:divBdr>
            <w:top w:val="none" w:sz="0" w:space="0" w:color="auto"/>
            <w:left w:val="none" w:sz="0" w:space="0" w:color="auto"/>
            <w:bottom w:val="none" w:sz="0" w:space="0" w:color="auto"/>
            <w:right w:val="none" w:sz="0" w:space="0" w:color="auto"/>
          </w:divBdr>
        </w:div>
      </w:divsChild>
    </w:div>
    <w:div w:id="120078360">
      <w:bodyDiv w:val="1"/>
      <w:marLeft w:val="0"/>
      <w:marRight w:val="0"/>
      <w:marTop w:val="0"/>
      <w:marBottom w:val="0"/>
      <w:divBdr>
        <w:top w:val="none" w:sz="0" w:space="0" w:color="auto"/>
        <w:left w:val="none" w:sz="0" w:space="0" w:color="auto"/>
        <w:bottom w:val="none" w:sz="0" w:space="0" w:color="auto"/>
        <w:right w:val="none" w:sz="0" w:space="0" w:color="auto"/>
      </w:divBdr>
    </w:div>
    <w:div w:id="145899031">
      <w:bodyDiv w:val="1"/>
      <w:marLeft w:val="0"/>
      <w:marRight w:val="0"/>
      <w:marTop w:val="0"/>
      <w:marBottom w:val="0"/>
      <w:divBdr>
        <w:top w:val="none" w:sz="0" w:space="0" w:color="auto"/>
        <w:left w:val="none" w:sz="0" w:space="0" w:color="auto"/>
        <w:bottom w:val="none" w:sz="0" w:space="0" w:color="auto"/>
        <w:right w:val="none" w:sz="0" w:space="0" w:color="auto"/>
      </w:divBdr>
    </w:div>
    <w:div w:id="148249233">
      <w:bodyDiv w:val="1"/>
      <w:marLeft w:val="0"/>
      <w:marRight w:val="0"/>
      <w:marTop w:val="0"/>
      <w:marBottom w:val="0"/>
      <w:divBdr>
        <w:top w:val="none" w:sz="0" w:space="0" w:color="auto"/>
        <w:left w:val="none" w:sz="0" w:space="0" w:color="auto"/>
        <w:bottom w:val="none" w:sz="0" w:space="0" w:color="auto"/>
        <w:right w:val="none" w:sz="0" w:space="0" w:color="auto"/>
      </w:divBdr>
    </w:div>
    <w:div w:id="148984151">
      <w:bodyDiv w:val="1"/>
      <w:marLeft w:val="0"/>
      <w:marRight w:val="0"/>
      <w:marTop w:val="0"/>
      <w:marBottom w:val="0"/>
      <w:divBdr>
        <w:top w:val="none" w:sz="0" w:space="0" w:color="auto"/>
        <w:left w:val="none" w:sz="0" w:space="0" w:color="auto"/>
        <w:bottom w:val="none" w:sz="0" w:space="0" w:color="auto"/>
        <w:right w:val="none" w:sz="0" w:space="0" w:color="auto"/>
      </w:divBdr>
    </w:div>
    <w:div w:id="163056165">
      <w:bodyDiv w:val="1"/>
      <w:marLeft w:val="0"/>
      <w:marRight w:val="0"/>
      <w:marTop w:val="0"/>
      <w:marBottom w:val="0"/>
      <w:divBdr>
        <w:top w:val="none" w:sz="0" w:space="0" w:color="auto"/>
        <w:left w:val="none" w:sz="0" w:space="0" w:color="auto"/>
        <w:bottom w:val="none" w:sz="0" w:space="0" w:color="auto"/>
        <w:right w:val="none" w:sz="0" w:space="0" w:color="auto"/>
      </w:divBdr>
    </w:div>
    <w:div w:id="182474516">
      <w:bodyDiv w:val="1"/>
      <w:marLeft w:val="0"/>
      <w:marRight w:val="0"/>
      <w:marTop w:val="0"/>
      <w:marBottom w:val="0"/>
      <w:divBdr>
        <w:top w:val="none" w:sz="0" w:space="0" w:color="auto"/>
        <w:left w:val="none" w:sz="0" w:space="0" w:color="auto"/>
        <w:bottom w:val="none" w:sz="0" w:space="0" w:color="auto"/>
        <w:right w:val="none" w:sz="0" w:space="0" w:color="auto"/>
      </w:divBdr>
      <w:divsChild>
        <w:div w:id="965896109">
          <w:marLeft w:val="0"/>
          <w:marRight w:val="0"/>
          <w:marTop w:val="0"/>
          <w:marBottom w:val="0"/>
          <w:divBdr>
            <w:top w:val="none" w:sz="0" w:space="0" w:color="auto"/>
            <w:left w:val="none" w:sz="0" w:space="0" w:color="auto"/>
            <w:bottom w:val="none" w:sz="0" w:space="0" w:color="auto"/>
            <w:right w:val="none" w:sz="0" w:space="0" w:color="auto"/>
          </w:divBdr>
          <w:divsChild>
            <w:div w:id="199779960">
              <w:marLeft w:val="0"/>
              <w:marRight w:val="0"/>
              <w:marTop w:val="0"/>
              <w:marBottom w:val="0"/>
              <w:divBdr>
                <w:top w:val="none" w:sz="0" w:space="0" w:color="auto"/>
                <w:left w:val="none" w:sz="0" w:space="0" w:color="auto"/>
                <w:bottom w:val="none" w:sz="0" w:space="0" w:color="auto"/>
                <w:right w:val="none" w:sz="0" w:space="0" w:color="auto"/>
              </w:divBdr>
              <w:divsChild>
                <w:div w:id="1942911388">
                  <w:marLeft w:val="0"/>
                  <w:marRight w:val="0"/>
                  <w:marTop w:val="0"/>
                  <w:marBottom w:val="0"/>
                  <w:divBdr>
                    <w:top w:val="none" w:sz="0" w:space="0" w:color="auto"/>
                    <w:left w:val="none" w:sz="0" w:space="0" w:color="auto"/>
                    <w:bottom w:val="none" w:sz="0" w:space="0" w:color="auto"/>
                    <w:right w:val="none" w:sz="0" w:space="0" w:color="auto"/>
                  </w:divBdr>
                  <w:divsChild>
                    <w:div w:id="242691642">
                      <w:marLeft w:val="0"/>
                      <w:marRight w:val="0"/>
                      <w:marTop w:val="0"/>
                      <w:marBottom w:val="0"/>
                      <w:divBdr>
                        <w:top w:val="none" w:sz="0" w:space="0" w:color="auto"/>
                        <w:left w:val="none" w:sz="0" w:space="0" w:color="auto"/>
                        <w:bottom w:val="none" w:sz="0" w:space="0" w:color="auto"/>
                        <w:right w:val="none" w:sz="0" w:space="0" w:color="auto"/>
                      </w:divBdr>
                      <w:divsChild>
                        <w:div w:id="1641880318">
                          <w:marLeft w:val="0"/>
                          <w:marRight w:val="0"/>
                          <w:marTop w:val="0"/>
                          <w:marBottom w:val="0"/>
                          <w:divBdr>
                            <w:top w:val="none" w:sz="0" w:space="0" w:color="auto"/>
                            <w:left w:val="none" w:sz="0" w:space="0" w:color="auto"/>
                            <w:bottom w:val="none" w:sz="0" w:space="0" w:color="auto"/>
                            <w:right w:val="none" w:sz="0" w:space="0" w:color="auto"/>
                          </w:divBdr>
                          <w:divsChild>
                            <w:div w:id="1489589687">
                              <w:marLeft w:val="0"/>
                              <w:marRight w:val="0"/>
                              <w:marTop w:val="0"/>
                              <w:marBottom w:val="0"/>
                              <w:divBdr>
                                <w:top w:val="none" w:sz="0" w:space="0" w:color="auto"/>
                                <w:left w:val="none" w:sz="0" w:space="0" w:color="auto"/>
                                <w:bottom w:val="none" w:sz="0" w:space="0" w:color="auto"/>
                                <w:right w:val="none" w:sz="0" w:space="0" w:color="auto"/>
                              </w:divBdr>
                              <w:divsChild>
                                <w:div w:id="20211618">
                                  <w:marLeft w:val="0"/>
                                  <w:marRight w:val="0"/>
                                  <w:marTop w:val="0"/>
                                  <w:marBottom w:val="0"/>
                                  <w:divBdr>
                                    <w:top w:val="none" w:sz="0" w:space="0" w:color="auto"/>
                                    <w:left w:val="none" w:sz="0" w:space="0" w:color="auto"/>
                                    <w:bottom w:val="none" w:sz="0" w:space="0" w:color="auto"/>
                                    <w:right w:val="none" w:sz="0" w:space="0" w:color="auto"/>
                                  </w:divBdr>
                                  <w:divsChild>
                                    <w:div w:id="1920484330">
                                      <w:marLeft w:val="0"/>
                                      <w:marRight w:val="0"/>
                                      <w:marTop w:val="0"/>
                                      <w:marBottom w:val="0"/>
                                      <w:divBdr>
                                        <w:top w:val="none" w:sz="0" w:space="0" w:color="auto"/>
                                        <w:left w:val="none" w:sz="0" w:space="0" w:color="auto"/>
                                        <w:bottom w:val="none" w:sz="0" w:space="0" w:color="auto"/>
                                        <w:right w:val="none" w:sz="0" w:space="0" w:color="auto"/>
                                      </w:divBdr>
                                      <w:divsChild>
                                        <w:div w:id="982126769">
                                          <w:marLeft w:val="0"/>
                                          <w:marRight w:val="0"/>
                                          <w:marTop w:val="0"/>
                                          <w:marBottom w:val="0"/>
                                          <w:divBdr>
                                            <w:top w:val="none" w:sz="0" w:space="0" w:color="auto"/>
                                            <w:left w:val="none" w:sz="0" w:space="0" w:color="auto"/>
                                            <w:bottom w:val="none" w:sz="0" w:space="0" w:color="auto"/>
                                            <w:right w:val="none" w:sz="0" w:space="0" w:color="auto"/>
                                          </w:divBdr>
                                          <w:divsChild>
                                            <w:div w:id="1098520632">
                                              <w:marLeft w:val="0"/>
                                              <w:marRight w:val="0"/>
                                              <w:marTop w:val="0"/>
                                              <w:marBottom w:val="0"/>
                                              <w:divBdr>
                                                <w:top w:val="none" w:sz="0" w:space="0" w:color="auto"/>
                                                <w:left w:val="none" w:sz="0" w:space="0" w:color="auto"/>
                                                <w:bottom w:val="none" w:sz="0" w:space="0" w:color="auto"/>
                                                <w:right w:val="none" w:sz="0" w:space="0" w:color="auto"/>
                                              </w:divBdr>
                                              <w:divsChild>
                                                <w:div w:id="2052680113">
                                                  <w:marLeft w:val="0"/>
                                                  <w:marRight w:val="0"/>
                                                  <w:marTop w:val="0"/>
                                                  <w:marBottom w:val="0"/>
                                                  <w:divBdr>
                                                    <w:top w:val="none" w:sz="0" w:space="0" w:color="auto"/>
                                                    <w:left w:val="none" w:sz="0" w:space="0" w:color="auto"/>
                                                    <w:bottom w:val="none" w:sz="0" w:space="0" w:color="auto"/>
                                                    <w:right w:val="none" w:sz="0" w:space="0" w:color="auto"/>
                                                  </w:divBdr>
                                                  <w:divsChild>
                                                    <w:div w:id="1528710532">
                                                      <w:marLeft w:val="0"/>
                                                      <w:marRight w:val="0"/>
                                                      <w:marTop w:val="0"/>
                                                      <w:marBottom w:val="0"/>
                                                      <w:divBdr>
                                                        <w:top w:val="single" w:sz="6" w:space="0" w:color="ABABAB"/>
                                                        <w:left w:val="single" w:sz="6" w:space="0" w:color="ABABAB"/>
                                                        <w:bottom w:val="none" w:sz="0" w:space="0" w:color="auto"/>
                                                        <w:right w:val="single" w:sz="6" w:space="0" w:color="ABABAB"/>
                                                      </w:divBdr>
                                                      <w:divsChild>
                                                        <w:div w:id="821583601">
                                                          <w:marLeft w:val="0"/>
                                                          <w:marRight w:val="0"/>
                                                          <w:marTop w:val="0"/>
                                                          <w:marBottom w:val="0"/>
                                                          <w:divBdr>
                                                            <w:top w:val="none" w:sz="0" w:space="0" w:color="auto"/>
                                                            <w:left w:val="none" w:sz="0" w:space="0" w:color="auto"/>
                                                            <w:bottom w:val="none" w:sz="0" w:space="0" w:color="auto"/>
                                                            <w:right w:val="none" w:sz="0" w:space="0" w:color="auto"/>
                                                          </w:divBdr>
                                                          <w:divsChild>
                                                            <w:div w:id="980228149">
                                                              <w:marLeft w:val="0"/>
                                                              <w:marRight w:val="0"/>
                                                              <w:marTop w:val="0"/>
                                                              <w:marBottom w:val="0"/>
                                                              <w:divBdr>
                                                                <w:top w:val="none" w:sz="0" w:space="0" w:color="auto"/>
                                                                <w:left w:val="none" w:sz="0" w:space="0" w:color="auto"/>
                                                                <w:bottom w:val="none" w:sz="0" w:space="0" w:color="auto"/>
                                                                <w:right w:val="none" w:sz="0" w:space="0" w:color="auto"/>
                                                              </w:divBdr>
                                                              <w:divsChild>
                                                                <w:div w:id="1592079722">
                                                                  <w:marLeft w:val="0"/>
                                                                  <w:marRight w:val="0"/>
                                                                  <w:marTop w:val="0"/>
                                                                  <w:marBottom w:val="0"/>
                                                                  <w:divBdr>
                                                                    <w:top w:val="none" w:sz="0" w:space="0" w:color="auto"/>
                                                                    <w:left w:val="none" w:sz="0" w:space="0" w:color="auto"/>
                                                                    <w:bottom w:val="none" w:sz="0" w:space="0" w:color="auto"/>
                                                                    <w:right w:val="none" w:sz="0" w:space="0" w:color="auto"/>
                                                                  </w:divBdr>
                                                                  <w:divsChild>
                                                                    <w:div w:id="1948198567">
                                                                      <w:marLeft w:val="0"/>
                                                                      <w:marRight w:val="0"/>
                                                                      <w:marTop w:val="0"/>
                                                                      <w:marBottom w:val="0"/>
                                                                      <w:divBdr>
                                                                        <w:top w:val="none" w:sz="0" w:space="0" w:color="auto"/>
                                                                        <w:left w:val="none" w:sz="0" w:space="0" w:color="auto"/>
                                                                        <w:bottom w:val="none" w:sz="0" w:space="0" w:color="auto"/>
                                                                        <w:right w:val="none" w:sz="0" w:space="0" w:color="auto"/>
                                                                      </w:divBdr>
                                                                      <w:divsChild>
                                                                        <w:div w:id="1478841723">
                                                                          <w:marLeft w:val="0"/>
                                                                          <w:marRight w:val="0"/>
                                                                          <w:marTop w:val="0"/>
                                                                          <w:marBottom w:val="0"/>
                                                                          <w:divBdr>
                                                                            <w:top w:val="none" w:sz="0" w:space="0" w:color="auto"/>
                                                                            <w:left w:val="none" w:sz="0" w:space="0" w:color="auto"/>
                                                                            <w:bottom w:val="none" w:sz="0" w:space="0" w:color="auto"/>
                                                                            <w:right w:val="none" w:sz="0" w:space="0" w:color="auto"/>
                                                                          </w:divBdr>
                                                                          <w:divsChild>
                                                                            <w:div w:id="1678314155">
                                                                              <w:marLeft w:val="0"/>
                                                                              <w:marRight w:val="0"/>
                                                                              <w:marTop w:val="0"/>
                                                                              <w:marBottom w:val="0"/>
                                                                              <w:divBdr>
                                                                                <w:top w:val="none" w:sz="0" w:space="0" w:color="auto"/>
                                                                                <w:left w:val="none" w:sz="0" w:space="0" w:color="auto"/>
                                                                                <w:bottom w:val="none" w:sz="0" w:space="0" w:color="auto"/>
                                                                                <w:right w:val="none" w:sz="0" w:space="0" w:color="auto"/>
                                                                              </w:divBdr>
                                                                              <w:divsChild>
                                                                                <w:div w:id="1466386562">
                                                                                  <w:marLeft w:val="0"/>
                                                                                  <w:marRight w:val="0"/>
                                                                                  <w:marTop w:val="0"/>
                                                                                  <w:marBottom w:val="0"/>
                                                                                  <w:divBdr>
                                                                                    <w:top w:val="none" w:sz="0" w:space="0" w:color="auto"/>
                                                                                    <w:left w:val="none" w:sz="0" w:space="0" w:color="auto"/>
                                                                                    <w:bottom w:val="none" w:sz="0" w:space="0" w:color="auto"/>
                                                                                    <w:right w:val="none" w:sz="0" w:space="0" w:color="auto"/>
                                                                                  </w:divBdr>
                                                                                </w:div>
                                                                                <w:div w:id="816798102">
                                                                                  <w:marLeft w:val="0"/>
                                                                                  <w:marRight w:val="0"/>
                                                                                  <w:marTop w:val="0"/>
                                                                                  <w:marBottom w:val="0"/>
                                                                                  <w:divBdr>
                                                                                    <w:top w:val="none" w:sz="0" w:space="0" w:color="auto"/>
                                                                                    <w:left w:val="none" w:sz="0" w:space="0" w:color="auto"/>
                                                                                    <w:bottom w:val="none" w:sz="0" w:space="0" w:color="auto"/>
                                                                                    <w:right w:val="none" w:sz="0" w:space="0" w:color="auto"/>
                                                                                  </w:divBdr>
                                                                                </w:div>
                                                                                <w:div w:id="1953784678">
                                                                                  <w:marLeft w:val="0"/>
                                                                                  <w:marRight w:val="0"/>
                                                                                  <w:marTop w:val="0"/>
                                                                                  <w:marBottom w:val="0"/>
                                                                                  <w:divBdr>
                                                                                    <w:top w:val="none" w:sz="0" w:space="0" w:color="auto"/>
                                                                                    <w:left w:val="none" w:sz="0" w:space="0" w:color="auto"/>
                                                                                    <w:bottom w:val="none" w:sz="0" w:space="0" w:color="auto"/>
                                                                                    <w:right w:val="none" w:sz="0" w:space="0" w:color="auto"/>
                                                                                  </w:divBdr>
                                                                                </w:div>
                                                                                <w:div w:id="1952515316">
                                                                                  <w:marLeft w:val="0"/>
                                                                                  <w:marRight w:val="0"/>
                                                                                  <w:marTop w:val="0"/>
                                                                                  <w:marBottom w:val="0"/>
                                                                                  <w:divBdr>
                                                                                    <w:top w:val="none" w:sz="0" w:space="0" w:color="auto"/>
                                                                                    <w:left w:val="none" w:sz="0" w:space="0" w:color="auto"/>
                                                                                    <w:bottom w:val="none" w:sz="0" w:space="0" w:color="auto"/>
                                                                                    <w:right w:val="none" w:sz="0" w:space="0" w:color="auto"/>
                                                                                  </w:divBdr>
                                                                                </w:div>
                                                                                <w:div w:id="12923090">
                                                                                  <w:marLeft w:val="0"/>
                                                                                  <w:marRight w:val="0"/>
                                                                                  <w:marTop w:val="0"/>
                                                                                  <w:marBottom w:val="0"/>
                                                                                  <w:divBdr>
                                                                                    <w:top w:val="none" w:sz="0" w:space="0" w:color="auto"/>
                                                                                    <w:left w:val="none" w:sz="0" w:space="0" w:color="auto"/>
                                                                                    <w:bottom w:val="none" w:sz="0" w:space="0" w:color="auto"/>
                                                                                    <w:right w:val="none" w:sz="0" w:space="0" w:color="auto"/>
                                                                                  </w:divBdr>
                                                                                </w:div>
                                                                                <w:div w:id="211519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5306592">
      <w:bodyDiv w:val="1"/>
      <w:marLeft w:val="0"/>
      <w:marRight w:val="0"/>
      <w:marTop w:val="0"/>
      <w:marBottom w:val="0"/>
      <w:divBdr>
        <w:top w:val="none" w:sz="0" w:space="0" w:color="auto"/>
        <w:left w:val="none" w:sz="0" w:space="0" w:color="auto"/>
        <w:bottom w:val="none" w:sz="0" w:space="0" w:color="auto"/>
        <w:right w:val="none" w:sz="0" w:space="0" w:color="auto"/>
      </w:divBdr>
    </w:div>
    <w:div w:id="277419839">
      <w:bodyDiv w:val="1"/>
      <w:marLeft w:val="0"/>
      <w:marRight w:val="0"/>
      <w:marTop w:val="0"/>
      <w:marBottom w:val="0"/>
      <w:divBdr>
        <w:top w:val="none" w:sz="0" w:space="0" w:color="auto"/>
        <w:left w:val="none" w:sz="0" w:space="0" w:color="auto"/>
        <w:bottom w:val="none" w:sz="0" w:space="0" w:color="auto"/>
        <w:right w:val="none" w:sz="0" w:space="0" w:color="auto"/>
      </w:divBdr>
    </w:div>
    <w:div w:id="296642829">
      <w:bodyDiv w:val="1"/>
      <w:marLeft w:val="0"/>
      <w:marRight w:val="0"/>
      <w:marTop w:val="0"/>
      <w:marBottom w:val="0"/>
      <w:divBdr>
        <w:top w:val="none" w:sz="0" w:space="0" w:color="auto"/>
        <w:left w:val="none" w:sz="0" w:space="0" w:color="auto"/>
        <w:bottom w:val="none" w:sz="0" w:space="0" w:color="auto"/>
        <w:right w:val="none" w:sz="0" w:space="0" w:color="auto"/>
      </w:divBdr>
    </w:div>
    <w:div w:id="297535164">
      <w:bodyDiv w:val="1"/>
      <w:marLeft w:val="0"/>
      <w:marRight w:val="0"/>
      <w:marTop w:val="0"/>
      <w:marBottom w:val="0"/>
      <w:divBdr>
        <w:top w:val="none" w:sz="0" w:space="0" w:color="auto"/>
        <w:left w:val="none" w:sz="0" w:space="0" w:color="auto"/>
        <w:bottom w:val="none" w:sz="0" w:space="0" w:color="auto"/>
        <w:right w:val="none" w:sz="0" w:space="0" w:color="auto"/>
      </w:divBdr>
    </w:div>
    <w:div w:id="328749490">
      <w:bodyDiv w:val="1"/>
      <w:marLeft w:val="0"/>
      <w:marRight w:val="0"/>
      <w:marTop w:val="0"/>
      <w:marBottom w:val="0"/>
      <w:divBdr>
        <w:top w:val="none" w:sz="0" w:space="0" w:color="auto"/>
        <w:left w:val="none" w:sz="0" w:space="0" w:color="auto"/>
        <w:bottom w:val="none" w:sz="0" w:space="0" w:color="auto"/>
        <w:right w:val="none" w:sz="0" w:space="0" w:color="auto"/>
      </w:divBdr>
    </w:div>
    <w:div w:id="351301605">
      <w:bodyDiv w:val="1"/>
      <w:marLeft w:val="0"/>
      <w:marRight w:val="0"/>
      <w:marTop w:val="0"/>
      <w:marBottom w:val="0"/>
      <w:divBdr>
        <w:top w:val="none" w:sz="0" w:space="0" w:color="auto"/>
        <w:left w:val="none" w:sz="0" w:space="0" w:color="auto"/>
        <w:bottom w:val="none" w:sz="0" w:space="0" w:color="auto"/>
        <w:right w:val="none" w:sz="0" w:space="0" w:color="auto"/>
      </w:divBdr>
    </w:div>
    <w:div w:id="354111988">
      <w:bodyDiv w:val="1"/>
      <w:marLeft w:val="0"/>
      <w:marRight w:val="0"/>
      <w:marTop w:val="0"/>
      <w:marBottom w:val="0"/>
      <w:divBdr>
        <w:top w:val="none" w:sz="0" w:space="0" w:color="auto"/>
        <w:left w:val="none" w:sz="0" w:space="0" w:color="auto"/>
        <w:bottom w:val="none" w:sz="0" w:space="0" w:color="auto"/>
        <w:right w:val="none" w:sz="0" w:space="0" w:color="auto"/>
      </w:divBdr>
    </w:div>
    <w:div w:id="359554623">
      <w:bodyDiv w:val="1"/>
      <w:marLeft w:val="0"/>
      <w:marRight w:val="0"/>
      <w:marTop w:val="0"/>
      <w:marBottom w:val="0"/>
      <w:divBdr>
        <w:top w:val="none" w:sz="0" w:space="0" w:color="auto"/>
        <w:left w:val="none" w:sz="0" w:space="0" w:color="auto"/>
        <w:bottom w:val="none" w:sz="0" w:space="0" w:color="auto"/>
        <w:right w:val="none" w:sz="0" w:space="0" w:color="auto"/>
      </w:divBdr>
    </w:div>
    <w:div w:id="368452621">
      <w:bodyDiv w:val="1"/>
      <w:marLeft w:val="0"/>
      <w:marRight w:val="0"/>
      <w:marTop w:val="0"/>
      <w:marBottom w:val="0"/>
      <w:divBdr>
        <w:top w:val="none" w:sz="0" w:space="0" w:color="auto"/>
        <w:left w:val="none" w:sz="0" w:space="0" w:color="auto"/>
        <w:bottom w:val="none" w:sz="0" w:space="0" w:color="auto"/>
        <w:right w:val="none" w:sz="0" w:space="0" w:color="auto"/>
      </w:divBdr>
    </w:div>
    <w:div w:id="387337691">
      <w:bodyDiv w:val="1"/>
      <w:marLeft w:val="0"/>
      <w:marRight w:val="0"/>
      <w:marTop w:val="0"/>
      <w:marBottom w:val="0"/>
      <w:divBdr>
        <w:top w:val="none" w:sz="0" w:space="0" w:color="auto"/>
        <w:left w:val="none" w:sz="0" w:space="0" w:color="auto"/>
        <w:bottom w:val="none" w:sz="0" w:space="0" w:color="auto"/>
        <w:right w:val="none" w:sz="0" w:space="0" w:color="auto"/>
      </w:divBdr>
    </w:div>
    <w:div w:id="405538071">
      <w:bodyDiv w:val="1"/>
      <w:marLeft w:val="0"/>
      <w:marRight w:val="0"/>
      <w:marTop w:val="0"/>
      <w:marBottom w:val="0"/>
      <w:divBdr>
        <w:top w:val="none" w:sz="0" w:space="0" w:color="auto"/>
        <w:left w:val="none" w:sz="0" w:space="0" w:color="auto"/>
        <w:bottom w:val="none" w:sz="0" w:space="0" w:color="auto"/>
        <w:right w:val="none" w:sz="0" w:space="0" w:color="auto"/>
      </w:divBdr>
    </w:div>
    <w:div w:id="420180289">
      <w:bodyDiv w:val="1"/>
      <w:marLeft w:val="0"/>
      <w:marRight w:val="0"/>
      <w:marTop w:val="0"/>
      <w:marBottom w:val="0"/>
      <w:divBdr>
        <w:top w:val="none" w:sz="0" w:space="0" w:color="auto"/>
        <w:left w:val="none" w:sz="0" w:space="0" w:color="auto"/>
        <w:bottom w:val="none" w:sz="0" w:space="0" w:color="auto"/>
        <w:right w:val="none" w:sz="0" w:space="0" w:color="auto"/>
      </w:divBdr>
    </w:div>
    <w:div w:id="430704722">
      <w:bodyDiv w:val="1"/>
      <w:marLeft w:val="0"/>
      <w:marRight w:val="0"/>
      <w:marTop w:val="0"/>
      <w:marBottom w:val="0"/>
      <w:divBdr>
        <w:top w:val="none" w:sz="0" w:space="0" w:color="auto"/>
        <w:left w:val="none" w:sz="0" w:space="0" w:color="auto"/>
        <w:bottom w:val="none" w:sz="0" w:space="0" w:color="auto"/>
        <w:right w:val="none" w:sz="0" w:space="0" w:color="auto"/>
      </w:divBdr>
    </w:div>
    <w:div w:id="440224842">
      <w:bodyDiv w:val="1"/>
      <w:marLeft w:val="0"/>
      <w:marRight w:val="0"/>
      <w:marTop w:val="0"/>
      <w:marBottom w:val="0"/>
      <w:divBdr>
        <w:top w:val="none" w:sz="0" w:space="0" w:color="auto"/>
        <w:left w:val="none" w:sz="0" w:space="0" w:color="auto"/>
        <w:bottom w:val="none" w:sz="0" w:space="0" w:color="auto"/>
        <w:right w:val="none" w:sz="0" w:space="0" w:color="auto"/>
      </w:divBdr>
    </w:div>
    <w:div w:id="444082276">
      <w:bodyDiv w:val="1"/>
      <w:marLeft w:val="0"/>
      <w:marRight w:val="0"/>
      <w:marTop w:val="0"/>
      <w:marBottom w:val="0"/>
      <w:divBdr>
        <w:top w:val="none" w:sz="0" w:space="0" w:color="auto"/>
        <w:left w:val="none" w:sz="0" w:space="0" w:color="auto"/>
        <w:bottom w:val="none" w:sz="0" w:space="0" w:color="auto"/>
        <w:right w:val="none" w:sz="0" w:space="0" w:color="auto"/>
      </w:divBdr>
    </w:div>
    <w:div w:id="472988753">
      <w:bodyDiv w:val="1"/>
      <w:marLeft w:val="0"/>
      <w:marRight w:val="0"/>
      <w:marTop w:val="0"/>
      <w:marBottom w:val="0"/>
      <w:divBdr>
        <w:top w:val="none" w:sz="0" w:space="0" w:color="auto"/>
        <w:left w:val="none" w:sz="0" w:space="0" w:color="auto"/>
        <w:bottom w:val="none" w:sz="0" w:space="0" w:color="auto"/>
        <w:right w:val="none" w:sz="0" w:space="0" w:color="auto"/>
      </w:divBdr>
    </w:div>
    <w:div w:id="538397501">
      <w:bodyDiv w:val="1"/>
      <w:marLeft w:val="0"/>
      <w:marRight w:val="0"/>
      <w:marTop w:val="0"/>
      <w:marBottom w:val="0"/>
      <w:divBdr>
        <w:top w:val="none" w:sz="0" w:space="0" w:color="auto"/>
        <w:left w:val="none" w:sz="0" w:space="0" w:color="auto"/>
        <w:bottom w:val="none" w:sz="0" w:space="0" w:color="auto"/>
        <w:right w:val="none" w:sz="0" w:space="0" w:color="auto"/>
      </w:divBdr>
    </w:div>
    <w:div w:id="567036974">
      <w:bodyDiv w:val="1"/>
      <w:marLeft w:val="0"/>
      <w:marRight w:val="0"/>
      <w:marTop w:val="0"/>
      <w:marBottom w:val="0"/>
      <w:divBdr>
        <w:top w:val="none" w:sz="0" w:space="0" w:color="auto"/>
        <w:left w:val="none" w:sz="0" w:space="0" w:color="auto"/>
        <w:bottom w:val="none" w:sz="0" w:space="0" w:color="auto"/>
        <w:right w:val="none" w:sz="0" w:space="0" w:color="auto"/>
      </w:divBdr>
    </w:div>
    <w:div w:id="573513265">
      <w:bodyDiv w:val="1"/>
      <w:marLeft w:val="0"/>
      <w:marRight w:val="0"/>
      <w:marTop w:val="0"/>
      <w:marBottom w:val="0"/>
      <w:divBdr>
        <w:top w:val="none" w:sz="0" w:space="0" w:color="auto"/>
        <w:left w:val="none" w:sz="0" w:space="0" w:color="auto"/>
        <w:bottom w:val="none" w:sz="0" w:space="0" w:color="auto"/>
        <w:right w:val="none" w:sz="0" w:space="0" w:color="auto"/>
      </w:divBdr>
      <w:divsChild>
        <w:div w:id="28579689">
          <w:marLeft w:val="187"/>
          <w:marRight w:val="0"/>
          <w:marTop w:val="0"/>
          <w:marBottom w:val="0"/>
          <w:divBdr>
            <w:top w:val="none" w:sz="0" w:space="0" w:color="auto"/>
            <w:left w:val="none" w:sz="0" w:space="0" w:color="auto"/>
            <w:bottom w:val="none" w:sz="0" w:space="0" w:color="auto"/>
            <w:right w:val="none" w:sz="0" w:space="0" w:color="auto"/>
          </w:divBdr>
        </w:div>
        <w:div w:id="1625960968">
          <w:marLeft w:val="187"/>
          <w:marRight w:val="0"/>
          <w:marTop w:val="0"/>
          <w:marBottom w:val="0"/>
          <w:divBdr>
            <w:top w:val="none" w:sz="0" w:space="0" w:color="auto"/>
            <w:left w:val="none" w:sz="0" w:space="0" w:color="auto"/>
            <w:bottom w:val="none" w:sz="0" w:space="0" w:color="auto"/>
            <w:right w:val="none" w:sz="0" w:space="0" w:color="auto"/>
          </w:divBdr>
        </w:div>
        <w:div w:id="1850825122">
          <w:marLeft w:val="187"/>
          <w:marRight w:val="0"/>
          <w:marTop w:val="0"/>
          <w:marBottom w:val="0"/>
          <w:divBdr>
            <w:top w:val="none" w:sz="0" w:space="0" w:color="auto"/>
            <w:left w:val="none" w:sz="0" w:space="0" w:color="auto"/>
            <w:bottom w:val="none" w:sz="0" w:space="0" w:color="auto"/>
            <w:right w:val="none" w:sz="0" w:space="0" w:color="auto"/>
          </w:divBdr>
        </w:div>
      </w:divsChild>
    </w:div>
    <w:div w:id="595409140">
      <w:bodyDiv w:val="1"/>
      <w:marLeft w:val="0"/>
      <w:marRight w:val="0"/>
      <w:marTop w:val="0"/>
      <w:marBottom w:val="0"/>
      <w:divBdr>
        <w:top w:val="none" w:sz="0" w:space="0" w:color="auto"/>
        <w:left w:val="none" w:sz="0" w:space="0" w:color="auto"/>
        <w:bottom w:val="none" w:sz="0" w:space="0" w:color="auto"/>
        <w:right w:val="none" w:sz="0" w:space="0" w:color="auto"/>
      </w:divBdr>
    </w:div>
    <w:div w:id="608122451">
      <w:bodyDiv w:val="1"/>
      <w:marLeft w:val="0"/>
      <w:marRight w:val="0"/>
      <w:marTop w:val="0"/>
      <w:marBottom w:val="0"/>
      <w:divBdr>
        <w:top w:val="none" w:sz="0" w:space="0" w:color="auto"/>
        <w:left w:val="none" w:sz="0" w:space="0" w:color="auto"/>
        <w:bottom w:val="none" w:sz="0" w:space="0" w:color="auto"/>
        <w:right w:val="none" w:sz="0" w:space="0" w:color="auto"/>
      </w:divBdr>
    </w:div>
    <w:div w:id="609970736">
      <w:bodyDiv w:val="1"/>
      <w:marLeft w:val="0"/>
      <w:marRight w:val="0"/>
      <w:marTop w:val="0"/>
      <w:marBottom w:val="0"/>
      <w:divBdr>
        <w:top w:val="none" w:sz="0" w:space="0" w:color="auto"/>
        <w:left w:val="none" w:sz="0" w:space="0" w:color="auto"/>
        <w:bottom w:val="none" w:sz="0" w:space="0" w:color="auto"/>
        <w:right w:val="none" w:sz="0" w:space="0" w:color="auto"/>
      </w:divBdr>
    </w:div>
    <w:div w:id="611086362">
      <w:bodyDiv w:val="1"/>
      <w:marLeft w:val="0"/>
      <w:marRight w:val="0"/>
      <w:marTop w:val="0"/>
      <w:marBottom w:val="0"/>
      <w:divBdr>
        <w:top w:val="none" w:sz="0" w:space="0" w:color="auto"/>
        <w:left w:val="none" w:sz="0" w:space="0" w:color="auto"/>
        <w:bottom w:val="none" w:sz="0" w:space="0" w:color="auto"/>
        <w:right w:val="none" w:sz="0" w:space="0" w:color="auto"/>
      </w:divBdr>
    </w:div>
    <w:div w:id="618489299">
      <w:bodyDiv w:val="1"/>
      <w:marLeft w:val="0"/>
      <w:marRight w:val="0"/>
      <w:marTop w:val="0"/>
      <w:marBottom w:val="0"/>
      <w:divBdr>
        <w:top w:val="none" w:sz="0" w:space="0" w:color="auto"/>
        <w:left w:val="none" w:sz="0" w:space="0" w:color="auto"/>
        <w:bottom w:val="none" w:sz="0" w:space="0" w:color="auto"/>
        <w:right w:val="none" w:sz="0" w:space="0" w:color="auto"/>
      </w:divBdr>
    </w:div>
    <w:div w:id="640771473">
      <w:bodyDiv w:val="1"/>
      <w:marLeft w:val="0"/>
      <w:marRight w:val="0"/>
      <w:marTop w:val="0"/>
      <w:marBottom w:val="0"/>
      <w:divBdr>
        <w:top w:val="none" w:sz="0" w:space="0" w:color="auto"/>
        <w:left w:val="none" w:sz="0" w:space="0" w:color="auto"/>
        <w:bottom w:val="none" w:sz="0" w:space="0" w:color="auto"/>
        <w:right w:val="none" w:sz="0" w:space="0" w:color="auto"/>
      </w:divBdr>
    </w:div>
    <w:div w:id="647170155">
      <w:bodyDiv w:val="1"/>
      <w:marLeft w:val="0"/>
      <w:marRight w:val="0"/>
      <w:marTop w:val="0"/>
      <w:marBottom w:val="0"/>
      <w:divBdr>
        <w:top w:val="none" w:sz="0" w:space="0" w:color="auto"/>
        <w:left w:val="none" w:sz="0" w:space="0" w:color="auto"/>
        <w:bottom w:val="none" w:sz="0" w:space="0" w:color="auto"/>
        <w:right w:val="none" w:sz="0" w:space="0" w:color="auto"/>
      </w:divBdr>
      <w:divsChild>
        <w:div w:id="584194858">
          <w:marLeft w:val="0"/>
          <w:marRight w:val="0"/>
          <w:marTop w:val="0"/>
          <w:marBottom w:val="0"/>
          <w:divBdr>
            <w:top w:val="none" w:sz="0" w:space="0" w:color="auto"/>
            <w:left w:val="none" w:sz="0" w:space="0" w:color="auto"/>
            <w:bottom w:val="none" w:sz="0" w:space="0" w:color="auto"/>
            <w:right w:val="none" w:sz="0" w:space="0" w:color="auto"/>
          </w:divBdr>
          <w:divsChild>
            <w:div w:id="920798587">
              <w:marLeft w:val="0"/>
              <w:marRight w:val="0"/>
              <w:marTop w:val="0"/>
              <w:marBottom w:val="0"/>
              <w:divBdr>
                <w:top w:val="none" w:sz="0" w:space="0" w:color="auto"/>
                <w:left w:val="none" w:sz="0" w:space="0" w:color="auto"/>
                <w:bottom w:val="none" w:sz="0" w:space="0" w:color="auto"/>
                <w:right w:val="none" w:sz="0" w:space="0" w:color="auto"/>
              </w:divBdr>
              <w:divsChild>
                <w:div w:id="456337309">
                  <w:marLeft w:val="0"/>
                  <w:marRight w:val="0"/>
                  <w:marTop w:val="0"/>
                  <w:marBottom w:val="0"/>
                  <w:divBdr>
                    <w:top w:val="none" w:sz="0" w:space="0" w:color="auto"/>
                    <w:left w:val="none" w:sz="0" w:space="0" w:color="auto"/>
                    <w:bottom w:val="none" w:sz="0" w:space="0" w:color="auto"/>
                    <w:right w:val="none" w:sz="0" w:space="0" w:color="auto"/>
                  </w:divBdr>
                  <w:divsChild>
                    <w:div w:id="175940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24440">
      <w:bodyDiv w:val="1"/>
      <w:marLeft w:val="0"/>
      <w:marRight w:val="0"/>
      <w:marTop w:val="0"/>
      <w:marBottom w:val="0"/>
      <w:divBdr>
        <w:top w:val="none" w:sz="0" w:space="0" w:color="auto"/>
        <w:left w:val="none" w:sz="0" w:space="0" w:color="auto"/>
        <w:bottom w:val="none" w:sz="0" w:space="0" w:color="auto"/>
        <w:right w:val="none" w:sz="0" w:space="0" w:color="auto"/>
      </w:divBdr>
    </w:div>
    <w:div w:id="681860816">
      <w:bodyDiv w:val="1"/>
      <w:marLeft w:val="0"/>
      <w:marRight w:val="0"/>
      <w:marTop w:val="0"/>
      <w:marBottom w:val="0"/>
      <w:divBdr>
        <w:top w:val="none" w:sz="0" w:space="0" w:color="auto"/>
        <w:left w:val="none" w:sz="0" w:space="0" w:color="auto"/>
        <w:bottom w:val="none" w:sz="0" w:space="0" w:color="auto"/>
        <w:right w:val="none" w:sz="0" w:space="0" w:color="auto"/>
      </w:divBdr>
    </w:div>
    <w:div w:id="686642643">
      <w:bodyDiv w:val="1"/>
      <w:marLeft w:val="0"/>
      <w:marRight w:val="0"/>
      <w:marTop w:val="0"/>
      <w:marBottom w:val="0"/>
      <w:divBdr>
        <w:top w:val="none" w:sz="0" w:space="0" w:color="auto"/>
        <w:left w:val="none" w:sz="0" w:space="0" w:color="auto"/>
        <w:bottom w:val="none" w:sz="0" w:space="0" w:color="auto"/>
        <w:right w:val="none" w:sz="0" w:space="0" w:color="auto"/>
      </w:divBdr>
    </w:div>
    <w:div w:id="709650321">
      <w:bodyDiv w:val="1"/>
      <w:marLeft w:val="0"/>
      <w:marRight w:val="0"/>
      <w:marTop w:val="0"/>
      <w:marBottom w:val="0"/>
      <w:divBdr>
        <w:top w:val="none" w:sz="0" w:space="0" w:color="auto"/>
        <w:left w:val="none" w:sz="0" w:space="0" w:color="auto"/>
        <w:bottom w:val="none" w:sz="0" w:space="0" w:color="auto"/>
        <w:right w:val="none" w:sz="0" w:space="0" w:color="auto"/>
      </w:divBdr>
    </w:div>
    <w:div w:id="731544794">
      <w:bodyDiv w:val="1"/>
      <w:marLeft w:val="0"/>
      <w:marRight w:val="0"/>
      <w:marTop w:val="0"/>
      <w:marBottom w:val="0"/>
      <w:divBdr>
        <w:top w:val="none" w:sz="0" w:space="0" w:color="auto"/>
        <w:left w:val="none" w:sz="0" w:space="0" w:color="auto"/>
        <w:bottom w:val="none" w:sz="0" w:space="0" w:color="auto"/>
        <w:right w:val="none" w:sz="0" w:space="0" w:color="auto"/>
      </w:divBdr>
    </w:div>
    <w:div w:id="748233081">
      <w:bodyDiv w:val="1"/>
      <w:marLeft w:val="0"/>
      <w:marRight w:val="0"/>
      <w:marTop w:val="0"/>
      <w:marBottom w:val="0"/>
      <w:divBdr>
        <w:top w:val="none" w:sz="0" w:space="0" w:color="auto"/>
        <w:left w:val="none" w:sz="0" w:space="0" w:color="auto"/>
        <w:bottom w:val="none" w:sz="0" w:space="0" w:color="auto"/>
        <w:right w:val="none" w:sz="0" w:space="0" w:color="auto"/>
      </w:divBdr>
    </w:div>
    <w:div w:id="760227009">
      <w:bodyDiv w:val="1"/>
      <w:marLeft w:val="0"/>
      <w:marRight w:val="0"/>
      <w:marTop w:val="0"/>
      <w:marBottom w:val="0"/>
      <w:divBdr>
        <w:top w:val="none" w:sz="0" w:space="0" w:color="auto"/>
        <w:left w:val="none" w:sz="0" w:space="0" w:color="auto"/>
        <w:bottom w:val="none" w:sz="0" w:space="0" w:color="auto"/>
        <w:right w:val="none" w:sz="0" w:space="0" w:color="auto"/>
      </w:divBdr>
    </w:div>
    <w:div w:id="772893688">
      <w:bodyDiv w:val="1"/>
      <w:marLeft w:val="0"/>
      <w:marRight w:val="0"/>
      <w:marTop w:val="0"/>
      <w:marBottom w:val="0"/>
      <w:divBdr>
        <w:top w:val="none" w:sz="0" w:space="0" w:color="auto"/>
        <w:left w:val="none" w:sz="0" w:space="0" w:color="auto"/>
        <w:bottom w:val="none" w:sz="0" w:space="0" w:color="auto"/>
        <w:right w:val="none" w:sz="0" w:space="0" w:color="auto"/>
      </w:divBdr>
    </w:div>
    <w:div w:id="777331066">
      <w:bodyDiv w:val="1"/>
      <w:marLeft w:val="0"/>
      <w:marRight w:val="0"/>
      <w:marTop w:val="0"/>
      <w:marBottom w:val="0"/>
      <w:divBdr>
        <w:top w:val="none" w:sz="0" w:space="0" w:color="auto"/>
        <w:left w:val="none" w:sz="0" w:space="0" w:color="auto"/>
        <w:bottom w:val="none" w:sz="0" w:space="0" w:color="auto"/>
        <w:right w:val="none" w:sz="0" w:space="0" w:color="auto"/>
      </w:divBdr>
    </w:div>
    <w:div w:id="784353599">
      <w:bodyDiv w:val="1"/>
      <w:marLeft w:val="0"/>
      <w:marRight w:val="0"/>
      <w:marTop w:val="0"/>
      <w:marBottom w:val="0"/>
      <w:divBdr>
        <w:top w:val="none" w:sz="0" w:space="0" w:color="auto"/>
        <w:left w:val="none" w:sz="0" w:space="0" w:color="auto"/>
        <w:bottom w:val="none" w:sz="0" w:space="0" w:color="auto"/>
        <w:right w:val="none" w:sz="0" w:space="0" w:color="auto"/>
      </w:divBdr>
    </w:div>
    <w:div w:id="795173952">
      <w:bodyDiv w:val="1"/>
      <w:marLeft w:val="0"/>
      <w:marRight w:val="0"/>
      <w:marTop w:val="0"/>
      <w:marBottom w:val="0"/>
      <w:divBdr>
        <w:top w:val="none" w:sz="0" w:space="0" w:color="auto"/>
        <w:left w:val="none" w:sz="0" w:space="0" w:color="auto"/>
        <w:bottom w:val="none" w:sz="0" w:space="0" w:color="auto"/>
        <w:right w:val="none" w:sz="0" w:space="0" w:color="auto"/>
      </w:divBdr>
    </w:div>
    <w:div w:id="830095269">
      <w:bodyDiv w:val="1"/>
      <w:marLeft w:val="0"/>
      <w:marRight w:val="0"/>
      <w:marTop w:val="0"/>
      <w:marBottom w:val="0"/>
      <w:divBdr>
        <w:top w:val="none" w:sz="0" w:space="0" w:color="auto"/>
        <w:left w:val="none" w:sz="0" w:space="0" w:color="auto"/>
        <w:bottom w:val="none" w:sz="0" w:space="0" w:color="auto"/>
        <w:right w:val="none" w:sz="0" w:space="0" w:color="auto"/>
      </w:divBdr>
    </w:div>
    <w:div w:id="833644726">
      <w:bodyDiv w:val="1"/>
      <w:marLeft w:val="0"/>
      <w:marRight w:val="0"/>
      <w:marTop w:val="0"/>
      <w:marBottom w:val="0"/>
      <w:divBdr>
        <w:top w:val="none" w:sz="0" w:space="0" w:color="auto"/>
        <w:left w:val="none" w:sz="0" w:space="0" w:color="auto"/>
        <w:bottom w:val="none" w:sz="0" w:space="0" w:color="auto"/>
        <w:right w:val="none" w:sz="0" w:space="0" w:color="auto"/>
      </w:divBdr>
    </w:div>
    <w:div w:id="898125472">
      <w:bodyDiv w:val="1"/>
      <w:marLeft w:val="0"/>
      <w:marRight w:val="0"/>
      <w:marTop w:val="0"/>
      <w:marBottom w:val="0"/>
      <w:divBdr>
        <w:top w:val="none" w:sz="0" w:space="0" w:color="auto"/>
        <w:left w:val="none" w:sz="0" w:space="0" w:color="auto"/>
        <w:bottom w:val="none" w:sz="0" w:space="0" w:color="auto"/>
        <w:right w:val="none" w:sz="0" w:space="0" w:color="auto"/>
      </w:divBdr>
    </w:div>
    <w:div w:id="982612929">
      <w:bodyDiv w:val="1"/>
      <w:marLeft w:val="0"/>
      <w:marRight w:val="0"/>
      <w:marTop w:val="0"/>
      <w:marBottom w:val="0"/>
      <w:divBdr>
        <w:top w:val="none" w:sz="0" w:space="0" w:color="auto"/>
        <w:left w:val="none" w:sz="0" w:space="0" w:color="auto"/>
        <w:bottom w:val="none" w:sz="0" w:space="0" w:color="auto"/>
        <w:right w:val="none" w:sz="0" w:space="0" w:color="auto"/>
      </w:divBdr>
    </w:div>
    <w:div w:id="1005984113">
      <w:bodyDiv w:val="1"/>
      <w:marLeft w:val="0"/>
      <w:marRight w:val="0"/>
      <w:marTop w:val="0"/>
      <w:marBottom w:val="0"/>
      <w:divBdr>
        <w:top w:val="none" w:sz="0" w:space="0" w:color="auto"/>
        <w:left w:val="none" w:sz="0" w:space="0" w:color="auto"/>
        <w:bottom w:val="none" w:sz="0" w:space="0" w:color="auto"/>
        <w:right w:val="none" w:sz="0" w:space="0" w:color="auto"/>
      </w:divBdr>
    </w:div>
    <w:div w:id="1024936230">
      <w:bodyDiv w:val="1"/>
      <w:marLeft w:val="0"/>
      <w:marRight w:val="0"/>
      <w:marTop w:val="0"/>
      <w:marBottom w:val="0"/>
      <w:divBdr>
        <w:top w:val="none" w:sz="0" w:space="0" w:color="auto"/>
        <w:left w:val="none" w:sz="0" w:space="0" w:color="auto"/>
        <w:bottom w:val="none" w:sz="0" w:space="0" w:color="auto"/>
        <w:right w:val="none" w:sz="0" w:space="0" w:color="auto"/>
      </w:divBdr>
    </w:div>
    <w:div w:id="1030497489">
      <w:bodyDiv w:val="1"/>
      <w:marLeft w:val="0"/>
      <w:marRight w:val="0"/>
      <w:marTop w:val="0"/>
      <w:marBottom w:val="0"/>
      <w:divBdr>
        <w:top w:val="none" w:sz="0" w:space="0" w:color="auto"/>
        <w:left w:val="none" w:sz="0" w:space="0" w:color="auto"/>
        <w:bottom w:val="none" w:sz="0" w:space="0" w:color="auto"/>
        <w:right w:val="none" w:sz="0" w:space="0" w:color="auto"/>
      </w:divBdr>
    </w:div>
    <w:div w:id="1034690349">
      <w:bodyDiv w:val="1"/>
      <w:marLeft w:val="0"/>
      <w:marRight w:val="0"/>
      <w:marTop w:val="0"/>
      <w:marBottom w:val="0"/>
      <w:divBdr>
        <w:top w:val="none" w:sz="0" w:space="0" w:color="auto"/>
        <w:left w:val="none" w:sz="0" w:space="0" w:color="auto"/>
        <w:bottom w:val="none" w:sz="0" w:space="0" w:color="auto"/>
        <w:right w:val="none" w:sz="0" w:space="0" w:color="auto"/>
      </w:divBdr>
    </w:div>
    <w:div w:id="1056315330">
      <w:bodyDiv w:val="1"/>
      <w:marLeft w:val="0"/>
      <w:marRight w:val="0"/>
      <w:marTop w:val="0"/>
      <w:marBottom w:val="0"/>
      <w:divBdr>
        <w:top w:val="none" w:sz="0" w:space="0" w:color="auto"/>
        <w:left w:val="none" w:sz="0" w:space="0" w:color="auto"/>
        <w:bottom w:val="none" w:sz="0" w:space="0" w:color="auto"/>
        <w:right w:val="none" w:sz="0" w:space="0" w:color="auto"/>
      </w:divBdr>
    </w:div>
    <w:div w:id="1087076113">
      <w:bodyDiv w:val="1"/>
      <w:marLeft w:val="0"/>
      <w:marRight w:val="0"/>
      <w:marTop w:val="0"/>
      <w:marBottom w:val="0"/>
      <w:divBdr>
        <w:top w:val="none" w:sz="0" w:space="0" w:color="auto"/>
        <w:left w:val="none" w:sz="0" w:space="0" w:color="auto"/>
        <w:bottom w:val="none" w:sz="0" w:space="0" w:color="auto"/>
        <w:right w:val="none" w:sz="0" w:space="0" w:color="auto"/>
      </w:divBdr>
    </w:div>
    <w:div w:id="1132216622">
      <w:bodyDiv w:val="1"/>
      <w:marLeft w:val="0"/>
      <w:marRight w:val="0"/>
      <w:marTop w:val="0"/>
      <w:marBottom w:val="0"/>
      <w:divBdr>
        <w:top w:val="none" w:sz="0" w:space="0" w:color="auto"/>
        <w:left w:val="none" w:sz="0" w:space="0" w:color="auto"/>
        <w:bottom w:val="none" w:sz="0" w:space="0" w:color="auto"/>
        <w:right w:val="none" w:sz="0" w:space="0" w:color="auto"/>
      </w:divBdr>
    </w:div>
    <w:div w:id="1168443796">
      <w:bodyDiv w:val="1"/>
      <w:marLeft w:val="0"/>
      <w:marRight w:val="0"/>
      <w:marTop w:val="0"/>
      <w:marBottom w:val="0"/>
      <w:divBdr>
        <w:top w:val="none" w:sz="0" w:space="0" w:color="auto"/>
        <w:left w:val="none" w:sz="0" w:space="0" w:color="auto"/>
        <w:bottom w:val="none" w:sz="0" w:space="0" w:color="auto"/>
        <w:right w:val="none" w:sz="0" w:space="0" w:color="auto"/>
      </w:divBdr>
    </w:div>
    <w:div w:id="1170607846">
      <w:bodyDiv w:val="1"/>
      <w:marLeft w:val="0"/>
      <w:marRight w:val="0"/>
      <w:marTop w:val="0"/>
      <w:marBottom w:val="0"/>
      <w:divBdr>
        <w:top w:val="none" w:sz="0" w:space="0" w:color="auto"/>
        <w:left w:val="none" w:sz="0" w:space="0" w:color="auto"/>
        <w:bottom w:val="none" w:sz="0" w:space="0" w:color="auto"/>
        <w:right w:val="none" w:sz="0" w:space="0" w:color="auto"/>
      </w:divBdr>
    </w:div>
    <w:div w:id="1177115270">
      <w:bodyDiv w:val="1"/>
      <w:marLeft w:val="0"/>
      <w:marRight w:val="0"/>
      <w:marTop w:val="0"/>
      <w:marBottom w:val="0"/>
      <w:divBdr>
        <w:top w:val="none" w:sz="0" w:space="0" w:color="auto"/>
        <w:left w:val="none" w:sz="0" w:space="0" w:color="auto"/>
        <w:bottom w:val="none" w:sz="0" w:space="0" w:color="auto"/>
        <w:right w:val="none" w:sz="0" w:space="0" w:color="auto"/>
      </w:divBdr>
    </w:div>
    <w:div w:id="1198007095">
      <w:bodyDiv w:val="1"/>
      <w:marLeft w:val="0"/>
      <w:marRight w:val="0"/>
      <w:marTop w:val="0"/>
      <w:marBottom w:val="0"/>
      <w:divBdr>
        <w:top w:val="none" w:sz="0" w:space="0" w:color="auto"/>
        <w:left w:val="none" w:sz="0" w:space="0" w:color="auto"/>
        <w:bottom w:val="none" w:sz="0" w:space="0" w:color="auto"/>
        <w:right w:val="none" w:sz="0" w:space="0" w:color="auto"/>
      </w:divBdr>
    </w:div>
    <w:div w:id="1204172085">
      <w:bodyDiv w:val="1"/>
      <w:marLeft w:val="0"/>
      <w:marRight w:val="0"/>
      <w:marTop w:val="0"/>
      <w:marBottom w:val="0"/>
      <w:divBdr>
        <w:top w:val="none" w:sz="0" w:space="0" w:color="auto"/>
        <w:left w:val="none" w:sz="0" w:space="0" w:color="auto"/>
        <w:bottom w:val="none" w:sz="0" w:space="0" w:color="auto"/>
        <w:right w:val="none" w:sz="0" w:space="0" w:color="auto"/>
      </w:divBdr>
    </w:div>
    <w:div w:id="1206327852">
      <w:bodyDiv w:val="1"/>
      <w:marLeft w:val="0"/>
      <w:marRight w:val="0"/>
      <w:marTop w:val="0"/>
      <w:marBottom w:val="0"/>
      <w:divBdr>
        <w:top w:val="none" w:sz="0" w:space="0" w:color="auto"/>
        <w:left w:val="none" w:sz="0" w:space="0" w:color="auto"/>
        <w:bottom w:val="none" w:sz="0" w:space="0" w:color="auto"/>
        <w:right w:val="none" w:sz="0" w:space="0" w:color="auto"/>
      </w:divBdr>
    </w:div>
    <w:div w:id="1210920744">
      <w:bodyDiv w:val="1"/>
      <w:marLeft w:val="0"/>
      <w:marRight w:val="0"/>
      <w:marTop w:val="0"/>
      <w:marBottom w:val="0"/>
      <w:divBdr>
        <w:top w:val="none" w:sz="0" w:space="0" w:color="auto"/>
        <w:left w:val="none" w:sz="0" w:space="0" w:color="auto"/>
        <w:bottom w:val="none" w:sz="0" w:space="0" w:color="auto"/>
        <w:right w:val="none" w:sz="0" w:space="0" w:color="auto"/>
      </w:divBdr>
    </w:div>
    <w:div w:id="1237863286">
      <w:bodyDiv w:val="1"/>
      <w:marLeft w:val="0"/>
      <w:marRight w:val="0"/>
      <w:marTop w:val="0"/>
      <w:marBottom w:val="0"/>
      <w:divBdr>
        <w:top w:val="none" w:sz="0" w:space="0" w:color="auto"/>
        <w:left w:val="none" w:sz="0" w:space="0" w:color="auto"/>
        <w:bottom w:val="none" w:sz="0" w:space="0" w:color="auto"/>
        <w:right w:val="none" w:sz="0" w:space="0" w:color="auto"/>
      </w:divBdr>
    </w:div>
    <w:div w:id="1274362531">
      <w:bodyDiv w:val="1"/>
      <w:marLeft w:val="0"/>
      <w:marRight w:val="0"/>
      <w:marTop w:val="0"/>
      <w:marBottom w:val="0"/>
      <w:divBdr>
        <w:top w:val="none" w:sz="0" w:space="0" w:color="auto"/>
        <w:left w:val="none" w:sz="0" w:space="0" w:color="auto"/>
        <w:bottom w:val="none" w:sz="0" w:space="0" w:color="auto"/>
        <w:right w:val="none" w:sz="0" w:space="0" w:color="auto"/>
      </w:divBdr>
    </w:div>
    <w:div w:id="1324359543">
      <w:bodyDiv w:val="1"/>
      <w:marLeft w:val="0"/>
      <w:marRight w:val="0"/>
      <w:marTop w:val="0"/>
      <w:marBottom w:val="0"/>
      <w:divBdr>
        <w:top w:val="none" w:sz="0" w:space="0" w:color="auto"/>
        <w:left w:val="none" w:sz="0" w:space="0" w:color="auto"/>
        <w:bottom w:val="none" w:sz="0" w:space="0" w:color="auto"/>
        <w:right w:val="none" w:sz="0" w:space="0" w:color="auto"/>
      </w:divBdr>
    </w:div>
    <w:div w:id="1331175686">
      <w:bodyDiv w:val="1"/>
      <w:marLeft w:val="0"/>
      <w:marRight w:val="0"/>
      <w:marTop w:val="0"/>
      <w:marBottom w:val="0"/>
      <w:divBdr>
        <w:top w:val="none" w:sz="0" w:space="0" w:color="auto"/>
        <w:left w:val="none" w:sz="0" w:space="0" w:color="auto"/>
        <w:bottom w:val="none" w:sz="0" w:space="0" w:color="auto"/>
        <w:right w:val="none" w:sz="0" w:space="0" w:color="auto"/>
      </w:divBdr>
    </w:div>
    <w:div w:id="1332098738">
      <w:bodyDiv w:val="1"/>
      <w:marLeft w:val="0"/>
      <w:marRight w:val="0"/>
      <w:marTop w:val="0"/>
      <w:marBottom w:val="0"/>
      <w:divBdr>
        <w:top w:val="none" w:sz="0" w:space="0" w:color="auto"/>
        <w:left w:val="none" w:sz="0" w:space="0" w:color="auto"/>
        <w:bottom w:val="none" w:sz="0" w:space="0" w:color="auto"/>
        <w:right w:val="none" w:sz="0" w:space="0" w:color="auto"/>
      </w:divBdr>
    </w:div>
    <w:div w:id="1357806456">
      <w:bodyDiv w:val="1"/>
      <w:marLeft w:val="0"/>
      <w:marRight w:val="0"/>
      <w:marTop w:val="0"/>
      <w:marBottom w:val="0"/>
      <w:divBdr>
        <w:top w:val="none" w:sz="0" w:space="0" w:color="auto"/>
        <w:left w:val="none" w:sz="0" w:space="0" w:color="auto"/>
        <w:bottom w:val="none" w:sz="0" w:space="0" w:color="auto"/>
        <w:right w:val="none" w:sz="0" w:space="0" w:color="auto"/>
      </w:divBdr>
    </w:div>
    <w:div w:id="1429232080">
      <w:bodyDiv w:val="1"/>
      <w:marLeft w:val="0"/>
      <w:marRight w:val="0"/>
      <w:marTop w:val="0"/>
      <w:marBottom w:val="0"/>
      <w:divBdr>
        <w:top w:val="none" w:sz="0" w:space="0" w:color="auto"/>
        <w:left w:val="none" w:sz="0" w:space="0" w:color="auto"/>
        <w:bottom w:val="none" w:sz="0" w:space="0" w:color="auto"/>
        <w:right w:val="none" w:sz="0" w:space="0" w:color="auto"/>
      </w:divBdr>
    </w:div>
    <w:div w:id="1437210828">
      <w:bodyDiv w:val="1"/>
      <w:marLeft w:val="0"/>
      <w:marRight w:val="0"/>
      <w:marTop w:val="0"/>
      <w:marBottom w:val="0"/>
      <w:divBdr>
        <w:top w:val="none" w:sz="0" w:space="0" w:color="auto"/>
        <w:left w:val="none" w:sz="0" w:space="0" w:color="auto"/>
        <w:bottom w:val="none" w:sz="0" w:space="0" w:color="auto"/>
        <w:right w:val="none" w:sz="0" w:space="0" w:color="auto"/>
      </w:divBdr>
    </w:div>
    <w:div w:id="1440374826">
      <w:bodyDiv w:val="1"/>
      <w:marLeft w:val="0"/>
      <w:marRight w:val="0"/>
      <w:marTop w:val="0"/>
      <w:marBottom w:val="0"/>
      <w:divBdr>
        <w:top w:val="none" w:sz="0" w:space="0" w:color="auto"/>
        <w:left w:val="none" w:sz="0" w:space="0" w:color="auto"/>
        <w:bottom w:val="none" w:sz="0" w:space="0" w:color="auto"/>
        <w:right w:val="none" w:sz="0" w:space="0" w:color="auto"/>
      </w:divBdr>
    </w:div>
    <w:div w:id="1461458056">
      <w:bodyDiv w:val="1"/>
      <w:marLeft w:val="0"/>
      <w:marRight w:val="0"/>
      <w:marTop w:val="0"/>
      <w:marBottom w:val="0"/>
      <w:divBdr>
        <w:top w:val="none" w:sz="0" w:space="0" w:color="auto"/>
        <w:left w:val="none" w:sz="0" w:space="0" w:color="auto"/>
        <w:bottom w:val="none" w:sz="0" w:space="0" w:color="auto"/>
        <w:right w:val="none" w:sz="0" w:space="0" w:color="auto"/>
      </w:divBdr>
    </w:div>
    <w:div w:id="1524519370">
      <w:bodyDiv w:val="1"/>
      <w:marLeft w:val="0"/>
      <w:marRight w:val="0"/>
      <w:marTop w:val="0"/>
      <w:marBottom w:val="0"/>
      <w:divBdr>
        <w:top w:val="none" w:sz="0" w:space="0" w:color="auto"/>
        <w:left w:val="none" w:sz="0" w:space="0" w:color="auto"/>
        <w:bottom w:val="none" w:sz="0" w:space="0" w:color="auto"/>
        <w:right w:val="none" w:sz="0" w:space="0" w:color="auto"/>
      </w:divBdr>
      <w:divsChild>
        <w:div w:id="252785173">
          <w:marLeft w:val="0"/>
          <w:marRight w:val="0"/>
          <w:marTop w:val="0"/>
          <w:marBottom w:val="0"/>
          <w:divBdr>
            <w:top w:val="none" w:sz="0" w:space="0" w:color="auto"/>
            <w:left w:val="none" w:sz="0" w:space="0" w:color="auto"/>
            <w:bottom w:val="none" w:sz="0" w:space="0" w:color="auto"/>
            <w:right w:val="none" w:sz="0" w:space="0" w:color="auto"/>
          </w:divBdr>
          <w:divsChild>
            <w:div w:id="420181451">
              <w:marLeft w:val="0"/>
              <w:marRight w:val="0"/>
              <w:marTop w:val="0"/>
              <w:marBottom w:val="0"/>
              <w:divBdr>
                <w:top w:val="none" w:sz="0" w:space="0" w:color="auto"/>
                <w:left w:val="none" w:sz="0" w:space="0" w:color="auto"/>
                <w:bottom w:val="none" w:sz="0" w:space="0" w:color="auto"/>
                <w:right w:val="none" w:sz="0" w:space="0" w:color="auto"/>
              </w:divBdr>
              <w:divsChild>
                <w:div w:id="36467681">
                  <w:marLeft w:val="0"/>
                  <w:marRight w:val="0"/>
                  <w:marTop w:val="0"/>
                  <w:marBottom w:val="0"/>
                  <w:divBdr>
                    <w:top w:val="none" w:sz="0" w:space="0" w:color="auto"/>
                    <w:left w:val="none" w:sz="0" w:space="0" w:color="auto"/>
                    <w:bottom w:val="none" w:sz="0" w:space="0" w:color="auto"/>
                    <w:right w:val="none" w:sz="0" w:space="0" w:color="auto"/>
                  </w:divBdr>
                  <w:divsChild>
                    <w:div w:id="462887728">
                      <w:marLeft w:val="0"/>
                      <w:marRight w:val="0"/>
                      <w:marTop w:val="0"/>
                      <w:marBottom w:val="0"/>
                      <w:divBdr>
                        <w:top w:val="none" w:sz="0" w:space="0" w:color="auto"/>
                        <w:left w:val="none" w:sz="0" w:space="0" w:color="auto"/>
                        <w:bottom w:val="none" w:sz="0" w:space="0" w:color="auto"/>
                        <w:right w:val="none" w:sz="0" w:space="0" w:color="auto"/>
                      </w:divBdr>
                      <w:divsChild>
                        <w:div w:id="1177691733">
                          <w:marLeft w:val="0"/>
                          <w:marRight w:val="0"/>
                          <w:marTop w:val="0"/>
                          <w:marBottom w:val="0"/>
                          <w:divBdr>
                            <w:top w:val="none" w:sz="0" w:space="0" w:color="auto"/>
                            <w:left w:val="none" w:sz="0" w:space="0" w:color="auto"/>
                            <w:bottom w:val="none" w:sz="0" w:space="0" w:color="auto"/>
                            <w:right w:val="none" w:sz="0" w:space="0" w:color="auto"/>
                          </w:divBdr>
                          <w:divsChild>
                            <w:div w:id="1979796664">
                              <w:marLeft w:val="0"/>
                              <w:marRight w:val="0"/>
                              <w:marTop w:val="0"/>
                              <w:marBottom w:val="0"/>
                              <w:divBdr>
                                <w:top w:val="none" w:sz="0" w:space="0" w:color="auto"/>
                                <w:left w:val="none" w:sz="0" w:space="0" w:color="auto"/>
                                <w:bottom w:val="none" w:sz="0" w:space="0" w:color="auto"/>
                                <w:right w:val="none" w:sz="0" w:space="0" w:color="auto"/>
                              </w:divBdr>
                              <w:divsChild>
                                <w:div w:id="2104103850">
                                  <w:marLeft w:val="0"/>
                                  <w:marRight w:val="0"/>
                                  <w:marTop w:val="0"/>
                                  <w:marBottom w:val="0"/>
                                  <w:divBdr>
                                    <w:top w:val="none" w:sz="0" w:space="0" w:color="auto"/>
                                    <w:left w:val="none" w:sz="0" w:space="0" w:color="auto"/>
                                    <w:bottom w:val="none" w:sz="0" w:space="0" w:color="auto"/>
                                    <w:right w:val="none" w:sz="0" w:space="0" w:color="auto"/>
                                  </w:divBdr>
                                  <w:divsChild>
                                    <w:div w:id="2104838189">
                                      <w:marLeft w:val="0"/>
                                      <w:marRight w:val="0"/>
                                      <w:marTop w:val="0"/>
                                      <w:marBottom w:val="0"/>
                                      <w:divBdr>
                                        <w:top w:val="none" w:sz="0" w:space="0" w:color="auto"/>
                                        <w:left w:val="none" w:sz="0" w:space="0" w:color="auto"/>
                                        <w:bottom w:val="none" w:sz="0" w:space="0" w:color="auto"/>
                                        <w:right w:val="none" w:sz="0" w:space="0" w:color="auto"/>
                                      </w:divBdr>
                                      <w:divsChild>
                                        <w:div w:id="1689212987">
                                          <w:marLeft w:val="0"/>
                                          <w:marRight w:val="0"/>
                                          <w:marTop w:val="0"/>
                                          <w:marBottom w:val="0"/>
                                          <w:divBdr>
                                            <w:top w:val="none" w:sz="0" w:space="0" w:color="auto"/>
                                            <w:left w:val="none" w:sz="0" w:space="0" w:color="auto"/>
                                            <w:bottom w:val="none" w:sz="0" w:space="0" w:color="auto"/>
                                            <w:right w:val="none" w:sz="0" w:space="0" w:color="auto"/>
                                          </w:divBdr>
                                          <w:divsChild>
                                            <w:div w:id="908029635">
                                              <w:marLeft w:val="0"/>
                                              <w:marRight w:val="0"/>
                                              <w:marTop w:val="0"/>
                                              <w:marBottom w:val="0"/>
                                              <w:divBdr>
                                                <w:top w:val="none" w:sz="0" w:space="0" w:color="auto"/>
                                                <w:left w:val="none" w:sz="0" w:space="0" w:color="auto"/>
                                                <w:bottom w:val="none" w:sz="0" w:space="0" w:color="auto"/>
                                                <w:right w:val="none" w:sz="0" w:space="0" w:color="auto"/>
                                              </w:divBdr>
                                              <w:divsChild>
                                                <w:div w:id="818305315">
                                                  <w:marLeft w:val="0"/>
                                                  <w:marRight w:val="0"/>
                                                  <w:marTop w:val="0"/>
                                                  <w:marBottom w:val="0"/>
                                                  <w:divBdr>
                                                    <w:top w:val="none" w:sz="0" w:space="0" w:color="auto"/>
                                                    <w:left w:val="none" w:sz="0" w:space="0" w:color="auto"/>
                                                    <w:bottom w:val="none" w:sz="0" w:space="0" w:color="auto"/>
                                                    <w:right w:val="none" w:sz="0" w:space="0" w:color="auto"/>
                                                  </w:divBdr>
                                                  <w:divsChild>
                                                    <w:div w:id="1236554102">
                                                      <w:marLeft w:val="0"/>
                                                      <w:marRight w:val="0"/>
                                                      <w:marTop w:val="0"/>
                                                      <w:marBottom w:val="0"/>
                                                      <w:divBdr>
                                                        <w:top w:val="single" w:sz="6" w:space="0" w:color="ABABAB"/>
                                                        <w:left w:val="single" w:sz="6" w:space="0" w:color="ABABAB"/>
                                                        <w:bottom w:val="none" w:sz="0" w:space="0" w:color="auto"/>
                                                        <w:right w:val="single" w:sz="6" w:space="0" w:color="ABABAB"/>
                                                      </w:divBdr>
                                                      <w:divsChild>
                                                        <w:div w:id="455101440">
                                                          <w:marLeft w:val="0"/>
                                                          <w:marRight w:val="0"/>
                                                          <w:marTop w:val="0"/>
                                                          <w:marBottom w:val="0"/>
                                                          <w:divBdr>
                                                            <w:top w:val="none" w:sz="0" w:space="0" w:color="auto"/>
                                                            <w:left w:val="none" w:sz="0" w:space="0" w:color="auto"/>
                                                            <w:bottom w:val="none" w:sz="0" w:space="0" w:color="auto"/>
                                                            <w:right w:val="none" w:sz="0" w:space="0" w:color="auto"/>
                                                          </w:divBdr>
                                                          <w:divsChild>
                                                            <w:div w:id="810371104">
                                                              <w:marLeft w:val="0"/>
                                                              <w:marRight w:val="0"/>
                                                              <w:marTop w:val="0"/>
                                                              <w:marBottom w:val="0"/>
                                                              <w:divBdr>
                                                                <w:top w:val="none" w:sz="0" w:space="0" w:color="auto"/>
                                                                <w:left w:val="none" w:sz="0" w:space="0" w:color="auto"/>
                                                                <w:bottom w:val="none" w:sz="0" w:space="0" w:color="auto"/>
                                                                <w:right w:val="none" w:sz="0" w:space="0" w:color="auto"/>
                                                              </w:divBdr>
                                                              <w:divsChild>
                                                                <w:div w:id="365330122">
                                                                  <w:marLeft w:val="0"/>
                                                                  <w:marRight w:val="0"/>
                                                                  <w:marTop w:val="0"/>
                                                                  <w:marBottom w:val="0"/>
                                                                  <w:divBdr>
                                                                    <w:top w:val="none" w:sz="0" w:space="0" w:color="auto"/>
                                                                    <w:left w:val="none" w:sz="0" w:space="0" w:color="auto"/>
                                                                    <w:bottom w:val="none" w:sz="0" w:space="0" w:color="auto"/>
                                                                    <w:right w:val="none" w:sz="0" w:space="0" w:color="auto"/>
                                                                  </w:divBdr>
                                                                  <w:divsChild>
                                                                    <w:div w:id="799222751">
                                                                      <w:marLeft w:val="0"/>
                                                                      <w:marRight w:val="0"/>
                                                                      <w:marTop w:val="0"/>
                                                                      <w:marBottom w:val="0"/>
                                                                      <w:divBdr>
                                                                        <w:top w:val="none" w:sz="0" w:space="0" w:color="auto"/>
                                                                        <w:left w:val="none" w:sz="0" w:space="0" w:color="auto"/>
                                                                        <w:bottom w:val="none" w:sz="0" w:space="0" w:color="auto"/>
                                                                        <w:right w:val="none" w:sz="0" w:space="0" w:color="auto"/>
                                                                      </w:divBdr>
                                                                      <w:divsChild>
                                                                        <w:div w:id="405685361">
                                                                          <w:marLeft w:val="0"/>
                                                                          <w:marRight w:val="0"/>
                                                                          <w:marTop w:val="0"/>
                                                                          <w:marBottom w:val="0"/>
                                                                          <w:divBdr>
                                                                            <w:top w:val="none" w:sz="0" w:space="0" w:color="auto"/>
                                                                            <w:left w:val="none" w:sz="0" w:space="0" w:color="auto"/>
                                                                            <w:bottom w:val="none" w:sz="0" w:space="0" w:color="auto"/>
                                                                            <w:right w:val="none" w:sz="0" w:space="0" w:color="auto"/>
                                                                          </w:divBdr>
                                                                          <w:divsChild>
                                                                            <w:div w:id="1626278196">
                                                                              <w:marLeft w:val="0"/>
                                                                              <w:marRight w:val="0"/>
                                                                              <w:marTop w:val="0"/>
                                                                              <w:marBottom w:val="0"/>
                                                                              <w:divBdr>
                                                                                <w:top w:val="none" w:sz="0" w:space="0" w:color="auto"/>
                                                                                <w:left w:val="none" w:sz="0" w:space="0" w:color="auto"/>
                                                                                <w:bottom w:val="none" w:sz="0" w:space="0" w:color="auto"/>
                                                                                <w:right w:val="none" w:sz="0" w:space="0" w:color="auto"/>
                                                                              </w:divBdr>
                                                                              <w:divsChild>
                                                                                <w:div w:id="47850611">
                                                                                  <w:marLeft w:val="0"/>
                                                                                  <w:marRight w:val="0"/>
                                                                                  <w:marTop w:val="0"/>
                                                                                  <w:marBottom w:val="0"/>
                                                                                  <w:divBdr>
                                                                                    <w:top w:val="none" w:sz="0" w:space="0" w:color="auto"/>
                                                                                    <w:left w:val="none" w:sz="0" w:space="0" w:color="auto"/>
                                                                                    <w:bottom w:val="none" w:sz="0" w:space="0" w:color="auto"/>
                                                                                    <w:right w:val="none" w:sz="0" w:space="0" w:color="auto"/>
                                                                                  </w:divBdr>
                                                                                </w:div>
                                                                                <w:div w:id="1468668938">
                                                                                  <w:marLeft w:val="0"/>
                                                                                  <w:marRight w:val="0"/>
                                                                                  <w:marTop w:val="0"/>
                                                                                  <w:marBottom w:val="0"/>
                                                                                  <w:divBdr>
                                                                                    <w:top w:val="none" w:sz="0" w:space="0" w:color="auto"/>
                                                                                    <w:left w:val="none" w:sz="0" w:space="0" w:color="auto"/>
                                                                                    <w:bottom w:val="none" w:sz="0" w:space="0" w:color="auto"/>
                                                                                    <w:right w:val="none" w:sz="0" w:space="0" w:color="auto"/>
                                                                                  </w:divBdr>
                                                                                </w:div>
                                                                                <w:div w:id="722290828">
                                                                                  <w:marLeft w:val="0"/>
                                                                                  <w:marRight w:val="0"/>
                                                                                  <w:marTop w:val="0"/>
                                                                                  <w:marBottom w:val="0"/>
                                                                                  <w:divBdr>
                                                                                    <w:top w:val="none" w:sz="0" w:space="0" w:color="auto"/>
                                                                                    <w:left w:val="none" w:sz="0" w:space="0" w:color="auto"/>
                                                                                    <w:bottom w:val="none" w:sz="0" w:space="0" w:color="auto"/>
                                                                                    <w:right w:val="none" w:sz="0" w:space="0" w:color="auto"/>
                                                                                  </w:divBdr>
                                                                                </w:div>
                                                                                <w:div w:id="107350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7765016">
      <w:bodyDiv w:val="1"/>
      <w:marLeft w:val="0"/>
      <w:marRight w:val="0"/>
      <w:marTop w:val="0"/>
      <w:marBottom w:val="0"/>
      <w:divBdr>
        <w:top w:val="none" w:sz="0" w:space="0" w:color="auto"/>
        <w:left w:val="none" w:sz="0" w:space="0" w:color="auto"/>
        <w:bottom w:val="none" w:sz="0" w:space="0" w:color="auto"/>
        <w:right w:val="none" w:sz="0" w:space="0" w:color="auto"/>
      </w:divBdr>
    </w:div>
    <w:div w:id="1568106733">
      <w:bodyDiv w:val="1"/>
      <w:marLeft w:val="0"/>
      <w:marRight w:val="0"/>
      <w:marTop w:val="0"/>
      <w:marBottom w:val="0"/>
      <w:divBdr>
        <w:top w:val="none" w:sz="0" w:space="0" w:color="auto"/>
        <w:left w:val="none" w:sz="0" w:space="0" w:color="auto"/>
        <w:bottom w:val="none" w:sz="0" w:space="0" w:color="auto"/>
        <w:right w:val="none" w:sz="0" w:space="0" w:color="auto"/>
      </w:divBdr>
    </w:div>
    <w:div w:id="1572693640">
      <w:bodyDiv w:val="1"/>
      <w:marLeft w:val="0"/>
      <w:marRight w:val="0"/>
      <w:marTop w:val="0"/>
      <w:marBottom w:val="0"/>
      <w:divBdr>
        <w:top w:val="none" w:sz="0" w:space="0" w:color="auto"/>
        <w:left w:val="none" w:sz="0" w:space="0" w:color="auto"/>
        <w:bottom w:val="none" w:sz="0" w:space="0" w:color="auto"/>
        <w:right w:val="none" w:sz="0" w:space="0" w:color="auto"/>
      </w:divBdr>
    </w:div>
    <w:div w:id="1591230618">
      <w:bodyDiv w:val="1"/>
      <w:marLeft w:val="0"/>
      <w:marRight w:val="0"/>
      <w:marTop w:val="0"/>
      <w:marBottom w:val="0"/>
      <w:divBdr>
        <w:top w:val="none" w:sz="0" w:space="0" w:color="auto"/>
        <w:left w:val="none" w:sz="0" w:space="0" w:color="auto"/>
        <w:bottom w:val="none" w:sz="0" w:space="0" w:color="auto"/>
        <w:right w:val="none" w:sz="0" w:space="0" w:color="auto"/>
      </w:divBdr>
    </w:div>
    <w:div w:id="1614164811">
      <w:bodyDiv w:val="1"/>
      <w:marLeft w:val="0"/>
      <w:marRight w:val="0"/>
      <w:marTop w:val="0"/>
      <w:marBottom w:val="0"/>
      <w:divBdr>
        <w:top w:val="none" w:sz="0" w:space="0" w:color="auto"/>
        <w:left w:val="none" w:sz="0" w:space="0" w:color="auto"/>
        <w:bottom w:val="none" w:sz="0" w:space="0" w:color="auto"/>
        <w:right w:val="none" w:sz="0" w:space="0" w:color="auto"/>
      </w:divBdr>
    </w:div>
    <w:div w:id="1634434896">
      <w:bodyDiv w:val="1"/>
      <w:marLeft w:val="0"/>
      <w:marRight w:val="0"/>
      <w:marTop w:val="0"/>
      <w:marBottom w:val="0"/>
      <w:divBdr>
        <w:top w:val="none" w:sz="0" w:space="0" w:color="auto"/>
        <w:left w:val="none" w:sz="0" w:space="0" w:color="auto"/>
        <w:bottom w:val="none" w:sz="0" w:space="0" w:color="auto"/>
        <w:right w:val="none" w:sz="0" w:space="0" w:color="auto"/>
      </w:divBdr>
    </w:div>
    <w:div w:id="1636372884">
      <w:bodyDiv w:val="1"/>
      <w:marLeft w:val="0"/>
      <w:marRight w:val="0"/>
      <w:marTop w:val="0"/>
      <w:marBottom w:val="0"/>
      <w:divBdr>
        <w:top w:val="none" w:sz="0" w:space="0" w:color="auto"/>
        <w:left w:val="none" w:sz="0" w:space="0" w:color="auto"/>
        <w:bottom w:val="none" w:sz="0" w:space="0" w:color="auto"/>
        <w:right w:val="none" w:sz="0" w:space="0" w:color="auto"/>
      </w:divBdr>
      <w:divsChild>
        <w:div w:id="1433476140">
          <w:marLeft w:val="0"/>
          <w:marRight w:val="0"/>
          <w:marTop w:val="0"/>
          <w:marBottom w:val="0"/>
          <w:divBdr>
            <w:top w:val="none" w:sz="0" w:space="0" w:color="auto"/>
            <w:left w:val="none" w:sz="0" w:space="0" w:color="auto"/>
            <w:bottom w:val="none" w:sz="0" w:space="0" w:color="auto"/>
            <w:right w:val="none" w:sz="0" w:space="0" w:color="auto"/>
          </w:divBdr>
          <w:divsChild>
            <w:div w:id="1600718040">
              <w:marLeft w:val="0"/>
              <w:marRight w:val="0"/>
              <w:marTop w:val="0"/>
              <w:marBottom w:val="0"/>
              <w:divBdr>
                <w:top w:val="none" w:sz="0" w:space="0" w:color="auto"/>
                <w:left w:val="none" w:sz="0" w:space="0" w:color="auto"/>
                <w:bottom w:val="none" w:sz="0" w:space="0" w:color="auto"/>
                <w:right w:val="none" w:sz="0" w:space="0" w:color="auto"/>
              </w:divBdr>
              <w:divsChild>
                <w:div w:id="1406340997">
                  <w:marLeft w:val="0"/>
                  <w:marRight w:val="0"/>
                  <w:marTop w:val="0"/>
                  <w:marBottom w:val="0"/>
                  <w:divBdr>
                    <w:top w:val="none" w:sz="0" w:space="0" w:color="auto"/>
                    <w:left w:val="none" w:sz="0" w:space="0" w:color="auto"/>
                    <w:bottom w:val="none" w:sz="0" w:space="0" w:color="auto"/>
                    <w:right w:val="none" w:sz="0" w:space="0" w:color="auto"/>
                  </w:divBdr>
                  <w:divsChild>
                    <w:div w:id="83835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308972">
      <w:bodyDiv w:val="1"/>
      <w:marLeft w:val="0"/>
      <w:marRight w:val="0"/>
      <w:marTop w:val="0"/>
      <w:marBottom w:val="0"/>
      <w:divBdr>
        <w:top w:val="none" w:sz="0" w:space="0" w:color="auto"/>
        <w:left w:val="none" w:sz="0" w:space="0" w:color="auto"/>
        <w:bottom w:val="none" w:sz="0" w:space="0" w:color="auto"/>
        <w:right w:val="none" w:sz="0" w:space="0" w:color="auto"/>
      </w:divBdr>
    </w:div>
    <w:div w:id="1731658069">
      <w:bodyDiv w:val="1"/>
      <w:marLeft w:val="0"/>
      <w:marRight w:val="0"/>
      <w:marTop w:val="0"/>
      <w:marBottom w:val="0"/>
      <w:divBdr>
        <w:top w:val="none" w:sz="0" w:space="0" w:color="auto"/>
        <w:left w:val="none" w:sz="0" w:space="0" w:color="auto"/>
        <w:bottom w:val="none" w:sz="0" w:space="0" w:color="auto"/>
        <w:right w:val="none" w:sz="0" w:space="0" w:color="auto"/>
      </w:divBdr>
    </w:div>
    <w:div w:id="1735277861">
      <w:bodyDiv w:val="1"/>
      <w:marLeft w:val="0"/>
      <w:marRight w:val="0"/>
      <w:marTop w:val="0"/>
      <w:marBottom w:val="0"/>
      <w:divBdr>
        <w:top w:val="none" w:sz="0" w:space="0" w:color="auto"/>
        <w:left w:val="none" w:sz="0" w:space="0" w:color="auto"/>
        <w:bottom w:val="none" w:sz="0" w:space="0" w:color="auto"/>
        <w:right w:val="none" w:sz="0" w:space="0" w:color="auto"/>
      </w:divBdr>
    </w:div>
    <w:div w:id="1769345733">
      <w:bodyDiv w:val="1"/>
      <w:marLeft w:val="0"/>
      <w:marRight w:val="0"/>
      <w:marTop w:val="0"/>
      <w:marBottom w:val="0"/>
      <w:divBdr>
        <w:top w:val="none" w:sz="0" w:space="0" w:color="auto"/>
        <w:left w:val="none" w:sz="0" w:space="0" w:color="auto"/>
        <w:bottom w:val="none" w:sz="0" w:space="0" w:color="auto"/>
        <w:right w:val="none" w:sz="0" w:space="0" w:color="auto"/>
      </w:divBdr>
    </w:div>
    <w:div w:id="1790975447">
      <w:bodyDiv w:val="1"/>
      <w:marLeft w:val="0"/>
      <w:marRight w:val="0"/>
      <w:marTop w:val="0"/>
      <w:marBottom w:val="0"/>
      <w:divBdr>
        <w:top w:val="none" w:sz="0" w:space="0" w:color="auto"/>
        <w:left w:val="none" w:sz="0" w:space="0" w:color="auto"/>
        <w:bottom w:val="none" w:sz="0" w:space="0" w:color="auto"/>
        <w:right w:val="none" w:sz="0" w:space="0" w:color="auto"/>
      </w:divBdr>
    </w:div>
    <w:div w:id="1791700551">
      <w:bodyDiv w:val="1"/>
      <w:marLeft w:val="0"/>
      <w:marRight w:val="0"/>
      <w:marTop w:val="0"/>
      <w:marBottom w:val="0"/>
      <w:divBdr>
        <w:top w:val="none" w:sz="0" w:space="0" w:color="auto"/>
        <w:left w:val="none" w:sz="0" w:space="0" w:color="auto"/>
        <w:bottom w:val="none" w:sz="0" w:space="0" w:color="auto"/>
        <w:right w:val="none" w:sz="0" w:space="0" w:color="auto"/>
      </w:divBdr>
    </w:div>
    <w:div w:id="1805929570">
      <w:bodyDiv w:val="1"/>
      <w:marLeft w:val="0"/>
      <w:marRight w:val="0"/>
      <w:marTop w:val="0"/>
      <w:marBottom w:val="0"/>
      <w:divBdr>
        <w:top w:val="none" w:sz="0" w:space="0" w:color="auto"/>
        <w:left w:val="none" w:sz="0" w:space="0" w:color="auto"/>
        <w:bottom w:val="none" w:sz="0" w:space="0" w:color="auto"/>
        <w:right w:val="none" w:sz="0" w:space="0" w:color="auto"/>
      </w:divBdr>
    </w:div>
    <w:div w:id="1832989817">
      <w:bodyDiv w:val="1"/>
      <w:marLeft w:val="0"/>
      <w:marRight w:val="0"/>
      <w:marTop w:val="0"/>
      <w:marBottom w:val="0"/>
      <w:divBdr>
        <w:top w:val="none" w:sz="0" w:space="0" w:color="auto"/>
        <w:left w:val="none" w:sz="0" w:space="0" w:color="auto"/>
        <w:bottom w:val="none" w:sz="0" w:space="0" w:color="auto"/>
        <w:right w:val="none" w:sz="0" w:space="0" w:color="auto"/>
      </w:divBdr>
    </w:div>
    <w:div w:id="1866672882">
      <w:bodyDiv w:val="1"/>
      <w:marLeft w:val="0"/>
      <w:marRight w:val="0"/>
      <w:marTop w:val="0"/>
      <w:marBottom w:val="0"/>
      <w:divBdr>
        <w:top w:val="none" w:sz="0" w:space="0" w:color="auto"/>
        <w:left w:val="none" w:sz="0" w:space="0" w:color="auto"/>
        <w:bottom w:val="none" w:sz="0" w:space="0" w:color="auto"/>
        <w:right w:val="none" w:sz="0" w:space="0" w:color="auto"/>
      </w:divBdr>
    </w:div>
    <w:div w:id="1934970129">
      <w:bodyDiv w:val="1"/>
      <w:marLeft w:val="0"/>
      <w:marRight w:val="0"/>
      <w:marTop w:val="0"/>
      <w:marBottom w:val="0"/>
      <w:divBdr>
        <w:top w:val="none" w:sz="0" w:space="0" w:color="auto"/>
        <w:left w:val="none" w:sz="0" w:space="0" w:color="auto"/>
        <w:bottom w:val="none" w:sz="0" w:space="0" w:color="auto"/>
        <w:right w:val="none" w:sz="0" w:space="0" w:color="auto"/>
      </w:divBdr>
    </w:div>
    <w:div w:id="1935242365">
      <w:bodyDiv w:val="1"/>
      <w:marLeft w:val="0"/>
      <w:marRight w:val="0"/>
      <w:marTop w:val="0"/>
      <w:marBottom w:val="0"/>
      <w:divBdr>
        <w:top w:val="none" w:sz="0" w:space="0" w:color="auto"/>
        <w:left w:val="none" w:sz="0" w:space="0" w:color="auto"/>
        <w:bottom w:val="none" w:sz="0" w:space="0" w:color="auto"/>
        <w:right w:val="none" w:sz="0" w:space="0" w:color="auto"/>
      </w:divBdr>
    </w:div>
    <w:div w:id="1944918274">
      <w:bodyDiv w:val="1"/>
      <w:marLeft w:val="0"/>
      <w:marRight w:val="0"/>
      <w:marTop w:val="0"/>
      <w:marBottom w:val="0"/>
      <w:divBdr>
        <w:top w:val="none" w:sz="0" w:space="0" w:color="auto"/>
        <w:left w:val="none" w:sz="0" w:space="0" w:color="auto"/>
        <w:bottom w:val="none" w:sz="0" w:space="0" w:color="auto"/>
        <w:right w:val="none" w:sz="0" w:space="0" w:color="auto"/>
      </w:divBdr>
    </w:div>
    <w:div w:id="1953124535">
      <w:bodyDiv w:val="1"/>
      <w:marLeft w:val="0"/>
      <w:marRight w:val="0"/>
      <w:marTop w:val="0"/>
      <w:marBottom w:val="0"/>
      <w:divBdr>
        <w:top w:val="none" w:sz="0" w:space="0" w:color="auto"/>
        <w:left w:val="none" w:sz="0" w:space="0" w:color="auto"/>
        <w:bottom w:val="none" w:sz="0" w:space="0" w:color="auto"/>
        <w:right w:val="none" w:sz="0" w:space="0" w:color="auto"/>
      </w:divBdr>
    </w:div>
    <w:div w:id="1974796995">
      <w:bodyDiv w:val="1"/>
      <w:marLeft w:val="0"/>
      <w:marRight w:val="0"/>
      <w:marTop w:val="0"/>
      <w:marBottom w:val="0"/>
      <w:divBdr>
        <w:top w:val="none" w:sz="0" w:space="0" w:color="auto"/>
        <w:left w:val="none" w:sz="0" w:space="0" w:color="auto"/>
        <w:bottom w:val="none" w:sz="0" w:space="0" w:color="auto"/>
        <w:right w:val="none" w:sz="0" w:space="0" w:color="auto"/>
      </w:divBdr>
    </w:div>
    <w:div w:id="2000573290">
      <w:bodyDiv w:val="1"/>
      <w:marLeft w:val="0"/>
      <w:marRight w:val="0"/>
      <w:marTop w:val="0"/>
      <w:marBottom w:val="0"/>
      <w:divBdr>
        <w:top w:val="none" w:sz="0" w:space="0" w:color="auto"/>
        <w:left w:val="none" w:sz="0" w:space="0" w:color="auto"/>
        <w:bottom w:val="none" w:sz="0" w:space="0" w:color="auto"/>
        <w:right w:val="none" w:sz="0" w:space="0" w:color="auto"/>
      </w:divBdr>
    </w:div>
    <w:div w:id="2001693332">
      <w:bodyDiv w:val="1"/>
      <w:marLeft w:val="0"/>
      <w:marRight w:val="0"/>
      <w:marTop w:val="0"/>
      <w:marBottom w:val="0"/>
      <w:divBdr>
        <w:top w:val="none" w:sz="0" w:space="0" w:color="auto"/>
        <w:left w:val="none" w:sz="0" w:space="0" w:color="auto"/>
        <w:bottom w:val="none" w:sz="0" w:space="0" w:color="auto"/>
        <w:right w:val="none" w:sz="0" w:space="0" w:color="auto"/>
      </w:divBdr>
    </w:div>
    <w:div w:id="2014408652">
      <w:bodyDiv w:val="1"/>
      <w:marLeft w:val="0"/>
      <w:marRight w:val="0"/>
      <w:marTop w:val="0"/>
      <w:marBottom w:val="0"/>
      <w:divBdr>
        <w:top w:val="none" w:sz="0" w:space="0" w:color="auto"/>
        <w:left w:val="none" w:sz="0" w:space="0" w:color="auto"/>
        <w:bottom w:val="none" w:sz="0" w:space="0" w:color="auto"/>
        <w:right w:val="none" w:sz="0" w:space="0" w:color="auto"/>
      </w:divBdr>
    </w:div>
    <w:div w:id="2016611006">
      <w:bodyDiv w:val="1"/>
      <w:marLeft w:val="0"/>
      <w:marRight w:val="0"/>
      <w:marTop w:val="0"/>
      <w:marBottom w:val="0"/>
      <w:divBdr>
        <w:top w:val="none" w:sz="0" w:space="0" w:color="auto"/>
        <w:left w:val="none" w:sz="0" w:space="0" w:color="auto"/>
        <w:bottom w:val="none" w:sz="0" w:space="0" w:color="auto"/>
        <w:right w:val="none" w:sz="0" w:space="0" w:color="auto"/>
      </w:divBdr>
    </w:div>
    <w:div w:id="2022703781">
      <w:bodyDiv w:val="1"/>
      <w:marLeft w:val="0"/>
      <w:marRight w:val="0"/>
      <w:marTop w:val="0"/>
      <w:marBottom w:val="0"/>
      <w:divBdr>
        <w:top w:val="none" w:sz="0" w:space="0" w:color="auto"/>
        <w:left w:val="none" w:sz="0" w:space="0" w:color="auto"/>
        <w:bottom w:val="none" w:sz="0" w:space="0" w:color="auto"/>
        <w:right w:val="none" w:sz="0" w:space="0" w:color="auto"/>
      </w:divBdr>
    </w:div>
    <w:div w:id="2024236230">
      <w:bodyDiv w:val="1"/>
      <w:marLeft w:val="0"/>
      <w:marRight w:val="0"/>
      <w:marTop w:val="0"/>
      <w:marBottom w:val="0"/>
      <w:divBdr>
        <w:top w:val="none" w:sz="0" w:space="0" w:color="auto"/>
        <w:left w:val="none" w:sz="0" w:space="0" w:color="auto"/>
        <w:bottom w:val="none" w:sz="0" w:space="0" w:color="auto"/>
        <w:right w:val="none" w:sz="0" w:space="0" w:color="auto"/>
      </w:divBdr>
    </w:div>
    <w:div w:id="2033341240">
      <w:bodyDiv w:val="1"/>
      <w:marLeft w:val="0"/>
      <w:marRight w:val="0"/>
      <w:marTop w:val="0"/>
      <w:marBottom w:val="0"/>
      <w:divBdr>
        <w:top w:val="none" w:sz="0" w:space="0" w:color="auto"/>
        <w:left w:val="none" w:sz="0" w:space="0" w:color="auto"/>
        <w:bottom w:val="none" w:sz="0" w:space="0" w:color="auto"/>
        <w:right w:val="none" w:sz="0" w:space="0" w:color="auto"/>
      </w:divBdr>
    </w:div>
    <w:div w:id="2049183431">
      <w:bodyDiv w:val="1"/>
      <w:marLeft w:val="0"/>
      <w:marRight w:val="0"/>
      <w:marTop w:val="0"/>
      <w:marBottom w:val="0"/>
      <w:divBdr>
        <w:top w:val="none" w:sz="0" w:space="0" w:color="auto"/>
        <w:left w:val="none" w:sz="0" w:space="0" w:color="auto"/>
        <w:bottom w:val="none" w:sz="0" w:space="0" w:color="auto"/>
        <w:right w:val="none" w:sz="0" w:space="0" w:color="auto"/>
      </w:divBdr>
    </w:div>
    <w:div w:id="2059042446">
      <w:bodyDiv w:val="1"/>
      <w:marLeft w:val="0"/>
      <w:marRight w:val="0"/>
      <w:marTop w:val="0"/>
      <w:marBottom w:val="0"/>
      <w:divBdr>
        <w:top w:val="none" w:sz="0" w:space="0" w:color="auto"/>
        <w:left w:val="none" w:sz="0" w:space="0" w:color="auto"/>
        <w:bottom w:val="none" w:sz="0" w:space="0" w:color="auto"/>
        <w:right w:val="none" w:sz="0" w:space="0" w:color="auto"/>
      </w:divBdr>
    </w:div>
    <w:div w:id="2096433238">
      <w:bodyDiv w:val="1"/>
      <w:marLeft w:val="0"/>
      <w:marRight w:val="0"/>
      <w:marTop w:val="0"/>
      <w:marBottom w:val="0"/>
      <w:divBdr>
        <w:top w:val="none" w:sz="0" w:space="0" w:color="auto"/>
        <w:left w:val="none" w:sz="0" w:space="0" w:color="auto"/>
        <w:bottom w:val="none" w:sz="0" w:space="0" w:color="auto"/>
        <w:right w:val="none" w:sz="0" w:space="0" w:color="auto"/>
      </w:divBdr>
    </w:div>
    <w:div w:id="2108966035">
      <w:bodyDiv w:val="1"/>
      <w:marLeft w:val="0"/>
      <w:marRight w:val="0"/>
      <w:marTop w:val="0"/>
      <w:marBottom w:val="0"/>
      <w:divBdr>
        <w:top w:val="none" w:sz="0" w:space="0" w:color="auto"/>
        <w:left w:val="none" w:sz="0" w:space="0" w:color="auto"/>
        <w:bottom w:val="none" w:sz="0" w:space="0" w:color="auto"/>
        <w:right w:val="none" w:sz="0" w:space="0" w:color="auto"/>
      </w:divBdr>
    </w:div>
    <w:div w:id="2125037414">
      <w:bodyDiv w:val="1"/>
      <w:marLeft w:val="0"/>
      <w:marRight w:val="0"/>
      <w:marTop w:val="0"/>
      <w:marBottom w:val="0"/>
      <w:divBdr>
        <w:top w:val="none" w:sz="0" w:space="0" w:color="auto"/>
        <w:left w:val="none" w:sz="0" w:space="0" w:color="auto"/>
        <w:bottom w:val="none" w:sz="0" w:space="0" w:color="auto"/>
        <w:right w:val="none" w:sz="0" w:space="0" w:color="auto"/>
      </w:divBdr>
    </w:div>
    <w:div w:id="2140951448">
      <w:bodyDiv w:val="1"/>
      <w:marLeft w:val="0"/>
      <w:marRight w:val="0"/>
      <w:marTop w:val="0"/>
      <w:marBottom w:val="0"/>
      <w:divBdr>
        <w:top w:val="none" w:sz="0" w:space="0" w:color="auto"/>
        <w:left w:val="none" w:sz="0" w:space="0" w:color="auto"/>
        <w:bottom w:val="none" w:sz="0" w:space="0" w:color="auto"/>
        <w:right w:val="none" w:sz="0" w:space="0" w:color="auto"/>
      </w:divBdr>
    </w:div>
    <w:div w:id="214685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footer" Target="footer4.xml"/><Relationship Id="rId33"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2A24F-1926-42B0-864F-0126935B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34650</Words>
  <Characters>197509</Characters>
  <Application>Microsoft Office Word</Application>
  <DocSecurity>0</DocSecurity>
  <Lines>1645</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2019-01-29T20:36:00Z</dcterms:created>
  <dcterms:modified xsi:type="dcterms:W3CDTF">2019-01-29T20:36:00Z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