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B161C" w14:textId="77777777" w:rsidR="005F47F6" w:rsidRPr="00894EFD" w:rsidRDefault="005F47F6" w:rsidP="006B62E3">
      <w:pPr>
        <w:keepNext/>
        <w:spacing w:after="0"/>
        <w:ind w:left="2448" w:hanging="2448"/>
        <w:jc w:val="center"/>
        <w:outlineLvl w:val="2"/>
        <w:rPr>
          <w:rFonts w:eastAsia="Calibri" w:cs="Arial"/>
          <w:b/>
          <w:sz w:val="28"/>
          <w:szCs w:val="28"/>
        </w:rPr>
      </w:pPr>
      <w:bookmarkStart w:id="0" w:name="_GoBack"/>
      <w:bookmarkEnd w:id="0"/>
      <w:r w:rsidRPr="00894EFD">
        <w:rPr>
          <w:rFonts w:eastAsia="Calibri" w:cs="Arial"/>
          <w:b/>
          <w:sz w:val="28"/>
          <w:szCs w:val="28"/>
        </w:rPr>
        <w:t>Unit Retirement Study</w:t>
      </w:r>
    </w:p>
    <w:p w14:paraId="404B161D" w14:textId="77777777" w:rsidR="005F47F6" w:rsidRPr="00894EFD" w:rsidRDefault="005F47F6" w:rsidP="006B62E3">
      <w:pPr>
        <w:spacing w:after="120"/>
        <w:rPr>
          <w:rFonts w:eastAsia="Times New Roman" w:cs="Arial"/>
        </w:rPr>
      </w:pPr>
    </w:p>
    <w:p w14:paraId="404B161E" w14:textId="0F368656" w:rsidR="00AB6DDC" w:rsidRPr="00894EFD" w:rsidRDefault="005F47F6" w:rsidP="009D1EAD">
      <w:pPr>
        <w:rPr>
          <w:strike/>
          <w:szCs w:val="24"/>
        </w:rPr>
      </w:pPr>
      <w:r w:rsidRPr="00894EFD">
        <w:t xml:space="preserve">In the Unit Retirement </w:t>
      </w:r>
      <w:r w:rsidR="00A0500D" w:rsidRPr="00894EFD">
        <w:t>Stud</w:t>
      </w:r>
      <w:r w:rsidR="002A356D" w:rsidRPr="00894EFD">
        <w:t>y</w:t>
      </w:r>
      <w:r w:rsidR="00A0500D" w:rsidRPr="00894EFD">
        <w:t xml:space="preserve"> </w:t>
      </w:r>
      <w:r w:rsidRPr="00894EFD">
        <w:t xml:space="preserve">for the </w:t>
      </w:r>
      <w:r w:rsidR="006161B6" w:rsidRPr="00894EFD">
        <w:t>201</w:t>
      </w:r>
      <w:r w:rsidR="00F7565B" w:rsidRPr="00894EFD">
        <w:rPr>
          <w:rStyle w:val="Heading1Char"/>
          <w:rFonts w:ascii="Arial" w:hAnsi="Arial"/>
          <w:b w:val="0"/>
          <w:color w:val="000000" w:themeColor="text1"/>
          <w:sz w:val="22"/>
          <w:u w:val="none"/>
        </w:rPr>
        <w:t>9</w:t>
      </w:r>
      <w:r w:rsidR="006161B6" w:rsidRPr="00894EFD">
        <w:t xml:space="preserve"> </w:t>
      </w:r>
      <w:r w:rsidR="00372878" w:rsidRPr="00894EFD">
        <w:t>Integrated Resource Plan (“</w:t>
      </w:r>
      <w:r w:rsidRPr="00894EFD">
        <w:t>IRP</w:t>
      </w:r>
      <w:r w:rsidR="00372878" w:rsidRPr="00894EFD">
        <w:t>”)</w:t>
      </w:r>
      <w:r w:rsidRPr="00894EFD">
        <w:t>, Georgia Power</w:t>
      </w:r>
      <w:r w:rsidR="00C57CD4" w:rsidRPr="00894EFD">
        <w:t xml:space="preserve"> Company (“</w:t>
      </w:r>
      <w:r w:rsidR="003702DE" w:rsidRPr="00894EFD">
        <w:t>Georgia</w:t>
      </w:r>
      <w:r w:rsidR="00C57CD4" w:rsidRPr="00894EFD">
        <w:t xml:space="preserve"> Power” or the “Company”)</w:t>
      </w:r>
      <w:r w:rsidRPr="00894EFD">
        <w:t xml:space="preserve"> has conducted economic evaluations for all Georgia Power coal-</w:t>
      </w:r>
      <w:r w:rsidR="00872638" w:rsidRPr="00894EFD">
        <w:t>fired units</w:t>
      </w:r>
      <w:r w:rsidR="00F7449E" w:rsidRPr="00894EFD">
        <w:t>,</w:t>
      </w:r>
      <w:r w:rsidR="00872638" w:rsidRPr="00894EFD">
        <w:rPr>
          <w:szCs w:val="24"/>
        </w:rPr>
        <w:t xml:space="preserve"> the </w:t>
      </w:r>
      <w:r w:rsidR="003D0F32" w:rsidRPr="00894EFD">
        <w:rPr>
          <w:szCs w:val="24"/>
        </w:rPr>
        <w:t xml:space="preserve">units </w:t>
      </w:r>
      <w:r w:rsidR="00D66217" w:rsidRPr="00894EFD">
        <w:rPr>
          <w:szCs w:val="24"/>
        </w:rPr>
        <w:t xml:space="preserve">previously </w:t>
      </w:r>
      <w:r w:rsidR="00245731" w:rsidRPr="00894EFD">
        <w:rPr>
          <w:szCs w:val="24"/>
        </w:rPr>
        <w:t xml:space="preserve">switched </w:t>
      </w:r>
      <w:r w:rsidR="003D0F32" w:rsidRPr="00894EFD">
        <w:rPr>
          <w:szCs w:val="24"/>
        </w:rPr>
        <w:t xml:space="preserve">from coal to gas </w:t>
      </w:r>
      <w:r w:rsidR="00C34E62" w:rsidRPr="00894EFD">
        <w:rPr>
          <w:szCs w:val="24"/>
        </w:rPr>
        <w:t>(</w:t>
      </w:r>
      <w:r w:rsidR="000D6906" w:rsidRPr="00894EFD">
        <w:rPr>
          <w:szCs w:val="24"/>
        </w:rPr>
        <w:t>“</w:t>
      </w:r>
      <w:r w:rsidR="003D0F32" w:rsidRPr="00894EFD">
        <w:rPr>
          <w:szCs w:val="24"/>
        </w:rPr>
        <w:t>gas-steam units</w:t>
      </w:r>
      <w:r w:rsidR="000D6906" w:rsidRPr="00894EFD">
        <w:rPr>
          <w:szCs w:val="24"/>
        </w:rPr>
        <w:t>”</w:t>
      </w:r>
      <w:r w:rsidR="00C34E62" w:rsidRPr="00894EFD">
        <w:rPr>
          <w:szCs w:val="24"/>
        </w:rPr>
        <w:t>)</w:t>
      </w:r>
      <w:r w:rsidR="00F7449E" w:rsidRPr="00894EFD">
        <w:rPr>
          <w:szCs w:val="24"/>
        </w:rPr>
        <w:t>, and three hydroelectric (“hy</w:t>
      </w:r>
      <w:r w:rsidR="00C57CD4" w:rsidRPr="00894EFD">
        <w:rPr>
          <w:szCs w:val="24"/>
        </w:rPr>
        <w:t>d</w:t>
      </w:r>
      <w:r w:rsidR="00F7449E" w:rsidRPr="00894EFD">
        <w:rPr>
          <w:szCs w:val="24"/>
        </w:rPr>
        <w:t>ro”) plants</w:t>
      </w:r>
      <w:r w:rsidR="003D0F32" w:rsidRPr="00894EFD">
        <w:rPr>
          <w:szCs w:val="24"/>
        </w:rPr>
        <w:t>.</w:t>
      </w:r>
      <w:r w:rsidR="00572541" w:rsidRPr="00894EFD">
        <w:rPr>
          <w:szCs w:val="24"/>
        </w:rPr>
        <w:t xml:space="preserve"> </w:t>
      </w:r>
      <w:r w:rsidRPr="00894EFD">
        <w:rPr>
          <w:szCs w:val="24"/>
        </w:rPr>
        <w:t>These economic evaluations compare the costs and benefits of</w:t>
      </w:r>
      <w:r w:rsidR="00080120" w:rsidRPr="00894EFD">
        <w:rPr>
          <w:szCs w:val="24"/>
        </w:rPr>
        <w:t xml:space="preserve"> continued operation for these units</w:t>
      </w:r>
      <w:r w:rsidR="002062D2" w:rsidRPr="00894EFD">
        <w:rPr>
          <w:szCs w:val="24"/>
        </w:rPr>
        <w:t>.</w:t>
      </w:r>
      <w:r w:rsidR="005B04C0" w:rsidRPr="00894EFD">
        <w:rPr>
          <w:szCs w:val="24"/>
        </w:rPr>
        <w:t xml:space="preserve"> The combination of low lo</w:t>
      </w:r>
      <w:r w:rsidR="005B04C0" w:rsidRPr="00E768ED">
        <w:rPr>
          <w:rFonts w:cs="Arial"/>
        </w:rPr>
        <w:t>ad growth,</w:t>
      </w:r>
      <w:r w:rsidR="00FD62E8">
        <w:rPr>
          <w:rFonts w:cs="Arial"/>
        </w:rPr>
        <w:t xml:space="preserve"> </w:t>
      </w:r>
      <w:r w:rsidR="005B04C0" w:rsidRPr="00E768ED">
        <w:rPr>
          <w:rFonts w:cs="Arial"/>
        </w:rPr>
        <w:t>c</w:t>
      </w:r>
      <w:r w:rsidR="005B04C0" w:rsidRPr="00894EFD">
        <w:rPr>
          <w:szCs w:val="24"/>
        </w:rPr>
        <w:t xml:space="preserve">ompliance costs, and </w:t>
      </w:r>
      <w:r w:rsidR="00C57CD4" w:rsidRPr="00894EFD">
        <w:rPr>
          <w:szCs w:val="24"/>
        </w:rPr>
        <w:t>sustained</w:t>
      </w:r>
      <w:r w:rsidR="005B04C0" w:rsidRPr="00894EFD">
        <w:rPr>
          <w:szCs w:val="24"/>
        </w:rPr>
        <w:t xml:space="preserve"> low gas prices continue</w:t>
      </w:r>
      <w:r w:rsidR="00FF6E10" w:rsidRPr="00894EFD">
        <w:rPr>
          <w:szCs w:val="24"/>
        </w:rPr>
        <w:t>s</w:t>
      </w:r>
      <w:r w:rsidR="005B04C0" w:rsidRPr="00894EFD">
        <w:rPr>
          <w:szCs w:val="24"/>
        </w:rPr>
        <w:t xml:space="preserve"> to place economic pressure on these units. Based on these economic evaluations, the Company recommends decertification of Plant Hammond Units 1-4, Plant McIntosh Unit 1, Plant Langdale Units 5-6, Plant Riverview Units 1-2, and Plant Estatoah Unit 1.</w:t>
      </w:r>
    </w:p>
    <w:p w14:paraId="404B1620" w14:textId="76559172" w:rsidR="005F47F6" w:rsidRPr="00894EFD" w:rsidRDefault="006161B6" w:rsidP="00894EFD">
      <w:pPr>
        <w:pStyle w:val="Heading1"/>
        <w:spacing w:after="240" w:line="360" w:lineRule="auto"/>
        <w:ind w:left="0" w:firstLine="0"/>
        <w:rPr>
          <w:rFonts w:ascii="Arial" w:hAnsi="Arial"/>
          <w:sz w:val="24"/>
        </w:rPr>
      </w:pPr>
      <w:bookmarkStart w:id="1" w:name="_Toc299021049"/>
      <w:r w:rsidRPr="00894EFD">
        <w:rPr>
          <w:rFonts w:ascii="Arial" w:hAnsi="Arial"/>
          <w:sz w:val="24"/>
        </w:rPr>
        <w:t>201</w:t>
      </w:r>
      <w:r w:rsidR="00F7565B" w:rsidRPr="00894EFD">
        <w:rPr>
          <w:rFonts w:ascii="Arial" w:hAnsi="Arial"/>
          <w:sz w:val="24"/>
        </w:rPr>
        <w:t>9</w:t>
      </w:r>
      <w:r w:rsidRPr="00894EFD">
        <w:rPr>
          <w:rFonts w:ascii="Arial" w:hAnsi="Arial"/>
          <w:sz w:val="24"/>
        </w:rPr>
        <w:t xml:space="preserve"> </w:t>
      </w:r>
      <w:r w:rsidR="009E20FD" w:rsidRPr="00894EFD">
        <w:rPr>
          <w:rFonts w:ascii="Arial" w:hAnsi="Arial"/>
          <w:sz w:val="24"/>
        </w:rPr>
        <w:t>Coal-</w:t>
      </w:r>
      <w:r w:rsidR="00FF6E10" w:rsidRPr="00894EFD">
        <w:rPr>
          <w:rFonts w:ascii="Arial" w:hAnsi="Arial"/>
          <w:sz w:val="24"/>
        </w:rPr>
        <w:t>F</w:t>
      </w:r>
      <w:r w:rsidR="009E20FD" w:rsidRPr="00894EFD">
        <w:rPr>
          <w:rFonts w:ascii="Arial" w:hAnsi="Arial"/>
          <w:sz w:val="24"/>
        </w:rPr>
        <w:t>ired and Gas-Steam</w:t>
      </w:r>
      <w:r w:rsidR="00372878" w:rsidRPr="00894EFD">
        <w:rPr>
          <w:rFonts w:ascii="Arial" w:hAnsi="Arial"/>
          <w:sz w:val="24"/>
        </w:rPr>
        <w:t xml:space="preserve"> </w:t>
      </w:r>
      <w:r w:rsidR="005F47F6" w:rsidRPr="00894EFD">
        <w:rPr>
          <w:rFonts w:ascii="Arial" w:hAnsi="Arial"/>
          <w:sz w:val="24"/>
        </w:rPr>
        <w:t>Unit Retirement Study</w:t>
      </w:r>
      <w:bookmarkEnd w:id="1"/>
    </w:p>
    <w:p w14:paraId="404B1621" w14:textId="77777777" w:rsidR="005F47F6" w:rsidRPr="00592DAD" w:rsidRDefault="005F47F6" w:rsidP="00F80C0A">
      <w:pPr>
        <w:pStyle w:val="Heading2"/>
      </w:pPr>
      <w:bookmarkStart w:id="2" w:name="_Toc299021050"/>
      <w:r w:rsidRPr="00592DAD">
        <w:t>Introduction</w:t>
      </w:r>
      <w:bookmarkEnd w:id="2"/>
    </w:p>
    <w:p w14:paraId="404B1624" w14:textId="5AB1EBB7" w:rsidR="005F47F6" w:rsidRPr="00894EFD" w:rsidRDefault="005F47F6" w:rsidP="00894EFD">
      <w:pPr>
        <w:rPr>
          <w:sz w:val="24"/>
          <w:szCs w:val="24"/>
        </w:rPr>
      </w:pPr>
      <w:r w:rsidRPr="00894EFD">
        <w:t xml:space="preserve">Unit </w:t>
      </w:r>
      <w:r w:rsidR="00C5482B">
        <w:t>r</w:t>
      </w:r>
      <w:r w:rsidRPr="00894EFD">
        <w:t xml:space="preserve">etirement </w:t>
      </w:r>
      <w:r w:rsidR="00C5482B">
        <w:t>s</w:t>
      </w:r>
      <w:r w:rsidRPr="00894EFD">
        <w:t>tud</w:t>
      </w:r>
      <w:r w:rsidR="009A1370" w:rsidRPr="00894EFD">
        <w:t xml:space="preserve">ies </w:t>
      </w:r>
      <w:r w:rsidRPr="00894EFD">
        <w:t xml:space="preserve">were performed for each of Georgia Power’s </w:t>
      </w:r>
      <w:r w:rsidR="009A1370" w:rsidRPr="00894EFD">
        <w:t>coal-fired</w:t>
      </w:r>
      <w:r w:rsidR="00013FF4" w:rsidRPr="00894EFD">
        <w:t xml:space="preserve"> </w:t>
      </w:r>
      <w:r w:rsidR="008D7613" w:rsidRPr="00894EFD">
        <w:t xml:space="preserve">and </w:t>
      </w:r>
      <w:r w:rsidR="009A1370" w:rsidRPr="00894EFD">
        <w:t>gas-steam</w:t>
      </w:r>
      <w:r w:rsidR="000D6906" w:rsidRPr="00894EFD">
        <w:t xml:space="preserve"> </w:t>
      </w:r>
      <w:r w:rsidR="009A1370" w:rsidRPr="00894EFD">
        <w:t>units</w:t>
      </w:r>
      <w:r w:rsidR="00D66217" w:rsidRPr="00894EFD">
        <w:t xml:space="preserve">. </w:t>
      </w:r>
      <w:bookmarkStart w:id="3" w:name="_Hlk534902402"/>
      <w:r w:rsidR="005B04C0" w:rsidRPr="00894EFD">
        <w:t>T</w:t>
      </w:r>
      <w:r w:rsidRPr="00894EFD">
        <w:t>he economic analysis</w:t>
      </w:r>
      <w:r w:rsidR="005B04C0" w:rsidRPr="00894EFD">
        <w:t xml:space="preserve"> compares</w:t>
      </w:r>
      <w:r w:rsidRPr="00894EFD">
        <w:t xml:space="preserve"> the incremental cost</w:t>
      </w:r>
      <w:r w:rsidR="00FF6E10" w:rsidRPr="00894EFD">
        <w:t>s</w:t>
      </w:r>
      <w:r w:rsidR="008D74D1" w:rsidRPr="00894EFD">
        <w:t xml:space="preserve"> and benefits</w:t>
      </w:r>
      <w:r w:rsidRPr="00894EFD">
        <w:t xml:space="preserve"> of the </w:t>
      </w:r>
      <w:r w:rsidR="003D0F32" w:rsidRPr="00894EFD">
        <w:t>existing</w:t>
      </w:r>
      <w:r w:rsidRPr="00894EFD">
        <w:t xml:space="preserve"> unit</w:t>
      </w:r>
      <w:r w:rsidR="00162514" w:rsidRPr="00894EFD">
        <w:t xml:space="preserve"> </w:t>
      </w:r>
      <w:r w:rsidRPr="00894EFD">
        <w:t xml:space="preserve">to a proxy replacement unit. </w:t>
      </w:r>
      <w:bookmarkEnd w:id="3"/>
      <w:r w:rsidR="00C57CD4" w:rsidRPr="00894EFD">
        <w:t>Consistent</w:t>
      </w:r>
      <w:r w:rsidR="005B04C0" w:rsidRPr="00894EFD">
        <w:t xml:space="preserve"> </w:t>
      </w:r>
      <w:r w:rsidR="00152A38" w:rsidRPr="00894EFD">
        <w:t>with past practice, t</w:t>
      </w:r>
      <w:r w:rsidRPr="00894EFD">
        <w:t xml:space="preserve">he year of replacement evaluated for </w:t>
      </w:r>
      <w:proofErr w:type="gramStart"/>
      <w:r w:rsidRPr="00894EFD">
        <w:t>particular units</w:t>
      </w:r>
      <w:proofErr w:type="gramEnd"/>
      <w:r w:rsidRPr="00894EFD">
        <w:t xml:space="preserve"> was based on assumed retirements of other units</w:t>
      </w:r>
      <w:r w:rsidR="008D7613" w:rsidRPr="00894EFD">
        <w:t xml:space="preserve"> in an established rank order</w:t>
      </w:r>
      <w:r w:rsidRPr="00894EFD">
        <w:t xml:space="preserve">. The </w:t>
      </w:r>
      <w:r w:rsidR="001018D2" w:rsidRPr="00894EFD">
        <w:t>economic analysis also</w:t>
      </w:r>
      <w:r w:rsidRPr="00894EFD">
        <w:t xml:space="preserve"> include</w:t>
      </w:r>
      <w:r w:rsidR="008D7613" w:rsidRPr="00894EFD">
        <w:t>s</w:t>
      </w:r>
      <w:r w:rsidR="00230EDA" w:rsidRPr="00894EFD">
        <w:t xml:space="preserve"> a determination of capacity value,</w:t>
      </w:r>
      <w:r w:rsidRPr="00894EFD">
        <w:t xml:space="preserve"> hourly production cost modeling</w:t>
      </w:r>
      <w:r w:rsidR="008D74D1" w:rsidRPr="00894EFD">
        <w:t xml:space="preserve">, </w:t>
      </w:r>
      <w:r w:rsidRPr="00894EFD">
        <w:t xml:space="preserve">and cost implications to the </w:t>
      </w:r>
      <w:r w:rsidR="00005BE5" w:rsidRPr="00894EFD">
        <w:t>transmission system</w:t>
      </w:r>
      <w:r w:rsidRPr="00894EFD">
        <w:t>. Changes in production cost, capital</w:t>
      </w:r>
      <w:r w:rsidR="00DF744F" w:rsidRPr="00894EFD">
        <w:t xml:space="preserve"> cost</w:t>
      </w:r>
      <w:r w:rsidRPr="00894EFD">
        <w:t>, and other fixed costs were captured in the comparison to help determine the most economic option for customers.</w:t>
      </w:r>
      <w:r w:rsidR="0033122E" w:rsidRPr="00894EFD">
        <w:t xml:space="preserve"> The results of these analyses were one of the primary determinants in the basis for the Company’s decision to invest, retire, or defer action on the unit(s)</w:t>
      </w:r>
      <w:r w:rsidR="00E768ED" w:rsidRPr="00E768ED">
        <w:rPr>
          <w:rFonts w:cs="Arial"/>
        </w:rPr>
        <w:t xml:space="preserve"> studied</w:t>
      </w:r>
      <w:r w:rsidR="0033122E" w:rsidRPr="00894EFD">
        <w:t>.</w:t>
      </w:r>
    </w:p>
    <w:p w14:paraId="404B1625" w14:textId="77777777" w:rsidR="005F47F6" w:rsidRPr="00592DAD" w:rsidRDefault="005F47F6" w:rsidP="00592DAD">
      <w:pPr>
        <w:pStyle w:val="Heading2"/>
      </w:pPr>
      <w:bookmarkStart w:id="4" w:name="_Toc299021051"/>
      <w:r w:rsidRPr="00592DAD">
        <w:t>Incremental Costs</w:t>
      </w:r>
      <w:bookmarkEnd w:id="4"/>
      <w:r w:rsidRPr="00592DAD">
        <w:t xml:space="preserve"> </w:t>
      </w:r>
    </w:p>
    <w:p w14:paraId="404B1626" w14:textId="0CC1FBB7" w:rsidR="005F47F6" w:rsidRPr="00894EFD" w:rsidRDefault="005F47F6" w:rsidP="00894EFD">
      <w:r w:rsidRPr="00894EFD">
        <w:t xml:space="preserve">Incremental costs include </w:t>
      </w:r>
      <w:r w:rsidR="00646C3F" w:rsidRPr="00894EFD">
        <w:t xml:space="preserve">delivered </w:t>
      </w:r>
      <w:r w:rsidRPr="00894EFD">
        <w:t xml:space="preserve">fuel, operation and maintenance expenses </w:t>
      </w:r>
      <w:r w:rsidR="006634D4" w:rsidRPr="00894EFD">
        <w:t>(“</w:t>
      </w:r>
      <w:r w:rsidR="006C66EB" w:rsidRPr="00894EFD">
        <w:t>O&amp;M</w:t>
      </w:r>
      <w:r w:rsidR="00A05493" w:rsidRPr="00894EFD">
        <w:t>”</w:t>
      </w:r>
      <w:r w:rsidRPr="00894EFD">
        <w:t>), maintenance capital, emissions costs (NO</w:t>
      </w:r>
      <w:r w:rsidRPr="00894EFD">
        <w:rPr>
          <w:vertAlign w:val="subscript"/>
        </w:rPr>
        <w:t>X</w:t>
      </w:r>
      <w:r w:rsidRPr="00894EFD">
        <w:t>, SO</w:t>
      </w:r>
      <w:r w:rsidRPr="00894EFD">
        <w:rPr>
          <w:vertAlign w:val="subscript"/>
        </w:rPr>
        <w:t>2</w:t>
      </w:r>
      <w:r w:rsidRPr="00894EFD">
        <w:t>, and CO</w:t>
      </w:r>
      <w:r w:rsidRPr="00894EFD">
        <w:rPr>
          <w:vertAlign w:val="subscript"/>
        </w:rPr>
        <w:t>2</w:t>
      </w:r>
      <w:r w:rsidRPr="00894EFD">
        <w:t>)</w:t>
      </w:r>
      <w:r w:rsidR="00803FFE" w:rsidRPr="00894EFD">
        <w:t>, and future environmental controls</w:t>
      </w:r>
      <w:r w:rsidRPr="00894EFD">
        <w:t xml:space="preserve"> associated with continued operation of the facility. An economic dispatch model was used to forecast </w:t>
      </w:r>
      <w:r w:rsidR="00C03AAC">
        <w:t>production</w:t>
      </w:r>
      <w:r w:rsidRPr="00894EFD">
        <w:t xml:space="preserve"> costs based on the hourl</w:t>
      </w:r>
      <w:r w:rsidR="00C03AAC">
        <w:t>y operation of modeled</w:t>
      </w:r>
      <w:r w:rsidRPr="00894EFD">
        <w:t xml:space="preserve"> unit</w:t>
      </w:r>
      <w:r w:rsidR="00C03AAC">
        <w:t>s</w:t>
      </w:r>
      <w:r w:rsidRPr="00894EFD">
        <w:t xml:space="preserve"> in each scenario.</w:t>
      </w:r>
    </w:p>
    <w:p w14:paraId="404B1627" w14:textId="684F4491" w:rsidR="005F47F6" w:rsidRPr="00894EFD" w:rsidRDefault="005F47F6" w:rsidP="00894EFD">
      <w:r w:rsidRPr="00894EFD">
        <w:t xml:space="preserve">O&amp;M includes </w:t>
      </w:r>
      <w:r w:rsidR="0030138C" w:rsidRPr="00894EFD">
        <w:t xml:space="preserve">all </w:t>
      </w:r>
      <w:r w:rsidRPr="00894EFD">
        <w:t xml:space="preserve">labor, materials, </w:t>
      </w:r>
      <w:r w:rsidR="0030138C" w:rsidRPr="00894EFD">
        <w:t xml:space="preserve">engineering and support services, and </w:t>
      </w:r>
      <w:r w:rsidRPr="00894EFD">
        <w:t>overhead costs</w:t>
      </w:r>
      <w:r w:rsidR="0030138C" w:rsidRPr="00894EFD">
        <w:t xml:space="preserve"> necessary to operate </w:t>
      </w:r>
      <w:r w:rsidRPr="00894EFD">
        <w:t xml:space="preserve">the plant. For </w:t>
      </w:r>
      <w:r w:rsidR="00646C3F" w:rsidRPr="00894EFD">
        <w:t xml:space="preserve">all </w:t>
      </w:r>
      <w:r w:rsidRPr="00894EFD">
        <w:t>units</w:t>
      </w:r>
      <w:r w:rsidR="00646C3F" w:rsidRPr="00894EFD">
        <w:t>,</w:t>
      </w:r>
      <w:r w:rsidR="00245731" w:rsidRPr="00894EFD">
        <w:t xml:space="preserve"> </w:t>
      </w:r>
      <w:r w:rsidR="00F7565B" w:rsidRPr="00894EFD">
        <w:t>thirty</w:t>
      </w:r>
      <w:r w:rsidRPr="00894EFD">
        <w:t>-year projections of incremental O&amp;M</w:t>
      </w:r>
      <w:r w:rsidR="00646C3F" w:rsidRPr="00894EFD">
        <w:t xml:space="preserve"> budgets</w:t>
      </w:r>
      <w:r w:rsidRPr="00894EFD">
        <w:t xml:space="preserve"> were obtained from the </w:t>
      </w:r>
      <w:r w:rsidR="008B284D" w:rsidRPr="00894EFD">
        <w:t>201</w:t>
      </w:r>
      <w:r w:rsidR="00F7565B" w:rsidRPr="00894EFD">
        <w:t>9</w:t>
      </w:r>
      <w:r w:rsidR="008B284D" w:rsidRPr="00894EFD">
        <w:t xml:space="preserve"> </w:t>
      </w:r>
      <w:r w:rsidRPr="00894EFD">
        <w:t>budget pr</w:t>
      </w:r>
      <w:r w:rsidR="00245731" w:rsidRPr="00894EFD">
        <w:t>ocess</w:t>
      </w:r>
      <w:r w:rsidRPr="00894EFD">
        <w:t>.</w:t>
      </w:r>
      <w:r w:rsidR="0033122E" w:rsidRPr="00894EFD">
        <w:t xml:space="preserve"> O&amp;M costs are broken out between fixed and </w:t>
      </w:r>
      <w:r w:rsidR="0033122E" w:rsidRPr="00894EFD">
        <w:lastRenderedPageBreak/>
        <w:t xml:space="preserve">variable O&amp;M for each study. </w:t>
      </w:r>
      <w:bookmarkStart w:id="5" w:name="_Hlk535245651"/>
      <w:r w:rsidR="0033122E" w:rsidRPr="00894EFD">
        <w:t>Fixed O&amp;M is</w:t>
      </w:r>
      <w:r w:rsidR="00B1730B" w:rsidRPr="00894EFD">
        <w:t xml:space="preserve"> directly</w:t>
      </w:r>
      <w:r w:rsidR="0033122E" w:rsidRPr="00894EFD">
        <w:t xml:space="preserve"> reflected in the asset valuation model (“AV Tool”)</w:t>
      </w:r>
      <w:r w:rsidR="00926FBA">
        <w:t>.</w:t>
      </w:r>
      <w:r w:rsidR="0033122E" w:rsidRPr="00894EFD">
        <w:t xml:space="preserve"> </w:t>
      </w:r>
      <w:r w:rsidR="00926FBA">
        <w:t xml:space="preserve"> V</w:t>
      </w:r>
      <w:r w:rsidR="0033122E" w:rsidRPr="00894EFD">
        <w:t>ariable O&amp;M</w:t>
      </w:r>
      <w:r w:rsidR="00926FBA">
        <w:t>, Fuel</w:t>
      </w:r>
      <w:r w:rsidR="00AD06F8">
        <w:t xml:space="preserve"> Costs,</w:t>
      </w:r>
      <w:r w:rsidR="00926FBA">
        <w:t xml:space="preserve"> and Emissions Costs</w:t>
      </w:r>
      <w:r w:rsidR="0033122E" w:rsidRPr="00894EFD">
        <w:t xml:space="preserve"> </w:t>
      </w:r>
      <w:r w:rsidR="00926FBA">
        <w:t>are</w:t>
      </w:r>
      <w:r w:rsidR="0033122E" w:rsidRPr="00894EFD">
        <w:t xml:space="preserve"> </w:t>
      </w:r>
      <w:r w:rsidR="00926FBA">
        <w:t>netted out of</w:t>
      </w:r>
      <w:r w:rsidR="0033122E" w:rsidRPr="00894EFD">
        <w:t xml:space="preserve"> each unit</w:t>
      </w:r>
      <w:r w:rsidR="00571052" w:rsidRPr="00894EFD">
        <w:t>’</w:t>
      </w:r>
      <w:r w:rsidR="0033122E" w:rsidRPr="00894EFD">
        <w:t xml:space="preserve">s </w:t>
      </w:r>
      <w:r w:rsidR="005733EF" w:rsidRPr="00894EFD">
        <w:t>energy benefit</w:t>
      </w:r>
      <w:r w:rsidR="0035783A" w:rsidRPr="00894EFD">
        <w:t>s</w:t>
      </w:r>
      <w:r w:rsidR="0033122E" w:rsidRPr="00894EFD">
        <w:t xml:space="preserve"> </w:t>
      </w:r>
      <w:r w:rsidR="003702DE" w:rsidRPr="00894EFD">
        <w:t xml:space="preserve">and </w:t>
      </w:r>
      <w:r w:rsidR="00926FBA">
        <w:t xml:space="preserve">are </w:t>
      </w:r>
      <w:r w:rsidR="0033122E" w:rsidRPr="00894EFD">
        <w:t>derived by the production cost models (</w:t>
      </w:r>
      <w:r w:rsidR="001026B0" w:rsidRPr="00894EFD">
        <w:t>“</w:t>
      </w:r>
      <w:r w:rsidR="0033122E" w:rsidRPr="00894EFD">
        <w:t>GenVal</w:t>
      </w:r>
      <w:r w:rsidR="001026B0" w:rsidRPr="00894EFD">
        <w:t>”</w:t>
      </w:r>
      <w:r w:rsidR="0033122E" w:rsidRPr="00894EFD">
        <w:t xml:space="preserve"> </w:t>
      </w:r>
      <w:r w:rsidR="00A74FC0" w:rsidRPr="00894EFD">
        <w:t>and</w:t>
      </w:r>
      <w:r w:rsidR="0033122E" w:rsidRPr="00894EFD">
        <w:t xml:space="preserve"> </w:t>
      </w:r>
      <w:r w:rsidR="001026B0" w:rsidRPr="00894EFD">
        <w:t>“AURORA”</w:t>
      </w:r>
      <w:r w:rsidR="0033122E" w:rsidRPr="00894EFD">
        <w:t xml:space="preserve">). </w:t>
      </w:r>
      <w:bookmarkEnd w:id="5"/>
      <w:r w:rsidR="00245731" w:rsidRPr="00894EFD">
        <w:t xml:space="preserve">Maintenance capital costs are the projected capital expenditures necessary to </w:t>
      </w:r>
      <w:r w:rsidR="00B1730B" w:rsidRPr="00894EFD">
        <w:t>maintain</w:t>
      </w:r>
      <w:r w:rsidR="00013FF4" w:rsidRPr="00894EFD">
        <w:t xml:space="preserve"> reliable operation</w:t>
      </w:r>
      <w:r w:rsidR="00B1730B" w:rsidRPr="00894EFD">
        <w:t xml:space="preserve"> </w:t>
      </w:r>
      <w:r w:rsidR="00245731" w:rsidRPr="00894EFD">
        <w:t>through the analysis period</w:t>
      </w:r>
      <w:r w:rsidR="00D22B04" w:rsidRPr="00894EFD">
        <w:t xml:space="preserve"> and </w:t>
      </w:r>
      <w:r w:rsidR="00B1730B" w:rsidRPr="00894EFD">
        <w:t xml:space="preserve">are based on current </w:t>
      </w:r>
      <w:r w:rsidRPr="00894EFD">
        <w:t>plant level</w:t>
      </w:r>
      <w:r w:rsidR="00B1730B" w:rsidRPr="00894EFD">
        <w:t xml:space="preserve"> projections</w:t>
      </w:r>
      <w:r w:rsidR="00646C3F" w:rsidRPr="00894EFD">
        <w:t xml:space="preserve">. </w:t>
      </w:r>
      <w:r w:rsidR="00A6581A" w:rsidRPr="00D13EB7">
        <w:rPr>
          <w:rFonts w:cs="Arial"/>
        </w:rPr>
        <w:t>A</w:t>
      </w:r>
      <w:r w:rsidR="00A6581A">
        <w:rPr>
          <w:rFonts w:cs="Arial"/>
        </w:rPr>
        <w:t xml:space="preserve">sset </w:t>
      </w:r>
      <w:r w:rsidR="00A6581A" w:rsidRPr="00D13EB7">
        <w:rPr>
          <w:rFonts w:cs="Arial"/>
        </w:rPr>
        <w:t>R</w:t>
      </w:r>
      <w:r w:rsidR="00A6581A">
        <w:rPr>
          <w:rFonts w:cs="Arial"/>
        </w:rPr>
        <w:t xml:space="preserve">etirement </w:t>
      </w:r>
      <w:r w:rsidR="00A6581A" w:rsidRPr="00D13EB7">
        <w:rPr>
          <w:rFonts w:cs="Arial"/>
        </w:rPr>
        <w:t>O</w:t>
      </w:r>
      <w:r w:rsidR="00A6581A">
        <w:rPr>
          <w:rFonts w:cs="Arial"/>
        </w:rPr>
        <w:t>bligation (“ARO”)</w:t>
      </w:r>
      <w:r w:rsidR="00A6581A" w:rsidRPr="00D13EB7">
        <w:rPr>
          <w:rFonts w:cs="Arial"/>
        </w:rPr>
        <w:t xml:space="preserve"> expenditures were not included in the study because these expenditures are required regardless of whether the plant continues operation or is retired. </w:t>
      </w:r>
    </w:p>
    <w:p w14:paraId="404B162A" w14:textId="0A64B58C" w:rsidR="005F47F6" w:rsidRPr="00894EFD" w:rsidRDefault="005F47F6" w:rsidP="00894EFD">
      <w:pPr>
        <w:rPr>
          <w:sz w:val="24"/>
          <w:szCs w:val="24"/>
        </w:rPr>
      </w:pPr>
      <w:r w:rsidRPr="00894EFD">
        <w:t xml:space="preserve">Environmental capital </w:t>
      </w:r>
      <w:r w:rsidR="00646C3F" w:rsidRPr="00894EFD">
        <w:t>and the associated O&amp;M</w:t>
      </w:r>
      <w:r w:rsidRPr="00894EFD">
        <w:t xml:space="preserve"> </w:t>
      </w:r>
      <w:r w:rsidR="00646C3F" w:rsidRPr="00894EFD">
        <w:t xml:space="preserve">expenditures </w:t>
      </w:r>
      <w:r w:rsidRPr="00894EFD">
        <w:t xml:space="preserve">projected to be required for compliance </w:t>
      </w:r>
      <w:r w:rsidR="00B1730B" w:rsidRPr="00894EFD">
        <w:t>are</w:t>
      </w:r>
      <w:r w:rsidRPr="00894EFD">
        <w:t xml:space="preserve"> not included in the ongoing operation expenditures described above.</w:t>
      </w:r>
      <w:r w:rsidR="00013FF4" w:rsidRPr="00894EFD">
        <w:t xml:space="preserve"> However, these investments are reflected in each unit retirement study and include the</w:t>
      </w:r>
      <w:r w:rsidRPr="00894EFD">
        <w:t xml:space="preserve"> incremental capital </w:t>
      </w:r>
      <w:r w:rsidR="0008517B" w:rsidRPr="00894EFD">
        <w:t xml:space="preserve">and O&amp;M </w:t>
      </w:r>
      <w:r w:rsidRPr="00894EFD">
        <w:t xml:space="preserve">estimates </w:t>
      </w:r>
      <w:r w:rsidR="00D22B04" w:rsidRPr="00894EFD">
        <w:t xml:space="preserve">associated with </w:t>
      </w:r>
      <w:r w:rsidR="00013FF4" w:rsidRPr="00894EFD">
        <w:t xml:space="preserve">compliance for </w:t>
      </w:r>
      <w:r w:rsidR="00D22B04" w:rsidRPr="00894EFD">
        <w:t>the Coal Combustion Residuals (“CCR”) rule</w:t>
      </w:r>
      <w:r w:rsidR="00C11704">
        <w:t>s</w:t>
      </w:r>
      <w:r w:rsidR="00D22B04" w:rsidRPr="00894EFD">
        <w:t xml:space="preserve">, Section 316(b) Cooling Water Intake Structure rule of the Clean Water Act (“316(b)”), National Pollutant Discharge Elimination System thermal compliance, and the Steam Electric </w:t>
      </w:r>
      <w:r w:rsidR="0008517B" w:rsidRPr="00894EFD">
        <w:t xml:space="preserve">Power Generating </w:t>
      </w:r>
      <w:r w:rsidR="00D22B04" w:rsidRPr="00894EFD">
        <w:t>Effluent</w:t>
      </w:r>
      <w:r w:rsidR="00BC4816" w:rsidRPr="00894EFD">
        <w:t xml:space="preserve"> </w:t>
      </w:r>
      <w:r w:rsidR="0008517B" w:rsidRPr="00894EFD">
        <w:t>L</w:t>
      </w:r>
      <w:r w:rsidR="00D22B04" w:rsidRPr="00894EFD">
        <w:t>imitation</w:t>
      </w:r>
      <w:r w:rsidR="0008517B" w:rsidRPr="00894EFD">
        <w:t>s</w:t>
      </w:r>
      <w:r w:rsidR="00D22B04" w:rsidRPr="00894EFD">
        <w:t xml:space="preserve"> </w:t>
      </w:r>
      <w:r w:rsidR="00C57CD4" w:rsidRPr="00894EFD">
        <w:t>Guidelines</w:t>
      </w:r>
      <w:r w:rsidR="00D22B04" w:rsidRPr="00894EFD">
        <w:t xml:space="preserve"> (“ELG”) rule</w:t>
      </w:r>
      <w:r w:rsidRPr="00894EFD">
        <w:t>.</w:t>
      </w:r>
      <w:r w:rsidR="00D13EB7" w:rsidRPr="00D13EB7">
        <w:rPr>
          <w:rFonts w:cs="Arial"/>
        </w:rPr>
        <w:t xml:space="preserve"> </w:t>
      </w:r>
      <w:r w:rsidRPr="00894EFD">
        <w:t>The control requirements and dates inclu</w:t>
      </w:r>
      <w:r w:rsidR="003353B0" w:rsidRPr="00894EFD">
        <w:t>ded in the analyse</w:t>
      </w:r>
      <w:r w:rsidRPr="00894EFD">
        <w:t xml:space="preserve">s </w:t>
      </w:r>
      <w:r w:rsidR="0082629C" w:rsidRPr="00894EFD">
        <w:t xml:space="preserve">are </w:t>
      </w:r>
      <w:r w:rsidRPr="00894EFD">
        <w:t xml:space="preserve">based on the compliance requirements of environmental </w:t>
      </w:r>
      <w:r w:rsidR="00C34E62" w:rsidRPr="00894EFD">
        <w:t>rules and regulations</w:t>
      </w:r>
      <w:r w:rsidR="00C11704">
        <w:t xml:space="preserve"> for which the Company has </w:t>
      </w:r>
      <w:r w:rsidR="00C11704" w:rsidRPr="00A12390">
        <w:rPr>
          <w:rFonts w:cs="Arial"/>
        </w:rPr>
        <w:t xml:space="preserve">compliance plans in </w:t>
      </w:r>
      <w:proofErr w:type="gramStart"/>
      <w:r w:rsidR="00C11704" w:rsidRPr="00A12390">
        <w:rPr>
          <w:rFonts w:cs="Arial"/>
        </w:rPr>
        <w:t>place</w:t>
      </w:r>
      <w:r w:rsidRPr="00A12390">
        <w:rPr>
          <w:rFonts w:cs="Arial"/>
        </w:rPr>
        <w:t>.</w:t>
      </w:r>
      <w:bookmarkStart w:id="6" w:name="_Hlk534880344"/>
      <w:r w:rsidR="00A12390" w:rsidRPr="00A12390">
        <w:rPr>
          <w:rFonts w:cs="Arial"/>
        </w:rPr>
        <w:t>.</w:t>
      </w:r>
      <w:proofErr w:type="gramEnd"/>
      <w:r w:rsidR="00A12390" w:rsidRPr="00A12390">
        <w:rPr>
          <w:rFonts w:cs="Arial"/>
        </w:rPr>
        <w:t xml:space="preserve"> </w:t>
      </w:r>
      <w:bookmarkEnd w:id="6"/>
      <w:r w:rsidR="00A12390" w:rsidRPr="00A12390">
        <w:rPr>
          <w:rFonts w:cs="Arial"/>
        </w:rPr>
        <w:t xml:space="preserve"> For each of the units analyzed, all environmental controls are expected to be necessary for compliance with final environmental rulemakings.</w:t>
      </w:r>
      <w:r w:rsidRPr="00894EFD">
        <w:t xml:space="preserve">  </w:t>
      </w:r>
      <w:bookmarkStart w:id="7" w:name="_Hlk532473924"/>
      <w:r w:rsidRPr="00894EFD">
        <w:t>Additional information about environmental rulemakings and their projected compliance requirements can be found in the Environmental Compliance Strategy in Technical Appendix Volume 2.</w:t>
      </w:r>
      <w:bookmarkEnd w:id="7"/>
    </w:p>
    <w:p w14:paraId="404B162B" w14:textId="77777777" w:rsidR="005F47F6" w:rsidRPr="00592DAD" w:rsidRDefault="005F47F6" w:rsidP="00F80C0A">
      <w:pPr>
        <w:pStyle w:val="Heading2"/>
      </w:pPr>
      <w:bookmarkStart w:id="8" w:name="_Toc299021052"/>
      <w:r w:rsidRPr="00592DAD">
        <w:t xml:space="preserve">Replacement Unit </w:t>
      </w:r>
      <w:r w:rsidR="00081D1F" w:rsidRPr="00592DAD">
        <w:t xml:space="preserve">and Transmission Avoided </w:t>
      </w:r>
      <w:r w:rsidRPr="00592DAD">
        <w:t>Costs</w:t>
      </w:r>
      <w:bookmarkEnd w:id="8"/>
      <w:r w:rsidRPr="00592DAD">
        <w:t xml:space="preserve"> </w:t>
      </w:r>
    </w:p>
    <w:p w14:paraId="62D4D86A" w14:textId="44064FC8" w:rsidR="005F3BC9" w:rsidRPr="00894EFD" w:rsidRDefault="00FE3FE1" w:rsidP="00894EFD">
      <w:r w:rsidRPr="00894EFD">
        <w:t xml:space="preserve">For each analysis, </w:t>
      </w:r>
      <w:r w:rsidR="003702DE" w:rsidRPr="00894EFD">
        <w:t xml:space="preserve">the Company evaluates the </w:t>
      </w:r>
      <w:r w:rsidR="00C57CD4" w:rsidRPr="00894EFD">
        <w:t>avoided</w:t>
      </w:r>
      <w:r w:rsidR="00C243D7" w:rsidRPr="00894EFD">
        <w:t xml:space="preserve"> cost </w:t>
      </w:r>
      <w:r w:rsidR="003702DE" w:rsidRPr="00894EFD">
        <w:t>associated with</w:t>
      </w:r>
      <w:r w:rsidR="00C243D7" w:rsidRPr="00894EFD">
        <w:t xml:space="preserve"> both replacement generation costs and transmission avoidance or deferral cost</w:t>
      </w:r>
      <w:r w:rsidRPr="00894EFD">
        <w:t xml:space="preserve">. </w:t>
      </w:r>
      <w:r w:rsidR="005F47F6" w:rsidRPr="00894EFD">
        <w:t xml:space="preserve">Replacement </w:t>
      </w:r>
      <w:r w:rsidRPr="00894EFD">
        <w:t xml:space="preserve">generation </w:t>
      </w:r>
      <w:r w:rsidR="005F47F6" w:rsidRPr="00894EFD">
        <w:t xml:space="preserve">costs </w:t>
      </w:r>
      <w:r w:rsidR="00792146" w:rsidRPr="00894EFD">
        <w:t xml:space="preserve">include </w:t>
      </w:r>
      <w:r w:rsidR="005F47F6" w:rsidRPr="00894EFD">
        <w:t xml:space="preserve">installation capital, </w:t>
      </w:r>
      <w:r w:rsidR="00916428" w:rsidRPr="00894EFD">
        <w:t>transmission interconnect and delivery, fuel transportation</w:t>
      </w:r>
      <w:r w:rsidR="000D71E9" w:rsidRPr="00894EFD">
        <w:t>,</w:t>
      </w:r>
      <w:r w:rsidR="00916428" w:rsidRPr="00894EFD">
        <w:t xml:space="preserve"> </w:t>
      </w:r>
      <w:r w:rsidR="005F47F6" w:rsidRPr="00894EFD">
        <w:t xml:space="preserve">fixed O&amp;M, and </w:t>
      </w:r>
      <w:r w:rsidR="00916428" w:rsidRPr="00894EFD">
        <w:t>maintenance</w:t>
      </w:r>
      <w:r w:rsidR="005F47F6" w:rsidRPr="00894EFD">
        <w:t xml:space="preserve"> capital</w:t>
      </w:r>
      <w:r w:rsidR="00916428" w:rsidRPr="00894EFD">
        <w:t>.</w:t>
      </w:r>
      <w:r w:rsidR="00417601" w:rsidRPr="00894EFD">
        <w:t xml:space="preserve"> </w:t>
      </w:r>
      <w:r w:rsidR="00916428" w:rsidRPr="00894EFD">
        <w:t xml:space="preserve">These costs </w:t>
      </w:r>
      <w:r w:rsidR="005F47F6" w:rsidRPr="00894EFD">
        <w:t>are all representative of generic, repeatable estimates. Fuel transportation cost</w:t>
      </w:r>
      <w:r w:rsidR="00916428" w:rsidRPr="00894EFD">
        <w:t>s</w:t>
      </w:r>
      <w:r w:rsidR="005F47F6" w:rsidRPr="00894EFD">
        <w:t xml:space="preserve"> are estimates for </w:t>
      </w:r>
      <w:r w:rsidR="000D71E9" w:rsidRPr="00894EFD">
        <w:t xml:space="preserve">gas delivery to </w:t>
      </w:r>
      <w:r w:rsidR="005F47F6" w:rsidRPr="00894EFD">
        <w:t xml:space="preserve">future </w:t>
      </w:r>
      <w:r w:rsidR="00BC5A2B" w:rsidRPr="00894EFD">
        <w:t>gas-fired combined cycle (</w:t>
      </w:r>
      <w:r w:rsidR="002A124E" w:rsidRPr="00894EFD">
        <w:t>“</w:t>
      </w:r>
      <w:r w:rsidR="00BC5A2B" w:rsidRPr="00894EFD">
        <w:t>CC</w:t>
      </w:r>
      <w:r w:rsidR="002A124E" w:rsidRPr="00894EFD">
        <w:t>”</w:t>
      </w:r>
      <w:r w:rsidR="00BC5A2B" w:rsidRPr="00894EFD">
        <w:t xml:space="preserve">) and </w:t>
      </w:r>
      <w:r w:rsidR="00C243D7" w:rsidRPr="00894EFD">
        <w:t>combustion turbine (“</w:t>
      </w:r>
      <w:r w:rsidR="00BC5A2B" w:rsidRPr="00894EFD">
        <w:t>CT</w:t>
      </w:r>
      <w:r w:rsidR="00C243D7" w:rsidRPr="00894EFD">
        <w:t>”)</w:t>
      </w:r>
      <w:r w:rsidR="00BC5A2B" w:rsidRPr="00894EFD">
        <w:t xml:space="preserve"> sites </w:t>
      </w:r>
      <w:r w:rsidR="005F47F6" w:rsidRPr="00894EFD">
        <w:t xml:space="preserve">in Georgia. </w:t>
      </w:r>
      <w:r w:rsidR="008D336C" w:rsidRPr="00894EFD">
        <w:t>Transmission</w:t>
      </w:r>
      <w:r w:rsidR="00916428" w:rsidRPr="00894EFD">
        <w:t xml:space="preserve"> interconnect</w:t>
      </w:r>
      <w:r w:rsidR="00155301" w:rsidRPr="00894EFD">
        <w:t>ion</w:t>
      </w:r>
      <w:r w:rsidR="00916428" w:rsidRPr="00894EFD">
        <w:t xml:space="preserve"> and delivery costs</w:t>
      </w:r>
      <w:r w:rsidR="002867C0" w:rsidRPr="00894EFD">
        <w:t xml:space="preserve"> for the replacement unit</w:t>
      </w:r>
      <w:r w:rsidR="00916428" w:rsidRPr="00894EFD">
        <w:t xml:space="preserve"> are estimates for sites in Georgia. </w:t>
      </w:r>
      <w:r w:rsidR="00C243D7" w:rsidRPr="00894EFD">
        <w:t>Additionally,</w:t>
      </w:r>
      <w:r w:rsidR="00916428" w:rsidRPr="00894EFD">
        <w:t xml:space="preserve"> </w:t>
      </w:r>
      <w:r w:rsidR="005F47F6" w:rsidRPr="00894EFD">
        <w:t xml:space="preserve">transmission cost implications </w:t>
      </w:r>
      <w:r w:rsidR="00916428" w:rsidRPr="00894EFD">
        <w:t xml:space="preserve">created by the potential </w:t>
      </w:r>
      <w:r w:rsidR="005F47F6" w:rsidRPr="00894EFD">
        <w:t>retirement</w:t>
      </w:r>
      <w:r w:rsidR="00916428" w:rsidRPr="00894EFD">
        <w:t xml:space="preserve"> of an existing unit</w:t>
      </w:r>
      <w:r w:rsidR="00C243D7" w:rsidRPr="00894EFD">
        <w:t xml:space="preserve"> are included in the analysis</w:t>
      </w:r>
      <w:r w:rsidR="000D71E9" w:rsidRPr="00894EFD">
        <w:t xml:space="preserve"> and represent transmission projects </w:t>
      </w:r>
      <w:r w:rsidR="000E4A00" w:rsidRPr="000E4A00">
        <w:rPr>
          <w:rFonts w:cs="Arial"/>
        </w:rPr>
        <w:t xml:space="preserve">required if </w:t>
      </w:r>
      <w:r w:rsidR="000D71E9" w:rsidRPr="00894EFD">
        <w:t xml:space="preserve">the existing unit </w:t>
      </w:r>
      <w:r w:rsidR="00914C8B" w:rsidRPr="00894EFD">
        <w:t xml:space="preserve">were </w:t>
      </w:r>
      <w:r w:rsidR="000D71E9" w:rsidRPr="00894EFD">
        <w:t>retired</w:t>
      </w:r>
      <w:r w:rsidR="005F47F6" w:rsidRPr="00894EFD">
        <w:t xml:space="preserve">. </w:t>
      </w:r>
    </w:p>
    <w:p w14:paraId="2F8B4FFA" w14:textId="6D342963" w:rsidR="008D74D1" w:rsidRPr="00894EFD" w:rsidRDefault="005F3BC9" w:rsidP="00FA308C">
      <w:pPr>
        <w:rPr>
          <w:sz w:val="24"/>
          <w:szCs w:val="24"/>
        </w:rPr>
      </w:pPr>
      <w:r w:rsidRPr="00894EFD">
        <w:t xml:space="preserve">When selecting a replacement unit </w:t>
      </w:r>
      <w:r w:rsidR="00A83EA2" w:rsidRPr="00894EFD">
        <w:rPr>
          <w:color w:val="000000" w:themeColor="text1"/>
        </w:rPr>
        <w:t>for</w:t>
      </w:r>
      <w:r w:rsidR="00F23AC5" w:rsidRPr="00894EFD">
        <w:rPr>
          <w:color w:val="000000" w:themeColor="text1"/>
        </w:rPr>
        <w:t xml:space="preserve"> the unit retirement studies, </w:t>
      </w:r>
      <w:r w:rsidR="0088044B" w:rsidRPr="00894EFD">
        <w:rPr>
          <w:color w:val="000000" w:themeColor="text1"/>
        </w:rPr>
        <w:t>existing coal and gas</w:t>
      </w:r>
      <w:r w:rsidR="00914C8B" w:rsidRPr="00894EFD">
        <w:rPr>
          <w:color w:val="000000" w:themeColor="text1"/>
        </w:rPr>
        <w:t>-</w:t>
      </w:r>
      <w:r w:rsidR="0088044B" w:rsidRPr="00894EFD">
        <w:rPr>
          <w:color w:val="000000" w:themeColor="text1"/>
        </w:rPr>
        <w:t xml:space="preserve">steam </w:t>
      </w:r>
      <w:r w:rsidR="00F23AC5" w:rsidRPr="00894EFD">
        <w:rPr>
          <w:color w:val="000000" w:themeColor="text1"/>
        </w:rPr>
        <w:t>units were removed from Strategist</w:t>
      </w:r>
      <w:r w:rsidR="00186409" w:rsidRPr="00894EFD">
        <w:rPr>
          <w:color w:val="000000" w:themeColor="text1"/>
        </w:rPr>
        <w:t xml:space="preserve"> simulations</w:t>
      </w:r>
      <w:r w:rsidR="00F23AC5" w:rsidRPr="00894EFD">
        <w:rPr>
          <w:color w:val="000000" w:themeColor="text1"/>
        </w:rPr>
        <w:t xml:space="preserve"> in</w:t>
      </w:r>
      <w:r w:rsidR="00B1730B" w:rsidRPr="00894EFD">
        <w:rPr>
          <w:color w:val="000000" w:themeColor="text1"/>
        </w:rPr>
        <w:t xml:space="preserve"> an established rank</w:t>
      </w:r>
      <w:r w:rsidR="00F23AC5" w:rsidRPr="00894EFD">
        <w:rPr>
          <w:color w:val="000000" w:themeColor="text1"/>
        </w:rPr>
        <w:t xml:space="preserve"> order</w:t>
      </w:r>
      <w:r w:rsidR="0088044B" w:rsidRPr="00894EFD">
        <w:rPr>
          <w:color w:val="000000" w:themeColor="text1"/>
        </w:rPr>
        <w:t>.</w:t>
      </w:r>
      <w:r w:rsidR="00146D6E" w:rsidRPr="00894EFD">
        <w:rPr>
          <w:color w:val="000000" w:themeColor="text1"/>
        </w:rPr>
        <w:t xml:space="preserve"> </w:t>
      </w:r>
      <w:r w:rsidR="00186409" w:rsidRPr="00894EFD">
        <w:rPr>
          <w:color w:val="000000" w:themeColor="text1"/>
        </w:rPr>
        <w:t xml:space="preserve">The corresponding </w:t>
      </w:r>
      <w:r w:rsidR="00186409" w:rsidRPr="00894EFD">
        <w:rPr>
          <w:color w:val="000000" w:themeColor="text1"/>
        </w:rPr>
        <w:lastRenderedPageBreak/>
        <w:t xml:space="preserve">changes in the </w:t>
      </w:r>
      <w:r w:rsidR="0088044B" w:rsidRPr="00894EFD">
        <w:rPr>
          <w:color w:val="000000" w:themeColor="text1"/>
        </w:rPr>
        <w:t>S</w:t>
      </w:r>
      <w:r w:rsidR="00F23AC5" w:rsidRPr="00894EFD">
        <w:rPr>
          <w:color w:val="000000" w:themeColor="text1"/>
        </w:rPr>
        <w:t>trategist</w:t>
      </w:r>
      <w:r w:rsidR="00186409" w:rsidRPr="00894EFD">
        <w:rPr>
          <w:color w:val="000000" w:themeColor="text1"/>
        </w:rPr>
        <w:t xml:space="preserve"> expansion builds were used to</w:t>
      </w:r>
      <w:r w:rsidR="00F23AC5" w:rsidRPr="00894EFD">
        <w:rPr>
          <w:color w:val="000000" w:themeColor="text1"/>
        </w:rPr>
        <w:t xml:space="preserve"> select the appropriate replacement unit.</w:t>
      </w:r>
      <w:r w:rsidR="003712B5" w:rsidRPr="00894EFD">
        <w:rPr>
          <w:color w:val="000000" w:themeColor="text1"/>
        </w:rPr>
        <w:t xml:space="preserve"> </w:t>
      </w:r>
      <w:r w:rsidR="005F47F6" w:rsidRPr="00894EFD">
        <w:t>In all comparison studies, the costs</w:t>
      </w:r>
      <w:r w:rsidR="00B1730B" w:rsidRPr="00894EFD">
        <w:t xml:space="preserve"> and benefits</w:t>
      </w:r>
      <w:r w:rsidR="005F47F6" w:rsidRPr="00894EFD">
        <w:t xml:space="preserve"> of the replacement unit were scaled on a megawatt basis to the same generating capacity as the </w:t>
      </w:r>
      <w:r w:rsidR="000D71E9" w:rsidRPr="00894EFD">
        <w:t xml:space="preserve">existing </w:t>
      </w:r>
      <w:r w:rsidR="005F47F6" w:rsidRPr="00894EFD">
        <w:t>unit. For example, for a 500 MW unit retirement study, the costs</w:t>
      </w:r>
      <w:r w:rsidR="00152A38" w:rsidRPr="00894EFD">
        <w:t xml:space="preserve"> and benefits</w:t>
      </w:r>
      <w:r w:rsidR="005F47F6" w:rsidRPr="00894EFD">
        <w:t xml:space="preserve"> for a 500 MW portion of a </w:t>
      </w:r>
      <w:r w:rsidR="00C57CD4" w:rsidRPr="00894EFD">
        <w:t>full-scale</w:t>
      </w:r>
      <w:r w:rsidR="005F47F6" w:rsidRPr="00894EFD">
        <w:t xml:space="preserve"> CC</w:t>
      </w:r>
      <w:r w:rsidR="00186409" w:rsidRPr="00894EFD">
        <w:t xml:space="preserve"> or CT</w:t>
      </w:r>
      <w:r w:rsidR="005F47F6" w:rsidRPr="00894EFD">
        <w:t xml:space="preserve"> would be used for the comparison.</w:t>
      </w:r>
    </w:p>
    <w:p w14:paraId="5F575DC5" w14:textId="6CBF817F" w:rsidR="008D74D1" w:rsidRPr="00592DAD" w:rsidRDefault="008D74D1" w:rsidP="00FA308C">
      <w:pPr>
        <w:pStyle w:val="Heading2"/>
        <w:keepLines/>
      </w:pPr>
      <w:r w:rsidRPr="00592DAD">
        <w:t xml:space="preserve">Deferred </w:t>
      </w:r>
      <w:r w:rsidR="00C57CD4" w:rsidRPr="00592DAD">
        <w:t xml:space="preserve">Generation </w:t>
      </w:r>
      <w:r w:rsidRPr="00592DAD">
        <w:t>Capacity Costs</w:t>
      </w:r>
    </w:p>
    <w:p w14:paraId="4548E5F4" w14:textId="2C1CB493" w:rsidR="008D74D1" w:rsidRPr="00FA308C" w:rsidRDefault="00230EDA" w:rsidP="00FA308C">
      <w:pPr>
        <w:rPr>
          <w:sz w:val="24"/>
        </w:rPr>
      </w:pPr>
      <w:r w:rsidRPr="00FA308C">
        <w:t>Both existing and proxy replacement</w:t>
      </w:r>
      <w:r w:rsidR="00C57CD4" w:rsidRPr="00FA308C">
        <w:t xml:space="preserve"> </w:t>
      </w:r>
      <w:r w:rsidRPr="00FA308C">
        <w:t>units</w:t>
      </w:r>
      <w:r w:rsidR="00C57CD4" w:rsidRPr="00FA308C">
        <w:t xml:space="preserve"> receive capacity value based on magnitude of capacity need in a given year, amount of capacity above target reserve margin, and </w:t>
      </w:r>
      <w:r w:rsidRPr="00FA308C">
        <w:t xml:space="preserve">the </w:t>
      </w:r>
      <w:r w:rsidR="00C57CD4" w:rsidRPr="00FA308C">
        <w:t>ability</w:t>
      </w:r>
      <w:r w:rsidRPr="00FA308C">
        <w:t xml:space="preserve"> of a resource</w:t>
      </w:r>
      <w:r w:rsidR="00C57CD4" w:rsidRPr="00FA308C">
        <w:t xml:space="preserve"> to provide capacity value. For the 2019 IRP, the Company’s </w:t>
      </w:r>
      <w:r w:rsidRPr="00FA308C">
        <w:t xml:space="preserve">determination of capacity value is based on the summer target reserve margin of 16.25%. For the existing units, the magnitude of capacity </w:t>
      </w:r>
      <w:proofErr w:type="gramStart"/>
      <w:r w:rsidRPr="00FA308C">
        <w:t>need</w:t>
      </w:r>
      <w:proofErr w:type="gramEnd"/>
      <w:r w:rsidRPr="00FA308C">
        <w:t xml:space="preserve"> after retirement</w:t>
      </w:r>
      <w:r w:rsidR="00372878" w:rsidRPr="00FA308C">
        <w:t xml:space="preserve">, up to the size of the existing unit, is </w:t>
      </w:r>
      <w:r w:rsidRPr="00FA308C">
        <w:t xml:space="preserve">valued at the economic carrying cost (“ECC”) of a CT. </w:t>
      </w:r>
      <w:r w:rsidR="00372878" w:rsidRPr="00FA308C">
        <w:t xml:space="preserve">If the existing unit is larger than the capacity need, the amount of capacity </w:t>
      </w:r>
      <w:r w:rsidRPr="00FA308C">
        <w:t>above target reserve margin</w:t>
      </w:r>
      <w:r w:rsidR="00372878" w:rsidRPr="00FA308C">
        <w:t xml:space="preserve"> </w:t>
      </w:r>
      <w:r w:rsidRPr="00FA308C">
        <w:t>is valued at the Company’s retail capacity price forecast. For the proxy replacement units, capacity value</w:t>
      </w:r>
      <w:r w:rsidR="000420C3" w:rsidRPr="00FA308C">
        <w:t xml:space="preserve"> is assigned starting when the unit is assumed to reach </w:t>
      </w:r>
      <w:r w:rsidR="003702DE" w:rsidRPr="00FA308C">
        <w:t>operation</w:t>
      </w:r>
      <w:r w:rsidR="000420C3" w:rsidRPr="00FA308C">
        <w:t xml:space="preserve"> and</w:t>
      </w:r>
      <w:r w:rsidRPr="00FA308C">
        <w:t xml:space="preserve"> is </w:t>
      </w:r>
      <w:r w:rsidR="000420C3" w:rsidRPr="00FA308C">
        <w:t>valued</w:t>
      </w:r>
      <w:r w:rsidRPr="00FA308C">
        <w:t xml:space="preserve"> </w:t>
      </w:r>
      <w:r w:rsidR="000420C3" w:rsidRPr="00FA308C">
        <w:t>consistent with the existing unit</w:t>
      </w:r>
      <w:r w:rsidRPr="00FA308C">
        <w:t>.</w:t>
      </w:r>
    </w:p>
    <w:p w14:paraId="404B162F" w14:textId="2CC91300" w:rsidR="005F47F6" w:rsidRPr="00592DAD" w:rsidRDefault="00C57CD4" w:rsidP="00FA308C">
      <w:pPr>
        <w:pStyle w:val="Heading2"/>
        <w:keepLines/>
      </w:pPr>
      <w:bookmarkStart w:id="9" w:name="_Hlk534908586"/>
      <w:r w:rsidRPr="00592DAD">
        <w:t>Avoided</w:t>
      </w:r>
      <w:r w:rsidR="005F3BC9" w:rsidRPr="00592DAD">
        <w:t xml:space="preserve"> </w:t>
      </w:r>
      <w:r w:rsidR="005F47F6" w:rsidRPr="00592DAD">
        <w:t>Energy</w:t>
      </w:r>
      <w:r w:rsidR="005F3BC9" w:rsidRPr="00592DAD">
        <w:t xml:space="preserve"> Costs</w:t>
      </w:r>
    </w:p>
    <w:p w14:paraId="369E7AF1" w14:textId="68DD4804" w:rsidR="00E25FA1" w:rsidRDefault="00E25FA1" w:rsidP="00FA308C">
      <w:r w:rsidRPr="00E25FA1">
        <w:t xml:space="preserve">Avoided Energy Costs (“AEC”) represent the marginal energy-related costs (including marginal replacement fuel costs, variable O&amp;M, fuel handling, compliance-related environmental costs, intra-day commitment costs, and transmission losses) that are projected to be avoided on the Southern Company electric system by any single generating unit operating at a specific time. AEC are generated by AURORA. The GenVal model uses these AEC to economically dispatch both the existing unit and the replacement unit </w:t>
      </w:r>
      <w:proofErr w:type="gramStart"/>
      <w:r w:rsidRPr="00E25FA1">
        <w:t>in order to</w:t>
      </w:r>
      <w:proofErr w:type="gramEnd"/>
      <w:r w:rsidRPr="00E25FA1">
        <w:t xml:space="preserve"> derive the energy benefits for each unit retirement study. The net present value (“NPV”) of the difference between the replacement unit’s energy benefit and the existing unit’s energy benefit is calculated to determine the overall net contribution to system energy costs.   </w:t>
      </w:r>
    </w:p>
    <w:p w14:paraId="404B1632" w14:textId="77777777" w:rsidR="005F47F6" w:rsidRPr="00592DAD" w:rsidRDefault="005F47F6" w:rsidP="00F80C0A">
      <w:pPr>
        <w:pStyle w:val="Heading2"/>
        <w:keepNext w:val="0"/>
      </w:pPr>
      <w:bookmarkStart w:id="10" w:name="_Toc299021053"/>
      <w:bookmarkEnd w:id="9"/>
      <w:r w:rsidRPr="00592DAD">
        <w:t>Scenarios</w:t>
      </w:r>
      <w:bookmarkEnd w:id="10"/>
    </w:p>
    <w:p w14:paraId="4E6E98EC" w14:textId="67D77B91" w:rsidR="00782931" w:rsidRPr="00FA308C" w:rsidRDefault="005F47F6" w:rsidP="002F5154">
      <w:pPr>
        <w:rPr>
          <w:rFonts w:eastAsia="Calibri"/>
          <w:b/>
          <w:sz w:val="28"/>
        </w:rPr>
      </w:pPr>
      <w:r w:rsidRPr="00FA308C">
        <w:t xml:space="preserve">The Company formally analyzes </w:t>
      </w:r>
      <w:r w:rsidR="00B41720" w:rsidRPr="00FA308C">
        <w:t xml:space="preserve">nine </w:t>
      </w:r>
      <w:r w:rsidR="000E4A00">
        <w:t xml:space="preserve">planning </w:t>
      </w:r>
      <w:r w:rsidRPr="00FA308C">
        <w:t xml:space="preserve">scenarios, each of which adopts a </w:t>
      </w:r>
      <w:proofErr w:type="gramStart"/>
      <w:r w:rsidRPr="00FA308C">
        <w:t>particular view</w:t>
      </w:r>
      <w:proofErr w:type="gramEnd"/>
      <w:r w:rsidRPr="00FA308C">
        <w:t xml:space="preserve"> of future CO</w:t>
      </w:r>
      <w:r w:rsidRPr="00FA308C">
        <w:rPr>
          <w:vertAlign w:val="subscript"/>
        </w:rPr>
        <w:t>2</w:t>
      </w:r>
      <w:r w:rsidRPr="00FA308C">
        <w:t xml:space="preserve"> </w:t>
      </w:r>
      <w:r w:rsidR="000E4A00">
        <w:t>costs</w:t>
      </w:r>
      <w:r w:rsidR="000E4A00" w:rsidRPr="00FA308C">
        <w:t xml:space="preserve"> </w:t>
      </w:r>
      <w:r w:rsidRPr="00FA308C">
        <w:t>and a particular view of future natural gas markets.</w:t>
      </w:r>
      <w:r w:rsidR="00015AD5" w:rsidRPr="00FA308C">
        <w:t xml:space="preserve"> </w:t>
      </w:r>
      <w:r w:rsidR="00297334" w:rsidRPr="00FA308C">
        <w:t>The scenarios created by the combination of these CO</w:t>
      </w:r>
      <w:r w:rsidR="00297334" w:rsidRPr="00FA308C">
        <w:rPr>
          <w:vertAlign w:val="subscript"/>
        </w:rPr>
        <w:t>2</w:t>
      </w:r>
      <w:r w:rsidR="00297334" w:rsidRPr="00FA308C">
        <w:t xml:space="preserve"> views and natural gas views were developed to represent a range of plausible outcomes. Each of the nine scenarios provides an internally-consistent view of fuel, electricity</w:t>
      </w:r>
      <w:r w:rsidR="00FB3166" w:rsidRPr="00FA308C">
        <w:t>,</w:t>
      </w:r>
      <w:r w:rsidR="00297334" w:rsidRPr="00FA308C">
        <w:t xml:space="preserve"> and other markets in the U.S. economy. For each of these scenarios, the Company </w:t>
      </w:r>
      <w:r w:rsidR="00297334" w:rsidRPr="00FA308C">
        <w:lastRenderedPageBreak/>
        <w:t xml:space="preserve">has performed the unit retirement studies for each unit discussed in this filing. </w:t>
      </w:r>
      <w:r w:rsidR="00D25ECF" w:rsidRPr="00FA308C">
        <w:t xml:space="preserve">See the Scenario Fuel Forecast located in Technical Appendix Volume 1 for additional information on these </w:t>
      </w:r>
      <w:r w:rsidR="000E4A00">
        <w:t xml:space="preserve">planning </w:t>
      </w:r>
      <w:r w:rsidR="00D25ECF" w:rsidRPr="00FA308C">
        <w:t>scenarios.</w:t>
      </w:r>
      <w:bookmarkStart w:id="11" w:name="_Toc299021054"/>
    </w:p>
    <w:p w14:paraId="404B163B" w14:textId="00F2478E" w:rsidR="005F47F6" w:rsidRPr="00592DAD" w:rsidRDefault="005F47F6" w:rsidP="006B62E3">
      <w:pPr>
        <w:pStyle w:val="Heading2"/>
      </w:pPr>
      <w:r w:rsidRPr="00592DAD">
        <w:t>Summary of Study Results</w:t>
      </w:r>
      <w:bookmarkEnd w:id="11"/>
    </w:p>
    <w:p w14:paraId="6BE48839" w14:textId="5347E271" w:rsidR="00D25ECF" w:rsidRPr="00FA308C" w:rsidRDefault="005F47F6" w:rsidP="00FA308C">
      <w:pPr>
        <w:rPr>
          <w:b/>
          <w:sz w:val="28"/>
          <w:szCs w:val="24"/>
        </w:rPr>
      </w:pPr>
      <w:r w:rsidRPr="00FA308C">
        <w:t>The following tables (Sections 1.</w:t>
      </w:r>
      <w:r w:rsidR="00372878" w:rsidRPr="00FA308C">
        <w:t>7</w:t>
      </w:r>
      <w:r w:rsidRPr="00FA308C">
        <w:t>.1-1.</w:t>
      </w:r>
      <w:r w:rsidR="00372878" w:rsidRPr="00FA308C">
        <w:t>7</w:t>
      </w:r>
      <w:r w:rsidRPr="00FA308C">
        <w:t>.</w:t>
      </w:r>
      <w:r w:rsidR="00610656" w:rsidRPr="00FA308C">
        <w:t>8</w:t>
      </w:r>
      <w:r w:rsidRPr="00FA308C">
        <w:t xml:space="preserve">) represent the </w:t>
      </w:r>
      <w:r w:rsidR="00B41720" w:rsidRPr="00FA308C">
        <w:t>net present value (“</w:t>
      </w:r>
      <w:r w:rsidRPr="00FA308C">
        <w:t>NPV</w:t>
      </w:r>
      <w:r w:rsidR="00B41720" w:rsidRPr="00FA308C">
        <w:t>”)</w:t>
      </w:r>
      <w:r w:rsidRPr="00FA308C">
        <w:t xml:space="preserve"> </w:t>
      </w:r>
      <w:r w:rsidR="000D71E9" w:rsidRPr="00FA308C">
        <w:t xml:space="preserve">of </w:t>
      </w:r>
      <w:r w:rsidRPr="00FA308C">
        <w:t xml:space="preserve">customer </w:t>
      </w:r>
      <w:r w:rsidR="00B168C9" w:rsidRPr="00FA308C">
        <w:t>benefit associated with each unit</w:t>
      </w:r>
      <w:r w:rsidR="000D71E9" w:rsidRPr="00FA308C">
        <w:t xml:space="preserve">. </w:t>
      </w:r>
      <w:r w:rsidR="00B168C9" w:rsidRPr="00FA308C">
        <w:t xml:space="preserve">The results are </w:t>
      </w:r>
      <w:r w:rsidR="00490DB9" w:rsidRPr="00FA308C">
        <w:t xml:space="preserve">calculated by </w:t>
      </w:r>
      <w:r w:rsidRPr="00FA308C">
        <w:t>compari</w:t>
      </w:r>
      <w:r w:rsidR="00490DB9" w:rsidRPr="00FA308C">
        <w:t xml:space="preserve">ng </w:t>
      </w:r>
      <w:r w:rsidR="00B168C9" w:rsidRPr="00FA308C">
        <w:t>the existing unit’s</w:t>
      </w:r>
      <w:r w:rsidR="00490DB9" w:rsidRPr="00FA308C">
        <w:t xml:space="preserve"> </w:t>
      </w:r>
      <w:r w:rsidRPr="00FA308C">
        <w:t>costs</w:t>
      </w:r>
      <w:r w:rsidR="00490DB9" w:rsidRPr="00FA308C">
        <w:t xml:space="preserve"> and benefits</w:t>
      </w:r>
      <w:r w:rsidRPr="00FA308C">
        <w:t xml:space="preserve"> </w:t>
      </w:r>
      <w:r w:rsidR="00B168C9" w:rsidRPr="00FA308C">
        <w:t>to the</w:t>
      </w:r>
      <w:r w:rsidR="00B168C9" w:rsidRPr="000E4A00">
        <w:rPr>
          <w:rFonts w:cs="Arial"/>
        </w:rPr>
        <w:t xml:space="preserve"> corresponding costs and benefits of the </w:t>
      </w:r>
      <w:r w:rsidRPr="000E4A00">
        <w:rPr>
          <w:rFonts w:cs="Arial"/>
        </w:rPr>
        <w:t>appropriate replacement</w:t>
      </w:r>
      <w:r w:rsidR="00B168C9" w:rsidRPr="000E4A00">
        <w:rPr>
          <w:rFonts w:cs="Arial"/>
        </w:rPr>
        <w:t xml:space="preserve"> unit.</w:t>
      </w:r>
      <w:r w:rsidR="000E4A00" w:rsidRPr="000E4A00">
        <w:rPr>
          <w:rFonts w:cs="Arial"/>
        </w:rPr>
        <w:t xml:space="preserve"> </w:t>
      </w:r>
      <w:bookmarkStart w:id="12" w:name="_Hlk534879575"/>
      <w:r w:rsidR="000E4A00" w:rsidRPr="000E4A00">
        <w:rPr>
          <w:rFonts w:cs="Arial"/>
        </w:rPr>
        <w:t xml:space="preserve">When a positive value is shown for a scenario, the NPV </w:t>
      </w:r>
      <w:r w:rsidR="00A96613">
        <w:rPr>
          <w:rFonts w:cs="Arial"/>
        </w:rPr>
        <w:t>value (</w:t>
      </w:r>
      <w:r w:rsidR="000E4A00" w:rsidRPr="000E4A00">
        <w:rPr>
          <w:rFonts w:cs="Arial"/>
        </w:rPr>
        <w:t>benefit</w:t>
      </w:r>
      <w:r w:rsidR="00A96613">
        <w:rPr>
          <w:rFonts w:cs="Arial"/>
        </w:rPr>
        <w:t xml:space="preserve"> less cost)</w:t>
      </w:r>
      <w:r w:rsidR="000E4A00" w:rsidRPr="000E4A00">
        <w:rPr>
          <w:rFonts w:cs="Arial"/>
        </w:rPr>
        <w:t xml:space="preserve"> of the existing unit is greater than the NPV </w:t>
      </w:r>
      <w:r w:rsidR="00A96613">
        <w:rPr>
          <w:rFonts w:cs="Arial"/>
        </w:rPr>
        <w:t>value (</w:t>
      </w:r>
      <w:r w:rsidR="000E4A00" w:rsidRPr="000E4A00">
        <w:rPr>
          <w:rFonts w:cs="Arial"/>
        </w:rPr>
        <w:t>benefit</w:t>
      </w:r>
      <w:r w:rsidR="00A96613">
        <w:rPr>
          <w:rFonts w:cs="Arial"/>
        </w:rPr>
        <w:t xml:space="preserve"> less cost)</w:t>
      </w:r>
      <w:r w:rsidR="000E4A00" w:rsidRPr="000E4A00">
        <w:rPr>
          <w:rFonts w:cs="Arial"/>
        </w:rPr>
        <w:t xml:space="preserve"> for the replacement generation; therefore, the existing unit is the better economic option.  </w:t>
      </w:r>
      <w:bookmarkEnd w:id="12"/>
      <w:r w:rsidR="000E4A00" w:rsidRPr="000E4A00">
        <w:rPr>
          <w:rFonts w:cs="Arial"/>
        </w:rPr>
        <w:t xml:space="preserve">Appendix </w:t>
      </w:r>
      <w:r w:rsidRPr="00FA308C">
        <w:t xml:space="preserve">A summarizes the environmental costs applied to each of the </w:t>
      </w:r>
      <w:r w:rsidR="000D71E9" w:rsidRPr="00FA308C">
        <w:t xml:space="preserve">existing </w:t>
      </w:r>
      <w:r w:rsidRPr="00FA308C">
        <w:t xml:space="preserve">units. Table A.1 provides the in-service cost of the individual environmental controls. In Table A.2, the </w:t>
      </w:r>
      <w:proofErr w:type="gramStart"/>
      <w:r w:rsidRPr="00FA308C">
        <w:t>NPV  for</w:t>
      </w:r>
      <w:proofErr w:type="gramEnd"/>
      <w:r w:rsidRPr="00FA308C">
        <w:t xml:space="preserve"> </w:t>
      </w:r>
      <w:r w:rsidR="00465E26" w:rsidRPr="00FA308C">
        <w:t xml:space="preserve">the </w:t>
      </w:r>
      <w:r w:rsidR="007E2FB9" w:rsidRPr="00FA308C">
        <w:t xml:space="preserve">environmental </w:t>
      </w:r>
      <w:r w:rsidR="00465E26" w:rsidRPr="00FA308C">
        <w:t xml:space="preserve">capital </w:t>
      </w:r>
      <w:r w:rsidR="00B168C9" w:rsidRPr="00FA308C">
        <w:t xml:space="preserve">for </w:t>
      </w:r>
      <w:r w:rsidRPr="00FA308C">
        <w:t>each of these controls is provided</w:t>
      </w:r>
      <w:r w:rsidR="00FB3166" w:rsidRPr="00FA308C">
        <w:t>,</w:t>
      </w:r>
      <w:r w:rsidR="00B41720" w:rsidRPr="00FA308C">
        <w:t xml:space="preserve"> including </w:t>
      </w:r>
      <w:r w:rsidR="00B168C9" w:rsidRPr="00FA308C">
        <w:t xml:space="preserve"> projected </w:t>
      </w:r>
      <w:r w:rsidR="007E2FB9" w:rsidRPr="00FA308C">
        <w:t xml:space="preserve">O&amp;M </w:t>
      </w:r>
      <w:r w:rsidR="00F475CA" w:rsidRPr="00FA308C">
        <w:t xml:space="preserve">costs associated with </w:t>
      </w:r>
      <w:r w:rsidR="00B168C9" w:rsidRPr="00FA308C">
        <w:t xml:space="preserve">the operation of </w:t>
      </w:r>
      <w:r w:rsidR="007E2FB9" w:rsidRPr="00FA308C">
        <w:t>th</w:t>
      </w:r>
      <w:r w:rsidR="00B168C9" w:rsidRPr="00FA308C">
        <w:t>e</w:t>
      </w:r>
      <w:r w:rsidR="007E2FB9" w:rsidRPr="00FA308C">
        <w:t xml:space="preserve"> environmental controls.</w:t>
      </w:r>
      <w:r w:rsidR="0034197A" w:rsidRPr="00FA308C">
        <w:t xml:space="preserve"> </w:t>
      </w:r>
      <w:r w:rsidRPr="00FA308C">
        <w:t>The tabular data from Table A.2 can be used to adjust the controls assumptions include</w:t>
      </w:r>
      <w:r w:rsidR="00F05FE7" w:rsidRPr="00FA308C">
        <w:t>d in the analysis presented in S</w:t>
      </w:r>
      <w:r w:rsidRPr="00FA308C">
        <w:t>ections 1.</w:t>
      </w:r>
      <w:r w:rsidR="00E25FA1">
        <w:t>7</w:t>
      </w:r>
      <w:r w:rsidRPr="00FA308C">
        <w:t>.1 - 1.</w:t>
      </w:r>
      <w:r w:rsidR="00E25FA1">
        <w:t>7</w:t>
      </w:r>
      <w:r w:rsidRPr="00FA308C">
        <w:t>.</w:t>
      </w:r>
      <w:r w:rsidR="00F05FE7" w:rsidRPr="00FA308C">
        <w:t>8</w:t>
      </w:r>
      <w:r w:rsidRPr="00FA308C">
        <w:t>. If the analysis w</w:t>
      </w:r>
      <w:r w:rsidR="00144ACA">
        <w:t>ere</w:t>
      </w:r>
      <w:r w:rsidRPr="00FA308C">
        <w:t xml:space="preserve"> to be examined without a </w:t>
      </w:r>
      <w:proofErr w:type="gramStart"/>
      <w:r w:rsidRPr="00FA308C">
        <w:t>particular environmental</w:t>
      </w:r>
      <w:proofErr w:type="gramEnd"/>
      <w:r w:rsidRPr="00FA308C">
        <w:t xml:space="preserve"> control included in the results in Sections 1.</w:t>
      </w:r>
      <w:r w:rsidR="00E25FA1">
        <w:t>7</w:t>
      </w:r>
      <w:r w:rsidRPr="00FA308C">
        <w:t>.1-1.</w:t>
      </w:r>
      <w:r w:rsidR="00E25FA1">
        <w:t>7</w:t>
      </w:r>
      <w:r w:rsidRPr="00FA308C">
        <w:t>.</w:t>
      </w:r>
      <w:r w:rsidR="00F05FE7" w:rsidRPr="00FA308C">
        <w:t>8</w:t>
      </w:r>
      <w:r w:rsidRPr="00FA308C">
        <w:t>, the NPV of the DRR for that particular control could be added back to each scenario. Conversely, if there is an additional required control that was not included in the results in Sections 1.</w:t>
      </w:r>
      <w:r w:rsidR="00E25FA1">
        <w:t>7</w:t>
      </w:r>
      <w:r w:rsidRPr="00FA308C">
        <w:t>.1-1.</w:t>
      </w:r>
      <w:r w:rsidR="00E25FA1">
        <w:t>7</w:t>
      </w:r>
      <w:r w:rsidRPr="00FA308C">
        <w:t>.</w:t>
      </w:r>
      <w:r w:rsidR="00F05FE7" w:rsidRPr="00FA308C">
        <w:t>8</w:t>
      </w:r>
      <w:r w:rsidRPr="00FA308C">
        <w:t xml:space="preserve">, the NPV for the DRR for that control would be subtracted from each </w:t>
      </w:r>
      <w:r w:rsidR="009D3211" w:rsidRPr="00FA308C">
        <w:t>scenario</w:t>
      </w:r>
      <w:r w:rsidRPr="00FA308C">
        <w:t>.</w:t>
      </w:r>
      <w:r w:rsidR="0034197A" w:rsidRPr="00FA308C">
        <w:t xml:space="preserve"> </w:t>
      </w:r>
      <w:r w:rsidRPr="00FA308C">
        <w:t>Appendix B summarizes the costs and benefits of continued operation for each set of coal</w:t>
      </w:r>
      <w:r w:rsidR="0034197A" w:rsidRPr="00FA308C">
        <w:t>-fired and</w:t>
      </w:r>
      <w:r w:rsidR="009D3211" w:rsidRPr="00FA308C">
        <w:t xml:space="preserve"> gas-steam</w:t>
      </w:r>
      <w:r w:rsidR="0034197A" w:rsidRPr="00FA308C">
        <w:t xml:space="preserve"> </w:t>
      </w:r>
      <w:r w:rsidRPr="00FA308C">
        <w:t>units for the</w:t>
      </w:r>
      <w:r w:rsidR="00FD1F1E" w:rsidRPr="00FA308C">
        <w:t xml:space="preserve"> moderate</w:t>
      </w:r>
      <w:r w:rsidR="000E4A00">
        <w:t>-gas</w:t>
      </w:r>
      <w:r w:rsidR="00FD1F1E" w:rsidRPr="00FA308C">
        <w:t>,</w:t>
      </w:r>
      <w:r w:rsidRPr="00FA308C">
        <w:t xml:space="preserve"> </w:t>
      </w:r>
      <w:r w:rsidR="00ED18E7">
        <w:t>zero-dollar carbon</w:t>
      </w:r>
      <w:r w:rsidRPr="00FA308C">
        <w:t xml:space="preserve"> </w:t>
      </w:r>
      <w:r w:rsidR="00FD1F1E" w:rsidRPr="00FA308C">
        <w:t>(“MG0”) scenario</w:t>
      </w:r>
      <w:r w:rsidRPr="00FA308C">
        <w:t xml:space="preserve"> over the </w:t>
      </w:r>
      <w:r w:rsidR="00DB63D3" w:rsidRPr="00FA308C">
        <w:t>study</w:t>
      </w:r>
      <w:r w:rsidRPr="00FA308C">
        <w:t xml:space="preserve"> </w:t>
      </w:r>
      <w:r w:rsidRPr="00FA308C">
        <w:rPr>
          <w:color w:val="000000" w:themeColor="text1"/>
        </w:rPr>
        <w:t>period (</w:t>
      </w:r>
      <w:r w:rsidR="00790BA3" w:rsidRPr="00FA308C">
        <w:rPr>
          <w:color w:val="000000" w:themeColor="text1"/>
        </w:rPr>
        <w:t>2020</w:t>
      </w:r>
      <w:r w:rsidRPr="00FA308C">
        <w:rPr>
          <w:color w:val="000000" w:themeColor="text1"/>
        </w:rPr>
        <w:t>-</w:t>
      </w:r>
      <w:r w:rsidR="00567D07" w:rsidRPr="00FA308C">
        <w:rPr>
          <w:color w:val="000000" w:themeColor="text1"/>
        </w:rPr>
        <w:t>204</w:t>
      </w:r>
      <w:r w:rsidR="00541226" w:rsidRPr="00FA308C">
        <w:rPr>
          <w:color w:val="000000" w:themeColor="text1"/>
        </w:rPr>
        <w:t>8</w:t>
      </w:r>
      <w:r w:rsidRPr="00FA308C">
        <w:rPr>
          <w:color w:val="000000" w:themeColor="text1"/>
        </w:rPr>
        <w:t>).</w:t>
      </w:r>
      <w:r w:rsidR="00D25ECF" w:rsidRPr="00FA308C">
        <w:rPr>
          <w:b/>
          <w:sz w:val="28"/>
          <w:szCs w:val="24"/>
        </w:rPr>
        <w:br w:type="page"/>
      </w:r>
    </w:p>
    <w:p w14:paraId="404B163D" w14:textId="70F06047" w:rsidR="005F47F6" w:rsidRPr="00FA308C" w:rsidRDefault="005F47F6" w:rsidP="00592DAD">
      <w:pPr>
        <w:spacing w:after="120"/>
        <w:rPr>
          <w:rFonts w:cs="Arial"/>
          <w:b/>
          <w:sz w:val="24"/>
          <w:szCs w:val="24"/>
        </w:rPr>
      </w:pPr>
      <w:r w:rsidRPr="00FA308C">
        <w:rPr>
          <w:rFonts w:cs="Arial"/>
          <w:b/>
          <w:sz w:val="24"/>
          <w:szCs w:val="24"/>
        </w:rPr>
        <w:lastRenderedPageBreak/>
        <w:t>1.</w:t>
      </w:r>
      <w:r w:rsidR="00372878" w:rsidRPr="00FA308C">
        <w:rPr>
          <w:rFonts w:cs="Arial"/>
          <w:b/>
          <w:sz w:val="24"/>
          <w:szCs w:val="24"/>
        </w:rPr>
        <w:t>7</w:t>
      </w:r>
      <w:r w:rsidRPr="00FA308C">
        <w:rPr>
          <w:rFonts w:cs="Arial"/>
          <w:b/>
          <w:sz w:val="24"/>
          <w:szCs w:val="24"/>
        </w:rPr>
        <w:t>.1</w:t>
      </w:r>
      <w:r w:rsidR="00BD33D4">
        <w:rPr>
          <w:rFonts w:cs="Arial"/>
          <w:b/>
          <w:sz w:val="24"/>
          <w:szCs w:val="24"/>
        </w:rPr>
        <w:t>.</w:t>
      </w:r>
      <w:r w:rsidRPr="00FA308C">
        <w:rPr>
          <w:rFonts w:cs="Arial"/>
          <w:b/>
          <w:sz w:val="24"/>
          <w:szCs w:val="24"/>
        </w:rPr>
        <w:t xml:space="preserve"> Plant Bowen Units 1-</w:t>
      </w:r>
      <w:r w:rsidR="00416A09" w:rsidRPr="00FA308C">
        <w:rPr>
          <w:rFonts w:cs="Arial"/>
          <w:b/>
          <w:sz w:val="24"/>
          <w:szCs w:val="24"/>
        </w:rPr>
        <w:t>2</w:t>
      </w:r>
    </w:p>
    <w:p w14:paraId="404B163E" w14:textId="3859090E" w:rsidR="005F47F6" w:rsidRPr="00FA308C" w:rsidRDefault="005F47F6" w:rsidP="00592DAD">
      <w:pPr>
        <w:pStyle w:val="BodyText"/>
        <w:rPr>
          <w:rFonts w:ascii="Arial" w:hAnsi="Arial" w:cs="Arial"/>
        </w:rPr>
      </w:pPr>
      <w:r w:rsidRPr="00FA308C">
        <w:rPr>
          <w:rFonts w:ascii="Arial" w:hAnsi="Arial" w:cs="Arial"/>
        </w:rPr>
        <w:t>Customer Costs</w:t>
      </w:r>
      <w:r w:rsidR="00DD2AFC" w:rsidRPr="00FA308C">
        <w:rPr>
          <w:rFonts w:ascii="Arial" w:hAnsi="Arial" w:cs="Arial"/>
        </w:rPr>
        <w:t xml:space="preserve"> and </w:t>
      </w:r>
      <w:r w:rsidR="002E48F3" w:rsidRPr="00FA308C">
        <w:rPr>
          <w:rFonts w:ascii="Arial" w:hAnsi="Arial" w:cs="Arial"/>
        </w:rPr>
        <w:t>B</w:t>
      </w:r>
      <w:r w:rsidR="00DD2AFC" w:rsidRPr="00FA308C">
        <w:rPr>
          <w:rFonts w:ascii="Arial" w:hAnsi="Arial" w:cs="Arial"/>
        </w:rPr>
        <w:t>enefits</w:t>
      </w:r>
      <w:r w:rsidRPr="00FA308C">
        <w:rPr>
          <w:rFonts w:ascii="Arial" w:hAnsi="Arial" w:cs="Arial"/>
        </w:rPr>
        <w:t xml:space="preserve"> for </w:t>
      </w:r>
      <w:r w:rsidR="00DD2AFC" w:rsidRPr="00FA308C">
        <w:rPr>
          <w:rFonts w:ascii="Arial" w:hAnsi="Arial" w:cs="Arial"/>
        </w:rPr>
        <w:t>the Continued Operation</w:t>
      </w:r>
      <w:r w:rsidR="002E48F3" w:rsidRPr="00FA308C">
        <w:rPr>
          <w:rFonts w:ascii="Arial" w:hAnsi="Arial" w:cs="Arial"/>
        </w:rPr>
        <w:t xml:space="preserve"> of Plant Bowen Units 1-</w:t>
      </w:r>
      <w:r w:rsidR="00416A09" w:rsidRPr="00FA308C">
        <w:rPr>
          <w:rFonts w:ascii="Arial" w:hAnsi="Arial" w:cs="Arial"/>
        </w:rPr>
        <w:t xml:space="preserve">2 </w:t>
      </w:r>
      <w:r w:rsidR="00EF35D0" w:rsidRPr="00FA308C">
        <w:rPr>
          <w:rFonts w:ascii="Arial" w:hAnsi="Arial" w:cs="Arial"/>
        </w:rPr>
        <w:t>C</w:t>
      </w:r>
      <w:r w:rsidR="00B168C9" w:rsidRPr="00FA308C">
        <w:rPr>
          <w:rFonts w:ascii="Arial" w:hAnsi="Arial" w:cs="Arial"/>
        </w:rPr>
        <w:t>ompared to</w:t>
      </w:r>
      <w:r w:rsidR="00DD2AFC" w:rsidRPr="00FA308C">
        <w:rPr>
          <w:rFonts w:ascii="Arial" w:hAnsi="Arial" w:cs="Arial"/>
        </w:rPr>
        <w:t xml:space="preserve"> a </w:t>
      </w:r>
      <w:r w:rsidRPr="00FA308C">
        <w:rPr>
          <w:rFonts w:ascii="Arial" w:hAnsi="Arial" w:cs="Arial"/>
        </w:rPr>
        <w:t xml:space="preserve">Replacement CC </w:t>
      </w:r>
    </w:p>
    <w:p w14:paraId="404B163F" w14:textId="56768385" w:rsidR="005F47F6" w:rsidRPr="00FA308C" w:rsidRDefault="00856C9F" w:rsidP="00592DAD">
      <w:pPr>
        <w:pStyle w:val="BodyText"/>
        <w:rPr>
          <w:rFonts w:ascii="Arial" w:hAnsi="Arial" w:cs="Arial"/>
        </w:rPr>
      </w:pPr>
      <w:r w:rsidRPr="00FA308C">
        <w:rPr>
          <w:rFonts w:ascii="Arial" w:hAnsi="Arial" w:cs="Arial"/>
        </w:rPr>
        <w:t xml:space="preserve">Mid-year </w:t>
      </w:r>
      <w:r w:rsidR="005F47F6" w:rsidRPr="00FA308C">
        <w:rPr>
          <w:rFonts w:ascii="Arial" w:hAnsi="Arial" w:cs="Arial"/>
        </w:rPr>
        <w:t>NPV (</w:t>
      </w:r>
      <w:r w:rsidR="00416A09" w:rsidRPr="00FA308C">
        <w:rPr>
          <w:rFonts w:ascii="Arial" w:hAnsi="Arial" w:cs="Arial"/>
          <w:color w:val="000000" w:themeColor="text1"/>
        </w:rPr>
        <w:t>2020</w:t>
      </w:r>
      <w:r w:rsidR="005F47F6" w:rsidRPr="00FA308C">
        <w:rPr>
          <w:rFonts w:ascii="Arial" w:hAnsi="Arial" w:cs="Arial"/>
          <w:color w:val="000000" w:themeColor="text1"/>
        </w:rPr>
        <w:t>-</w:t>
      </w:r>
      <w:r w:rsidR="00DD2AFC" w:rsidRPr="00FA308C">
        <w:rPr>
          <w:rFonts w:ascii="Arial" w:hAnsi="Arial" w:cs="Arial"/>
          <w:color w:val="000000" w:themeColor="text1"/>
        </w:rPr>
        <w:t>204</w:t>
      </w:r>
      <w:r w:rsidR="00B90C3D" w:rsidRPr="00FA308C">
        <w:rPr>
          <w:rFonts w:ascii="Arial" w:hAnsi="Arial" w:cs="Arial"/>
          <w:color w:val="000000" w:themeColor="text1"/>
        </w:rPr>
        <w:t>8</w:t>
      </w:r>
      <w:r w:rsidR="005F47F6" w:rsidRPr="00FA308C">
        <w:rPr>
          <w:rFonts w:ascii="Arial" w:hAnsi="Arial" w:cs="Arial"/>
        </w:rPr>
        <w:t xml:space="preserve">) in </w:t>
      </w:r>
      <w:r w:rsidR="003E5232" w:rsidRPr="00FA308C">
        <w:rPr>
          <w:rFonts w:ascii="Arial" w:hAnsi="Arial" w:cs="Arial"/>
        </w:rPr>
        <w:t xml:space="preserve">millions </w:t>
      </w:r>
      <w:r w:rsidR="005F47F6" w:rsidRPr="00FA308C">
        <w:rPr>
          <w:rFonts w:ascii="Arial" w:hAnsi="Arial" w:cs="Arial"/>
        </w:rPr>
        <w:t xml:space="preserve">of </w:t>
      </w:r>
      <w:r w:rsidR="003E5232" w:rsidRPr="00FA308C">
        <w:rPr>
          <w:rFonts w:ascii="Arial" w:hAnsi="Arial" w:cs="Arial"/>
        </w:rPr>
        <w:t>dollars</w:t>
      </w:r>
    </w:p>
    <w:p w14:paraId="404B1640" w14:textId="38039C20" w:rsidR="00856C9F" w:rsidRPr="00FA308C" w:rsidRDefault="00211F23" w:rsidP="00592DAD">
      <w:pPr>
        <w:pStyle w:val="BodyText"/>
        <w:numPr>
          <w:ilvl w:val="0"/>
          <w:numId w:val="2"/>
        </w:numPr>
        <w:rPr>
          <w:rFonts w:ascii="Arial" w:hAnsi="Arial" w:cs="Arial"/>
          <w:i/>
        </w:rPr>
      </w:pPr>
      <w:r w:rsidRPr="00FA308C">
        <w:rPr>
          <w:rFonts w:ascii="Arial" w:hAnsi="Arial" w:cs="Arial"/>
        </w:rPr>
        <w:t>In</w:t>
      </w:r>
      <w:r w:rsidR="005F47F6" w:rsidRPr="00FA308C">
        <w:rPr>
          <w:rFonts w:ascii="Arial" w:hAnsi="Arial" w:cs="Arial"/>
        </w:rPr>
        <w:t>-</w:t>
      </w:r>
      <w:r w:rsidR="003E5232" w:rsidRPr="00FA308C">
        <w:rPr>
          <w:rFonts w:ascii="Arial" w:hAnsi="Arial" w:cs="Arial"/>
        </w:rPr>
        <w:t>service</w:t>
      </w:r>
      <w:r w:rsidR="00206917" w:rsidRPr="00FA308C">
        <w:rPr>
          <w:rStyle w:val="FootnoteReference"/>
          <w:rFonts w:ascii="Arial" w:hAnsi="Arial" w:cs="Arial"/>
        </w:rPr>
        <w:footnoteReference w:id="2"/>
      </w:r>
      <w:r w:rsidR="003E5232" w:rsidRPr="00FA308C">
        <w:rPr>
          <w:rFonts w:ascii="Arial" w:hAnsi="Arial" w:cs="Arial"/>
        </w:rPr>
        <w:t xml:space="preserve"> </w:t>
      </w:r>
      <w:r w:rsidR="0002759F">
        <w:rPr>
          <w:rFonts w:ascii="Arial" w:hAnsi="Arial" w:cs="Arial"/>
        </w:rPr>
        <w:t>years</w:t>
      </w:r>
      <w:r w:rsidR="0002759F" w:rsidRPr="00FA308C">
        <w:rPr>
          <w:rFonts w:ascii="Arial" w:hAnsi="Arial" w:cs="Arial"/>
        </w:rPr>
        <w:t xml:space="preserve"> </w:t>
      </w:r>
      <w:r w:rsidR="005F47F6" w:rsidRPr="00FA308C">
        <w:rPr>
          <w:rFonts w:ascii="Arial" w:hAnsi="Arial" w:cs="Arial"/>
        </w:rPr>
        <w:t xml:space="preserve">of </w:t>
      </w:r>
      <w:r w:rsidR="003E5232" w:rsidRPr="00FA308C">
        <w:rPr>
          <w:rFonts w:ascii="Arial" w:hAnsi="Arial" w:cs="Arial"/>
        </w:rPr>
        <w:t xml:space="preserve">environmental controls </w:t>
      </w:r>
      <w:r w:rsidR="005F47F6" w:rsidRPr="00FA308C">
        <w:rPr>
          <w:rFonts w:ascii="Arial" w:hAnsi="Arial" w:cs="Arial"/>
        </w:rPr>
        <w:t xml:space="preserve">included on the units: </w:t>
      </w:r>
    </w:p>
    <w:p w14:paraId="404B1641" w14:textId="55F8D7B0" w:rsidR="00856C9F" w:rsidRPr="00FA308C" w:rsidRDefault="00D703C5"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A12390">
        <w:rPr>
          <w:rFonts w:ascii="Arial" w:hAnsi="Arial" w:cs="Arial"/>
          <w:i/>
          <w:iCs/>
          <w:color w:val="000000" w:themeColor="text1"/>
        </w:rPr>
        <w:t>E</w:t>
      </w:r>
      <w:r w:rsidR="00A24F31" w:rsidRPr="00FA308C">
        <w:rPr>
          <w:rFonts w:ascii="Arial" w:hAnsi="Arial" w:cs="Arial"/>
          <w:i/>
          <w:iCs/>
          <w:color w:val="000000" w:themeColor="text1"/>
        </w:rPr>
        <w:t>LG Wastewater</w:t>
      </w:r>
      <w:r w:rsidR="00A24F31" w:rsidRPr="00FA308C">
        <w:rPr>
          <w:rFonts w:ascii="Arial" w:hAnsi="Arial" w:cs="Arial"/>
          <w:i/>
          <w:color w:val="000000" w:themeColor="text1"/>
        </w:rPr>
        <w:t xml:space="preserve"> Management</w:t>
      </w:r>
    </w:p>
    <w:p w14:paraId="404B1642" w14:textId="09A5CB45" w:rsidR="00856C9F" w:rsidRPr="00FA308C" w:rsidRDefault="000A2558"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color w:val="000000" w:themeColor="text1"/>
        </w:rPr>
        <w:t xml:space="preserve"> </w:t>
      </w:r>
      <w:r w:rsidR="00A24F31" w:rsidRPr="00FA308C">
        <w:rPr>
          <w:rFonts w:ascii="Arial" w:hAnsi="Arial" w:cs="Arial"/>
          <w:i/>
          <w:color w:val="000000" w:themeColor="text1"/>
        </w:rPr>
        <w:t>Coal Combustion Byproducts Cells 5 and 6</w:t>
      </w:r>
    </w:p>
    <w:p w14:paraId="404B1643" w14:textId="4AB785CF" w:rsidR="00856C9F" w:rsidRPr="00FA308C" w:rsidRDefault="000A2558"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color w:val="000000" w:themeColor="text1"/>
        </w:rPr>
        <w:t xml:space="preserve"> </w:t>
      </w:r>
      <w:r w:rsidR="00A24F31" w:rsidRPr="00FA308C">
        <w:rPr>
          <w:rFonts w:ascii="Arial" w:hAnsi="Arial" w:cs="Arial"/>
          <w:i/>
          <w:color w:val="000000" w:themeColor="text1"/>
        </w:rPr>
        <w:t>Coal Combustion Byproducts Cells 7 and 8</w:t>
      </w:r>
    </w:p>
    <w:p w14:paraId="404B1645" w14:textId="77777777" w:rsidR="005F47F6" w:rsidRPr="00FA308C" w:rsidRDefault="005F47F6" w:rsidP="00592DAD">
      <w:pPr>
        <w:pStyle w:val="BodyText"/>
        <w:rPr>
          <w:rFonts w:ascii="Arial" w:hAnsi="Arial" w:cs="Arial"/>
          <w:b/>
          <w:szCs w:val="24"/>
        </w:rPr>
      </w:pPr>
      <w:r w:rsidRPr="00FA308C">
        <w:rPr>
          <w:rFonts w:ascii="Arial" w:hAnsi="Arial" w:cs="Arial"/>
          <w:b/>
          <w:szCs w:val="24"/>
        </w:rPr>
        <w:t>Table 1.1</w:t>
      </w:r>
    </w:p>
    <w:tbl>
      <w:tblPr>
        <w:tblW w:w="7398" w:type="dxa"/>
        <w:jc w:val="center"/>
        <w:tblCellMar>
          <w:left w:w="0" w:type="dxa"/>
          <w:right w:w="0" w:type="dxa"/>
        </w:tblCellMar>
        <w:tblLook w:val="04A0" w:firstRow="1" w:lastRow="0" w:firstColumn="1" w:lastColumn="0" w:noHBand="0" w:noVBand="1"/>
      </w:tblPr>
      <w:tblGrid>
        <w:gridCol w:w="1818"/>
        <w:gridCol w:w="1710"/>
        <w:gridCol w:w="1800"/>
        <w:gridCol w:w="2070"/>
      </w:tblGrid>
      <w:tr w:rsidR="003B0038" w:rsidRPr="00592DAD" w14:paraId="404B164A" w14:textId="77777777" w:rsidTr="00AD42B3">
        <w:trPr>
          <w:trHeight w:val="206"/>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46" w14:textId="0088ABA3" w:rsidR="005F47F6" w:rsidRPr="00FA308C" w:rsidRDefault="005F47F6"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Mid-Year NPV 201</w:t>
            </w:r>
            <w:r w:rsidR="00B90C3D" w:rsidRPr="00FA308C">
              <w:rPr>
                <w:rFonts w:cs="Arial"/>
                <w:b/>
                <w:bCs/>
                <w:i/>
                <w:iCs/>
                <w:color w:val="000000" w:themeColor="text1"/>
                <w:kern w:val="24"/>
                <w:szCs w:val="40"/>
              </w:rPr>
              <w:t>9</w:t>
            </w:r>
            <w:r w:rsidRPr="00FA308C">
              <w:rPr>
                <w:rFonts w:cs="Arial"/>
                <w:b/>
                <w:bCs/>
                <w:i/>
                <w:iCs/>
                <w:color w:val="000000" w:themeColor="text1"/>
                <w:kern w:val="24"/>
                <w:szCs w:val="40"/>
              </w:rPr>
              <w:t xml:space="preserve"> $M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47" w14:textId="77777777" w:rsidR="005F47F6"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$0 </w:t>
            </w:r>
            <w:r w:rsidR="005F47F6" w:rsidRPr="00FA308C">
              <w:rPr>
                <w:rFonts w:cs="Arial"/>
                <w:b/>
                <w:bCs/>
                <w:i/>
                <w:iCs/>
                <w:color w:val="000000" w:themeColor="text1"/>
                <w:kern w:val="24"/>
                <w:szCs w:val="40"/>
              </w:rPr>
              <w:t>CO</w:t>
            </w:r>
            <w:r w:rsidR="005F47F6" w:rsidRPr="00FA308C">
              <w:rPr>
                <w:rFonts w:cs="Arial"/>
                <w:b/>
                <w:bCs/>
                <w:i/>
                <w:iCs/>
                <w:color w:val="000000" w:themeColor="text1"/>
                <w:kern w:val="24"/>
                <w:szCs w:val="40"/>
                <w:vertAlign w:val="subscript"/>
              </w:rPr>
              <w:t>2</w:t>
            </w:r>
            <w:r w:rsidR="005F47F6"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48" w14:textId="77777777" w:rsidR="005F47F6"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w:t>
            </w:r>
            <w:r w:rsidR="005F47F6" w:rsidRPr="00FA308C">
              <w:rPr>
                <w:rFonts w:cs="Arial"/>
                <w:b/>
                <w:bCs/>
                <w:i/>
                <w:iCs/>
                <w:color w:val="000000" w:themeColor="text1"/>
                <w:kern w:val="24"/>
                <w:szCs w:val="40"/>
              </w:rPr>
              <w:t xml:space="preserve"> CO</w:t>
            </w:r>
            <w:r w:rsidR="005F47F6" w:rsidRPr="00FA308C">
              <w:rPr>
                <w:rFonts w:cs="Arial"/>
                <w:b/>
                <w:bCs/>
                <w:i/>
                <w:iCs/>
                <w:color w:val="000000" w:themeColor="text1"/>
                <w:kern w:val="24"/>
                <w:szCs w:val="40"/>
                <w:vertAlign w:val="subscript"/>
              </w:rPr>
              <w:t>2</w:t>
            </w:r>
            <w:r w:rsidR="005F47F6"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49" w14:textId="77777777" w:rsidR="005F47F6"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w:t>
            </w:r>
            <w:r w:rsidR="005F47F6" w:rsidRPr="00FA308C">
              <w:rPr>
                <w:rFonts w:cs="Arial"/>
                <w:b/>
                <w:bCs/>
                <w:i/>
                <w:iCs/>
                <w:color w:val="000000" w:themeColor="text1"/>
                <w:kern w:val="24"/>
                <w:szCs w:val="40"/>
              </w:rPr>
              <w:t xml:space="preserve"> CO</w:t>
            </w:r>
            <w:r w:rsidR="005F47F6" w:rsidRPr="00FA308C">
              <w:rPr>
                <w:rFonts w:cs="Arial"/>
                <w:b/>
                <w:bCs/>
                <w:i/>
                <w:iCs/>
                <w:color w:val="000000" w:themeColor="text1"/>
                <w:kern w:val="24"/>
                <w:szCs w:val="40"/>
                <w:vertAlign w:val="subscript"/>
              </w:rPr>
              <w:t>2</w:t>
            </w:r>
            <w:r w:rsidR="005F47F6" w:rsidRPr="00FA308C">
              <w:rPr>
                <w:rFonts w:cs="Arial"/>
                <w:b/>
                <w:bCs/>
                <w:i/>
                <w:iCs/>
                <w:color w:val="000000" w:themeColor="text1"/>
                <w:kern w:val="24"/>
                <w:szCs w:val="40"/>
              </w:rPr>
              <w:t xml:space="preserve"> </w:t>
            </w:r>
          </w:p>
        </w:tc>
      </w:tr>
      <w:tr w:rsidR="000A2558" w:rsidRPr="00592DAD" w14:paraId="404B164F" w14:textId="77777777" w:rsidTr="007032ED">
        <w:trPr>
          <w:trHeight w:val="26"/>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4B"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64C" w14:textId="189DCCAD" w:rsidR="000A2558" w:rsidRPr="000A2558" w:rsidRDefault="000A2558" w:rsidP="000A2558">
            <w:pPr>
              <w:spacing w:before="240" w:after="120"/>
              <w:jc w:val="center"/>
              <w:rPr>
                <w:rFonts w:cs="Arial"/>
                <w:b/>
                <w:bCs/>
                <w:i/>
                <w:iCs/>
                <w:caps/>
                <w:color w:val="000000" w:themeColor="text1"/>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4D" w14:textId="3D2BB9CA"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4E" w14:textId="311E5E10"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592DAD" w14:paraId="404B1654" w14:textId="77777777" w:rsidTr="00586967">
        <w:trPr>
          <w:trHeight w:val="170"/>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50"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1" w14:textId="5431AFE7"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2" w14:textId="36963CA1"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3" w14:textId="4EFA43DA"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592DAD" w14:paraId="404B1659" w14:textId="77777777" w:rsidTr="00586967">
        <w:trPr>
          <w:trHeight w:val="170"/>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55"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6" w14:textId="6569568E"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7" w14:textId="7E2A7E97"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58" w14:textId="7F5C5629"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bl>
    <w:p w14:paraId="404B165A" w14:textId="77777777" w:rsidR="005F47F6" w:rsidRPr="00FA308C" w:rsidRDefault="005F47F6" w:rsidP="00592DAD">
      <w:pPr>
        <w:pStyle w:val="BodyText"/>
        <w:ind w:firstLine="720"/>
        <w:rPr>
          <w:rFonts w:ascii="Arial" w:hAnsi="Arial" w:cs="Arial"/>
          <w:b/>
          <w:sz w:val="24"/>
          <w:szCs w:val="24"/>
        </w:rPr>
      </w:pPr>
    </w:p>
    <w:p w14:paraId="404B165C" w14:textId="20A150EA" w:rsidR="00D04C48" w:rsidRPr="00FA308C" w:rsidRDefault="005F47F6" w:rsidP="00FA308C">
      <w:pPr>
        <w:pStyle w:val="BodyText"/>
        <w:spacing w:after="240"/>
        <w:rPr>
          <w:rFonts w:ascii="Arial" w:hAnsi="Arial" w:cs="Arial"/>
          <w:color w:val="000000" w:themeColor="text1"/>
          <w:szCs w:val="24"/>
        </w:rPr>
      </w:pPr>
      <w:r w:rsidRPr="00FA308C">
        <w:rPr>
          <w:rFonts w:ascii="Arial" w:hAnsi="Arial" w:cs="Arial"/>
          <w:color w:val="000000" w:themeColor="text1"/>
          <w:szCs w:val="24"/>
        </w:rPr>
        <w:t>For Plant Bowen</w:t>
      </w:r>
      <w:r w:rsidR="00C047FF" w:rsidRPr="00FA308C">
        <w:rPr>
          <w:rFonts w:ascii="Arial" w:hAnsi="Arial" w:cs="Arial"/>
          <w:color w:val="000000" w:themeColor="text1"/>
          <w:szCs w:val="24"/>
        </w:rPr>
        <w:t xml:space="preserve"> Units 1 and 2</w:t>
      </w:r>
      <w:r w:rsidRPr="00FA308C">
        <w:rPr>
          <w:rFonts w:ascii="Arial" w:hAnsi="Arial" w:cs="Arial"/>
          <w:color w:val="000000" w:themeColor="text1"/>
          <w:szCs w:val="24"/>
        </w:rPr>
        <w:t>,</w:t>
      </w:r>
      <w:r w:rsidR="00C047FF" w:rsidRPr="00FA308C" w:rsidDel="00C047FF">
        <w:rPr>
          <w:rFonts w:ascii="Arial" w:hAnsi="Arial" w:cs="Arial"/>
          <w:color w:val="000000" w:themeColor="text1"/>
          <w:szCs w:val="24"/>
        </w:rPr>
        <w:t xml:space="preserve"> </w:t>
      </w:r>
      <w:r w:rsidR="003E5232" w:rsidRPr="00FA308C">
        <w:rPr>
          <w:rFonts w:ascii="Arial" w:hAnsi="Arial" w:cs="Arial"/>
          <w:color w:val="000000" w:themeColor="text1"/>
          <w:szCs w:val="24"/>
        </w:rPr>
        <w:t xml:space="preserve">ELG Wastewater Management </w:t>
      </w:r>
      <w:r w:rsidR="00B90C3D" w:rsidRPr="00FA308C">
        <w:rPr>
          <w:rFonts w:ascii="Arial" w:hAnsi="Arial" w:cs="Arial"/>
          <w:color w:val="000000" w:themeColor="text1"/>
          <w:szCs w:val="24"/>
        </w:rPr>
        <w:t>and Coal Combustion Byproducts Cells 5-8</w:t>
      </w:r>
      <w:r w:rsidR="007C1A1F" w:rsidRPr="00FA308C">
        <w:rPr>
          <w:rFonts w:ascii="Arial" w:hAnsi="Arial" w:cs="Arial"/>
          <w:color w:val="000000" w:themeColor="text1"/>
          <w:szCs w:val="24"/>
        </w:rPr>
        <w:t xml:space="preserve"> are assumed for future compliance with ELG</w:t>
      </w:r>
      <w:r w:rsidR="00FD1F1E" w:rsidRPr="00FA308C">
        <w:rPr>
          <w:rFonts w:ascii="Arial" w:hAnsi="Arial" w:cs="Arial"/>
          <w:color w:val="000000" w:themeColor="text1"/>
          <w:szCs w:val="24"/>
        </w:rPr>
        <w:t xml:space="preserve"> </w:t>
      </w:r>
      <w:r w:rsidR="007C1A1F" w:rsidRPr="00FA308C">
        <w:rPr>
          <w:rFonts w:ascii="Arial" w:hAnsi="Arial" w:cs="Arial"/>
          <w:color w:val="000000" w:themeColor="text1"/>
          <w:szCs w:val="24"/>
        </w:rPr>
        <w:t xml:space="preserve">and CCR </w:t>
      </w:r>
      <w:r w:rsidR="001B2CD0" w:rsidRPr="00FA308C">
        <w:rPr>
          <w:rFonts w:ascii="Arial" w:hAnsi="Arial" w:cs="Arial"/>
          <w:color w:val="000000" w:themeColor="text1"/>
          <w:szCs w:val="24"/>
        </w:rPr>
        <w:t>r</w:t>
      </w:r>
      <w:r w:rsidR="007C1A1F" w:rsidRPr="00FA308C">
        <w:rPr>
          <w:rFonts w:ascii="Arial" w:hAnsi="Arial" w:cs="Arial"/>
          <w:color w:val="000000" w:themeColor="text1"/>
          <w:szCs w:val="24"/>
        </w:rPr>
        <w:t>ules</w:t>
      </w:r>
      <w:r w:rsidR="00C047FF" w:rsidRPr="00FA308C">
        <w:rPr>
          <w:rFonts w:ascii="Arial" w:hAnsi="Arial" w:cs="Arial"/>
          <w:iCs/>
          <w:color w:val="000000" w:themeColor="text1"/>
          <w:szCs w:val="24"/>
        </w:rPr>
        <w:t xml:space="preserve">. </w:t>
      </w:r>
      <w:r w:rsidR="002E48F3" w:rsidRPr="00FA308C">
        <w:rPr>
          <w:rFonts w:ascii="Arial" w:hAnsi="Arial" w:cs="Arial"/>
          <w:color w:val="000000" w:themeColor="text1"/>
          <w:szCs w:val="24"/>
        </w:rPr>
        <w:t>ELG Wastewater Management</w:t>
      </w:r>
      <w:r w:rsidR="004B0301" w:rsidRPr="00FA308C">
        <w:rPr>
          <w:rFonts w:ascii="Arial" w:hAnsi="Arial" w:cs="Arial"/>
          <w:color w:val="000000" w:themeColor="text1"/>
          <w:szCs w:val="24"/>
        </w:rPr>
        <w:t xml:space="preserve"> includes the treatment of scrubber wastewater</w:t>
      </w:r>
      <w:r w:rsidR="002E48F3" w:rsidRPr="00FA308C">
        <w:rPr>
          <w:rFonts w:ascii="Arial" w:hAnsi="Arial" w:cs="Arial"/>
          <w:color w:val="000000" w:themeColor="text1"/>
          <w:szCs w:val="24"/>
        </w:rPr>
        <w:t>.</w:t>
      </w:r>
      <w:r w:rsidR="004B0301" w:rsidRPr="00FA308C">
        <w:rPr>
          <w:rFonts w:ascii="Arial" w:hAnsi="Arial" w:cs="Arial"/>
          <w:color w:val="000000" w:themeColor="text1"/>
          <w:szCs w:val="24"/>
        </w:rPr>
        <w:t xml:space="preserve"> </w:t>
      </w:r>
    </w:p>
    <w:p w14:paraId="404B165D" w14:textId="6860A9E1" w:rsidR="00127771" w:rsidRPr="00FA308C" w:rsidRDefault="00127771" w:rsidP="00BC7D86">
      <w:pPr>
        <w:pStyle w:val="BodyText"/>
        <w:spacing w:after="240"/>
      </w:pPr>
      <w:r w:rsidRPr="00FA308C">
        <w:br w:type="page"/>
      </w:r>
    </w:p>
    <w:p w14:paraId="10ECE3EF" w14:textId="4F75B011" w:rsidR="00C047FF" w:rsidRPr="00FA308C" w:rsidRDefault="00C047FF" w:rsidP="00592DAD">
      <w:pPr>
        <w:spacing w:after="120"/>
        <w:rPr>
          <w:rFonts w:cs="Arial"/>
          <w:b/>
          <w:sz w:val="24"/>
          <w:szCs w:val="24"/>
        </w:rPr>
      </w:pPr>
      <w:r w:rsidRPr="00FA308C">
        <w:rPr>
          <w:rFonts w:cs="Arial"/>
          <w:b/>
          <w:sz w:val="24"/>
          <w:szCs w:val="24"/>
        </w:rPr>
        <w:lastRenderedPageBreak/>
        <w:t>1.</w:t>
      </w:r>
      <w:r w:rsidR="00372878" w:rsidRPr="00FA308C">
        <w:rPr>
          <w:rFonts w:cs="Arial"/>
          <w:b/>
          <w:sz w:val="24"/>
          <w:szCs w:val="24"/>
        </w:rPr>
        <w:t>7</w:t>
      </w:r>
      <w:r w:rsidRPr="00FA308C">
        <w:rPr>
          <w:rFonts w:cs="Arial"/>
          <w:b/>
          <w:sz w:val="24"/>
          <w:szCs w:val="24"/>
        </w:rPr>
        <w:t>.</w:t>
      </w:r>
      <w:r w:rsidR="00430847" w:rsidRPr="00FA308C">
        <w:rPr>
          <w:rFonts w:cs="Arial"/>
          <w:b/>
          <w:sz w:val="24"/>
          <w:szCs w:val="24"/>
        </w:rPr>
        <w:t>2</w:t>
      </w:r>
      <w:r w:rsidR="00BD33D4">
        <w:rPr>
          <w:rFonts w:cs="Arial"/>
          <w:b/>
          <w:sz w:val="24"/>
          <w:szCs w:val="24"/>
        </w:rPr>
        <w:t>.</w:t>
      </w:r>
      <w:r w:rsidRPr="00FA308C">
        <w:rPr>
          <w:rFonts w:cs="Arial"/>
          <w:b/>
          <w:sz w:val="24"/>
          <w:szCs w:val="24"/>
        </w:rPr>
        <w:t xml:space="preserve"> Plant Bowen Units 3-4</w:t>
      </w:r>
    </w:p>
    <w:p w14:paraId="6AF10DA8" w14:textId="73E4CCA1" w:rsidR="00C047FF" w:rsidRPr="00FA308C" w:rsidRDefault="00C047FF" w:rsidP="00592DAD">
      <w:pPr>
        <w:pStyle w:val="BodyText"/>
        <w:rPr>
          <w:rFonts w:ascii="Arial" w:hAnsi="Arial" w:cs="Arial"/>
        </w:rPr>
      </w:pPr>
      <w:r w:rsidRPr="00FA308C">
        <w:rPr>
          <w:rFonts w:ascii="Arial" w:hAnsi="Arial" w:cs="Arial"/>
        </w:rPr>
        <w:t xml:space="preserve">Customer Costs and Benefits for the Continued Operation of Plant Bowen Units 3-4 Compared to a Replacement CC </w:t>
      </w:r>
    </w:p>
    <w:p w14:paraId="3CA5CAF6" w14:textId="77777777" w:rsidR="00C047FF" w:rsidRPr="00FA308C" w:rsidRDefault="00C047FF" w:rsidP="00592DAD">
      <w:pPr>
        <w:pStyle w:val="BodyText"/>
        <w:rPr>
          <w:rFonts w:ascii="Arial" w:hAnsi="Arial" w:cs="Arial"/>
        </w:rPr>
      </w:pPr>
      <w:r w:rsidRPr="00FA308C">
        <w:rPr>
          <w:rFonts w:ascii="Arial" w:hAnsi="Arial" w:cs="Arial"/>
        </w:rPr>
        <w:t>Mid-year NPV (</w:t>
      </w:r>
      <w:r w:rsidRPr="00FA308C">
        <w:rPr>
          <w:rFonts w:ascii="Arial" w:hAnsi="Arial" w:cs="Arial"/>
          <w:color w:val="000000" w:themeColor="text1"/>
        </w:rPr>
        <w:t>2020-2048</w:t>
      </w:r>
      <w:r w:rsidRPr="00FA308C">
        <w:rPr>
          <w:rFonts w:ascii="Arial" w:hAnsi="Arial" w:cs="Arial"/>
        </w:rPr>
        <w:t>) in millions of dollars</w:t>
      </w:r>
    </w:p>
    <w:p w14:paraId="1FFC5086" w14:textId="72439244" w:rsidR="0038498A" w:rsidRPr="00FA308C" w:rsidRDefault="0038498A" w:rsidP="00592DAD">
      <w:pPr>
        <w:pStyle w:val="BodyText"/>
        <w:numPr>
          <w:ilvl w:val="0"/>
          <w:numId w:val="2"/>
        </w:numPr>
        <w:rPr>
          <w:rFonts w:ascii="Arial" w:hAnsi="Arial" w:cs="Arial"/>
          <w:i/>
        </w:rPr>
      </w:pPr>
      <w:r w:rsidRPr="00FA308C">
        <w:rPr>
          <w:rFonts w:ascii="Arial" w:hAnsi="Arial" w:cs="Arial"/>
        </w:rPr>
        <w:t>In-service</w:t>
      </w:r>
      <w:r w:rsidR="00206917" w:rsidRPr="00FA308C">
        <w:rPr>
          <w:rStyle w:val="FootnoteReference"/>
          <w:rFonts w:ascii="Arial" w:hAnsi="Arial" w:cs="Arial"/>
        </w:rPr>
        <w:footnoteReference w:id="3"/>
      </w:r>
      <w:r w:rsidRPr="00FA308C">
        <w:rPr>
          <w:rFonts w:ascii="Arial" w:hAnsi="Arial" w:cs="Arial"/>
        </w:rPr>
        <w:t xml:space="preserve"> dates of environmental controls included on the units: </w:t>
      </w:r>
    </w:p>
    <w:p w14:paraId="15B8EDA8" w14:textId="2303CCAB" w:rsidR="00C047FF" w:rsidRPr="00FA308C" w:rsidRDefault="000A2558"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ELG Wastewater</w:t>
      </w:r>
      <w:r w:rsidR="00A24F31" w:rsidRPr="00FA308C">
        <w:rPr>
          <w:rFonts w:ascii="Arial" w:hAnsi="Arial" w:cs="Arial"/>
          <w:i/>
          <w:color w:val="000000" w:themeColor="text1"/>
        </w:rPr>
        <w:t xml:space="preserve"> Management</w:t>
      </w:r>
    </w:p>
    <w:p w14:paraId="7281FADA" w14:textId="2C4320DA" w:rsidR="00C047FF" w:rsidRPr="00FA308C" w:rsidRDefault="000A2558"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color w:val="000000" w:themeColor="text1"/>
        </w:rPr>
        <w:t xml:space="preserve"> </w:t>
      </w:r>
      <w:r w:rsidR="00A24F31" w:rsidRPr="00FA308C">
        <w:rPr>
          <w:rFonts w:ascii="Arial" w:hAnsi="Arial" w:cs="Arial"/>
          <w:i/>
          <w:color w:val="000000" w:themeColor="text1"/>
        </w:rPr>
        <w:t>Coal Combustion Byproducts Cells 5 and 6</w:t>
      </w:r>
    </w:p>
    <w:p w14:paraId="7F817F91" w14:textId="6B649F0B" w:rsidR="00C047FF" w:rsidRPr="00FA308C" w:rsidRDefault="000A2558" w:rsidP="00592DAD">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color w:val="000000" w:themeColor="text1"/>
        </w:rPr>
        <w:t xml:space="preserve"> </w:t>
      </w:r>
      <w:r w:rsidR="00A24F31" w:rsidRPr="00FA308C">
        <w:rPr>
          <w:rFonts w:ascii="Arial" w:hAnsi="Arial" w:cs="Arial"/>
          <w:i/>
          <w:color w:val="000000" w:themeColor="text1"/>
        </w:rPr>
        <w:t>Coal Combustion Byproducts Cells 7 and 8</w:t>
      </w:r>
    </w:p>
    <w:p w14:paraId="2607DFFA" w14:textId="489AAA5D" w:rsidR="00C047FF" w:rsidRPr="00FA308C" w:rsidRDefault="00C047FF" w:rsidP="00592DAD">
      <w:pPr>
        <w:pStyle w:val="BodyText"/>
        <w:rPr>
          <w:rFonts w:ascii="Arial" w:hAnsi="Arial" w:cs="Arial"/>
          <w:b/>
          <w:szCs w:val="24"/>
        </w:rPr>
      </w:pPr>
      <w:r w:rsidRPr="00FA308C">
        <w:rPr>
          <w:rFonts w:ascii="Arial" w:hAnsi="Arial" w:cs="Arial"/>
          <w:b/>
          <w:szCs w:val="24"/>
        </w:rPr>
        <w:t>Table 1.2</w:t>
      </w:r>
    </w:p>
    <w:tbl>
      <w:tblPr>
        <w:tblW w:w="7398" w:type="dxa"/>
        <w:jc w:val="center"/>
        <w:tblCellMar>
          <w:left w:w="0" w:type="dxa"/>
          <w:right w:w="0" w:type="dxa"/>
        </w:tblCellMar>
        <w:tblLook w:val="04A0" w:firstRow="1" w:lastRow="0" w:firstColumn="1" w:lastColumn="0" w:noHBand="0" w:noVBand="1"/>
      </w:tblPr>
      <w:tblGrid>
        <w:gridCol w:w="1818"/>
        <w:gridCol w:w="1710"/>
        <w:gridCol w:w="1800"/>
        <w:gridCol w:w="2070"/>
      </w:tblGrid>
      <w:tr w:rsidR="00C047FF" w:rsidRPr="00592DAD" w14:paraId="3B53D171" w14:textId="77777777" w:rsidTr="00C047FF">
        <w:trPr>
          <w:trHeight w:val="206"/>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7284EDE" w14:textId="3B69A727" w:rsidR="00C047FF" w:rsidRPr="00FA308C" w:rsidRDefault="00C047FF"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2019 $M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00665459" w14:textId="77777777" w:rsidR="00C047FF" w:rsidRPr="00FA308C" w:rsidRDefault="00C047FF"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70BE888F" w14:textId="77777777" w:rsidR="00C047FF" w:rsidRPr="00FA308C" w:rsidRDefault="00C047FF"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5889D8ED" w14:textId="77777777" w:rsidR="00C047FF" w:rsidRPr="00FA308C" w:rsidRDefault="00C047FF"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592DAD" w14:paraId="3C3D95CE" w14:textId="77777777" w:rsidTr="00ED6EB4">
        <w:trPr>
          <w:trHeight w:val="26"/>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996B19F"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528E4DF" w14:textId="01774CE1" w:rsidR="000A2558" w:rsidRPr="00FA308C" w:rsidRDefault="000A2558" w:rsidP="000A2558">
            <w:pPr>
              <w:spacing w:before="240" w:after="120"/>
              <w:jc w:val="center"/>
              <w:rPr>
                <w:rFonts w:cs="Arial"/>
                <w:b/>
                <w:bCs/>
                <w:i/>
                <w:iCs/>
                <w:color w:val="000000" w:themeColor="text1"/>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CE11D1F" w14:textId="4AC04FFE"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73270D7E" w14:textId="27AE726F"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592DAD" w14:paraId="39D1ACA5" w14:textId="77777777" w:rsidTr="00ED6EB4">
        <w:trPr>
          <w:trHeight w:val="170"/>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21A8E391"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72F0272" w14:textId="518CD662"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117DC847" w14:textId="367F464B"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178FEBF" w14:textId="7DD41152"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592DAD" w14:paraId="7D53C4F9" w14:textId="77777777" w:rsidTr="00ED6EB4">
        <w:trPr>
          <w:trHeight w:val="170"/>
          <w:jc w:val="center"/>
        </w:trPr>
        <w:tc>
          <w:tcPr>
            <w:tcW w:w="181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3BD905D1"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0FC0EE88" w14:textId="3DFF0EC4"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778B9572" w14:textId="2717B157"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F11F8A" w14:textId="045F9210"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bl>
    <w:p w14:paraId="11B88E7A" w14:textId="77777777" w:rsidR="00C047FF" w:rsidRPr="00FA308C" w:rsidRDefault="00C047FF" w:rsidP="00592DAD">
      <w:pPr>
        <w:pStyle w:val="BodyText"/>
        <w:ind w:firstLine="720"/>
        <w:rPr>
          <w:rFonts w:ascii="Arial" w:hAnsi="Arial" w:cs="Arial"/>
          <w:b/>
          <w:sz w:val="24"/>
          <w:szCs w:val="24"/>
        </w:rPr>
      </w:pPr>
    </w:p>
    <w:p w14:paraId="61A5F45A" w14:textId="5132F283" w:rsidR="00B4231F" w:rsidRDefault="00C047FF" w:rsidP="006B62E3">
      <w:pPr>
        <w:spacing w:after="120"/>
        <w:rPr>
          <w:rFonts w:cs="Arial"/>
          <w:color w:val="000000" w:themeColor="text1"/>
          <w:szCs w:val="24"/>
        </w:rPr>
      </w:pPr>
      <w:r w:rsidRPr="00FA308C">
        <w:rPr>
          <w:rFonts w:cs="Arial"/>
          <w:color w:val="000000" w:themeColor="text1"/>
          <w:szCs w:val="24"/>
        </w:rPr>
        <w:t>For Plant Bowen Units 3 and 4,</w:t>
      </w:r>
      <w:r w:rsidRPr="00FA308C" w:rsidDel="00C047FF">
        <w:rPr>
          <w:rFonts w:cs="Arial"/>
          <w:color w:val="000000" w:themeColor="text1"/>
          <w:szCs w:val="24"/>
        </w:rPr>
        <w:t xml:space="preserve"> </w:t>
      </w:r>
      <w:r w:rsidRPr="00FA308C">
        <w:rPr>
          <w:rFonts w:cs="Arial"/>
          <w:color w:val="000000" w:themeColor="text1"/>
          <w:szCs w:val="24"/>
        </w:rPr>
        <w:t>ELG Wastewater Management and Coal Combustion Byproducts Cells 5-8 are assumed for future compliance with ELG</w:t>
      </w:r>
      <w:r w:rsidR="006C555C">
        <w:rPr>
          <w:rFonts w:cs="Arial"/>
          <w:color w:val="000000" w:themeColor="text1"/>
          <w:szCs w:val="24"/>
        </w:rPr>
        <w:t xml:space="preserve"> </w:t>
      </w:r>
      <w:r w:rsidRPr="00FA308C">
        <w:rPr>
          <w:rFonts w:cs="Arial"/>
          <w:color w:val="000000" w:themeColor="text1"/>
          <w:szCs w:val="24"/>
        </w:rPr>
        <w:t>and CCR rules</w:t>
      </w:r>
      <w:r w:rsidRPr="00FA308C">
        <w:rPr>
          <w:rFonts w:cs="Arial"/>
          <w:iCs/>
          <w:color w:val="000000" w:themeColor="text1"/>
          <w:szCs w:val="24"/>
        </w:rPr>
        <w:t>.</w:t>
      </w:r>
      <w:r w:rsidR="00FD1F1E" w:rsidRPr="00FA308C">
        <w:rPr>
          <w:rFonts w:cs="Arial"/>
          <w:iCs/>
          <w:color w:val="000000" w:themeColor="text1"/>
          <w:szCs w:val="24"/>
        </w:rPr>
        <w:t xml:space="preserve"> </w:t>
      </w:r>
      <w:r w:rsidRPr="00FA308C">
        <w:rPr>
          <w:rFonts w:cs="Arial"/>
          <w:color w:val="000000" w:themeColor="text1"/>
          <w:szCs w:val="24"/>
        </w:rPr>
        <w:t>ELG Wastewater Management includes the treatment of scrubber wastewater.</w:t>
      </w:r>
    </w:p>
    <w:p w14:paraId="404B165E" w14:textId="50396D14" w:rsidR="005F47F6" w:rsidRPr="00FA308C" w:rsidRDefault="00B4231F" w:rsidP="00592DAD">
      <w:pPr>
        <w:spacing w:after="120"/>
        <w:rPr>
          <w:rFonts w:cs="Arial"/>
          <w:b/>
          <w:sz w:val="24"/>
          <w:szCs w:val="28"/>
        </w:rPr>
      </w:pPr>
      <w:r>
        <w:rPr>
          <w:rFonts w:cs="Arial"/>
          <w:color w:val="000000" w:themeColor="text1"/>
          <w:szCs w:val="24"/>
        </w:rPr>
        <w:br w:type="page"/>
      </w:r>
      <w:r w:rsidR="005F47F6" w:rsidRPr="00FA308C">
        <w:rPr>
          <w:rFonts w:cs="Arial"/>
          <w:b/>
          <w:sz w:val="24"/>
          <w:szCs w:val="28"/>
        </w:rPr>
        <w:lastRenderedPageBreak/>
        <w:t>1.</w:t>
      </w:r>
      <w:r w:rsidR="00372878" w:rsidRPr="00FA308C">
        <w:rPr>
          <w:rFonts w:cs="Arial"/>
          <w:b/>
          <w:sz w:val="24"/>
          <w:szCs w:val="28"/>
        </w:rPr>
        <w:t>7</w:t>
      </w:r>
      <w:r w:rsidR="005F47F6" w:rsidRPr="00FA308C">
        <w:rPr>
          <w:rFonts w:cs="Arial"/>
          <w:b/>
          <w:sz w:val="24"/>
          <w:szCs w:val="28"/>
        </w:rPr>
        <w:t>.</w:t>
      </w:r>
      <w:r w:rsidR="00C047FF" w:rsidRPr="00FA308C">
        <w:rPr>
          <w:rFonts w:cs="Arial"/>
          <w:b/>
          <w:sz w:val="24"/>
          <w:szCs w:val="28"/>
        </w:rPr>
        <w:t>3</w:t>
      </w:r>
      <w:r w:rsidR="00BD33D4" w:rsidRPr="00FA308C">
        <w:rPr>
          <w:rFonts w:cs="Arial"/>
          <w:b/>
          <w:sz w:val="24"/>
          <w:szCs w:val="28"/>
        </w:rPr>
        <w:t>.</w:t>
      </w:r>
      <w:r w:rsidR="002E29A4" w:rsidRPr="00FA308C">
        <w:rPr>
          <w:rFonts w:cs="Arial"/>
          <w:b/>
          <w:sz w:val="24"/>
          <w:szCs w:val="28"/>
        </w:rPr>
        <w:t xml:space="preserve"> </w:t>
      </w:r>
      <w:r w:rsidR="005F47F6" w:rsidRPr="00FA308C">
        <w:rPr>
          <w:rFonts w:cs="Arial"/>
          <w:b/>
          <w:sz w:val="24"/>
          <w:szCs w:val="28"/>
        </w:rPr>
        <w:t xml:space="preserve">Plant </w:t>
      </w:r>
      <w:r w:rsidR="00C047FF" w:rsidRPr="00FA308C">
        <w:rPr>
          <w:rFonts w:cs="Arial"/>
          <w:b/>
          <w:sz w:val="24"/>
          <w:szCs w:val="28"/>
        </w:rPr>
        <w:t xml:space="preserve">Gaston </w:t>
      </w:r>
      <w:r w:rsidR="005F47F6" w:rsidRPr="00FA308C">
        <w:rPr>
          <w:rFonts w:cs="Arial"/>
          <w:b/>
          <w:sz w:val="24"/>
          <w:szCs w:val="28"/>
        </w:rPr>
        <w:t xml:space="preserve">Units </w:t>
      </w:r>
      <w:r w:rsidR="00C047FF" w:rsidRPr="00FA308C">
        <w:rPr>
          <w:rFonts w:cs="Arial"/>
          <w:b/>
          <w:sz w:val="24"/>
          <w:szCs w:val="28"/>
        </w:rPr>
        <w:t>1</w:t>
      </w:r>
      <w:r w:rsidR="005F47F6" w:rsidRPr="00FA308C">
        <w:rPr>
          <w:rFonts w:cs="Arial"/>
          <w:b/>
          <w:sz w:val="24"/>
          <w:szCs w:val="28"/>
        </w:rPr>
        <w:t>-4</w:t>
      </w:r>
    </w:p>
    <w:p w14:paraId="404B165F" w14:textId="77777777" w:rsidR="005F47F6" w:rsidRPr="00FA308C" w:rsidRDefault="005F47F6" w:rsidP="00592DAD">
      <w:pPr>
        <w:rPr>
          <w:rFonts w:cs="Arial"/>
        </w:rPr>
      </w:pPr>
      <w:r w:rsidRPr="00FA308C">
        <w:rPr>
          <w:rFonts w:cs="Arial"/>
        </w:rPr>
        <w:t xml:space="preserve">Customer Costs </w:t>
      </w:r>
      <w:r w:rsidR="002E48F3" w:rsidRPr="00FA308C">
        <w:rPr>
          <w:rFonts w:cs="Arial"/>
        </w:rPr>
        <w:t xml:space="preserve">and Benefits </w:t>
      </w:r>
      <w:r w:rsidRPr="00FA308C">
        <w:rPr>
          <w:rFonts w:cs="Arial"/>
        </w:rPr>
        <w:t xml:space="preserve">for </w:t>
      </w:r>
      <w:r w:rsidR="002E48F3" w:rsidRPr="00FA308C">
        <w:rPr>
          <w:rFonts w:cs="Arial"/>
        </w:rPr>
        <w:t>the Continued Operation for GPC’s Ownership Share of Gaston</w:t>
      </w:r>
      <w:r w:rsidR="001E7CDA" w:rsidRPr="00FA308C">
        <w:rPr>
          <w:rFonts w:cs="Arial"/>
        </w:rPr>
        <w:t xml:space="preserve"> Units</w:t>
      </w:r>
      <w:r w:rsidR="002E48F3" w:rsidRPr="00FA308C">
        <w:rPr>
          <w:rFonts w:cs="Arial"/>
        </w:rPr>
        <w:t xml:space="preserve"> 1-4 </w:t>
      </w:r>
      <w:r w:rsidR="00EF35D0" w:rsidRPr="00FA308C">
        <w:rPr>
          <w:rFonts w:cs="Arial"/>
        </w:rPr>
        <w:t>Compared to</w:t>
      </w:r>
      <w:r w:rsidR="002E48F3" w:rsidRPr="00FA308C">
        <w:rPr>
          <w:rFonts w:cs="Arial"/>
        </w:rPr>
        <w:t xml:space="preserve"> a </w:t>
      </w:r>
      <w:r w:rsidRPr="00FA308C">
        <w:rPr>
          <w:rFonts w:cs="Arial"/>
        </w:rPr>
        <w:t>Replacement CT</w:t>
      </w:r>
    </w:p>
    <w:p w14:paraId="404B1660" w14:textId="6316CF47" w:rsidR="005F47F6" w:rsidRPr="00FA308C" w:rsidRDefault="00EF35D0" w:rsidP="00592DAD">
      <w:pPr>
        <w:rPr>
          <w:rFonts w:cs="Arial"/>
        </w:rPr>
      </w:pPr>
      <w:r w:rsidRPr="00FA308C">
        <w:rPr>
          <w:rFonts w:cs="Arial"/>
        </w:rPr>
        <w:t xml:space="preserve">Mid-year </w:t>
      </w:r>
      <w:r w:rsidR="005F47F6" w:rsidRPr="00FA308C">
        <w:rPr>
          <w:rFonts w:cs="Arial"/>
        </w:rPr>
        <w:t xml:space="preserve">NPV </w:t>
      </w:r>
      <w:r w:rsidR="005F47F6" w:rsidRPr="00FA308C">
        <w:rPr>
          <w:rFonts w:cs="Arial"/>
          <w:color w:val="000000" w:themeColor="text1"/>
        </w:rPr>
        <w:t>(</w:t>
      </w:r>
      <w:r w:rsidR="009C7332" w:rsidRPr="00FA308C">
        <w:rPr>
          <w:rFonts w:cs="Arial"/>
          <w:color w:val="000000" w:themeColor="text1"/>
        </w:rPr>
        <w:t>2020</w:t>
      </w:r>
      <w:r w:rsidR="005F47F6" w:rsidRPr="00FA308C">
        <w:rPr>
          <w:rFonts w:cs="Arial"/>
          <w:color w:val="000000" w:themeColor="text1"/>
        </w:rPr>
        <w:t>-</w:t>
      </w:r>
      <w:r w:rsidR="00A431A1" w:rsidRPr="00FA308C">
        <w:rPr>
          <w:rFonts w:cs="Arial"/>
          <w:color w:val="000000" w:themeColor="text1"/>
        </w:rPr>
        <w:t>204</w:t>
      </w:r>
      <w:r w:rsidR="00E2371B" w:rsidRPr="00FA308C">
        <w:rPr>
          <w:rFonts w:cs="Arial"/>
          <w:color w:val="000000" w:themeColor="text1"/>
        </w:rPr>
        <w:t>8</w:t>
      </w:r>
      <w:r w:rsidR="005F47F6" w:rsidRPr="00FA308C">
        <w:rPr>
          <w:rFonts w:cs="Arial"/>
        </w:rPr>
        <w:t xml:space="preserve">) in </w:t>
      </w:r>
      <w:r w:rsidR="003E5232" w:rsidRPr="00FA308C">
        <w:rPr>
          <w:rFonts w:cs="Arial"/>
        </w:rPr>
        <w:t xml:space="preserve">millions </w:t>
      </w:r>
      <w:r w:rsidR="005F47F6" w:rsidRPr="00FA308C">
        <w:rPr>
          <w:rFonts w:cs="Arial"/>
        </w:rPr>
        <w:t xml:space="preserve">of </w:t>
      </w:r>
      <w:r w:rsidR="003E5232" w:rsidRPr="00FA308C">
        <w:rPr>
          <w:rFonts w:cs="Arial"/>
        </w:rPr>
        <w:t>dollars</w:t>
      </w:r>
    </w:p>
    <w:p w14:paraId="76B40EF6" w14:textId="461A655E" w:rsidR="0038498A" w:rsidRPr="00FA308C" w:rsidRDefault="0038498A" w:rsidP="00592DAD">
      <w:pPr>
        <w:pStyle w:val="BodyText"/>
        <w:numPr>
          <w:ilvl w:val="0"/>
          <w:numId w:val="2"/>
        </w:numPr>
        <w:rPr>
          <w:rFonts w:ascii="Arial" w:hAnsi="Arial" w:cs="Arial"/>
          <w:i/>
        </w:rPr>
      </w:pPr>
      <w:r w:rsidRPr="00FA308C">
        <w:rPr>
          <w:rFonts w:ascii="Arial" w:hAnsi="Arial" w:cs="Arial"/>
        </w:rPr>
        <w:t>In-service</w:t>
      </w:r>
      <w:r w:rsidR="00206917" w:rsidRPr="00FA308C">
        <w:rPr>
          <w:rStyle w:val="FootnoteReference"/>
          <w:rFonts w:ascii="Arial" w:hAnsi="Arial" w:cs="Arial"/>
        </w:rPr>
        <w:footnoteReference w:id="4"/>
      </w:r>
      <w:r w:rsidRPr="00FA308C">
        <w:rPr>
          <w:rFonts w:ascii="Arial" w:hAnsi="Arial" w:cs="Arial"/>
        </w:rPr>
        <w:t xml:space="preserve"> dates of environmental controls included on the units: </w:t>
      </w:r>
    </w:p>
    <w:p w14:paraId="6F9BAFC6" w14:textId="57581CE6" w:rsidR="00A43B63" w:rsidRPr="00FA308C" w:rsidRDefault="000A2558" w:rsidP="00A43B63">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A24F31">
        <w:rPr>
          <w:rFonts w:ascii="Arial" w:eastAsiaTheme="minorHAnsi" w:hAnsi="Arial" w:cs="Arial"/>
          <w:i/>
          <w:iCs/>
          <w:color w:val="000000" w:themeColor="text1"/>
        </w:rPr>
        <w:t>316(b) Studies</w:t>
      </w:r>
    </w:p>
    <w:p w14:paraId="42B334DE" w14:textId="0A5C8D21" w:rsidR="00A43B63" w:rsidRPr="00FA308C" w:rsidRDefault="000A2558" w:rsidP="00A43B63">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A24F31">
        <w:rPr>
          <w:rFonts w:ascii="Arial" w:eastAsiaTheme="minorHAnsi" w:hAnsi="Arial" w:cs="Arial"/>
          <w:i/>
          <w:iCs/>
          <w:color w:val="000000" w:themeColor="text1"/>
        </w:rPr>
        <w:t>Dry Bottom Ash System</w:t>
      </w:r>
    </w:p>
    <w:p w14:paraId="6FFFFEE3" w14:textId="38537235" w:rsidR="00A43B63" w:rsidRPr="00A24F31" w:rsidRDefault="000A2558" w:rsidP="00A24F31">
      <w:pPr>
        <w:numPr>
          <w:ilvl w:val="1"/>
          <w:numId w:val="2"/>
        </w:numPr>
        <w:spacing w:after="0"/>
        <w:rPr>
          <w:rFonts w:cs="Arial"/>
          <w:i/>
          <w:iCs/>
          <w:color w:val="000000" w:themeColor="text1"/>
        </w:rPr>
      </w:pPr>
      <w:r w:rsidRPr="000A2558">
        <w:rPr>
          <w:rFonts w:cs="Arial"/>
          <w:b/>
          <w:i/>
          <w:iCs/>
          <w:caps/>
          <w:color w:val="000000" w:themeColor="text1"/>
        </w:rPr>
        <w:t>Redacted</w:t>
      </w:r>
      <w:r w:rsidR="00A24F31" w:rsidRPr="00A24F31">
        <w:rPr>
          <w:rFonts w:cs="Arial"/>
          <w:i/>
          <w:iCs/>
          <w:color w:val="000000" w:themeColor="text1"/>
        </w:rPr>
        <w:t xml:space="preserve"> </w:t>
      </w:r>
      <w:r w:rsidR="00A24F31" w:rsidRPr="00FA308C">
        <w:rPr>
          <w:rFonts w:cs="Arial"/>
          <w:i/>
          <w:iCs/>
          <w:color w:val="000000" w:themeColor="text1"/>
        </w:rPr>
        <w:t>Intake Screens</w:t>
      </w:r>
    </w:p>
    <w:p w14:paraId="404B1664" w14:textId="3ABC948D" w:rsidR="005F47F6" w:rsidRPr="00FA308C" w:rsidRDefault="005F47F6" w:rsidP="00A43B63">
      <w:pPr>
        <w:spacing w:after="0"/>
        <w:ind w:left="1440"/>
        <w:rPr>
          <w:rFonts w:cs="Arial"/>
          <w:i/>
          <w:iCs/>
          <w:color w:val="000000" w:themeColor="text1"/>
        </w:rPr>
      </w:pPr>
    </w:p>
    <w:p w14:paraId="404B1665" w14:textId="2A757243" w:rsidR="005F47F6" w:rsidRPr="00FA308C" w:rsidRDefault="005F47F6" w:rsidP="00592DAD">
      <w:pPr>
        <w:rPr>
          <w:rFonts w:cs="Arial"/>
          <w:b/>
        </w:rPr>
      </w:pPr>
      <w:r w:rsidRPr="00FA308C">
        <w:rPr>
          <w:rFonts w:cs="Arial"/>
          <w:b/>
        </w:rPr>
        <w:t>Table 1.</w:t>
      </w:r>
      <w:r w:rsidR="00C047FF" w:rsidRPr="00FA308C">
        <w:rPr>
          <w:rFonts w:cs="Arial"/>
          <w:b/>
        </w:rPr>
        <w:t>3</w:t>
      </w:r>
    </w:p>
    <w:tbl>
      <w:tblPr>
        <w:tblW w:w="7622" w:type="dxa"/>
        <w:jc w:val="center"/>
        <w:tblCellMar>
          <w:left w:w="0" w:type="dxa"/>
          <w:right w:w="0" w:type="dxa"/>
        </w:tblCellMar>
        <w:tblLook w:val="04A0" w:firstRow="1" w:lastRow="0" w:firstColumn="1" w:lastColumn="0" w:noHBand="0" w:noVBand="1"/>
      </w:tblPr>
      <w:tblGrid>
        <w:gridCol w:w="1942"/>
        <w:gridCol w:w="1741"/>
        <w:gridCol w:w="1832"/>
        <w:gridCol w:w="2107"/>
      </w:tblGrid>
      <w:tr w:rsidR="003B0038" w:rsidRPr="00592DAD" w14:paraId="404B166A" w14:textId="77777777" w:rsidTr="003A17CD">
        <w:trPr>
          <w:trHeight w:val="448"/>
          <w:jc w:val="center"/>
        </w:trPr>
        <w:tc>
          <w:tcPr>
            <w:tcW w:w="1942"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66" w14:textId="0F94F809" w:rsidR="003B0038" w:rsidRPr="00FA308C" w:rsidRDefault="003B0038" w:rsidP="00592DAD">
            <w:pPr>
              <w:spacing w:after="120"/>
              <w:jc w:val="center"/>
              <w:rPr>
                <w:rFonts w:cs="Arial"/>
                <w:b/>
                <w:bCs/>
                <w:i/>
                <w:iCs/>
                <w:color w:val="000000" w:themeColor="text1"/>
                <w:kern w:val="24"/>
              </w:rPr>
            </w:pPr>
            <w:r w:rsidRPr="00FA308C">
              <w:rPr>
                <w:rFonts w:cs="Arial"/>
                <w:b/>
                <w:bCs/>
                <w:i/>
                <w:iCs/>
                <w:color w:val="000000" w:themeColor="text1"/>
                <w:kern w:val="24"/>
              </w:rPr>
              <w:t xml:space="preserve">Mid-Year NPV </w:t>
            </w:r>
            <w:r w:rsidR="009C7332" w:rsidRPr="00FA308C">
              <w:rPr>
                <w:rFonts w:cs="Arial"/>
                <w:b/>
                <w:bCs/>
                <w:i/>
                <w:iCs/>
                <w:color w:val="000000" w:themeColor="text1"/>
                <w:kern w:val="24"/>
              </w:rPr>
              <w:t xml:space="preserve">2019 </w:t>
            </w:r>
            <w:r w:rsidRPr="00FA308C">
              <w:rPr>
                <w:rFonts w:cs="Arial"/>
                <w:b/>
                <w:bCs/>
                <w:i/>
                <w:iCs/>
                <w:color w:val="000000" w:themeColor="text1"/>
                <w:kern w:val="24"/>
              </w:rPr>
              <w:t xml:space="preserve">$M </w:t>
            </w:r>
          </w:p>
        </w:tc>
        <w:tc>
          <w:tcPr>
            <w:tcW w:w="174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67" w14:textId="77777777" w:rsidR="003B0038" w:rsidRPr="00FA308C" w:rsidRDefault="003B0038" w:rsidP="00592DAD">
            <w:pPr>
              <w:spacing w:after="120"/>
              <w:jc w:val="center"/>
              <w:rPr>
                <w:rFonts w:cs="Arial"/>
                <w:b/>
                <w:bCs/>
                <w:i/>
                <w:iCs/>
                <w:color w:val="000000" w:themeColor="text1"/>
                <w:kern w:val="24"/>
              </w:rPr>
            </w:pPr>
            <w:r w:rsidRPr="00FA308C">
              <w:rPr>
                <w:rFonts w:cs="Arial"/>
                <w:b/>
                <w:bCs/>
                <w:i/>
                <w:iCs/>
                <w:color w:val="000000" w:themeColor="text1"/>
                <w:kern w:val="24"/>
              </w:rPr>
              <w:t>$0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c>
          <w:tcPr>
            <w:tcW w:w="1832"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68" w14:textId="77777777" w:rsidR="003B0038" w:rsidRPr="00FA308C" w:rsidRDefault="003B0038" w:rsidP="00592DAD">
            <w:pPr>
              <w:spacing w:after="120"/>
              <w:jc w:val="center"/>
              <w:rPr>
                <w:rFonts w:cs="Arial"/>
                <w:b/>
                <w:bCs/>
                <w:i/>
                <w:iCs/>
                <w:color w:val="000000" w:themeColor="text1"/>
                <w:kern w:val="24"/>
              </w:rPr>
            </w:pPr>
            <w:r w:rsidRPr="00FA308C">
              <w:rPr>
                <w:rFonts w:cs="Arial"/>
                <w:b/>
                <w:bCs/>
                <w:i/>
                <w:iCs/>
                <w:color w:val="000000" w:themeColor="text1"/>
                <w:kern w:val="24"/>
              </w:rPr>
              <w:t>$10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c>
          <w:tcPr>
            <w:tcW w:w="2107"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69" w14:textId="77777777" w:rsidR="003B0038" w:rsidRPr="00FA308C" w:rsidRDefault="003B0038" w:rsidP="00592DAD">
            <w:pPr>
              <w:spacing w:after="120"/>
              <w:jc w:val="center"/>
              <w:rPr>
                <w:rFonts w:cs="Arial"/>
                <w:b/>
                <w:bCs/>
                <w:i/>
                <w:iCs/>
                <w:color w:val="000000" w:themeColor="text1"/>
                <w:kern w:val="24"/>
              </w:rPr>
            </w:pPr>
            <w:r w:rsidRPr="00FA308C">
              <w:rPr>
                <w:rFonts w:cs="Arial"/>
                <w:b/>
                <w:bCs/>
                <w:i/>
                <w:iCs/>
                <w:color w:val="000000" w:themeColor="text1"/>
                <w:kern w:val="24"/>
              </w:rPr>
              <w:t>$20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r>
      <w:tr w:rsidR="000A2558" w:rsidRPr="00592DAD" w14:paraId="404B166F" w14:textId="77777777" w:rsidTr="00A410D0">
        <w:trPr>
          <w:trHeight w:val="167"/>
          <w:jc w:val="center"/>
        </w:trPr>
        <w:tc>
          <w:tcPr>
            <w:tcW w:w="1942"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6B" w14:textId="77777777" w:rsidR="000A2558" w:rsidRPr="00FA308C" w:rsidRDefault="000A2558" w:rsidP="000A2558">
            <w:pPr>
              <w:spacing w:before="240" w:after="120"/>
              <w:rPr>
                <w:rFonts w:cs="Arial"/>
                <w:b/>
                <w:bCs/>
                <w:i/>
                <w:iCs/>
                <w:color w:val="000000" w:themeColor="text1"/>
                <w:kern w:val="24"/>
              </w:rPr>
            </w:pPr>
            <w:r w:rsidRPr="00FA308C">
              <w:rPr>
                <w:rFonts w:cs="Arial"/>
                <w:b/>
                <w:bCs/>
                <w:i/>
                <w:iCs/>
                <w:color w:val="000000" w:themeColor="text1"/>
                <w:kern w:val="24"/>
              </w:rPr>
              <w:t xml:space="preserve">High Fuel </w:t>
            </w:r>
          </w:p>
        </w:tc>
        <w:tc>
          <w:tcPr>
            <w:tcW w:w="17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66C" w14:textId="73924FD2" w:rsidR="000A2558" w:rsidRPr="00FA308C" w:rsidRDefault="000A2558" w:rsidP="000A2558">
            <w:pPr>
              <w:spacing w:before="240" w:after="120"/>
              <w:jc w:val="center"/>
              <w:rPr>
                <w:rFonts w:cs="Arial"/>
                <w:b/>
                <w:bCs/>
                <w:i/>
                <w:iCs/>
                <w:color w:val="000000" w:themeColor="text1"/>
                <w:kern w:val="24"/>
              </w:rPr>
            </w:pPr>
            <w:r w:rsidRPr="000A2558">
              <w:rPr>
                <w:rFonts w:cs="Arial"/>
                <w:b/>
                <w:bCs/>
                <w:i/>
                <w:iCs/>
                <w:caps/>
                <w:color w:val="000000" w:themeColor="text1"/>
                <w:kern w:val="24"/>
                <w:szCs w:val="40"/>
              </w:rPr>
              <w:t xml:space="preserve">Redacted </w:t>
            </w: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6D" w14:textId="446A73A1"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c>
          <w:tcPr>
            <w:tcW w:w="2107"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6E" w14:textId="0E39BB0C"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r>
      <w:tr w:rsidR="000A2558" w:rsidRPr="00592DAD" w14:paraId="404B1674" w14:textId="77777777" w:rsidTr="00A410D0">
        <w:trPr>
          <w:trHeight w:val="308"/>
          <w:jc w:val="center"/>
        </w:trPr>
        <w:tc>
          <w:tcPr>
            <w:tcW w:w="1942"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70" w14:textId="77777777" w:rsidR="000A2558" w:rsidRPr="00FA308C" w:rsidRDefault="000A2558" w:rsidP="000A2558">
            <w:pPr>
              <w:spacing w:before="240" w:after="120"/>
              <w:rPr>
                <w:rFonts w:cs="Arial"/>
                <w:b/>
                <w:bCs/>
                <w:i/>
                <w:iCs/>
                <w:color w:val="000000" w:themeColor="text1"/>
                <w:kern w:val="24"/>
              </w:rPr>
            </w:pPr>
            <w:r w:rsidRPr="00FA308C">
              <w:rPr>
                <w:rFonts w:cs="Arial"/>
                <w:b/>
                <w:bCs/>
                <w:i/>
                <w:iCs/>
                <w:color w:val="000000" w:themeColor="text1"/>
                <w:kern w:val="24"/>
              </w:rPr>
              <w:t xml:space="preserve">Moderate Fuel </w:t>
            </w:r>
          </w:p>
        </w:tc>
        <w:tc>
          <w:tcPr>
            <w:tcW w:w="17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1" w14:textId="667FAFF9" w:rsidR="000A2558" w:rsidRPr="00FA308C" w:rsidRDefault="000A2558" w:rsidP="000A2558">
            <w:pPr>
              <w:spacing w:before="240" w:after="120"/>
              <w:jc w:val="center"/>
              <w:rPr>
                <w:rFonts w:cs="Arial"/>
                <w:b/>
                <w:bCs/>
                <w:i/>
                <w:iCs/>
                <w:color w:val="000000" w:themeColor="text1"/>
                <w:kern w:val="24"/>
              </w:rPr>
            </w:pPr>
            <w:r w:rsidRPr="005025DC">
              <w:rPr>
                <w:rFonts w:cs="Arial"/>
                <w:b/>
                <w:bCs/>
                <w:i/>
                <w:iCs/>
                <w:caps/>
                <w:color w:val="000000" w:themeColor="text1"/>
                <w:kern w:val="24"/>
                <w:szCs w:val="40"/>
              </w:rPr>
              <w:t xml:space="preserve">Redacted </w:t>
            </w: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2" w14:textId="3ED87495"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c>
          <w:tcPr>
            <w:tcW w:w="2107"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3" w14:textId="60D9CD4A"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r>
      <w:tr w:rsidR="000A2558" w:rsidRPr="00592DAD" w14:paraId="404B1679" w14:textId="77777777" w:rsidTr="00A410D0">
        <w:trPr>
          <w:trHeight w:val="205"/>
          <w:jc w:val="center"/>
        </w:trPr>
        <w:tc>
          <w:tcPr>
            <w:tcW w:w="1942"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75" w14:textId="77777777" w:rsidR="000A2558" w:rsidRPr="00FA308C" w:rsidRDefault="000A2558" w:rsidP="000A2558">
            <w:pPr>
              <w:spacing w:before="240" w:after="120"/>
              <w:rPr>
                <w:rFonts w:cs="Arial"/>
                <w:b/>
                <w:bCs/>
                <w:i/>
                <w:iCs/>
                <w:color w:val="000000" w:themeColor="text1"/>
                <w:kern w:val="24"/>
              </w:rPr>
            </w:pPr>
            <w:r w:rsidRPr="00FA308C">
              <w:rPr>
                <w:rFonts w:cs="Arial"/>
                <w:b/>
                <w:bCs/>
                <w:i/>
                <w:iCs/>
                <w:color w:val="000000" w:themeColor="text1"/>
                <w:kern w:val="24"/>
              </w:rPr>
              <w:t xml:space="preserve">Low Fuel </w:t>
            </w:r>
          </w:p>
        </w:tc>
        <w:tc>
          <w:tcPr>
            <w:tcW w:w="17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6" w14:textId="4F229E59" w:rsidR="000A2558" w:rsidRPr="00FA308C" w:rsidRDefault="000A2558" w:rsidP="000A2558">
            <w:pPr>
              <w:spacing w:before="240" w:after="120"/>
              <w:jc w:val="center"/>
              <w:rPr>
                <w:rFonts w:cs="Arial"/>
                <w:b/>
                <w:bCs/>
                <w:i/>
                <w:iCs/>
                <w:color w:val="000000" w:themeColor="text1"/>
                <w:kern w:val="24"/>
              </w:rPr>
            </w:pPr>
            <w:r w:rsidRPr="005025DC">
              <w:rPr>
                <w:rFonts w:cs="Arial"/>
                <w:b/>
                <w:bCs/>
                <w:i/>
                <w:iCs/>
                <w:caps/>
                <w:color w:val="000000" w:themeColor="text1"/>
                <w:kern w:val="24"/>
                <w:szCs w:val="40"/>
              </w:rPr>
              <w:t xml:space="preserve">Redacted </w:t>
            </w: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7" w14:textId="68A7D1DF"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c>
          <w:tcPr>
            <w:tcW w:w="2107"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78" w14:textId="5BE1AA4F" w:rsidR="000A2558" w:rsidRPr="00FA308C" w:rsidRDefault="000A2558" w:rsidP="000A2558">
            <w:pPr>
              <w:spacing w:before="240" w:after="120"/>
              <w:jc w:val="center"/>
              <w:rPr>
                <w:rFonts w:cs="Arial"/>
                <w:b/>
                <w:bCs/>
                <w:i/>
                <w:iCs/>
                <w:color w:val="000000" w:themeColor="text1"/>
                <w:kern w:val="24"/>
              </w:rPr>
            </w:pPr>
            <w:r w:rsidRPr="009360BB">
              <w:rPr>
                <w:rFonts w:cs="Arial"/>
                <w:b/>
                <w:bCs/>
                <w:i/>
                <w:iCs/>
                <w:caps/>
                <w:color w:val="000000" w:themeColor="text1"/>
                <w:kern w:val="24"/>
                <w:szCs w:val="40"/>
              </w:rPr>
              <w:t xml:space="preserve">Redacted </w:t>
            </w:r>
          </w:p>
        </w:tc>
      </w:tr>
    </w:tbl>
    <w:p w14:paraId="404B167A" w14:textId="77777777" w:rsidR="00CA517D" w:rsidRPr="00FA308C" w:rsidRDefault="00CA517D" w:rsidP="00592DAD">
      <w:pPr>
        <w:pStyle w:val="BodyText"/>
        <w:spacing w:before="120" w:after="0"/>
        <w:ind w:firstLine="720"/>
        <w:rPr>
          <w:rFonts w:ascii="Arial" w:hAnsi="Arial" w:cs="Arial"/>
          <w:i/>
        </w:rPr>
      </w:pPr>
      <w:r w:rsidRPr="00FA308C">
        <w:rPr>
          <w:rFonts w:ascii="Arial" w:hAnsi="Arial" w:cs="Arial"/>
          <w:i/>
        </w:rPr>
        <w:t>*Only GPC ownership shown</w:t>
      </w:r>
    </w:p>
    <w:p w14:paraId="404B167B" w14:textId="77777777" w:rsidR="00C60CBA" w:rsidRPr="00FA308C" w:rsidRDefault="00C60CBA" w:rsidP="00592DAD">
      <w:pPr>
        <w:spacing w:after="120"/>
        <w:rPr>
          <w:rFonts w:cs="Arial"/>
        </w:rPr>
      </w:pPr>
    </w:p>
    <w:p w14:paraId="404B167D" w14:textId="7AADDAAE" w:rsidR="00B4231F" w:rsidRDefault="005F47F6" w:rsidP="003B1B46">
      <w:pPr>
        <w:spacing w:after="120"/>
        <w:rPr>
          <w:rFonts w:eastAsia="Times New Roman" w:cs="Arial"/>
          <w:iCs/>
        </w:rPr>
      </w:pPr>
      <w:r w:rsidRPr="00FA308C">
        <w:rPr>
          <w:rFonts w:eastAsia="Times New Roman" w:cs="Arial"/>
          <w:iCs/>
        </w:rPr>
        <w:t xml:space="preserve">For Plant Gaston Units 1-4, </w:t>
      </w:r>
      <w:r w:rsidR="00905F82" w:rsidRPr="00FA308C">
        <w:rPr>
          <w:rFonts w:eastAsia="Times New Roman" w:cs="Arial"/>
          <w:iCs/>
        </w:rPr>
        <w:t>316(b) Studies</w:t>
      </w:r>
      <w:r w:rsidR="00266159" w:rsidRPr="00FA308C">
        <w:rPr>
          <w:rFonts w:eastAsia="Times New Roman" w:cs="Arial"/>
          <w:iCs/>
        </w:rPr>
        <w:t xml:space="preserve"> </w:t>
      </w:r>
      <w:r w:rsidR="00C60CBA" w:rsidRPr="00FA308C">
        <w:rPr>
          <w:rFonts w:eastAsia="Times New Roman" w:cs="Arial"/>
          <w:iCs/>
        </w:rPr>
        <w:t xml:space="preserve">and </w:t>
      </w:r>
      <w:r w:rsidR="00905F82" w:rsidRPr="00FA308C">
        <w:rPr>
          <w:rFonts w:eastAsia="Times New Roman" w:cs="Arial"/>
          <w:iCs/>
        </w:rPr>
        <w:t>Intake Screens</w:t>
      </w:r>
      <w:r w:rsidR="00C60CBA" w:rsidRPr="00FA308C">
        <w:rPr>
          <w:rFonts w:eastAsia="Times New Roman" w:cs="Arial"/>
          <w:iCs/>
        </w:rPr>
        <w:t xml:space="preserve"> are assumed for future </w:t>
      </w:r>
      <w:r w:rsidR="00C60CBA" w:rsidRPr="00ED18E7">
        <w:rPr>
          <w:rFonts w:eastAsia="Times New Roman" w:cs="Arial"/>
          <w:iCs/>
        </w:rPr>
        <w:t>compliance with</w:t>
      </w:r>
      <w:r w:rsidR="00E2371B" w:rsidRPr="00ED18E7">
        <w:rPr>
          <w:rFonts w:eastAsia="Times New Roman" w:cs="Arial"/>
          <w:iCs/>
        </w:rPr>
        <w:t xml:space="preserve"> the</w:t>
      </w:r>
      <w:r w:rsidR="00C60CBA" w:rsidRPr="00ED18E7">
        <w:rPr>
          <w:rFonts w:eastAsia="Times New Roman" w:cs="Arial"/>
          <w:iCs/>
        </w:rPr>
        <w:t xml:space="preserve"> 316(b)</w:t>
      </w:r>
      <w:r w:rsidR="00C047FF" w:rsidRPr="00ED18E7">
        <w:rPr>
          <w:rFonts w:eastAsia="Times New Roman" w:cs="Arial"/>
          <w:iCs/>
        </w:rPr>
        <w:t xml:space="preserve"> </w:t>
      </w:r>
      <w:proofErr w:type="gramStart"/>
      <w:r w:rsidR="00C60CBA" w:rsidRPr="00ED18E7">
        <w:rPr>
          <w:rFonts w:eastAsia="Times New Roman" w:cs="Arial"/>
          <w:iCs/>
        </w:rPr>
        <w:t>rule</w:t>
      </w:r>
      <w:proofErr w:type="gramEnd"/>
      <w:r w:rsidR="00905F82" w:rsidRPr="00ED18E7">
        <w:rPr>
          <w:rFonts w:eastAsia="Times New Roman" w:cs="Arial"/>
          <w:iCs/>
        </w:rPr>
        <w:t>.</w:t>
      </w:r>
      <w:r w:rsidR="00ED18E7" w:rsidRPr="00ED18E7">
        <w:rPr>
          <w:rFonts w:eastAsia="Times New Roman" w:cs="Arial"/>
          <w:iCs/>
        </w:rPr>
        <w:t xml:space="preserve"> Dry Bottom Ash </w:t>
      </w:r>
      <w:r w:rsidR="00E97FDD">
        <w:rPr>
          <w:rFonts w:eastAsia="Times New Roman" w:cs="Arial"/>
          <w:iCs/>
        </w:rPr>
        <w:t>S</w:t>
      </w:r>
      <w:r w:rsidR="00792EFC">
        <w:rPr>
          <w:rFonts w:eastAsia="Times New Roman" w:cs="Arial"/>
          <w:iCs/>
        </w:rPr>
        <w:t>ystems</w:t>
      </w:r>
      <w:r w:rsidR="00A12390">
        <w:rPr>
          <w:rFonts w:eastAsia="Times New Roman" w:cs="Arial"/>
          <w:iCs/>
        </w:rPr>
        <w:t xml:space="preserve"> are</w:t>
      </w:r>
      <w:r w:rsidR="00ED18E7" w:rsidRPr="00ED18E7">
        <w:rPr>
          <w:rFonts w:eastAsia="Times New Roman" w:cs="Arial"/>
          <w:iCs/>
        </w:rPr>
        <w:t xml:space="preserve"> assumed for </w:t>
      </w:r>
      <w:r w:rsidR="00430847" w:rsidRPr="00FA308C">
        <w:rPr>
          <w:rFonts w:eastAsia="Times New Roman" w:cs="Arial"/>
          <w:iCs/>
        </w:rPr>
        <w:t>compliance with the CCR rule</w:t>
      </w:r>
      <w:r w:rsidR="004D1CA6">
        <w:rPr>
          <w:rFonts w:eastAsia="Times New Roman" w:cs="Arial"/>
          <w:iCs/>
        </w:rPr>
        <w:t>s</w:t>
      </w:r>
      <w:r w:rsidR="00430847" w:rsidRPr="00FA308C">
        <w:rPr>
          <w:rFonts w:eastAsia="Times New Roman" w:cs="Arial"/>
          <w:iCs/>
        </w:rPr>
        <w:t>.</w:t>
      </w:r>
    </w:p>
    <w:p w14:paraId="5DF1D14A" w14:textId="77777777" w:rsidR="00B4231F" w:rsidRDefault="00B4231F">
      <w:pPr>
        <w:rPr>
          <w:rFonts w:eastAsia="Times New Roman" w:cs="Arial"/>
          <w:iCs/>
        </w:rPr>
      </w:pPr>
      <w:r>
        <w:rPr>
          <w:rFonts w:eastAsia="Times New Roman" w:cs="Arial"/>
          <w:iCs/>
        </w:rPr>
        <w:br w:type="page"/>
      </w:r>
    </w:p>
    <w:p w14:paraId="404B167F" w14:textId="36B3B51C" w:rsidR="005F47F6" w:rsidRPr="00FA308C" w:rsidRDefault="005F47F6" w:rsidP="00592DAD">
      <w:pPr>
        <w:spacing w:after="120"/>
        <w:rPr>
          <w:rFonts w:cs="Arial"/>
          <w:b/>
          <w:sz w:val="24"/>
          <w:szCs w:val="24"/>
        </w:rPr>
      </w:pPr>
      <w:r w:rsidRPr="00FA308C">
        <w:rPr>
          <w:rFonts w:cs="Arial"/>
          <w:b/>
          <w:sz w:val="24"/>
          <w:szCs w:val="24"/>
        </w:rPr>
        <w:lastRenderedPageBreak/>
        <w:t>1.</w:t>
      </w:r>
      <w:r w:rsidR="00372878" w:rsidRPr="00FA308C">
        <w:rPr>
          <w:rFonts w:cs="Arial"/>
          <w:b/>
          <w:sz w:val="24"/>
          <w:szCs w:val="24"/>
        </w:rPr>
        <w:t>7</w:t>
      </w:r>
      <w:r w:rsidRPr="00FA308C">
        <w:rPr>
          <w:rFonts w:cs="Arial"/>
          <w:b/>
          <w:sz w:val="24"/>
          <w:szCs w:val="24"/>
        </w:rPr>
        <w:t>.</w:t>
      </w:r>
      <w:r w:rsidR="00430847" w:rsidRPr="00FA308C">
        <w:rPr>
          <w:rFonts w:cs="Arial"/>
          <w:b/>
          <w:sz w:val="24"/>
          <w:szCs w:val="24"/>
        </w:rPr>
        <w:t>4</w:t>
      </w:r>
      <w:r w:rsidR="00BD33D4" w:rsidRPr="00FA308C">
        <w:rPr>
          <w:rFonts w:cs="Arial"/>
          <w:b/>
          <w:sz w:val="24"/>
          <w:szCs w:val="24"/>
        </w:rPr>
        <w:t>.</w:t>
      </w:r>
      <w:r w:rsidR="00430847" w:rsidRPr="00FA308C">
        <w:rPr>
          <w:rFonts w:cs="Arial"/>
          <w:b/>
          <w:sz w:val="24"/>
          <w:szCs w:val="24"/>
        </w:rPr>
        <w:t xml:space="preserve"> </w:t>
      </w:r>
      <w:r w:rsidRPr="00FA308C">
        <w:rPr>
          <w:rFonts w:cs="Arial"/>
          <w:b/>
          <w:sz w:val="24"/>
          <w:szCs w:val="24"/>
        </w:rPr>
        <w:t>Plant Hammond Units 1-4</w:t>
      </w:r>
    </w:p>
    <w:p w14:paraId="404B1680" w14:textId="2578C25F" w:rsidR="00A431A1" w:rsidRPr="00FA308C" w:rsidRDefault="00A431A1" w:rsidP="00592DAD">
      <w:pPr>
        <w:pStyle w:val="BodyText"/>
        <w:rPr>
          <w:rFonts w:ascii="Arial" w:hAnsi="Arial" w:cs="Arial"/>
          <w:szCs w:val="24"/>
        </w:rPr>
      </w:pPr>
      <w:r w:rsidRPr="00FA308C">
        <w:rPr>
          <w:rFonts w:ascii="Arial" w:hAnsi="Arial" w:cs="Arial"/>
          <w:szCs w:val="24"/>
        </w:rPr>
        <w:t xml:space="preserve">Customer Costs and Benefits for the Continued Operation of Plant Hammond Units 1-4 </w:t>
      </w:r>
      <w:r w:rsidR="00EF35D0" w:rsidRPr="00FA308C">
        <w:rPr>
          <w:rFonts w:ascii="Arial" w:hAnsi="Arial" w:cs="Arial"/>
          <w:szCs w:val="24"/>
        </w:rPr>
        <w:t>Compared to</w:t>
      </w:r>
      <w:r w:rsidRPr="00FA308C">
        <w:rPr>
          <w:rFonts w:ascii="Arial" w:hAnsi="Arial" w:cs="Arial"/>
          <w:szCs w:val="24"/>
        </w:rPr>
        <w:t xml:space="preserve"> a </w:t>
      </w:r>
      <w:r w:rsidRPr="00FA308C">
        <w:rPr>
          <w:rFonts w:ascii="Arial" w:hAnsi="Arial" w:cs="Arial"/>
          <w:color w:val="000000" w:themeColor="text1"/>
          <w:szCs w:val="24"/>
        </w:rPr>
        <w:t xml:space="preserve">Replacement </w:t>
      </w:r>
      <w:r w:rsidR="00430847" w:rsidRPr="00FA308C">
        <w:rPr>
          <w:rFonts w:ascii="Arial" w:hAnsi="Arial" w:cs="Arial"/>
          <w:color w:val="000000" w:themeColor="text1"/>
          <w:szCs w:val="24"/>
        </w:rPr>
        <w:t xml:space="preserve">CT </w:t>
      </w:r>
    </w:p>
    <w:p w14:paraId="404B1681" w14:textId="580F0135" w:rsidR="005F47F6" w:rsidRPr="00FA308C" w:rsidRDefault="00EF35D0" w:rsidP="00592DAD">
      <w:pPr>
        <w:pStyle w:val="BodyText"/>
        <w:rPr>
          <w:rFonts w:ascii="Arial" w:hAnsi="Arial" w:cs="Arial"/>
          <w:szCs w:val="24"/>
        </w:rPr>
      </w:pPr>
      <w:r w:rsidRPr="00FA308C">
        <w:rPr>
          <w:rFonts w:ascii="Arial" w:hAnsi="Arial" w:cs="Arial"/>
          <w:szCs w:val="24"/>
        </w:rPr>
        <w:t xml:space="preserve">Mid-year </w:t>
      </w:r>
      <w:r w:rsidR="005F47F6" w:rsidRPr="00FA308C">
        <w:rPr>
          <w:rFonts w:ascii="Arial" w:hAnsi="Arial" w:cs="Arial"/>
          <w:szCs w:val="24"/>
        </w:rPr>
        <w:t>NPV (</w:t>
      </w:r>
      <w:r w:rsidR="002107D2" w:rsidRPr="00FA308C">
        <w:rPr>
          <w:rFonts w:ascii="Arial" w:hAnsi="Arial" w:cs="Arial"/>
          <w:color w:val="000000" w:themeColor="text1"/>
          <w:szCs w:val="24"/>
        </w:rPr>
        <w:t>2020</w:t>
      </w:r>
      <w:r w:rsidR="005F47F6" w:rsidRPr="00FA308C">
        <w:rPr>
          <w:rFonts w:ascii="Arial" w:hAnsi="Arial" w:cs="Arial"/>
          <w:color w:val="000000" w:themeColor="text1"/>
          <w:szCs w:val="24"/>
        </w:rPr>
        <w:t>-</w:t>
      </w:r>
      <w:r w:rsidR="00A431A1" w:rsidRPr="00FA308C">
        <w:rPr>
          <w:rFonts w:ascii="Arial" w:hAnsi="Arial" w:cs="Arial"/>
          <w:color w:val="000000" w:themeColor="text1"/>
          <w:szCs w:val="24"/>
        </w:rPr>
        <w:t>204</w:t>
      </w:r>
      <w:r w:rsidR="00E2371B" w:rsidRPr="00FA308C">
        <w:rPr>
          <w:rFonts w:ascii="Arial" w:hAnsi="Arial" w:cs="Arial"/>
          <w:color w:val="000000" w:themeColor="text1"/>
          <w:szCs w:val="24"/>
        </w:rPr>
        <w:t>8</w:t>
      </w:r>
      <w:r w:rsidR="005F47F6" w:rsidRPr="00FA308C">
        <w:rPr>
          <w:rFonts w:ascii="Arial" w:hAnsi="Arial" w:cs="Arial"/>
          <w:szCs w:val="24"/>
        </w:rPr>
        <w:t xml:space="preserve">) in </w:t>
      </w:r>
      <w:r w:rsidR="003E5232" w:rsidRPr="00FA308C">
        <w:rPr>
          <w:rFonts w:ascii="Arial" w:hAnsi="Arial" w:cs="Arial"/>
          <w:szCs w:val="24"/>
        </w:rPr>
        <w:t xml:space="preserve">millions </w:t>
      </w:r>
      <w:r w:rsidR="005F47F6" w:rsidRPr="00FA308C">
        <w:rPr>
          <w:rFonts w:ascii="Arial" w:hAnsi="Arial" w:cs="Arial"/>
          <w:szCs w:val="24"/>
        </w:rPr>
        <w:t xml:space="preserve">of </w:t>
      </w:r>
      <w:r w:rsidR="003E5232" w:rsidRPr="00FA308C">
        <w:rPr>
          <w:rFonts w:ascii="Arial" w:hAnsi="Arial" w:cs="Arial"/>
          <w:szCs w:val="24"/>
        </w:rPr>
        <w:t>dollars</w:t>
      </w:r>
    </w:p>
    <w:p w14:paraId="62E2B825" w14:textId="3E64E619" w:rsidR="0038498A" w:rsidRPr="00FA308C" w:rsidRDefault="0038498A" w:rsidP="00592DAD">
      <w:pPr>
        <w:pStyle w:val="BodyText"/>
        <w:numPr>
          <w:ilvl w:val="0"/>
          <w:numId w:val="2"/>
        </w:numPr>
        <w:rPr>
          <w:rFonts w:ascii="Arial" w:hAnsi="Arial" w:cs="Arial"/>
          <w:i/>
          <w:szCs w:val="24"/>
        </w:rPr>
      </w:pPr>
      <w:r w:rsidRPr="00FA308C">
        <w:rPr>
          <w:rFonts w:ascii="Arial" w:hAnsi="Arial" w:cs="Arial"/>
          <w:szCs w:val="24"/>
        </w:rPr>
        <w:t>In-service</w:t>
      </w:r>
      <w:r w:rsidR="00206917" w:rsidRPr="00FA308C">
        <w:rPr>
          <w:rStyle w:val="FootnoteReference"/>
          <w:rFonts w:ascii="Arial" w:hAnsi="Arial" w:cs="Arial"/>
          <w:szCs w:val="24"/>
        </w:rPr>
        <w:footnoteReference w:id="5"/>
      </w:r>
      <w:r w:rsidRPr="00FA308C">
        <w:rPr>
          <w:rFonts w:ascii="Arial" w:hAnsi="Arial" w:cs="Arial"/>
          <w:szCs w:val="24"/>
        </w:rPr>
        <w:t xml:space="preserve"> dates of environmental controls included on the units: </w:t>
      </w:r>
    </w:p>
    <w:p w14:paraId="6A2DDC0A" w14:textId="66F0B39C" w:rsidR="00106F0C" w:rsidRPr="00106F0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316(b) Studies</w:t>
      </w:r>
    </w:p>
    <w:p w14:paraId="794DA137" w14:textId="6E5375E0"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CCR Wastewater Management</w:t>
      </w:r>
    </w:p>
    <w:p w14:paraId="322EA7B4" w14:textId="6CE8C498"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CCR Ash Management</w:t>
      </w:r>
    </w:p>
    <w:p w14:paraId="42E46D72" w14:textId="5E9D8A16" w:rsidR="00106F0C" w:rsidRPr="00A24F31" w:rsidRDefault="000A2558" w:rsidP="00A24F31">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color w:val="000000" w:themeColor="text1"/>
          <w:szCs w:val="24"/>
        </w:rPr>
        <w:t>ELG Wastewater Management</w:t>
      </w:r>
    </w:p>
    <w:p w14:paraId="50478C13" w14:textId="64FE9DD5"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color w:val="000000" w:themeColor="text1"/>
          <w:szCs w:val="24"/>
        </w:rPr>
        <w:t>Intake Screens</w:t>
      </w:r>
    </w:p>
    <w:p w14:paraId="404B168A" w14:textId="45B182E8" w:rsidR="005F47F6" w:rsidRPr="00FA308C" w:rsidRDefault="005F47F6" w:rsidP="00592DAD">
      <w:pPr>
        <w:rPr>
          <w:rFonts w:cs="Arial"/>
          <w:b/>
          <w:szCs w:val="24"/>
        </w:rPr>
      </w:pPr>
      <w:r w:rsidRPr="00FA308C">
        <w:rPr>
          <w:rFonts w:cs="Arial"/>
          <w:b/>
          <w:szCs w:val="24"/>
        </w:rPr>
        <w:t>Table 1.</w:t>
      </w:r>
      <w:r w:rsidR="00430847" w:rsidRPr="00FA308C">
        <w:rPr>
          <w:rFonts w:cs="Arial"/>
          <w:b/>
          <w:szCs w:val="24"/>
        </w:rPr>
        <w:t>4</w:t>
      </w:r>
    </w:p>
    <w:tbl>
      <w:tblPr>
        <w:tblW w:w="7488" w:type="dxa"/>
        <w:jc w:val="center"/>
        <w:tblCellMar>
          <w:left w:w="0" w:type="dxa"/>
          <w:right w:w="0" w:type="dxa"/>
        </w:tblCellMar>
        <w:tblLook w:val="04A0" w:firstRow="1" w:lastRow="0" w:firstColumn="1" w:lastColumn="0" w:noHBand="0" w:noVBand="1"/>
      </w:tblPr>
      <w:tblGrid>
        <w:gridCol w:w="1908"/>
        <w:gridCol w:w="1710"/>
        <w:gridCol w:w="1800"/>
        <w:gridCol w:w="2070"/>
      </w:tblGrid>
      <w:tr w:rsidR="003B0038" w:rsidRPr="00FA308C" w14:paraId="404B168F" w14:textId="77777777" w:rsidTr="002340E2">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8B" w14:textId="273DA09D"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w:t>
            </w:r>
            <w:r w:rsidR="009C7332" w:rsidRPr="00FA308C">
              <w:rPr>
                <w:rFonts w:cs="Arial"/>
                <w:b/>
                <w:bCs/>
                <w:i/>
                <w:iCs/>
                <w:color w:val="000000" w:themeColor="text1"/>
                <w:kern w:val="24"/>
                <w:szCs w:val="40"/>
              </w:rPr>
              <w:t xml:space="preserve">2019 </w:t>
            </w:r>
            <w:r w:rsidRPr="00FA308C">
              <w:rPr>
                <w:rFonts w:cs="Arial"/>
                <w:b/>
                <w:bCs/>
                <w:i/>
                <w:iCs/>
                <w:color w:val="000000" w:themeColor="text1"/>
                <w:kern w:val="24"/>
                <w:szCs w:val="40"/>
              </w:rPr>
              <w:t xml:space="preserve">$M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8C"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8D"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8E"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404B1694" w14:textId="77777777" w:rsidTr="00335098">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90"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691" w14:textId="50CE5B86" w:rsidR="000A2558" w:rsidRPr="00FA308C" w:rsidRDefault="000A2558" w:rsidP="000A2558">
            <w:pPr>
              <w:spacing w:before="240" w:after="120"/>
              <w:jc w:val="center"/>
              <w:rPr>
                <w:rFonts w:cs="Arial"/>
                <w:b/>
                <w:bCs/>
                <w:i/>
                <w:iCs/>
                <w:color w:val="C0504D" w:themeColor="accent2"/>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2" w14:textId="0D2C0020"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3" w14:textId="5D111745"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404B1699" w14:textId="77777777" w:rsidTr="00335098">
        <w:trPr>
          <w:trHeight w:val="197"/>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95"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6" w14:textId="40B9EB92"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7" w14:textId="05AD37C3"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8" w14:textId="12361D41"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404B169E" w14:textId="77777777" w:rsidTr="00335098">
        <w:trPr>
          <w:trHeight w:val="170"/>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9A" w14:textId="77777777" w:rsidR="000A2558" w:rsidRPr="00FA308C" w:rsidRDefault="000A2558" w:rsidP="000A2558">
            <w:pPr>
              <w:spacing w:before="240" w:after="120"/>
              <w:rPr>
                <w:rFonts w:cs="Arial"/>
                <w:b/>
                <w:bCs/>
                <w:i/>
                <w:iCs/>
                <w:color w:val="C0504D" w:themeColor="accent2"/>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B" w14:textId="2D7AECA5"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C" w14:textId="132956F0"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9D" w14:textId="707E025B"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bl>
    <w:p w14:paraId="404B169F" w14:textId="77777777" w:rsidR="005F47F6" w:rsidRPr="00FA308C" w:rsidRDefault="005F47F6" w:rsidP="00592DAD">
      <w:pPr>
        <w:pStyle w:val="BodyText"/>
        <w:ind w:firstLine="720"/>
        <w:rPr>
          <w:rFonts w:ascii="Arial" w:hAnsi="Arial" w:cs="Arial"/>
          <w:szCs w:val="24"/>
        </w:rPr>
      </w:pPr>
    </w:p>
    <w:p w14:paraId="404B16A2" w14:textId="6FEA5355" w:rsidR="005F47F6" w:rsidRPr="00FA308C" w:rsidRDefault="000B3788" w:rsidP="00307C90">
      <w:pPr>
        <w:pStyle w:val="BodyText"/>
        <w:rPr>
          <w:rFonts w:ascii="Arial" w:hAnsi="Arial" w:cs="Arial"/>
          <w:b/>
          <w:sz w:val="24"/>
          <w:szCs w:val="24"/>
        </w:rPr>
      </w:pPr>
      <w:r w:rsidRPr="00FA308C">
        <w:rPr>
          <w:rFonts w:ascii="Arial" w:hAnsi="Arial" w:cs="Arial"/>
          <w:szCs w:val="24"/>
        </w:rPr>
        <w:t xml:space="preserve">For Plant </w:t>
      </w:r>
      <w:r w:rsidR="008F30DB" w:rsidRPr="00FA308C">
        <w:rPr>
          <w:rFonts w:ascii="Arial" w:hAnsi="Arial" w:cs="Arial"/>
          <w:szCs w:val="24"/>
        </w:rPr>
        <w:t>Hammond</w:t>
      </w:r>
      <w:r w:rsidRPr="00FA308C">
        <w:rPr>
          <w:rFonts w:ascii="Arial" w:hAnsi="Arial" w:cs="Arial"/>
          <w:szCs w:val="24"/>
        </w:rPr>
        <w:t xml:space="preserve">, </w:t>
      </w:r>
      <w:r w:rsidRPr="00FA308C">
        <w:rPr>
          <w:rFonts w:ascii="Arial" w:hAnsi="Arial" w:cs="Arial"/>
          <w:iCs/>
          <w:szCs w:val="24"/>
        </w:rPr>
        <w:t xml:space="preserve">CCR </w:t>
      </w:r>
      <w:r w:rsidRPr="00FA308C">
        <w:rPr>
          <w:rFonts w:ascii="Arial" w:hAnsi="Arial" w:cs="Arial"/>
          <w:szCs w:val="24"/>
        </w:rPr>
        <w:t>Ash Management, CCR Wastewater Management,</w:t>
      </w:r>
      <w:r w:rsidR="00C846FB" w:rsidRPr="00FA308C">
        <w:rPr>
          <w:rFonts w:ascii="Arial" w:hAnsi="Arial" w:cs="Arial"/>
          <w:szCs w:val="24"/>
        </w:rPr>
        <w:t xml:space="preserve"> and</w:t>
      </w:r>
      <w:r w:rsidRPr="00FA308C">
        <w:rPr>
          <w:rFonts w:ascii="Arial" w:hAnsi="Arial" w:cs="Arial"/>
          <w:szCs w:val="24"/>
        </w:rPr>
        <w:t xml:space="preserve"> ELG Wastewater Management</w:t>
      </w:r>
      <w:r w:rsidR="00731B14" w:rsidRPr="00FA308C">
        <w:rPr>
          <w:rFonts w:ascii="Arial" w:hAnsi="Arial" w:cs="Arial"/>
          <w:szCs w:val="24"/>
        </w:rPr>
        <w:t xml:space="preserve"> are assumed for future compliance with ELG and CCR </w:t>
      </w:r>
      <w:r w:rsidR="001B2CD0" w:rsidRPr="00FA308C">
        <w:rPr>
          <w:rFonts w:ascii="Arial" w:hAnsi="Arial" w:cs="Arial"/>
          <w:szCs w:val="24"/>
        </w:rPr>
        <w:t>r</w:t>
      </w:r>
      <w:r w:rsidR="00731B14" w:rsidRPr="00FA308C">
        <w:rPr>
          <w:rFonts w:ascii="Arial" w:hAnsi="Arial" w:cs="Arial"/>
          <w:szCs w:val="24"/>
        </w:rPr>
        <w:t>ules</w:t>
      </w:r>
      <w:r w:rsidRPr="00FA308C">
        <w:rPr>
          <w:rFonts w:ascii="Arial" w:hAnsi="Arial" w:cs="Arial"/>
          <w:szCs w:val="24"/>
        </w:rPr>
        <w:t xml:space="preserve">. </w:t>
      </w:r>
      <w:r w:rsidRPr="00FA308C">
        <w:rPr>
          <w:rFonts w:ascii="Arial" w:hAnsi="Arial" w:cs="Arial"/>
          <w:iCs/>
          <w:szCs w:val="24"/>
        </w:rPr>
        <w:t>CCR Ash Management</w:t>
      </w:r>
      <w:r w:rsidRPr="00FA308C">
        <w:rPr>
          <w:rFonts w:ascii="Arial" w:hAnsi="Arial" w:cs="Arial"/>
          <w:szCs w:val="24"/>
        </w:rPr>
        <w:t xml:space="preserve"> includes </w:t>
      </w:r>
      <w:r w:rsidR="00C04BAB" w:rsidRPr="00FA308C">
        <w:rPr>
          <w:rFonts w:ascii="Arial" w:hAnsi="Arial" w:cs="Arial"/>
          <w:iCs/>
          <w:szCs w:val="24"/>
        </w:rPr>
        <w:t>d</w:t>
      </w:r>
      <w:r w:rsidRPr="00FA308C">
        <w:rPr>
          <w:rFonts w:ascii="Arial" w:hAnsi="Arial" w:cs="Arial"/>
          <w:iCs/>
          <w:szCs w:val="24"/>
        </w:rPr>
        <w:t xml:space="preserve">ry </w:t>
      </w:r>
      <w:r w:rsidR="00C04BAB" w:rsidRPr="00FA308C">
        <w:rPr>
          <w:rFonts w:ascii="Arial" w:hAnsi="Arial" w:cs="Arial"/>
          <w:iCs/>
          <w:szCs w:val="24"/>
        </w:rPr>
        <w:t>b</w:t>
      </w:r>
      <w:r w:rsidRPr="00FA308C">
        <w:rPr>
          <w:rFonts w:ascii="Arial" w:hAnsi="Arial" w:cs="Arial"/>
          <w:iCs/>
          <w:szCs w:val="24"/>
        </w:rPr>
        <w:t xml:space="preserve">ottom </w:t>
      </w:r>
      <w:r w:rsidR="00C04BAB" w:rsidRPr="00FA308C">
        <w:rPr>
          <w:rFonts w:ascii="Arial" w:hAnsi="Arial" w:cs="Arial"/>
          <w:iCs/>
          <w:szCs w:val="24"/>
        </w:rPr>
        <w:t xml:space="preserve">ash </w:t>
      </w:r>
      <w:r w:rsidRPr="00FA308C">
        <w:rPr>
          <w:rFonts w:ascii="Arial" w:hAnsi="Arial" w:cs="Arial"/>
          <w:iCs/>
          <w:szCs w:val="24"/>
        </w:rPr>
        <w:t>conversions</w:t>
      </w:r>
      <w:r w:rsidR="00A12390">
        <w:rPr>
          <w:rFonts w:ascii="Arial" w:hAnsi="Arial" w:cs="Arial"/>
          <w:iCs/>
          <w:szCs w:val="24"/>
        </w:rPr>
        <w:t xml:space="preserve"> and fly ash projects</w:t>
      </w:r>
      <w:r w:rsidRPr="00FA308C">
        <w:rPr>
          <w:rFonts w:ascii="Arial" w:hAnsi="Arial" w:cs="Arial"/>
          <w:iCs/>
          <w:szCs w:val="24"/>
        </w:rPr>
        <w:t xml:space="preserve">. CCR Wastewater Management </w:t>
      </w:r>
      <w:r w:rsidR="00642DF2" w:rsidRPr="00FA308C">
        <w:rPr>
          <w:rFonts w:ascii="Arial" w:hAnsi="Arial" w:cs="Arial"/>
          <w:iCs/>
          <w:szCs w:val="24"/>
        </w:rPr>
        <w:t xml:space="preserve">addresses </w:t>
      </w:r>
      <w:r w:rsidRPr="00FA308C">
        <w:rPr>
          <w:rFonts w:ascii="Arial" w:hAnsi="Arial" w:cs="Arial"/>
          <w:iCs/>
          <w:szCs w:val="24"/>
        </w:rPr>
        <w:t xml:space="preserve">Low Volume Wastewater Treatment. </w:t>
      </w:r>
      <w:r w:rsidRPr="00FA308C">
        <w:rPr>
          <w:rFonts w:ascii="Arial" w:hAnsi="Arial" w:cs="Arial"/>
          <w:szCs w:val="24"/>
        </w:rPr>
        <w:t>ELG Wastewater Management includes the treatment of scrubber wastewater</w:t>
      </w:r>
      <w:r w:rsidR="00A12390" w:rsidRPr="00870235">
        <w:rPr>
          <w:rFonts w:ascii="Times New Roman" w:hAnsi="Times New Roman"/>
          <w:sz w:val="24"/>
          <w:szCs w:val="24"/>
        </w:rPr>
        <w:t xml:space="preserve">. </w:t>
      </w:r>
      <w:r w:rsidR="00A12390" w:rsidRPr="00E97FDD">
        <w:rPr>
          <w:rFonts w:ascii="Arial" w:hAnsi="Arial" w:cs="Arial"/>
          <w:szCs w:val="24"/>
        </w:rPr>
        <w:t>316(b) compliance is achieved through 316(b) Studies and Intake Screens.</w:t>
      </w:r>
      <w:r w:rsidR="007C2289" w:rsidRPr="00FA308C">
        <w:rPr>
          <w:rFonts w:ascii="Arial" w:hAnsi="Arial" w:cs="Arial"/>
          <w:b/>
          <w:sz w:val="28"/>
          <w:szCs w:val="24"/>
        </w:rPr>
        <w:br w:type="page"/>
      </w:r>
      <w:r w:rsidR="005F47F6" w:rsidRPr="00FA308C">
        <w:rPr>
          <w:rFonts w:ascii="Arial" w:hAnsi="Arial" w:cs="Arial"/>
          <w:b/>
          <w:sz w:val="24"/>
          <w:szCs w:val="24"/>
        </w:rPr>
        <w:lastRenderedPageBreak/>
        <w:t>1.</w:t>
      </w:r>
      <w:r w:rsidR="00372878" w:rsidRPr="00FA308C">
        <w:rPr>
          <w:rFonts w:ascii="Arial" w:hAnsi="Arial" w:cs="Arial"/>
          <w:b/>
          <w:sz w:val="24"/>
          <w:szCs w:val="24"/>
        </w:rPr>
        <w:t>7</w:t>
      </w:r>
      <w:r w:rsidR="005F47F6" w:rsidRPr="00FA308C">
        <w:rPr>
          <w:rFonts w:ascii="Arial" w:hAnsi="Arial" w:cs="Arial"/>
          <w:b/>
          <w:sz w:val="24"/>
          <w:szCs w:val="24"/>
        </w:rPr>
        <w:t>.</w:t>
      </w:r>
      <w:r w:rsidR="009C7332" w:rsidRPr="00FA308C">
        <w:rPr>
          <w:rFonts w:ascii="Arial" w:hAnsi="Arial" w:cs="Arial"/>
          <w:b/>
          <w:sz w:val="24"/>
          <w:szCs w:val="24"/>
        </w:rPr>
        <w:t>5</w:t>
      </w:r>
      <w:r w:rsidR="00BD33D4" w:rsidRPr="00FA308C">
        <w:rPr>
          <w:rFonts w:ascii="Arial" w:hAnsi="Arial" w:cs="Arial"/>
          <w:b/>
          <w:sz w:val="24"/>
          <w:szCs w:val="24"/>
        </w:rPr>
        <w:t>.</w:t>
      </w:r>
      <w:r w:rsidR="009C7332" w:rsidRPr="00FA308C">
        <w:rPr>
          <w:rFonts w:ascii="Arial" w:hAnsi="Arial" w:cs="Arial"/>
          <w:b/>
          <w:sz w:val="24"/>
          <w:szCs w:val="24"/>
        </w:rPr>
        <w:t xml:space="preserve"> </w:t>
      </w:r>
      <w:r w:rsidR="005F47F6" w:rsidRPr="00FA308C">
        <w:rPr>
          <w:rFonts w:ascii="Arial" w:hAnsi="Arial" w:cs="Arial"/>
          <w:b/>
          <w:sz w:val="24"/>
          <w:szCs w:val="24"/>
        </w:rPr>
        <w:t>Plant McIntosh 1</w:t>
      </w:r>
    </w:p>
    <w:p w14:paraId="404B16A3" w14:textId="016A5191" w:rsidR="00042B9C" w:rsidRPr="00FA308C" w:rsidRDefault="00042B9C" w:rsidP="00592DAD">
      <w:pPr>
        <w:pStyle w:val="BodyText"/>
        <w:rPr>
          <w:rFonts w:ascii="Arial" w:hAnsi="Arial" w:cs="Arial"/>
          <w:szCs w:val="24"/>
        </w:rPr>
      </w:pPr>
      <w:r w:rsidRPr="00FA308C">
        <w:rPr>
          <w:rFonts w:ascii="Arial" w:hAnsi="Arial" w:cs="Arial"/>
          <w:szCs w:val="24"/>
        </w:rPr>
        <w:t>Customer Costs and Benefits for the Continued Operation of Plant McIntosh Unit 1</w:t>
      </w:r>
      <w:r w:rsidR="00EF35D0" w:rsidRPr="00FA308C">
        <w:rPr>
          <w:rFonts w:ascii="Arial" w:hAnsi="Arial" w:cs="Arial"/>
          <w:szCs w:val="24"/>
        </w:rPr>
        <w:t xml:space="preserve"> Compared to</w:t>
      </w:r>
      <w:r w:rsidRPr="00FA308C">
        <w:rPr>
          <w:rFonts w:ascii="Arial" w:hAnsi="Arial" w:cs="Arial"/>
          <w:szCs w:val="24"/>
        </w:rPr>
        <w:t xml:space="preserve"> a Replacement </w:t>
      </w:r>
      <w:r w:rsidR="009C7332" w:rsidRPr="00FA308C">
        <w:rPr>
          <w:rFonts w:ascii="Arial" w:hAnsi="Arial" w:cs="Arial"/>
          <w:szCs w:val="24"/>
        </w:rPr>
        <w:t xml:space="preserve">CT </w:t>
      </w:r>
    </w:p>
    <w:p w14:paraId="404B16A4" w14:textId="1A326FBC" w:rsidR="005F47F6" w:rsidRPr="00FA308C" w:rsidRDefault="00EF35D0" w:rsidP="00592DAD">
      <w:pPr>
        <w:pStyle w:val="BodyText"/>
        <w:rPr>
          <w:rFonts w:ascii="Arial" w:hAnsi="Arial" w:cs="Arial"/>
          <w:szCs w:val="24"/>
        </w:rPr>
      </w:pPr>
      <w:r w:rsidRPr="00FA308C">
        <w:rPr>
          <w:rFonts w:ascii="Arial" w:hAnsi="Arial" w:cs="Arial"/>
          <w:szCs w:val="24"/>
        </w:rPr>
        <w:t xml:space="preserve">Mid-year </w:t>
      </w:r>
      <w:r w:rsidR="005F47F6" w:rsidRPr="00FA308C">
        <w:rPr>
          <w:rFonts w:ascii="Arial" w:hAnsi="Arial" w:cs="Arial"/>
          <w:szCs w:val="24"/>
        </w:rPr>
        <w:t>NPV (</w:t>
      </w:r>
      <w:r w:rsidR="009C7332" w:rsidRPr="00FA308C">
        <w:rPr>
          <w:rFonts w:ascii="Arial" w:hAnsi="Arial" w:cs="Arial"/>
          <w:szCs w:val="24"/>
        </w:rPr>
        <w:t>2020</w:t>
      </w:r>
      <w:r w:rsidR="005F47F6" w:rsidRPr="00FA308C">
        <w:rPr>
          <w:rFonts w:ascii="Arial" w:hAnsi="Arial" w:cs="Arial"/>
          <w:szCs w:val="24"/>
        </w:rPr>
        <w:t>-</w:t>
      </w:r>
      <w:r w:rsidR="005B12EA" w:rsidRPr="00FA308C">
        <w:rPr>
          <w:rFonts w:ascii="Arial" w:hAnsi="Arial" w:cs="Arial"/>
          <w:szCs w:val="24"/>
        </w:rPr>
        <w:t>204</w:t>
      </w:r>
      <w:r w:rsidR="009C7332" w:rsidRPr="00FA308C">
        <w:rPr>
          <w:rFonts w:ascii="Arial" w:hAnsi="Arial" w:cs="Arial"/>
          <w:szCs w:val="24"/>
        </w:rPr>
        <w:t>8</w:t>
      </w:r>
      <w:r w:rsidR="005F47F6" w:rsidRPr="00FA308C">
        <w:rPr>
          <w:rFonts w:ascii="Arial" w:hAnsi="Arial" w:cs="Arial"/>
          <w:szCs w:val="24"/>
        </w:rPr>
        <w:t xml:space="preserve">) in </w:t>
      </w:r>
      <w:r w:rsidR="003E5232" w:rsidRPr="00FA308C">
        <w:rPr>
          <w:rFonts w:ascii="Arial" w:hAnsi="Arial" w:cs="Arial"/>
          <w:szCs w:val="24"/>
        </w:rPr>
        <w:t xml:space="preserve">millions </w:t>
      </w:r>
      <w:r w:rsidR="005F47F6" w:rsidRPr="00FA308C">
        <w:rPr>
          <w:rFonts w:ascii="Arial" w:hAnsi="Arial" w:cs="Arial"/>
          <w:szCs w:val="24"/>
        </w:rPr>
        <w:t xml:space="preserve">of </w:t>
      </w:r>
      <w:r w:rsidR="003E5232" w:rsidRPr="00FA308C">
        <w:rPr>
          <w:rFonts w:ascii="Arial" w:hAnsi="Arial" w:cs="Arial"/>
          <w:szCs w:val="24"/>
        </w:rPr>
        <w:t>dollars</w:t>
      </w:r>
    </w:p>
    <w:p w14:paraId="3054218D" w14:textId="213D4C37" w:rsidR="0038498A" w:rsidRPr="00FA308C" w:rsidRDefault="0038498A" w:rsidP="00592DAD">
      <w:pPr>
        <w:pStyle w:val="BodyText"/>
        <w:numPr>
          <w:ilvl w:val="0"/>
          <w:numId w:val="2"/>
        </w:numPr>
        <w:rPr>
          <w:rFonts w:ascii="Arial" w:hAnsi="Arial" w:cs="Arial"/>
          <w:i/>
          <w:szCs w:val="24"/>
        </w:rPr>
      </w:pPr>
      <w:r w:rsidRPr="00FA308C">
        <w:rPr>
          <w:rFonts w:ascii="Arial" w:hAnsi="Arial" w:cs="Arial"/>
          <w:szCs w:val="24"/>
        </w:rPr>
        <w:t>In-service</w:t>
      </w:r>
      <w:r w:rsidR="00206917" w:rsidRPr="00FA308C">
        <w:rPr>
          <w:rStyle w:val="FootnoteReference"/>
          <w:rFonts w:ascii="Arial" w:hAnsi="Arial" w:cs="Arial"/>
          <w:szCs w:val="24"/>
        </w:rPr>
        <w:footnoteReference w:id="6"/>
      </w:r>
      <w:r w:rsidRPr="00FA308C">
        <w:rPr>
          <w:rFonts w:ascii="Arial" w:hAnsi="Arial" w:cs="Arial"/>
          <w:szCs w:val="24"/>
        </w:rPr>
        <w:t xml:space="preserve"> dates of environmental controls included on the units: </w:t>
      </w:r>
    </w:p>
    <w:p w14:paraId="63D590B0" w14:textId="0B4BCAC8" w:rsidR="00106F0C" w:rsidRPr="00A24F31" w:rsidRDefault="000A2558" w:rsidP="00A24F31">
      <w:pPr>
        <w:pStyle w:val="BodyText"/>
        <w:numPr>
          <w:ilvl w:val="1"/>
          <w:numId w:val="2"/>
        </w:numPr>
        <w:spacing w:after="0"/>
        <w:rPr>
          <w:rFonts w:ascii="Arial" w:hAnsi="Arial" w:cs="Arial"/>
          <w:i/>
          <w:iCs/>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316(b) Studies</w:t>
      </w:r>
    </w:p>
    <w:p w14:paraId="131C9D56" w14:textId="59EE86CE"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CCR Wastewater Management</w:t>
      </w:r>
    </w:p>
    <w:p w14:paraId="4BCCA736" w14:textId="26CD09AD"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CCR Ash Management</w:t>
      </w:r>
    </w:p>
    <w:p w14:paraId="05379A96" w14:textId="451A4971"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Intake Screens</w:t>
      </w:r>
    </w:p>
    <w:p w14:paraId="404B16AC" w14:textId="16A8EBD2" w:rsidR="005F47F6" w:rsidRPr="00FA308C" w:rsidRDefault="005F47F6" w:rsidP="00592DAD">
      <w:pPr>
        <w:pStyle w:val="BodyText"/>
        <w:rPr>
          <w:rFonts w:ascii="Arial" w:hAnsi="Arial" w:cs="Arial"/>
          <w:b/>
          <w:szCs w:val="24"/>
        </w:rPr>
      </w:pPr>
      <w:r w:rsidRPr="00FA308C">
        <w:rPr>
          <w:rFonts w:ascii="Arial" w:hAnsi="Arial" w:cs="Arial"/>
          <w:b/>
          <w:szCs w:val="24"/>
        </w:rPr>
        <w:t>Table 1.</w:t>
      </w:r>
      <w:r w:rsidR="009C7332" w:rsidRPr="00FA308C">
        <w:rPr>
          <w:rFonts w:ascii="Arial" w:hAnsi="Arial" w:cs="Arial"/>
          <w:b/>
          <w:szCs w:val="24"/>
        </w:rPr>
        <w:t>5</w:t>
      </w:r>
    </w:p>
    <w:tbl>
      <w:tblPr>
        <w:tblW w:w="7488" w:type="dxa"/>
        <w:jc w:val="center"/>
        <w:tblCellMar>
          <w:left w:w="0" w:type="dxa"/>
          <w:right w:w="0" w:type="dxa"/>
        </w:tblCellMar>
        <w:tblLook w:val="04A0" w:firstRow="1" w:lastRow="0" w:firstColumn="1" w:lastColumn="0" w:noHBand="0" w:noVBand="1"/>
      </w:tblPr>
      <w:tblGrid>
        <w:gridCol w:w="1908"/>
        <w:gridCol w:w="1710"/>
        <w:gridCol w:w="1800"/>
        <w:gridCol w:w="2070"/>
      </w:tblGrid>
      <w:tr w:rsidR="003B0038" w:rsidRPr="00FA308C" w14:paraId="404B16B1" w14:textId="77777777" w:rsidTr="003B0038">
        <w:trPr>
          <w:trHeight w:val="224"/>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AD" w14:textId="4CE1935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w:t>
            </w:r>
            <w:r w:rsidR="009C7332" w:rsidRPr="00FA308C">
              <w:rPr>
                <w:rFonts w:cs="Arial"/>
                <w:b/>
                <w:bCs/>
                <w:i/>
                <w:iCs/>
                <w:color w:val="000000" w:themeColor="text1"/>
                <w:kern w:val="24"/>
                <w:szCs w:val="40"/>
              </w:rPr>
              <w:t xml:space="preserve">2019 </w:t>
            </w:r>
            <w:r w:rsidRPr="00FA308C">
              <w:rPr>
                <w:rFonts w:cs="Arial"/>
                <w:b/>
                <w:bCs/>
                <w:i/>
                <w:iCs/>
                <w:color w:val="000000" w:themeColor="text1"/>
                <w:kern w:val="24"/>
                <w:szCs w:val="40"/>
              </w:rPr>
              <w:t xml:space="preserve">$M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AE"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AF"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B0"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404B16B6" w14:textId="77777777" w:rsidTr="00575634">
        <w:trPr>
          <w:trHeight w:val="215"/>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B2"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6B3" w14:textId="36E09A71" w:rsidR="000A2558" w:rsidRPr="00FA308C" w:rsidRDefault="000A2558" w:rsidP="000A2558">
            <w:pPr>
              <w:spacing w:before="240" w:after="120"/>
              <w:jc w:val="center"/>
              <w:rPr>
                <w:rFonts w:cs="Arial"/>
                <w:b/>
                <w:bCs/>
                <w:i/>
                <w:iCs/>
                <w:color w:val="C0504D" w:themeColor="accent2"/>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4" w14:textId="2D515ECC"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5" w14:textId="32648881"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404B16BB" w14:textId="77777777" w:rsidTr="00575634">
        <w:trPr>
          <w:trHeight w:val="269"/>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B7"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8" w14:textId="7F287BDE"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9" w14:textId="57D9C1DF"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A" w14:textId="1821BBFF"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404B16C0" w14:textId="77777777" w:rsidTr="00575634">
        <w:trPr>
          <w:trHeight w:val="14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BC" w14:textId="77777777" w:rsidR="000A2558" w:rsidRPr="00FA308C" w:rsidRDefault="000A2558" w:rsidP="000A2558">
            <w:pPr>
              <w:spacing w:before="240" w:after="120"/>
              <w:rPr>
                <w:rFonts w:cs="Arial"/>
                <w:b/>
                <w:bCs/>
                <w:i/>
                <w:iCs/>
                <w:color w:val="C0504D" w:themeColor="accent2"/>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D" w14:textId="6AD6D3B2"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E" w14:textId="4248035D"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BF" w14:textId="5E77574E"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bl>
    <w:p w14:paraId="404B16C1" w14:textId="77777777" w:rsidR="005F47F6" w:rsidRPr="00FA308C" w:rsidRDefault="005F47F6" w:rsidP="00592DAD">
      <w:pPr>
        <w:pStyle w:val="BodyText"/>
        <w:ind w:firstLine="720"/>
        <w:rPr>
          <w:rFonts w:ascii="Arial" w:hAnsi="Arial" w:cs="Arial"/>
          <w:szCs w:val="24"/>
        </w:rPr>
      </w:pPr>
    </w:p>
    <w:p w14:paraId="7FDD1E3D" w14:textId="60DE0052" w:rsidR="00985DD4" w:rsidRDefault="00985DD4" w:rsidP="00985DD4">
      <w:pPr>
        <w:pStyle w:val="BodyText"/>
        <w:rPr>
          <w:rFonts w:ascii="Arial" w:hAnsi="Arial" w:cs="Arial"/>
          <w:strike/>
          <w:color w:val="000000" w:themeColor="text1"/>
          <w:szCs w:val="24"/>
        </w:rPr>
      </w:pPr>
      <w:r>
        <w:rPr>
          <w:rFonts w:ascii="Arial" w:hAnsi="Arial" w:cs="Arial"/>
          <w:color w:val="000000" w:themeColor="text1"/>
          <w:szCs w:val="24"/>
        </w:rPr>
        <w:t>For McIntosh Unit 1,</w:t>
      </w:r>
      <w:r>
        <w:rPr>
          <w:rFonts w:ascii="Arial" w:hAnsi="Arial" w:cs="Arial"/>
          <w:iCs/>
          <w:color w:val="000000" w:themeColor="text1"/>
        </w:rPr>
        <w:t xml:space="preserve"> CCR Ash Management, including dry bottom ash systems, and CCR Wastewater Management, including Low Volume Wastewater, are assumed for future compliance with CCR and ELG. 316(b) compliance is achieved through 316(b) Studies and Intake Screens.</w:t>
      </w:r>
      <w:r>
        <w:rPr>
          <w:rFonts w:ascii="Arial" w:hAnsi="Arial" w:cs="Arial"/>
          <w:strike/>
          <w:color w:val="000000" w:themeColor="text1"/>
          <w:szCs w:val="24"/>
        </w:rPr>
        <w:t xml:space="preserve"> </w:t>
      </w:r>
    </w:p>
    <w:p w14:paraId="404B16C4" w14:textId="77777777" w:rsidR="007C2289" w:rsidRPr="00FA308C" w:rsidRDefault="007C2289" w:rsidP="00592DAD">
      <w:pPr>
        <w:rPr>
          <w:rFonts w:eastAsia="Times New Roman" w:cs="Arial"/>
          <w:b/>
          <w:sz w:val="28"/>
          <w:szCs w:val="24"/>
        </w:rPr>
      </w:pPr>
      <w:r w:rsidRPr="00FA308C">
        <w:rPr>
          <w:rFonts w:cs="Arial"/>
          <w:b/>
          <w:sz w:val="28"/>
          <w:szCs w:val="24"/>
        </w:rPr>
        <w:br w:type="page"/>
      </w:r>
    </w:p>
    <w:p w14:paraId="404B16ED" w14:textId="23FFCF69" w:rsidR="00965CDD" w:rsidRPr="00FA308C" w:rsidRDefault="00965CDD" w:rsidP="00592DAD">
      <w:pPr>
        <w:rPr>
          <w:rFonts w:cs="Arial"/>
          <w:b/>
          <w:sz w:val="24"/>
          <w:szCs w:val="24"/>
        </w:rPr>
      </w:pPr>
      <w:r w:rsidRPr="00FA308C">
        <w:rPr>
          <w:rFonts w:cs="Arial"/>
          <w:b/>
          <w:sz w:val="24"/>
          <w:szCs w:val="24"/>
        </w:rPr>
        <w:lastRenderedPageBreak/>
        <w:t>1.</w:t>
      </w:r>
      <w:r w:rsidR="00372878" w:rsidRPr="00FA308C">
        <w:rPr>
          <w:rFonts w:cs="Arial"/>
          <w:b/>
          <w:sz w:val="24"/>
          <w:szCs w:val="24"/>
        </w:rPr>
        <w:t>7</w:t>
      </w:r>
      <w:r w:rsidRPr="00FA308C">
        <w:rPr>
          <w:rFonts w:cs="Arial"/>
          <w:b/>
          <w:sz w:val="24"/>
          <w:szCs w:val="24"/>
        </w:rPr>
        <w:t>.</w:t>
      </w:r>
      <w:r w:rsidR="00211066" w:rsidRPr="00FA308C">
        <w:rPr>
          <w:rFonts w:cs="Arial"/>
          <w:b/>
          <w:sz w:val="24"/>
          <w:szCs w:val="24"/>
        </w:rPr>
        <w:t>6</w:t>
      </w:r>
      <w:r w:rsidR="00BD33D4" w:rsidRPr="00FA308C">
        <w:rPr>
          <w:rFonts w:cs="Arial"/>
          <w:b/>
          <w:sz w:val="24"/>
          <w:szCs w:val="24"/>
        </w:rPr>
        <w:t>.</w:t>
      </w:r>
      <w:r w:rsidR="00211066" w:rsidRPr="00FA308C">
        <w:rPr>
          <w:rFonts w:cs="Arial"/>
          <w:b/>
          <w:sz w:val="24"/>
          <w:szCs w:val="24"/>
        </w:rPr>
        <w:t xml:space="preserve"> </w:t>
      </w:r>
      <w:r w:rsidRPr="00FA308C">
        <w:rPr>
          <w:rFonts w:cs="Arial"/>
          <w:b/>
          <w:sz w:val="24"/>
          <w:szCs w:val="24"/>
        </w:rPr>
        <w:t>Plant Scherer 1-3</w:t>
      </w:r>
    </w:p>
    <w:p w14:paraId="404B16EE" w14:textId="77777777" w:rsidR="00D22288" w:rsidRPr="00FA308C" w:rsidRDefault="00D22288" w:rsidP="00592DAD">
      <w:pPr>
        <w:rPr>
          <w:rFonts w:cs="Arial"/>
          <w:szCs w:val="24"/>
        </w:rPr>
      </w:pPr>
      <w:r w:rsidRPr="00FA308C">
        <w:rPr>
          <w:rFonts w:cs="Arial"/>
          <w:szCs w:val="24"/>
        </w:rPr>
        <w:t>Customer Costs and Benefits for the Continued Operation for GPC’s Ownership Share of Scherer Units 1-</w:t>
      </w:r>
      <w:r w:rsidR="00675D7E" w:rsidRPr="00FA308C">
        <w:rPr>
          <w:rFonts w:cs="Arial"/>
          <w:szCs w:val="24"/>
        </w:rPr>
        <w:t xml:space="preserve">3 </w:t>
      </w:r>
      <w:r w:rsidRPr="00FA308C">
        <w:rPr>
          <w:rFonts w:cs="Arial"/>
          <w:szCs w:val="24"/>
        </w:rPr>
        <w:t>Compared to a Replacement CC</w:t>
      </w:r>
    </w:p>
    <w:p w14:paraId="404B16EF" w14:textId="03A85661" w:rsidR="00965CDD" w:rsidRPr="00FA308C" w:rsidRDefault="00EF35D0" w:rsidP="00592DAD">
      <w:pPr>
        <w:pStyle w:val="BodyText"/>
        <w:rPr>
          <w:rFonts w:ascii="Arial" w:hAnsi="Arial" w:cs="Arial"/>
          <w:szCs w:val="24"/>
        </w:rPr>
      </w:pPr>
      <w:r w:rsidRPr="00FA308C">
        <w:rPr>
          <w:rFonts w:ascii="Arial" w:hAnsi="Arial" w:cs="Arial"/>
          <w:szCs w:val="24"/>
        </w:rPr>
        <w:t xml:space="preserve">Mid-year </w:t>
      </w:r>
      <w:r w:rsidR="00965CDD" w:rsidRPr="00FA308C">
        <w:rPr>
          <w:rFonts w:ascii="Arial" w:hAnsi="Arial" w:cs="Arial"/>
          <w:szCs w:val="24"/>
        </w:rPr>
        <w:t>NPV (</w:t>
      </w:r>
      <w:r w:rsidR="00AC1A47" w:rsidRPr="00FA308C">
        <w:rPr>
          <w:rFonts w:ascii="Arial" w:hAnsi="Arial" w:cs="Arial"/>
          <w:color w:val="000000" w:themeColor="text1"/>
          <w:szCs w:val="24"/>
        </w:rPr>
        <w:t>2020</w:t>
      </w:r>
      <w:r w:rsidR="00965CDD" w:rsidRPr="00FA308C">
        <w:rPr>
          <w:rFonts w:ascii="Arial" w:hAnsi="Arial" w:cs="Arial"/>
          <w:color w:val="000000" w:themeColor="text1"/>
          <w:szCs w:val="24"/>
        </w:rPr>
        <w:t>-204</w:t>
      </w:r>
      <w:r w:rsidR="00CF497B" w:rsidRPr="00FA308C">
        <w:rPr>
          <w:rFonts w:ascii="Arial" w:hAnsi="Arial" w:cs="Arial"/>
          <w:color w:val="000000" w:themeColor="text1"/>
          <w:szCs w:val="24"/>
        </w:rPr>
        <w:t>8</w:t>
      </w:r>
      <w:r w:rsidR="00965CDD" w:rsidRPr="00FA308C">
        <w:rPr>
          <w:rFonts w:ascii="Arial" w:hAnsi="Arial" w:cs="Arial"/>
          <w:szCs w:val="24"/>
        </w:rPr>
        <w:t xml:space="preserve">) in </w:t>
      </w:r>
      <w:r w:rsidR="003E5232" w:rsidRPr="00FA308C">
        <w:rPr>
          <w:rFonts w:ascii="Arial" w:hAnsi="Arial" w:cs="Arial"/>
          <w:szCs w:val="24"/>
        </w:rPr>
        <w:t xml:space="preserve">millions </w:t>
      </w:r>
      <w:r w:rsidR="00965CDD" w:rsidRPr="00FA308C">
        <w:rPr>
          <w:rFonts w:ascii="Arial" w:hAnsi="Arial" w:cs="Arial"/>
          <w:szCs w:val="24"/>
        </w:rPr>
        <w:t xml:space="preserve">of </w:t>
      </w:r>
      <w:r w:rsidR="003E5232" w:rsidRPr="00FA308C">
        <w:rPr>
          <w:rFonts w:ascii="Arial" w:hAnsi="Arial" w:cs="Arial"/>
          <w:szCs w:val="24"/>
        </w:rPr>
        <w:t>dollars</w:t>
      </w:r>
    </w:p>
    <w:p w14:paraId="0839531D" w14:textId="240551FC" w:rsidR="0038498A" w:rsidRPr="00FA308C" w:rsidRDefault="0038498A" w:rsidP="00592DAD">
      <w:pPr>
        <w:pStyle w:val="BodyText"/>
        <w:numPr>
          <w:ilvl w:val="0"/>
          <w:numId w:val="2"/>
        </w:numPr>
        <w:rPr>
          <w:rFonts w:ascii="Arial" w:hAnsi="Arial" w:cs="Arial"/>
          <w:i/>
          <w:szCs w:val="24"/>
        </w:rPr>
      </w:pPr>
      <w:r w:rsidRPr="00FA308C">
        <w:rPr>
          <w:rFonts w:ascii="Arial" w:hAnsi="Arial" w:cs="Arial"/>
          <w:szCs w:val="24"/>
        </w:rPr>
        <w:t>In-service</w:t>
      </w:r>
      <w:r w:rsidR="00206917" w:rsidRPr="00FA308C">
        <w:rPr>
          <w:rStyle w:val="FootnoteReference"/>
          <w:rFonts w:ascii="Arial" w:hAnsi="Arial" w:cs="Arial"/>
          <w:szCs w:val="24"/>
        </w:rPr>
        <w:footnoteReference w:id="7"/>
      </w:r>
      <w:r w:rsidRPr="00FA308C">
        <w:rPr>
          <w:rFonts w:ascii="Arial" w:hAnsi="Arial" w:cs="Arial"/>
          <w:szCs w:val="24"/>
        </w:rPr>
        <w:t xml:space="preserve"> dates of environmental controls included on the units: </w:t>
      </w:r>
    </w:p>
    <w:p w14:paraId="41322969" w14:textId="7EFFCF1A"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Gypsum Cell 3</w:t>
      </w:r>
    </w:p>
    <w:p w14:paraId="3C6B6E79" w14:textId="776ED8FA"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ELG Wastewater Treatment Studies</w:t>
      </w:r>
    </w:p>
    <w:p w14:paraId="0079DCD2" w14:textId="3D7E2BA6" w:rsidR="00106F0C" w:rsidRPr="00A24F31" w:rsidRDefault="000A2558" w:rsidP="00A24F31">
      <w:pPr>
        <w:pStyle w:val="BodyText"/>
        <w:numPr>
          <w:ilvl w:val="1"/>
          <w:numId w:val="2"/>
        </w:numPr>
        <w:spacing w:after="0"/>
        <w:rPr>
          <w:rFonts w:ascii="Arial" w:hAnsi="Arial" w:cs="Arial"/>
          <w:i/>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ELG Wastewater Management</w:t>
      </w:r>
    </w:p>
    <w:p w14:paraId="5E1914FE" w14:textId="1390B95C"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New Landfill Phase 1</w:t>
      </w:r>
    </w:p>
    <w:p w14:paraId="034730AA" w14:textId="1E7255F8"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Gypsum Cell 2</w:t>
      </w:r>
    </w:p>
    <w:p w14:paraId="404B16F5" w14:textId="77777777" w:rsidR="00965CDD" w:rsidRPr="00FA308C" w:rsidRDefault="00965CDD" w:rsidP="00592DAD">
      <w:pPr>
        <w:pStyle w:val="BodyText"/>
        <w:rPr>
          <w:rFonts w:ascii="Arial" w:hAnsi="Arial" w:cs="Arial"/>
          <w:b/>
          <w:szCs w:val="24"/>
        </w:rPr>
      </w:pPr>
      <w:r w:rsidRPr="00FA308C">
        <w:rPr>
          <w:rFonts w:ascii="Arial" w:hAnsi="Arial" w:cs="Arial"/>
          <w:b/>
          <w:szCs w:val="24"/>
        </w:rPr>
        <w:t>Table 1.</w:t>
      </w:r>
      <w:r w:rsidR="00211066" w:rsidRPr="00FA308C">
        <w:rPr>
          <w:rFonts w:ascii="Arial" w:hAnsi="Arial" w:cs="Arial"/>
          <w:b/>
          <w:szCs w:val="24"/>
        </w:rPr>
        <w:t>6</w:t>
      </w:r>
    </w:p>
    <w:tbl>
      <w:tblPr>
        <w:tblW w:w="7696" w:type="dxa"/>
        <w:jc w:val="center"/>
        <w:tblCellMar>
          <w:left w:w="0" w:type="dxa"/>
          <w:right w:w="0" w:type="dxa"/>
        </w:tblCellMar>
        <w:tblLook w:val="04A0" w:firstRow="1" w:lastRow="0" w:firstColumn="1" w:lastColumn="0" w:noHBand="0" w:noVBand="1"/>
      </w:tblPr>
      <w:tblGrid>
        <w:gridCol w:w="1871"/>
        <w:gridCol w:w="1854"/>
        <w:gridCol w:w="1941"/>
        <w:gridCol w:w="2030"/>
      </w:tblGrid>
      <w:tr w:rsidR="00965CDD" w:rsidRPr="00FA308C" w14:paraId="404B16FA" w14:textId="77777777" w:rsidTr="003A17CD">
        <w:trPr>
          <w:trHeight w:val="598"/>
          <w:jc w:val="center"/>
        </w:trPr>
        <w:tc>
          <w:tcPr>
            <w:tcW w:w="187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F6" w14:textId="5EB67104" w:rsidR="00965CDD" w:rsidRPr="00FA308C" w:rsidRDefault="00965CDD" w:rsidP="00592DAD">
            <w:pPr>
              <w:spacing w:after="120"/>
              <w:jc w:val="center"/>
              <w:rPr>
                <w:rFonts w:cs="Arial"/>
                <w:color w:val="000000" w:themeColor="text1"/>
                <w:szCs w:val="36"/>
              </w:rPr>
            </w:pPr>
            <w:r w:rsidRPr="00FA308C">
              <w:rPr>
                <w:rFonts w:cs="Arial"/>
                <w:b/>
                <w:bCs/>
                <w:i/>
                <w:iCs/>
                <w:color w:val="000000" w:themeColor="text1"/>
                <w:kern w:val="24"/>
                <w:szCs w:val="40"/>
              </w:rPr>
              <w:t xml:space="preserve">Mid-Year NPV </w:t>
            </w:r>
            <w:r w:rsidR="00AC1A47" w:rsidRPr="00FA308C">
              <w:rPr>
                <w:rFonts w:cs="Arial"/>
                <w:b/>
                <w:bCs/>
                <w:i/>
                <w:iCs/>
                <w:color w:val="000000" w:themeColor="text1"/>
                <w:kern w:val="24"/>
                <w:szCs w:val="40"/>
              </w:rPr>
              <w:t xml:space="preserve">2019 </w:t>
            </w:r>
            <w:r w:rsidRPr="00FA308C">
              <w:rPr>
                <w:rFonts w:cs="Arial"/>
                <w:b/>
                <w:bCs/>
                <w:i/>
                <w:iCs/>
                <w:color w:val="000000" w:themeColor="text1"/>
                <w:kern w:val="24"/>
                <w:szCs w:val="40"/>
              </w:rPr>
              <w:t>$M</w:t>
            </w:r>
            <w:r w:rsidRPr="00FA308C">
              <w:rPr>
                <w:rFonts w:cs="Arial"/>
                <w:i/>
                <w:iCs/>
                <w:color w:val="000000" w:themeColor="text1"/>
                <w:kern w:val="24"/>
                <w:szCs w:val="36"/>
              </w:rPr>
              <w:t xml:space="preserve"> </w:t>
            </w:r>
          </w:p>
        </w:tc>
        <w:tc>
          <w:tcPr>
            <w:tcW w:w="1854"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F7" w14:textId="77777777" w:rsidR="00965CDD" w:rsidRPr="00FA308C" w:rsidRDefault="00965CDD" w:rsidP="00592DAD">
            <w:pPr>
              <w:spacing w:after="120"/>
              <w:jc w:val="center"/>
              <w:rPr>
                <w:rFonts w:cs="Arial"/>
                <w:color w:val="000000" w:themeColor="text1"/>
                <w:szCs w:val="36"/>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94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F8" w14:textId="77777777" w:rsidR="00965CDD" w:rsidRPr="00FA308C" w:rsidRDefault="00965CDD" w:rsidP="00592DAD">
            <w:pPr>
              <w:spacing w:after="120"/>
              <w:jc w:val="center"/>
              <w:rPr>
                <w:rFonts w:cs="Arial"/>
                <w:color w:val="000000" w:themeColor="text1"/>
                <w:szCs w:val="36"/>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3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F9" w14:textId="77777777" w:rsidR="00965CDD" w:rsidRPr="00FA308C" w:rsidRDefault="00965CDD" w:rsidP="00592DAD">
            <w:pPr>
              <w:spacing w:after="120"/>
              <w:jc w:val="center"/>
              <w:rPr>
                <w:rFonts w:cs="Arial"/>
                <w:color w:val="000000" w:themeColor="text1"/>
                <w:szCs w:val="36"/>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404B16FF" w14:textId="77777777" w:rsidTr="00462AE4">
        <w:trPr>
          <w:trHeight w:val="402"/>
          <w:jc w:val="center"/>
        </w:trPr>
        <w:tc>
          <w:tcPr>
            <w:tcW w:w="187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6FB" w14:textId="77777777" w:rsidR="000A2558" w:rsidRPr="00FA308C" w:rsidRDefault="000A2558" w:rsidP="000A2558">
            <w:pPr>
              <w:spacing w:before="240" w:after="120"/>
              <w:rPr>
                <w:rFonts w:cs="Arial"/>
                <w:color w:val="000000" w:themeColor="text1"/>
                <w:szCs w:val="36"/>
              </w:rPr>
            </w:pPr>
            <w:r w:rsidRPr="00FA308C">
              <w:rPr>
                <w:rFonts w:cs="Arial"/>
                <w:b/>
                <w:bCs/>
                <w:i/>
                <w:iCs/>
                <w:color w:val="000000" w:themeColor="text1"/>
                <w:kern w:val="24"/>
                <w:szCs w:val="40"/>
              </w:rPr>
              <w:t xml:space="preserve">High Fuel </w:t>
            </w:r>
          </w:p>
        </w:tc>
        <w:tc>
          <w:tcPr>
            <w:tcW w:w="1854"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6FC" w14:textId="2BB9DC60" w:rsidR="000A2558" w:rsidRPr="00FA308C" w:rsidRDefault="000A2558" w:rsidP="000A2558">
            <w:pPr>
              <w:spacing w:before="240" w:after="120"/>
              <w:jc w:val="center"/>
              <w:rPr>
                <w:rFonts w:cs="Arial"/>
                <w:b/>
                <w:bCs/>
                <w:i/>
                <w:iCs/>
                <w:color w:val="000000" w:themeColor="text1"/>
                <w:kern w:val="24"/>
                <w:szCs w:val="40"/>
              </w:rPr>
            </w:pPr>
            <w:r w:rsidRPr="000A2558">
              <w:rPr>
                <w:rFonts w:cs="Arial"/>
                <w:b/>
                <w:bCs/>
                <w:i/>
                <w:iCs/>
                <w:caps/>
                <w:color w:val="000000" w:themeColor="text1"/>
                <w:kern w:val="24"/>
                <w:szCs w:val="40"/>
              </w:rPr>
              <w:t xml:space="preserve">Redacted </w:t>
            </w:r>
          </w:p>
        </w:tc>
        <w:tc>
          <w:tcPr>
            <w:tcW w:w="19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FD" w14:textId="2EC1EC7E"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6FE" w14:textId="1C9EA53E"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FA308C" w14:paraId="404B1704" w14:textId="77777777" w:rsidTr="00462AE4">
        <w:trPr>
          <w:trHeight w:val="261"/>
          <w:jc w:val="center"/>
        </w:trPr>
        <w:tc>
          <w:tcPr>
            <w:tcW w:w="187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00" w14:textId="77777777" w:rsidR="000A2558" w:rsidRPr="00FA308C" w:rsidRDefault="000A2558" w:rsidP="000A2558">
            <w:pPr>
              <w:spacing w:before="240" w:after="120"/>
              <w:rPr>
                <w:rFonts w:cs="Arial"/>
                <w:color w:val="000000" w:themeColor="text1"/>
                <w:szCs w:val="36"/>
              </w:rPr>
            </w:pPr>
            <w:r w:rsidRPr="00FA308C">
              <w:rPr>
                <w:rFonts w:cs="Arial"/>
                <w:b/>
                <w:bCs/>
                <w:i/>
                <w:iCs/>
                <w:color w:val="000000" w:themeColor="text1"/>
                <w:kern w:val="24"/>
                <w:szCs w:val="40"/>
              </w:rPr>
              <w:t xml:space="preserve">Moderate Fuel </w:t>
            </w:r>
          </w:p>
        </w:tc>
        <w:tc>
          <w:tcPr>
            <w:tcW w:w="1854"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1" w14:textId="69DF3C01"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9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2" w14:textId="14EBE430"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3" w14:textId="1891BABD"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FA308C" w14:paraId="404B1709" w14:textId="77777777" w:rsidTr="00462AE4">
        <w:trPr>
          <w:trHeight w:val="429"/>
          <w:jc w:val="center"/>
        </w:trPr>
        <w:tc>
          <w:tcPr>
            <w:tcW w:w="1871"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05" w14:textId="77777777" w:rsidR="000A2558" w:rsidRPr="00FA308C" w:rsidRDefault="000A2558" w:rsidP="000A2558">
            <w:pPr>
              <w:spacing w:before="240" w:after="120"/>
              <w:rPr>
                <w:rFonts w:cs="Arial"/>
                <w:color w:val="000000" w:themeColor="text1"/>
                <w:szCs w:val="36"/>
              </w:rPr>
            </w:pPr>
            <w:r w:rsidRPr="00FA308C">
              <w:rPr>
                <w:rFonts w:cs="Arial"/>
                <w:b/>
                <w:bCs/>
                <w:i/>
                <w:iCs/>
                <w:color w:val="000000" w:themeColor="text1"/>
                <w:kern w:val="24"/>
                <w:szCs w:val="40"/>
              </w:rPr>
              <w:t xml:space="preserve">Low Fuel </w:t>
            </w:r>
          </w:p>
        </w:tc>
        <w:tc>
          <w:tcPr>
            <w:tcW w:w="1854"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6" w14:textId="39380A41"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941"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7" w14:textId="0EE28B88"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08" w14:textId="0610669D"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bl>
    <w:p w14:paraId="404B170A" w14:textId="77777777" w:rsidR="00965CDD" w:rsidRPr="00FA308C" w:rsidRDefault="00CA517D" w:rsidP="00592DAD">
      <w:pPr>
        <w:pStyle w:val="BodyText"/>
        <w:spacing w:before="120" w:after="0"/>
        <w:ind w:firstLine="720"/>
        <w:rPr>
          <w:rFonts w:ascii="Arial" w:hAnsi="Arial" w:cs="Arial"/>
          <w:i/>
          <w:szCs w:val="24"/>
        </w:rPr>
      </w:pPr>
      <w:r w:rsidRPr="00FA308C">
        <w:rPr>
          <w:rFonts w:ascii="Arial" w:hAnsi="Arial" w:cs="Arial"/>
          <w:i/>
          <w:szCs w:val="24"/>
        </w:rPr>
        <w:t>*Only GPC ownership shown</w:t>
      </w:r>
    </w:p>
    <w:p w14:paraId="404B170B" w14:textId="77777777" w:rsidR="00774BFB" w:rsidRPr="00FA308C" w:rsidRDefault="00774BFB" w:rsidP="00592DAD">
      <w:pPr>
        <w:pStyle w:val="BodyText"/>
        <w:spacing w:before="120" w:after="0"/>
        <w:ind w:firstLine="720"/>
        <w:rPr>
          <w:rFonts w:ascii="Arial" w:hAnsi="Arial" w:cs="Arial"/>
          <w:szCs w:val="24"/>
        </w:rPr>
      </w:pPr>
    </w:p>
    <w:p w14:paraId="404B170D" w14:textId="66FE0CDC" w:rsidR="00CA517D" w:rsidRPr="00FA308C" w:rsidRDefault="00CA517D" w:rsidP="00FA308C">
      <w:pPr>
        <w:pStyle w:val="BodyText"/>
        <w:rPr>
          <w:rFonts w:ascii="Arial" w:hAnsi="Arial" w:cs="Arial"/>
          <w:szCs w:val="24"/>
        </w:rPr>
      </w:pPr>
      <w:r w:rsidRPr="00FA308C">
        <w:rPr>
          <w:rFonts w:ascii="Arial" w:hAnsi="Arial" w:cs="Arial"/>
          <w:szCs w:val="24"/>
        </w:rPr>
        <w:t xml:space="preserve">For Plant Scherer, ELG Wastewater </w:t>
      </w:r>
      <w:r w:rsidR="00AC1A47" w:rsidRPr="00FA308C">
        <w:rPr>
          <w:rFonts w:ascii="Arial" w:hAnsi="Arial" w:cs="Arial"/>
          <w:szCs w:val="24"/>
        </w:rPr>
        <w:t xml:space="preserve">Treatment Studies, ELG Wastewater </w:t>
      </w:r>
      <w:r w:rsidRPr="00FA308C">
        <w:rPr>
          <w:rFonts w:ascii="Arial" w:hAnsi="Arial" w:cs="Arial"/>
          <w:szCs w:val="24"/>
        </w:rPr>
        <w:t xml:space="preserve">Management, </w:t>
      </w:r>
      <w:r w:rsidR="00AC1A47" w:rsidRPr="00FA308C">
        <w:rPr>
          <w:rFonts w:ascii="Arial" w:hAnsi="Arial" w:cs="Arial"/>
          <w:szCs w:val="24"/>
        </w:rPr>
        <w:t xml:space="preserve">Gypsum Cells 2 and 3, </w:t>
      </w:r>
      <w:r w:rsidRPr="00FA308C">
        <w:rPr>
          <w:rFonts w:ascii="Arial" w:hAnsi="Arial" w:cs="Arial"/>
          <w:szCs w:val="24"/>
        </w:rPr>
        <w:t>and Landfill Phase</w:t>
      </w:r>
      <w:r w:rsidR="00AC1A47" w:rsidRPr="00FA308C">
        <w:rPr>
          <w:rFonts w:ascii="Arial" w:hAnsi="Arial" w:cs="Arial"/>
          <w:szCs w:val="24"/>
        </w:rPr>
        <w:t xml:space="preserve"> </w:t>
      </w:r>
      <w:r w:rsidRPr="00FA308C">
        <w:rPr>
          <w:rFonts w:ascii="Arial" w:hAnsi="Arial" w:cs="Arial"/>
          <w:szCs w:val="24"/>
        </w:rPr>
        <w:t>1</w:t>
      </w:r>
      <w:r w:rsidR="006122CC" w:rsidRPr="00FA308C">
        <w:rPr>
          <w:rFonts w:ascii="Arial" w:hAnsi="Arial" w:cs="Arial"/>
          <w:szCs w:val="24"/>
        </w:rPr>
        <w:t xml:space="preserve"> are assumed for future compliance with ELG and CCR rules</w:t>
      </w:r>
      <w:r w:rsidR="00AC1A47" w:rsidRPr="00FA308C">
        <w:rPr>
          <w:rFonts w:ascii="Arial" w:hAnsi="Arial" w:cs="Arial"/>
          <w:szCs w:val="24"/>
        </w:rPr>
        <w:t>.</w:t>
      </w:r>
      <w:r w:rsidRPr="00FA308C">
        <w:rPr>
          <w:rFonts w:ascii="Arial" w:hAnsi="Arial" w:cs="Arial"/>
          <w:szCs w:val="24"/>
        </w:rPr>
        <w:t xml:space="preserve"> </w:t>
      </w:r>
    </w:p>
    <w:p w14:paraId="404B170E" w14:textId="77777777" w:rsidR="001E183E" w:rsidRPr="00FA308C" w:rsidRDefault="001E183E" w:rsidP="00592DAD">
      <w:pPr>
        <w:rPr>
          <w:rFonts w:cs="Arial"/>
          <w:sz w:val="24"/>
          <w:szCs w:val="24"/>
        </w:rPr>
      </w:pPr>
      <w:r w:rsidRPr="00FA308C">
        <w:rPr>
          <w:rFonts w:cs="Arial"/>
          <w:sz w:val="24"/>
          <w:szCs w:val="24"/>
        </w:rPr>
        <w:br w:type="page"/>
      </w:r>
    </w:p>
    <w:p w14:paraId="404B170F" w14:textId="3D6D884C" w:rsidR="005F47F6" w:rsidRPr="00FA308C" w:rsidRDefault="005F47F6" w:rsidP="00592DAD">
      <w:pPr>
        <w:spacing w:after="120"/>
        <w:rPr>
          <w:rFonts w:cs="Arial"/>
          <w:b/>
          <w:sz w:val="24"/>
          <w:szCs w:val="24"/>
        </w:rPr>
      </w:pPr>
      <w:r w:rsidRPr="00FA308C">
        <w:rPr>
          <w:rFonts w:cs="Arial"/>
          <w:b/>
          <w:sz w:val="24"/>
          <w:szCs w:val="24"/>
        </w:rPr>
        <w:lastRenderedPageBreak/>
        <w:t>1.</w:t>
      </w:r>
      <w:r w:rsidR="00372878" w:rsidRPr="00FA308C">
        <w:rPr>
          <w:rFonts w:cs="Arial"/>
          <w:b/>
          <w:sz w:val="24"/>
          <w:szCs w:val="24"/>
        </w:rPr>
        <w:t>7</w:t>
      </w:r>
      <w:r w:rsidRPr="00FA308C">
        <w:rPr>
          <w:rFonts w:cs="Arial"/>
          <w:b/>
          <w:sz w:val="24"/>
          <w:szCs w:val="24"/>
        </w:rPr>
        <w:t>.</w:t>
      </w:r>
      <w:r w:rsidR="00211066" w:rsidRPr="00FA308C">
        <w:rPr>
          <w:rFonts w:cs="Arial"/>
          <w:b/>
          <w:sz w:val="24"/>
          <w:szCs w:val="24"/>
        </w:rPr>
        <w:t>7</w:t>
      </w:r>
      <w:r w:rsidR="00B4231F">
        <w:rPr>
          <w:rFonts w:cs="Arial"/>
          <w:b/>
          <w:sz w:val="24"/>
          <w:szCs w:val="24"/>
        </w:rPr>
        <w:t>.</w:t>
      </w:r>
      <w:r w:rsidR="00211066" w:rsidRPr="00FA308C">
        <w:rPr>
          <w:rFonts w:cs="Arial"/>
          <w:b/>
          <w:sz w:val="24"/>
          <w:szCs w:val="24"/>
        </w:rPr>
        <w:t xml:space="preserve"> </w:t>
      </w:r>
      <w:r w:rsidRPr="00FA308C">
        <w:rPr>
          <w:rFonts w:cs="Arial"/>
          <w:b/>
          <w:sz w:val="24"/>
          <w:szCs w:val="24"/>
        </w:rPr>
        <w:t>Plant Wansley 1-2</w:t>
      </w:r>
    </w:p>
    <w:p w14:paraId="404B1710" w14:textId="77777777" w:rsidR="005B12EA" w:rsidRPr="00FA308C" w:rsidRDefault="005B12EA" w:rsidP="00592DAD">
      <w:pPr>
        <w:rPr>
          <w:rFonts w:cs="Arial"/>
          <w:szCs w:val="24"/>
        </w:rPr>
      </w:pPr>
      <w:r w:rsidRPr="00FA308C">
        <w:rPr>
          <w:rFonts w:cs="Arial"/>
          <w:szCs w:val="24"/>
        </w:rPr>
        <w:t xml:space="preserve">Customer Costs and Benefits for the Continued Operation for GPC’s Ownership Share of Wansley Units 1-2 </w:t>
      </w:r>
      <w:r w:rsidR="00EF35D0" w:rsidRPr="00FA308C">
        <w:rPr>
          <w:rFonts w:cs="Arial"/>
          <w:szCs w:val="24"/>
        </w:rPr>
        <w:t>Compared to</w:t>
      </w:r>
      <w:r w:rsidRPr="00FA308C">
        <w:rPr>
          <w:rFonts w:cs="Arial"/>
          <w:szCs w:val="24"/>
        </w:rPr>
        <w:t xml:space="preserve"> a Replacement CC</w:t>
      </w:r>
    </w:p>
    <w:p w14:paraId="404B1711" w14:textId="77F4036A" w:rsidR="005F47F6" w:rsidRPr="00FA308C" w:rsidRDefault="00EF35D0" w:rsidP="00592DAD">
      <w:pPr>
        <w:pStyle w:val="BodyText"/>
        <w:rPr>
          <w:rFonts w:ascii="Arial" w:hAnsi="Arial" w:cs="Arial"/>
          <w:szCs w:val="24"/>
        </w:rPr>
      </w:pPr>
      <w:r w:rsidRPr="00FA308C">
        <w:rPr>
          <w:rFonts w:ascii="Arial" w:hAnsi="Arial" w:cs="Arial"/>
          <w:szCs w:val="24"/>
        </w:rPr>
        <w:t xml:space="preserve">Mid-year </w:t>
      </w:r>
      <w:r w:rsidR="005F47F6" w:rsidRPr="00FA308C">
        <w:rPr>
          <w:rFonts w:ascii="Arial" w:hAnsi="Arial" w:cs="Arial"/>
          <w:szCs w:val="24"/>
        </w:rPr>
        <w:t>NPV (</w:t>
      </w:r>
      <w:r w:rsidR="00AE1EA6" w:rsidRPr="00FA308C">
        <w:rPr>
          <w:rFonts w:ascii="Arial" w:hAnsi="Arial" w:cs="Arial"/>
          <w:color w:val="000000" w:themeColor="text1"/>
          <w:szCs w:val="24"/>
        </w:rPr>
        <w:t>2020</w:t>
      </w:r>
      <w:r w:rsidR="00CF497B" w:rsidRPr="00FA308C">
        <w:rPr>
          <w:rFonts w:ascii="Arial" w:hAnsi="Arial" w:cs="Arial"/>
          <w:color w:val="000000" w:themeColor="text1"/>
          <w:szCs w:val="24"/>
        </w:rPr>
        <w:t>-2048</w:t>
      </w:r>
      <w:r w:rsidR="005F47F6" w:rsidRPr="00FA308C">
        <w:rPr>
          <w:rFonts w:ascii="Arial" w:hAnsi="Arial" w:cs="Arial"/>
          <w:szCs w:val="24"/>
        </w:rPr>
        <w:t xml:space="preserve">) in </w:t>
      </w:r>
      <w:r w:rsidR="003E5232" w:rsidRPr="00FA308C">
        <w:rPr>
          <w:rFonts w:ascii="Arial" w:hAnsi="Arial" w:cs="Arial"/>
          <w:szCs w:val="24"/>
        </w:rPr>
        <w:t xml:space="preserve">millions </w:t>
      </w:r>
      <w:r w:rsidR="005F47F6" w:rsidRPr="00FA308C">
        <w:rPr>
          <w:rFonts w:ascii="Arial" w:hAnsi="Arial" w:cs="Arial"/>
          <w:szCs w:val="24"/>
        </w:rPr>
        <w:t xml:space="preserve">of </w:t>
      </w:r>
      <w:r w:rsidR="003E5232" w:rsidRPr="00FA308C">
        <w:rPr>
          <w:rFonts w:ascii="Arial" w:hAnsi="Arial" w:cs="Arial"/>
          <w:szCs w:val="24"/>
        </w:rPr>
        <w:t>dollars</w:t>
      </w:r>
    </w:p>
    <w:p w14:paraId="635FE3D5" w14:textId="6D5E435A" w:rsidR="0038498A" w:rsidRPr="00FA308C" w:rsidRDefault="0038498A" w:rsidP="00592DAD">
      <w:pPr>
        <w:pStyle w:val="BodyText"/>
        <w:numPr>
          <w:ilvl w:val="0"/>
          <w:numId w:val="2"/>
        </w:numPr>
        <w:rPr>
          <w:rFonts w:ascii="Arial" w:hAnsi="Arial" w:cs="Arial"/>
          <w:i/>
          <w:szCs w:val="24"/>
        </w:rPr>
      </w:pPr>
      <w:r w:rsidRPr="00FA308C">
        <w:rPr>
          <w:rFonts w:ascii="Arial" w:hAnsi="Arial" w:cs="Arial"/>
          <w:szCs w:val="24"/>
        </w:rPr>
        <w:t>In-service</w:t>
      </w:r>
      <w:r w:rsidR="00206917" w:rsidRPr="00FA308C">
        <w:rPr>
          <w:rStyle w:val="FootnoteReference"/>
          <w:rFonts w:ascii="Arial" w:hAnsi="Arial" w:cs="Arial"/>
          <w:szCs w:val="24"/>
        </w:rPr>
        <w:footnoteReference w:id="8"/>
      </w:r>
      <w:r w:rsidRPr="00FA308C">
        <w:rPr>
          <w:rFonts w:ascii="Arial" w:hAnsi="Arial" w:cs="Arial"/>
          <w:szCs w:val="24"/>
        </w:rPr>
        <w:t xml:space="preserve"> dates of environmental controls included on the units: </w:t>
      </w:r>
    </w:p>
    <w:p w14:paraId="5D22A746" w14:textId="23060580" w:rsidR="00106F0C" w:rsidRPr="00A24F31" w:rsidRDefault="000A2558" w:rsidP="00A24F31">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ELG Wastewater Treatment Studies</w:t>
      </w:r>
    </w:p>
    <w:p w14:paraId="15780725" w14:textId="602D14BF"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ELG Wastewater Management</w:t>
      </w:r>
    </w:p>
    <w:p w14:paraId="38B6D156" w14:textId="59E3191E"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color w:val="000000" w:themeColor="text1"/>
        </w:rPr>
        <w:t>New Landfill Phase 1</w:t>
      </w:r>
    </w:p>
    <w:p w14:paraId="404B1717" w14:textId="77777777" w:rsidR="005F47F6" w:rsidRPr="00FA308C" w:rsidRDefault="005F47F6" w:rsidP="00592DAD">
      <w:pPr>
        <w:pStyle w:val="BodyText"/>
        <w:rPr>
          <w:rFonts w:ascii="Arial" w:hAnsi="Arial" w:cs="Arial"/>
          <w:b/>
          <w:szCs w:val="24"/>
        </w:rPr>
      </w:pPr>
      <w:r w:rsidRPr="00FA308C">
        <w:rPr>
          <w:rFonts w:ascii="Arial" w:hAnsi="Arial" w:cs="Arial"/>
          <w:b/>
          <w:szCs w:val="24"/>
        </w:rPr>
        <w:t>Table 1.</w:t>
      </w:r>
      <w:r w:rsidR="00211066" w:rsidRPr="00FA308C">
        <w:rPr>
          <w:rFonts w:ascii="Arial" w:hAnsi="Arial" w:cs="Arial"/>
          <w:b/>
          <w:szCs w:val="24"/>
        </w:rPr>
        <w:t>7</w:t>
      </w:r>
    </w:p>
    <w:tbl>
      <w:tblPr>
        <w:tblW w:w="7578" w:type="dxa"/>
        <w:jc w:val="center"/>
        <w:tblCellMar>
          <w:left w:w="0" w:type="dxa"/>
          <w:right w:w="0" w:type="dxa"/>
        </w:tblCellMar>
        <w:tblLook w:val="04A0" w:firstRow="1" w:lastRow="0" w:firstColumn="1" w:lastColumn="0" w:noHBand="0" w:noVBand="1"/>
      </w:tblPr>
      <w:tblGrid>
        <w:gridCol w:w="1998"/>
        <w:gridCol w:w="1710"/>
        <w:gridCol w:w="1800"/>
        <w:gridCol w:w="2070"/>
      </w:tblGrid>
      <w:tr w:rsidR="003B0038" w:rsidRPr="00FA308C" w14:paraId="404B171C" w14:textId="77777777" w:rsidTr="00567D07">
        <w:trPr>
          <w:trHeight w:val="539"/>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18" w14:textId="100333F6"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w:t>
            </w:r>
            <w:r w:rsidR="00AE1EA6" w:rsidRPr="00FA308C">
              <w:rPr>
                <w:rFonts w:cs="Arial"/>
                <w:b/>
                <w:bCs/>
                <w:i/>
                <w:iCs/>
                <w:color w:val="000000" w:themeColor="text1"/>
                <w:kern w:val="24"/>
                <w:szCs w:val="40"/>
              </w:rPr>
              <w:t xml:space="preserve">2019 </w:t>
            </w:r>
            <w:r w:rsidRPr="00FA308C">
              <w:rPr>
                <w:rFonts w:cs="Arial"/>
                <w:b/>
                <w:bCs/>
                <w:i/>
                <w:iCs/>
                <w:color w:val="000000" w:themeColor="text1"/>
                <w:kern w:val="24"/>
                <w:szCs w:val="40"/>
              </w:rPr>
              <w:t xml:space="preserve">$M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19"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1A"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1B" w14:textId="77777777" w:rsidR="003B0038" w:rsidRPr="00FA308C" w:rsidRDefault="003B0038"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404B1721" w14:textId="77777777" w:rsidTr="00546FEB">
        <w:trPr>
          <w:trHeight w:val="260"/>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1D"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71E" w14:textId="67817C7B" w:rsidR="000A2558" w:rsidRPr="00FA308C" w:rsidRDefault="000A2558" w:rsidP="000A2558">
            <w:pPr>
              <w:spacing w:before="240" w:after="120"/>
              <w:jc w:val="center"/>
              <w:rPr>
                <w:rFonts w:cs="Arial"/>
                <w:b/>
                <w:bCs/>
                <w:i/>
                <w:iCs/>
                <w:color w:val="000000" w:themeColor="text1"/>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1F" w14:textId="7E9D653B"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0" w14:textId="290F5C5C"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FA308C" w14:paraId="404B1726" w14:textId="77777777" w:rsidTr="00546FEB">
        <w:trPr>
          <w:trHeight w:val="224"/>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22"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3" w14:textId="1C48392D"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4" w14:textId="61D7BDCE"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5" w14:textId="167B1689"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r w:rsidR="000A2558" w:rsidRPr="00FA308C" w14:paraId="404B172B" w14:textId="77777777" w:rsidTr="00546FEB">
        <w:trPr>
          <w:trHeight w:val="224"/>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27"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8" w14:textId="5653E5F8" w:rsidR="000A2558" w:rsidRPr="00FA308C" w:rsidRDefault="000A2558" w:rsidP="000A2558">
            <w:pPr>
              <w:spacing w:before="240" w:after="120"/>
              <w:jc w:val="center"/>
              <w:rPr>
                <w:rFonts w:cs="Arial"/>
                <w:b/>
                <w:bCs/>
                <w:i/>
                <w:iCs/>
                <w:color w:val="000000" w:themeColor="text1"/>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9" w14:textId="7DEB2D67"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2A" w14:textId="3EACC3AE" w:rsidR="000A2558" w:rsidRPr="00FA308C" w:rsidRDefault="000A2558" w:rsidP="000A2558">
            <w:pPr>
              <w:spacing w:before="240" w:after="120"/>
              <w:jc w:val="center"/>
              <w:rPr>
                <w:rFonts w:cs="Arial"/>
                <w:b/>
                <w:bCs/>
                <w:i/>
                <w:iCs/>
                <w:color w:val="000000" w:themeColor="text1"/>
                <w:kern w:val="24"/>
                <w:szCs w:val="40"/>
              </w:rPr>
            </w:pPr>
            <w:r w:rsidRPr="009360BB">
              <w:rPr>
                <w:rFonts w:cs="Arial"/>
                <w:b/>
                <w:bCs/>
                <w:i/>
                <w:iCs/>
                <w:caps/>
                <w:color w:val="000000" w:themeColor="text1"/>
                <w:kern w:val="24"/>
                <w:szCs w:val="40"/>
              </w:rPr>
              <w:t xml:space="preserve">Redacted </w:t>
            </w:r>
          </w:p>
        </w:tc>
      </w:tr>
    </w:tbl>
    <w:p w14:paraId="404B172C" w14:textId="77777777" w:rsidR="00CA517D" w:rsidRPr="00FA308C" w:rsidRDefault="00CA517D" w:rsidP="00592DAD">
      <w:pPr>
        <w:pStyle w:val="BodyText"/>
        <w:spacing w:before="120" w:after="0"/>
        <w:ind w:left="720"/>
        <w:rPr>
          <w:rFonts w:ascii="Arial" w:hAnsi="Arial" w:cs="Arial"/>
          <w:i/>
          <w:szCs w:val="24"/>
        </w:rPr>
      </w:pPr>
      <w:r w:rsidRPr="00FA308C">
        <w:rPr>
          <w:rFonts w:ascii="Arial" w:hAnsi="Arial" w:cs="Arial"/>
          <w:i/>
          <w:szCs w:val="24"/>
        </w:rPr>
        <w:t>*Only GPC ownership shown</w:t>
      </w:r>
    </w:p>
    <w:p w14:paraId="404B172D" w14:textId="77777777" w:rsidR="003A17CD" w:rsidRPr="00FA308C" w:rsidRDefault="003A17CD" w:rsidP="00592DAD">
      <w:pPr>
        <w:pStyle w:val="BodyText"/>
        <w:spacing w:before="120" w:after="0"/>
        <w:ind w:firstLine="720"/>
        <w:rPr>
          <w:rFonts w:ascii="Arial" w:hAnsi="Arial" w:cs="Arial"/>
          <w:szCs w:val="24"/>
        </w:rPr>
      </w:pPr>
    </w:p>
    <w:p w14:paraId="404B172F" w14:textId="2A9A5069" w:rsidR="00CA517D" w:rsidRPr="00FA308C" w:rsidRDefault="00CA517D" w:rsidP="00FA308C">
      <w:pPr>
        <w:pStyle w:val="BodyText"/>
        <w:rPr>
          <w:rFonts w:ascii="Arial" w:hAnsi="Arial" w:cs="Arial"/>
          <w:szCs w:val="24"/>
        </w:rPr>
      </w:pPr>
      <w:r w:rsidRPr="00FA308C">
        <w:rPr>
          <w:rFonts w:ascii="Arial" w:hAnsi="Arial" w:cs="Arial"/>
          <w:szCs w:val="24"/>
        </w:rPr>
        <w:t xml:space="preserve">For Plant Wansley, </w:t>
      </w:r>
      <w:r w:rsidR="00AE1EA6" w:rsidRPr="00FA308C">
        <w:rPr>
          <w:rFonts w:ascii="Arial" w:hAnsi="Arial" w:cs="Arial"/>
          <w:iCs/>
          <w:szCs w:val="24"/>
        </w:rPr>
        <w:t xml:space="preserve">ELG Wastewater Treatment Studies and ELG Wastewater Management </w:t>
      </w:r>
      <w:r w:rsidR="006122CC" w:rsidRPr="00FA308C">
        <w:rPr>
          <w:rFonts w:ascii="Arial" w:hAnsi="Arial" w:cs="Arial"/>
          <w:szCs w:val="24"/>
        </w:rPr>
        <w:t xml:space="preserve">are assumed for future compliance with </w:t>
      </w:r>
      <w:r w:rsidR="00AE1EA6" w:rsidRPr="00FA308C">
        <w:rPr>
          <w:rFonts w:ascii="Arial" w:hAnsi="Arial" w:cs="Arial"/>
          <w:szCs w:val="24"/>
        </w:rPr>
        <w:t xml:space="preserve">the </w:t>
      </w:r>
      <w:r w:rsidR="006122CC" w:rsidRPr="00FA308C">
        <w:rPr>
          <w:rFonts w:ascii="Arial" w:hAnsi="Arial" w:cs="Arial"/>
          <w:szCs w:val="24"/>
        </w:rPr>
        <w:t>E</w:t>
      </w:r>
      <w:r w:rsidR="006122CC" w:rsidRPr="00ED18E7">
        <w:rPr>
          <w:rFonts w:ascii="Arial" w:hAnsi="Arial" w:cs="Arial"/>
        </w:rPr>
        <w:t>LG rule</w:t>
      </w:r>
      <w:r w:rsidRPr="00A12390">
        <w:rPr>
          <w:rFonts w:ascii="Arial" w:hAnsi="Arial" w:cs="Arial"/>
        </w:rPr>
        <w:t>.</w:t>
      </w:r>
      <w:r w:rsidR="00A12390" w:rsidRPr="00A12390">
        <w:rPr>
          <w:rFonts w:ascii="Arial" w:hAnsi="Arial" w:cs="Arial"/>
        </w:rPr>
        <w:t xml:space="preserve"> New Landfill Phase 1 is assumed for future compliance with the CCR rule</w:t>
      </w:r>
      <w:r w:rsidR="00A12390">
        <w:rPr>
          <w:rFonts w:ascii="Arial" w:hAnsi="Arial" w:cs="Arial"/>
        </w:rPr>
        <w:t>s</w:t>
      </w:r>
      <w:r w:rsidR="00A12390" w:rsidRPr="00A12390">
        <w:rPr>
          <w:rFonts w:ascii="Arial" w:hAnsi="Arial" w:cs="Arial"/>
        </w:rPr>
        <w:t>.</w:t>
      </w:r>
    </w:p>
    <w:p w14:paraId="404B1730" w14:textId="77777777" w:rsidR="007C2289" w:rsidRPr="00FA308C" w:rsidRDefault="007C2289" w:rsidP="003B1B46">
      <w:pPr>
        <w:rPr>
          <w:rFonts w:eastAsia="Times New Roman" w:cs="Arial"/>
          <w:b/>
          <w:sz w:val="28"/>
          <w:szCs w:val="24"/>
        </w:rPr>
      </w:pPr>
      <w:r w:rsidRPr="00FA308C">
        <w:rPr>
          <w:rFonts w:cs="Arial"/>
          <w:b/>
          <w:sz w:val="28"/>
          <w:szCs w:val="24"/>
        </w:rPr>
        <w:br w:type="page"/>
      </w:r>
    </w:p>
    <w:p w14:paraId="404B1731" w14:textId="583324BB" w:rsidR="00876C8A" w:rsidRPr="00FA308C" w:rsidRDefault="00876C8A" w:rsidP="00592DAD">
      <w:pPr>
        <w:pStyle w:val="BodyText"/>
        <w:rPr>
          <w:rFonts w:ascii="Arial" w:hAnsi="Arial" w:cs="Arial"/>
          <w:b/>
          <w:sz w:val="24"/>
          <w:szCs w:val="24"/>
        </w:rPr>
      </w:pPr>
      <w:r w:rsidRPr="00FA308C">
        <w:rPr>
          <w:rFonts w:ascii="Arial" w:hAnsi="Arial" w:cs="Arial"/>
          <w:b/>
          <w:sz w:val="24"/>
          <w:szCs w:val="24"/>
        </w:rPr>
        <w:lastRenderedPageBreak/>
        <w:t>1.</w:t>
      </w:r>
      <w:r w:rsidR="00372878" w:rsidRPr="00FA308C">
        <w:rPr>
          <w:rFonts w:ascii="Arial" w:hAnsi="Arial" w:cs="Arial"/>
          <w:b/>
          <w:sz w:val="24"/>
          <w:szCs w:val="24"/>
        </w:rPr>
        <w:t>7</w:t>
      </w:r>
      <w:r w:rsidRPr="00FA308C">
        <w:rPr>
          <w:rFonts w:ascii="Arial" w:hAnsi="Arial" w:cs="Arial"/>
          <w:b/>
          <w:sz w:val="24"/>
          <w:szCs w:val="24"/>
        </w:rPr>
        <w:t>.</w:t>
      </w:r>
      <w:r w:rsidR="00211066" w:rsidRPr="00FA308C">
        <w:rPr>
          <w:rFonts w:ascii="Arial" w:hAnsi="Arial" w:cs="Arial"/>
          <w:b/>
          <w:sz w:val="24"/>
          <w:szCs w:val="24"/>
        </w:rPr>
        <w:t>8</w:t>
      </w:r>
      <w:r w:rsidR="00F80892">
        <w:rPr>
          <w:rFonts w:ascii="Arial" w:hAnsi="Arial" w:cs="Arial"/>
          <w:b/>
          <w:sz w:val="24"/>
          <w:szCs w:val="24"/>
        </w:rPr>
        <w:t>.</w:t>
      </w:r>
      <w:r w:rsidR="00211066" w:rsidRPr="00FA308C">
        <w:rPr>
          <w:rFonts w:ascii="Arial" w:hAnsi="Arial" w:cs="Arial"/>
          <w:b/>
          <w:sz w:val="24"/>
          <w:szCs w:val="24"/>
        </w:rPr>
        <w:t xml:space="preserve"> </w:t>
      </w:r>
      <w:r w:rsidRPr="00FA308C">
        <w:rPr>
          <w:rFonts w:ascii="Arial" w:hAnsi="Arial" w:cs="Arial"/>
          <w:b/>
          <w:sz w:val="24"/>
          <w:szCs w:val="24"/>
        </w:rPr>
        <w:t>Plant Yates 6-7</w:t>
      </w:r>
    </w:p>
    <w:p w14:paraId="404B1732" w14:textId="77777777" w:rsidR="00965CDD" w:rsidRPr="00FA308C" w:rsidRDefault="00965CDD" w:rsidP="00592DAD">
      <w:pPr>
        <w:pStyle w:val="BodyText"/>
        <w:rPr>
          <w:rFonts w:ascii="Arial" w:hAnsi="Arial" w:cs="Arial"/>
          <w:szCs w:val="24"/>
        </w:rPr>
      </w:pPr>
      <w:r w:rsidRPr="00FA308C">
        <w:rPr>
          <w:rFonts w:ascii="Arial" w:hAnsi="Arial" w:cs="Arial"/>
          <w:szCs w:val="24"/>
        </w:rPr>
        <w:t xml:space="preserve">Customer </w:t>
      </w:r>
      <w:r w:rsidR="00BC6ED0" w:rsidRPr="00FA308C">
        <w:rPr>
          <w:rFonts w:ascii="Arial" w:hAnsi="Arial" w:cs="Arial"/>
          <w:szCs w:val="24"/>
        </w:rPr>
        <w:t>C</w:t>
      </w:r>
      <w:r w:rsidRPr="00FA308C">
        <w:rPr>
          <w:rFonts w:ascii="Arial" w:hAnsi="Arial" w:cs="Arial"/>
          <w:szCs w:val="24"/>
        </w:rPr>
        <w:t xml:space="preserve">osts and </w:t>
      </w:r>
      <w:r w:rsidR="00BC6ED0" w:rsidRPr="00FA308C">
        <w:rPr>
          <w:rFonts w:ascii="Arial" w:hAnsi="Arial" w:cs="Arial"/>
          <w:szCs w:val="24"/>
        </w:rPr>
        <w:t>B</w:t>
      </w:r>
      <w:r w:rsidRPr="00FA308C">
        <w:rPr>
          <w:rFonts w:ascii="Arial" w:hAnsi="Arial" w:cs="Arial"/>
          <w:szCs w:val="24"/>
        </w:rPr>
        <w:t xml:space="preserve">enefits for the </w:t>
      </w:r>
      <w:r w:rsidR="00BC6ED0" w:rsidRPr="00FA308C">
        <w:rPr>
          <w:rFonts w:ascii="Arial" w:hAnsi="Arial" w:cs="Arial"/>
          <w:szCs w:val="24"/>
        </w:rPr>
        <w:t>C</w:t>
      </w:r>
      <w:r w:rsidRPr="00FA308C">
        <w:rPr>
          <w:rFonts w:ascii="Arial" w:hAnsi="Arial" w:cs="Arial"/>
          <w:szCs w:val="24"/>
        </w:rPr>
        <w:t xml:space="preserve">ontinued </w:t>
      </w:r>
      <w:r w:rsidR="00BC6ED0" w:rsidRPr="00FA308C">
        <w:rPr>
          <w:rFonts w:ascii="Arial" w:hAnsi="Arial" w:cs="Arial"/>
          <w:szCs w:val="24"/>
        </w:rPr>
        <w:t>O</w:t>
      </w:r>
      <w:r w:rsidRPr="00FA308C">
        <w:rPr>
          <w:rFonts w:ascii="Arial" w:hAnsi="Arial" w:cs="Arial"/>
          <w:szCs w:val="24"/>
        </w:rPr>
        <w:t xml:space="preserve">peration of Yates 6-7 </w:t>
      </w:r>
      <w:r w:rsidR="00EF35D0" w:rsidRPr="00FA308C">
        <w:rPr>
          <w:rFonts w:ascii="Arial" w:hAnsi="Arial" w:cs="Arial"/>
          <w:szCs w:val="24"/>
        </w:rPr>
        <w:t>Compared to</w:t>
      </w:r>
      <w:r w:rsidRPr="00FA308C">
        <w:rPr>
          <w:rFonts w:ascii="Arial" w:hAnsi="Arial" w:cs="Arial"/>
          <w:szCs w:val="24"/>
        </w:rPr>
        <w:t xml:space="preserve"> a Replacement CT </w:t>
      </w:r>
    </w:p>
    <w:p w14:paraId="404B1733" w14:textId="6A67EC62" w:rsidR="00965CDD" w:rsidRPr="00FA308C" w:rsidRDefault="00EF35D0" w:rsidP="00592DAD">
      <w:pPr>
        <w:pStyle w:val="BodyText"/>
        <w:rPr>
          <w:rFonts w:ascii="Arial" w:hAnsi="Arial" w:cs="Arial"/>
          <w:szCs w:val="24"/>
        </w:rPr>
      </w:pPr>
      <w:r w:rsidRPr="00FA308C">
        <w:rPr>
          <w:rFonts w:ascii="Arial" w:hAnsi="Arial" w:cs="Arial"/>
          <w:szCs w:val="24"/>
        </w:rPr>
        <w:t xml:space="preserve">Mid-year </w:t>
      </w:r>
      <w:r w:rsidR="00965CDD" w:rsidRPr="00FA308C">
        <w:rPr>
          <w:rFonts w:ascii="Arial" w:hAnsi="Arial" w:cs="Arial"/>
          <w:szCs w:val="24"/>
        </w:rPr>
        <w:t>NPV (</w:t>
      </w:r>
      <w:r w:rsidR="00C2542D" w:rsidRPr="00FA308C">
        <w:rPr>
          <w:rFonts w:ascii="Arial" w:hAnsi="Arial" w:cs="Arial"/>
          <w:color w:val="000000" w:themeColor="text1"/>
          <w:szCs w:val="24"/>
        </w:rPr>
        <w:t>2020</w:t>
      </w:r>
      <w:r w:rsidR="009E39FA" w:rsidRPr="00FA308C">
        <w:rPr>
          <w:rFonts w:ascii="Arial" w:hAnsi="Arial" w:cs="Arial"/>
          <w:color w:val="000000" w:themeColor="text1"/>
          <w:szCs w:val="24"/>
        </w:rPr>
        <w:t>-2048</w:t>
      </w:r>
      <w:r w:rsidR="00965CDD" w:rsidRPr="00FA308C">
        <w:rPr>
          <w:rFonts w:ascii="Arial" w:hAnsi="Arial" w:cs="Arial"/>
          <w:szCs w:val="24"/>
        </w:rPr>
        <w:t xml:space="preserve">) in </w:t>
      </w:r>
      <w:r w:rsidR="003E5232" w:rsidRPr="00FA308C">
        <w:rPr>
          <w:rFonts w:ascii="Arial" w:hAnsi="Arial" w:cs="Arial"/>
          <w:szCs w:val="24"/>
        </w:rPr>
        <w:t xml:space="preserve">millions </w:t>
      </w:r>
      <w:r w:rsidR="00965CDD" w:rsidRPr="00FA308C">
        <w:rPr>
          <w:rFonts w:ascii="Arial" w:hAnsi="Arial" w:cs="Arial"/>
          <w:szCs w:val="24"/>
        </w:rPr>
        <w:t xml:space="preserve">of </w:t>
      </w:r>
      <w:r w:rsidR="003E5232" w:rsidRPr="00FA308C">
        <w:rPr>
          <w:rFonts w:ascii="Arial" w:hAnsi="Arial" w:cs="Arial"/>
          <w:szCs w:val="24"/>
        </w:rPr>
        <w:t>dollars</w:t>
      </w:r>
    </w:p>
    <w:p w14:paraId="404B1734" w14:textId="29C14D8B" w:rsidR="00965CDD" w:rsidRPr="00FA308C" w:rsidRDefault="0038498A" w:rsidP="00592DAD">
      <w:pPr>
        <w:pStyle w:val="BodyText"/>
        <w:numPr>
          <w:ilvl w:val="0"/>
          <w:numId w:val="2"/>
        </w:numPr>
        <w:rPr>
          <w:rFonts w:ascii="Arial" w:hAnsi="Arial" w:cs="Arial"/>
          <w:i/>
          <w:szCs w:val="24"/>
        </w:rPr>
      </w:pPr>
      <w:r w:rsidRPr="00FA308C">
        <w:rPr>
          <w:rFonts w:ascii="Arial" w:hAnsi="Arial" w:cs="Arial"/>
          <w:szCs w:val="24"/>
        </w:rPr>
        <w:t>In-service</w:t>
      </w:r>
      <w:r w:rsidR="00206917" w:rsidRPr="00FA308C">
        <w:rPr>
          <w:rStyle w:val="FootnoteReference"/>
          <w:rFonts w:ascii="Arial" w:hAnsi="Arial" w:cs="Arial"/>
          <w:szCs w:val="24"/>
        </w:rPr>
        <w:footnoteReference w:id="9"/>
      </w:r>
      <w:r w:rsidRPr="00FA308C">
        <w:rPr>
          <w:rFonts w:ascii="Arial" w:hAnsi="Arial" w:cs="Arial"/>
          <w:szCs w:val="24"/>
        </w:rPr>
        <w:t xml:space="preserve"> dates of environmental controls included on the units: </w:t>
      </w:r>
    </w:p>
    <w:p w14:paraId="5889A13D" w14:textId="6A465AEE" w:rsidR="00106F0C" w:rsidRPr="00FA308C" w:rsidRDefault="000A2558" w:rsidP="00106F0C">
      <w:pPr>
        <w:pStyle w:val="BodyText"/>
        <w:numPr>
          <w:ilvl w:val="1"/>
          <w:numId w:val="2"/>
        </w:numPr>
        <w:spacing w:after="0"/>
        <w:rPr>
          <w:rFonts w:ascii="Arial" w:hAnsi="Arial" w:cs="Arial"/>
          <w:i/>
          <w:color w:val="000000" w:themeColor="text1"/>
        </w:rPr>
      </w:pPr>
      <w:r w:rsidRPr="000A2558">
        <w:rPr>
          <w:rFonts w:ascii="Arial" w:hAnsi="Arial" w:cs="Arial"/>
          <w:b/>
          <w:i/>
          <w:iCs/>
          <w:caps/>
          <w:color w:val="000000" w:themeColor="text1"/>
        </w:rPr>
        <w:t>Redacted</w:t>
      </w:r>
      <w:r w:rsidR="00A24F31">
        <w:rPr>
          <w:rFonts w:ascii="Arial" w:hAnsi="Arial" w:cs="Arial"/>
          <w:i/>
          <w:iCs/>
          <w:color w:val="000000" w:themeColor="text1"/>
        </w:rPr>
        <w:t xml:space="preserve"> </w:t>
      </w:r>
      <w:r w:rsidR="00A24F31" w:rsidRPr="00FA308C">
        <w:rPr>
          <w:rFonts w:ascii="Arial" w:hAnsi="Arial" w:cs="Arial"/>
          <w:i/>
          <w:iCs/>
        </w:rPr>
        <w:t xml:space="preserve">CCR Wastewater Management   </w:t>
      </w:r>
    </w:p>
    <w:p w14:paraId="404B1737" w14:textId="77777777" w:rsidR="00965CDD" w:rsidRPr="00FA308C" w:rsidRDefault="00965CDD" w:rsidP="00592DAD">
      <w:pPr>
        <w:pStyle w:val="BodyText"/>
        <w:rPr>
          <w:rFonts w:ascii="Arial" w:hAnsi="Arial" w:cs="Arial"/>
          <w:b/>
          <w:szCs w:val="24"/>
        </w:rPr>
      </w:pPr>
      <w:r w:rsidRPr="00FA308C">
        <w:rPr>
          <w:rFonts w:ascii="Arial" w:hAnsi="Arial" w:cs="Arial"/>
          <w:b/>
          <w:szCs w:val="24"/>
        </w:rPr>
        <w:t>Table 1.</w:t>
      </w:r>
      <w:r w:rsidR="00211066" w:rsidRPr="00FA308C">
        <w:rPr>
          <w:rFonts w:ascii="Arial" w:hAnsi="Arial" w:cs="Arial"/>
          <w:b/>
          <w:szCs w:val="24"/>
        </w:rPr>
        <w:t>8</w:t>
      </w:r>
    </w:p>
    <w:tbl>
      <w:tblPr>
        <w:tblW w:w="7398" w:type="dxa"/>
        <w:jc w:val="center"/>
        <w:tblLayout w:type="fixed"/>
        <w:tblCellMar>
          <w:left w:w="0" w:type="dxa"/>
          <w:right w:w="0" w:type="dxa"/>
        </w:tblCellMar>
        <w:tblLook w:val="04A0" w:firstRow="1" w:lastRow="0" w:firstColumn="1" w:lastColumn="0" w:noHBand="0" w:noVBand="1"/>
      </w:tblPr>
      <w:tblGrid>
        <w:gridCol w:w="1998"/>
        <w:gridCol w:w="1620"/>
        <w:gridCol w:w="1800"/>
        <w:gridCol w:w="1980"/>
      </w:tblGrid>
      <w:tr w:rsidR="00C2542D" w:rsidRPr="00FA308C" w14:paraId="404B173C" w14:textId="77777777" w:rsidTr="00663CCB">
        <w:trPr>
          <w:trHeight w:val="836"/>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38" w14:textId="68AEA28A" w:rsidR="00C2542D" w:rsidRPr="00FA308C" w:rsidRDefault="00C2542D"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2019 $M </w:t>
            </w:r>
          </w:p>
        </w:tc>
        <w:tc>
          <w:tcPr>
            <w:tcW w:w="162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39" w14:textId="77777777" w:rsidR="00C2542D" w:rsidRPr="00FA308C" w:rsidRDefault="00C2542D"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3A" w14:textId="053DC762" w:rsidR="00C2542D" w:rsidRPr="00FA308C" w:rsidRDefault="00C2542D"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98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3B" w14:textId="77777777" w:rsidR="00C2542D" w:rsidRPr="00FA308C" w:rsidRDefault="00C2542D"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404B1741" w14:textId="77777777" w:rsidTr="003B01B7">
        <w:trPr>
          <w:trHeight w:val="548"/>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3D"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404B173E" w14:textId="7E0D6983"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3F" w14:textId="02DE782C"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0" w14:textId="53C96B96"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r>
      <w:tr w:rsidR="000A2558" w:rsidRPr="00FA308C" w14:paraId="404B1746" w14:textId="77777777" w:rsidTr="003B01B7">
        <w:trPr>
          <w:trHeight w:val="602"/>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42"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3" w14:textId="08E9C5C7"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4" w14:textId="59AADCFF"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5" w14:textId="431CC948"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r>
      <w:tr w:rsidR="000A2558" w:rsidRPr="00FA308C" w14:paraId="404B174B" w14:textId="77777777" w:rsidTr="003B01B7">
        <w:trPr>
          <w:trHeight w:val="152"/>
          <w:jc w:val="center"/>
        </w:trPr>
        <w:tc>
          <w:tcPr>
            <w:tcW w:w="199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4B1747"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Low Fuel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8" w14:textId="5EC906FF" w:rsidR="000A2558" w:rsidRPr="000A2558" w:rsidRDefault="000A2558" w:rsidP="000A2558">
            <w:pPr>
              <w:pStyle w:val="NormalWeb"/>
              <w:spacing w:before="240" w:after="120"/>
              <w:jc w:val="center"/>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9" w14:textId="61C54F2E" w:rsidR="000A2558" w:rsidRPr="000A2558" w:rsidRDefault="000A2558" w:rsidP="000A2558">
            <w:pPr>
              <w:pStyle w:val="NormalWeb"/>
              <w:keepNext/>
              <w:spacing w:before="240" w:after="120"/>
              <w:jc w:val="center"/>
              <w:outlineLvl w:val="2"/>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4B174A" w14:textId="3FE27E58" w:rsidR="000A2558" w:rsidRPr="000A2558" w:rsidRDefault="000A2558" w:rsidP="000A2558">
            <w:pPr>
              <w:pStyle w:val="NormalWeb"/>
              <w:keepNext/>
              <w:spacing w:before="240" w:after="120"/>
              <w:jc w:val="center"/>
              <w:outlineLvl w:val="2"/>
              <w:rPr>
                <w:rFonts w:ascii="Arial" w:eastAsiaTheme="minorHAnsi" w:hAnsi="Arial" w:cs="Arial"/>
                <w:b/>
                <w:bCs/>
                <w:i/>
                <w:iCs/>
                <w:color w:val="000000" w:themeColor="text1"/>
                <w:kern w:val="24"/>
                <w:sz w:val="22"/>
                <w:szCs w:val="40"/>
              </w:rPr>
            </w:pPr>
            <w:r w:rsidRPr="000A2558">
              <w:rPr>
                <w:rFonts w:ascii="Arial" w:hAnsi="Arial" w:cs="Arial"/>
                <w:b/>
                <w:bCs/>
                <w:i/>
                <w:iCs/>
                <w:caps/>
                <w:color w:val="000000" w:themeColor="text1"/>
                <w:kern w:val="24"/>
                <w:sz w:val="22"/>
                <w:szCs w:val="40"/>
              </w:rPr>
              <w:t xml:space="preserve">Redacted </w:t>
            </w:r>
          </w:p>
        </w:tc>
      </w:tr>
    </w:tbl>
    <w:p w14:paraId="404B174C" w14:textId="77777777" w:rsidR="00965CDD" w:rsidRPr="00FA308C" w:rsidRDefault="00965CDD" w:rsidP="006B62E3">
      <w:pPr>
        <w:pStyle w:val="BodyText"/>
        <w:ind w:firstLine="720"/>
        <w:rPr>
          <w:rFonts w:ascii="Arial" w:hAnsi="Arial" w:cs="Arial"/>
          <w:szCs w:val="24"/>
        </w:rPr>
      </w:pPr>
    </w:p>
    <w:p w14:paraId="404B174E" w14:textId="58BBF254" w:rsidR="00372878" w:rsidRPr="00FA308C" w:rsidRDefault="00CA517D" w:rsidP="00FA308C">
      <w:pPr>
        <w:spacing w:after="120"/>
        <w:rPr>
          <w:rFonts w:cs="Arial"/>
          <w:iCs/>
        </w:rPr>
      </w:pPr>
      <w:r w:rsidRPr="00FA308C">
        <w:rPr>
          <w:rFonts w:cs="Arial"/>
          <w:szCs w:val="24"/>
        </w:rPr>
        <w:t>For Plant Yates Units 6-7,</w:t>
      </w:r>
      <w:r w:rsidRPr="00FA308C">
        <w:rPr>
          <w:rFonts w:cs="Arial"/>
          <w:i/>
          <w:szCs w:val="24"/>
        </w:rPr>
        <w:t xml:space="preserve"> </w:t>
      </w:r>
      <w:r w:rsidRPr="00FA308C">
        <w:rPr>
          <w:rFonts w:cs="Arial"/>
          <w:iCs/>
        </w:rPr>
        <w:t>CCR Wastewater Management</w:t>
      </w:r>
      <w:r w:rsidR="008F30DB" w:rsidRPr="00FA308C">
        <w:rPr>
          <w:rFonts w:cs="Arial"/>
          <w:iCs/>
        </w:rPr>
        <w:t xml:space="preserve"> </w:t>
      </w:r>
      <w:r w:rsidR="00C2542D" w:rsidRPr="00FA308C">
        <w:rPr>
          <w:rFonts w:cs="Arial"/>
          <w:iCs/>
        </w:rPr>
        <w:t>is</w:t>
      </w:r>
      <w:r w:rsidR="00C95223" w:rsidRPr="00FA308C">
        <w:rPr>
          <w:rFonts w:cs="Arial"/>
          <w:iCs/>
        </w:rPr>
        <w:t xml:space="preserve"> assumed for compliance </w:t>
      </w:r>
      <w:r w:rsidR="00DE32D3" w:rsidRPr="00FA308C">
        <w:rPr>
          <w:rFonts w:cs="Arial"/>
          <w:iCs/>
        </w:rPr>
        <w:t>with the</w:t>
      </w:r>
      <w:r w:rsidR="00C2542D" w:rsidRPr="00FA308C">
        <w:rPr>
          <w:rFonts w:cs="Arial"/>
          <w:iCs/>
        </w:rPr>
        <w:t xml:space="preserve"> </w:t>
      </w:r>
      <w:r w:rsidR="00C95223" w:rsidRPr="00FA308C">
        <w:rPr>
          <w:rFonts w:cs="Arial"/>
          <w:iCs/>
        </w:rPr>
        <w:t>CCR</w:t>
      </w:r>
      <w:r w:rsidR="008F30DB" w:rsidRPr="00FA308C">
        <w:rPr>
          <w:rFonts w:cs="Arial"/>
          <w:iCs/>
        </w:rPr>
        <w:t xml:space="preserve"> </w:t>
      </w:r>
      <w:r w:rsidR="00C2542D" w:rsidRPr="00FA308C">
        <w:rPr>
          <w:rFonts w:cs="Arial"/>
          <w:iCs/>
        </w:rPr>
        <w:t>r</w:t>
      </w:r>
      <w:r w:rsidR="00C95223" w:rsidRPr="00FA308C">
        <w:rPr>
          <w:rFonts w:cs="Arial"/>
          <w:iCs/>
        </w:rPr>
        <w:t>ule</w:t>
      </w:r>
      <w:r w:rsidR="00A12390">
        <w:rPr>
          <w:rFonts w:cs="Arial"/>
          <w:iCs/>
        </w:rPr>
        <w:t>s</w:t>
      </w:r>
      <w:r w:rsidRPr="00FA308C">
        <w:rPr>
          <w:rFonts w:cs="Arial"/>
          <w:iCs/>
        </w:rPr>
        <w:t>.</w:t>
      </w:r>
    </w:p>
    <w:p w14:paraId="7B1F1D96" w14:textId="77777777" w:rsidR="00372878" w:rsidRPr="00FA308C" w:rsidRDefault="00372878" w:rsidP="00592DAD">
      <w:pPr>
        <w:rPr>
          <w:rFonts w:cs="Arial"/>
          <w:iCs/>
          <w:sz w:val="24"/>
        </w:rPr>
      </w:pPr>
      <w:r w:rsidRPr="00FA308C">
        <w:rPr>
          <w:rFonts w:cs="Arial"/>
          <w:iCs/>
          <w:sz w:val="24"/>
        </w:rPr>
        <w:br w:type="page"/>
      </w:r>
    </w:p>
    <w:p w14:paraId="73BEF322" w14:textId="49C4CFE1" w:rsidR="00372878" w:rsidRPr="00FA308C" w:rsidRDefault="00372878" w:rsidP="00BC7D86">
      <w:pPr>
        <w:pStyle w:val="Heading1"/>
        <w:spacing w:after="240" w:line="360" w:lineRule="auto"/>
        <w:ind w:left="0" w:firstLine="0"/>
        <w:rPr>
          <w:rFonts w:ascii="Arial" w:hAnsi="Arial"/>
          <w:sz w:val="24"/>
        </w:rPr>
      </w:pPr>
      <w:r w:rsidRPr="00FA308C">
        <w:rPr>
          <w:rFonts w:ascii="Arial" w:hAnsi="Arial"/>
          <w:sz w:val="24"/>
        </w:rPr>
        <w:lastRenderedPageBreak/>
        <w:t>2019 Hydro Unit Retirement Study</w:t>
      </w:r>
    </w:p>
    <w:p w14:paraId="0792A204" w14:textId="593D12D0" w:rsidR="002E29A4" w:rsidRPr="00FA308C" w:rsidRDefault="00DE32D3" w:rsidP="00FA308C">
      <w:pPr>
        <w:spacing w:after="120"/>
        <w:rPr>
          <w:rFonts w:eastAsia="Times New Roman" w:cs="Arial"/>
          <w:szCs w:val="24"/>
        </w:rPr>
      </w:pPr>
      <w:r w:rsidRPr="00FA308C">
        <w:rPr>
          <w:rFonts w:eastAsia="Times New Roman" w:cs="Arial"/>
          <w:szCs w:val="24"/>
        </w:rPr>
        <w:t>As discussed in the IRP Main Document, the Company is recommending decertification of Plant Langdale Units 5-6, Plant Riverview Units 1-2, and Plant Estatoah Unit 1. This recommendation is based on several factors in addition to the economic viability of these units. However, in support of this recommendation, the Company p</w:t>
      </w:r>
      <w:r w:rsidR="00545E17" w:rsidRPr="00FA308C">
        <w:rPr>
          <w:rFonts w:eastAsia="Times New Roman" w:cs="Arial"/>
          <w:szCs w:val="24"/>
        </w:rPr>
        <w:t>er</w:t>
      </w:r>
      <w:r w:rsidRPr="00FA308C">
        <w:rPr>
          <w:rFonts w:eastAsia="Times New Roman" w:cs="Arial"/>
          <w:szCs w:val="24"/>
        </w:rPr>
        <w:t xml:space="preserve">formed retirement studies for each of these units. The economic evaluations for each of these units is consistent with the methods described above in the </w:t>
      </w:r>
      <w:r w:rsidR="00C5482B">
        <w:rPr>
          <w:rFonts w:eastAsia="Times New Roman" w:cs="Arial"/>
          <w:szCs w:val="24"/>
        </w:rPr>
        <w:t>2019 Coal-Fired and Gas-</w:t>
      </w:r>
      <w:r w:rsidRPr="00FA308C">
        <w:rPr>
          <w:rFonts w:eastAsia="Times New Roman" w:cs="Arial"/>
          <w:szCs w:val="24"/>
        </w:rPr>
        <w:t xml:space="preserve">Steam Unit Retirement Study section. Additional information on these units </w:t>
      </w:r>
      <w:proofErr w:type="gramStart"/>
      <w:r w:rsidRPr="00FA308C">
        <w:rPr>
          <w:rFonts w:eastAsia="Times New Roman" w:cs="Arial"/>
          <w:szCs w:val="24"/>
        </w:rPr>
        <w:t>is located in</w:t>
      </w:r>
      <w:proofErr w:type="gramEnd"/>
      <w:r w:rsidRPr="00FA308C">
        <w:rPr>
          <w:rFonts w:eastAsia="Times New Roman" w:cs="Arial"/>
          <w:szCs w:val="24"/>
        </w:rPr>
        <w:t xml:space="preserve"> the 2019 IRP </w:t>
      </w:r>
      <w:r w:rsidR="00285105" w:rsidRPr="00FA308C">
        <w:rPr>
          <w:rFonts w:eastAsia="Times New Roman" w:cs="Arial"/>
          <w:szCs w:val="24"/>
        </w:rPr>
        <w:t>M</w:t>
      </w:r>
      <w:r w:rsidRPr="00FA308C">
        <w:rPr>
          <w:rFonts w:eastAsia="Times New Roman" w:cs="Arial"/>
          <w:szCs w:val="24"/>
        </w:rPr>
        <w:t xml:space="preserve">ain </w:t>
      </w:r>
      <w:r w:rsidR="00285105" w:rsidRPr="00FA308C">
        <w:rPr>
          <w:rFonts w:eastAsia="Times New Roman" w:cs="Arial"/>
          <w:szCs w:val="24"/>
        </w:rPr>
        <w:t>D</w:t>
      </w:r>
      <w:r w:rsidRPr="00FA308C">
        <w:rPr>
          <w:rFonts w:eastAsia="Times New Roman" w:cs="Arial"/>
          <w:szCs w:val="24"/>
        </w:rPr>
        <w:t xml:space="preserve">ocument. </w:t>
      </w:r>
    </w:p>
    <w:p w14:paraId="109D0D2A" w14:textId="77777777" w:rsidR="00206917" w:rsidRPr="00FA308C" w:rsidRDefault="00206917" w:rsidP="006B62E3">
      <w:pPr>
        <w:spacing w:after="120"/>
        <w:ind w:firstLine="720"/>
        <w:rPr>
          <w:rFonts w:eastAsia="Times New Roman" w:cs="Arial"/>
          <w:sz w:val="24"/>
          <w:szCs w:val="24"/>
          <w:highlight w:val="lightGray"/>
        </w:rPr>
      </w:pPr>
    </w:p>
    <w:p w14:paraId="2BFDA9E2" w14:textId="27C4A518" w:rsidR="000E704B" w:rsidRPr="00FA308C" w:rsidRDefault="000E704B" w:rsidP="00592DAD">
      <w:pPr>
        <w:spacing w:after="120"/>
        <w:rPr>
          <w:rFonts w:cs="Arial"/>
          <w:b/>
          <w:sz w:val="24"/>
          <w:szCs w:val="24"/>
        </w:rPr>
      </w:pPr>
      <w:r w:rsidRPr="00FA308C">
        <w:rPr>
          <w:rFonts w:cs="Arial"/>
          <w:b/>
          <w:sz w:val="24"/>
          <w:szCs w:val="24"/>
        </w:rPr>
        <w:t>2.0.1</w:t>
      </w:r>
      <w:r w:rsidR="00BD33D4">
        <w:rPr>
          <w:rFonts w:cs="Arial"/>
          <w:b/>
          <w:sz w:val="24"/>
          <w:szCs w:val="24"/>
        </w:rPr>
        <w:t>.</w:t>
      </w:r>
      <w:r w:rsidRPr="00FA308C">
        <w:rPr>
          <w:rFonts w:cs="Arial"/>
          <w:b/>
          <w:sz w:val="24"/>
          <w:szCs w:val="24"/>
        </w:rPr>
        <w:t xml:space="preserve"> Plant Estatoah Unit 1</w:t>
      </w:r>
    </w:p>
    <w:p w14:paraId="3D6B0D22" w14:textId="1973CE31" w:rsidR="000E704B" w:rsidRDefault="000E704B" w:rsidP="00592DAD">
      <w:pPr>
        <w:pStyle w:val="BodyText"/>
        <w:rPr>
          <w:rFonts w:ascii="Arial" w:hAnsi="Arial" w:cs="Arial"/>
          <w:color w:val="000000" w:themeColor="text1"/>
        </w:rPr>
      </w:pPr>
      <w:r w:rsidRPr="00FA308C">
        <w:rPr>
          <w:rFonts w:ascii="Arial" w:hAnsi="Arial" w:cs="Arial"/>
        </w:rPr>
        <w:t xml:space="preserve">Customer Costs and Benefits for the Continued Operation of Plant Estatoah Unit 1 Compared to a </w:t>
      </w:r>
      <w:r w:rsidRPr="00FA308C">
        <w:rPr>
          <w:rFonts w:ascii="Arial" w:hAnsi="Arial" w:cs="Arial"/>
          <w:color w:val="000000" w:themeColor="text1"/>
        </w:rPr>
        <w:t xml:space="preserve">Replacement CT </w:t>
      </w:r>
    </w:p>
    <w:p w14:paraId="4EE3AD83" w14:textId="77777777" w:rsidR="000E704B" w:rsidRPr="00FA308C" w:rsidRDefault="000E704B" w:rsidP="00592DAD">
      <w:pPr>
        <w:pStyle w:val="BodyText"/>
        <w:rPr>
          <w:rFonts w:ascii="Arial" w:hAnsi="Arial" w:cs="Arial"/>
        </w:rPr>
      </w:pPr>
      <w:r w:rsidRPr="00FA308C">
        <w:rPr>
          <w:rFonts w:ascii="Arial" w:hAnsi="Arial" w:cs="Arial"/>
        </w:rPr>
        <w:t>Mid-year NPV (</w:t>
      </w:r>
      <w:r w:rsidRPr="00FA308C">
        <w:rPr>
          <w:rFonts w:ascii="Arial" w:hAnsi="Arial" w:cs="Arial"/>
          <w:color w:val="000000" w:themeColor="text1"/>
        </w:rPr>
        <w:t>2020-2048</w:t>
      </w:r>
      <w:r w:rsidRPr="00FA308C">
        <w:rPr>
          <w:rFonts w:ascii="Arial" w:hAnsi="Arial" w:cs="Arial"/>
        </w:rPr>
        <w:t>) in millions of dollars</w:t>
      </w:r>
    </w:p>
    <w:p w14:paraId="1CD7480B" w14:textId="768433A1" w:rsidR="000E704B" w:rsidRPr="00FA308C" w:rsidRDefault="000E704B" w:rsidP="00592DAD">
      <w:pPr>
        <w:rPr>
          <w:rFonts w:cs="Arial"/>
          <w:b/>
        </w:rPr>
      </w:pPr>
      <w:r w:rsidRPr="00FA308C">
        <w:rPr>
          <w:rFonts w:cs="Arial"/>
          <w:b/>
        </w:rPr>
        <w:t>Table 2.1</w:t>
      </w:r>
    </w:p>
    <w:tbl>
      <w:tblPr>
        <w:tblW w:w="7488" w:type="dxa"/>
        <w:jc w:val="center"/>
        <w:tblCellMar>
          <w:left w:w="0" w:type="dxa"/>
          <w:right w:w="0" w:type="dxa"/>
        </w:tblCellMar>
        <w:tblLook w:val="04A0" w:firstRow="1" w:lastRow="0" w:firstColumn="1" w:lastColumn="0" w:noHBand="0" w:noVBand="1"/>
      </w:tblPr>
      <w:tblGrid>
        <w:gridCol w:w="1908"/>
        <w:gridCol w:w="1710"/>
        <w:gridCol w:w="1800"/>
        <w:gridCol w:w="2070"/>
      </w:tblGrid>
      <w:tr w:rsidR="000E704B" w:rsidRPr="00592DAD" w14:paraId="744BCB24" w14:textId="77777777" w:rsidTr="00162514">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09F399FA" w14:textId="77777777" w:rsidR="000E704B" w:rsidRPr="00FA308C" w:rsidRDefault="000E704B" w:rsidP="00592DAD">
            <w:pPr>
              <w:spacing w:after="120"/>
              <w:jc w:val="center"/>
              <w:rPr>
                <w:rFonts w:cs="Arial"/>
                <w:b/>
                <w:bCs/>
                <w:i/>
                <w:iCs/>
                <w:color w:val="000000" w:themeColor="text1"/>
                <w:kern w:val="24"/>
              </w:rPr>
            </w:pPr>
            <w:r w:rsidRPr="00FA308C">
              <w:rPr>
                <w:rFonts w:cs="Arial"/>
                <w:b/>
                <w:bCs/>
                <w:i/>
                <w:iCs/>
                <w:color w:val="000000" w:themeColor="text1"/>
                <w:kern w:val="24"/>
              </w:rPr>
              <w:t xml:space="preserve">Mid-Year NPV 2019 $M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6166C656" w14:textId="77777777" w:rsidR="000E704B" w:rsidRPr="00FA308C" w:rsidRDefault="000E704B" w:rsidP="00592DAD">
            <w:pPr>
              <w:spacing w:after="120"/>
              <w:jc w:val="center"/>
              <w:rPr>
                <w:rFonts w:cs="Arial"/>
                <w:b/>
                <w:bCs/>
                <w:i/>
                <w:iCs/>
                <w:color w:val="000000" w:themeColor="text1"/>
                <w:kern w:val="24"/>
              </w:rPr>
            </w:pPr>
            <w:r w:rsidRPr="00FA308C">
              <w:rPr>
                <w:rFonts w:cs="Arial"/>
                <w:b/>
                <w:bCs/>
                <w:i/>
                <w:iCs/>
                <w:color w:val="000000" w:themeColor="text1"/>
                <w:kern w:val="24"/>
              </w:rPr>
              <w:t>$0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3ED3CC20" w14:textId="77777777" w:rsidR="000E704B" w:rsidRPr="00FA308C" w:rsidRDefault="000E704B" w:rsidP="00592DAD">
            <w:pPr>
              <w:spacing w:after="120"/>
              <w:jc w:val="center"/>
              <w:rPr>
                <w:rFonts w:cs="Arial"/>
                <w:b/>
                <w:bCs/>
                <w:i/>
                <w:iCs/>
                <w:color w:val="000000" w:themeColor="text1"/>
                <w:kern w:val="24"/>
              </w:rPr>
            </w:pPr>
            <w:r w:rsidRPr="00FA308C">
              <w:rPr>
                <w:rFonts w:cs="Arial"/>
                <w:b/>
                <w:bCs/>
                <w:i/>
                <w:iCs/>
                <w:color w:val="000000" w:themeColor="text1"/>
                <w:kern w:val="24"/>
              </w:rPr>
              <w:t>$10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5E4ABD44" w14:textId="77777777" w:rsidR="000E704B" w:rsidRPr="00FA308C" w:rsidRDefault="000E704B" w:rsidP="00592DAD">
            <w:pPr>
              <w:spacing w:after="120"/>
              <w:jc w:val="center"/>
              <w:rPr>
                <w:rFonts w:cs="Arial"/>
                <w:b/>
                <w:bCs/>
                <w:i/>
                <w:iCs/>
                <w:color w:val="000000" w:themeColor="text1"/>
                <w:kern w:val="24"/>
              </w:rPr>
            </w:pPr>
            <w:r w:rsidRPr="00FA308C">
              <w:rPr>
                <w:rFonts w:cs="Arial"/>
                <w:b/>
                <w:bCs/>
                <w:i/>
                <w:iCs/>
                <w:color w:val="000000" w:themeColor="text1"/>
                <w:kern w:val="24"/>
              </w:rPr>
              <w:t>$20 CO</w:t>
            </w:r>
            <w:r w:rsidRPr="00FA308C">
              <w:rPr>
                <w:rFonts w:cs="Arial"/>
                <w:b/>
                <w:bCs/>
                <w:i/>
                <w:iCs/>
                <w:color w:val="000000" w:themeColor="text1"/>
                <w:kern w:val="24"/>
                <w:vertAlign w:val="subscript"/>
              </w:rPr>
              <w:t>2</w:t>
            </w:r>
            <w:r w:rsidRPr="00FA308C">
              <w:rPr>
                <w:rFonts w:cs="Arial"/>
                <w:b/>
                <w:bCs/>
                <w:i/>
                <w:iCs/>
                <w:color w:val="000000" w:themeColor="text1"/>
                <w:kern w:val="24"/>
              </w:rPr>
              <w:t xml:space="preserve"> </w:t>
            </w:r>
          </w:p>
        </w:tc>
      </w:tr>
      <w:tr w:rsidR="000A2558" w:rsidRPr="00592DAD" w14:paraId="0BE5E46C" w14:textId="77777777" w:rsidTr="00DB18EC">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ABD246F" w14:textId="77777777" w:rsidR="000A2558" w:rsidRPr="00FA308C" w:rsidRDefault="000A2558" w:rsidP="000A2558">
            <w:pPr>
              <w:spacing w:before="240" w:after="120"/>
              <w:rPr>
                <w:rFonts w:cs="Arial"/>
                <w:b/>
                <w:bCs/>
                <w:i/>
                <w:iCs/>
                <w:color w:val="000000" w:themeColor="text1"/>
                <w:kern w:val="24"/>
              </w:rPr>
            </w:pPr>
            <w:r w:rsidRPr="00FA308C">
              <w:rPr>
                <w:rFonts w:cs="Arial"/>
                <w:b/>
                <w:bCs/>
                <w:i/>
                <w:iCs/>
                <w:color w:val="000000" w:themeColor="text1"/>
                <w:kern w:val="24"/>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652B6FA4" w14:textId="1B5A1D6E" w:rsidR="000A2558" w:rsidRPr="00FA308C" w:rsidRDefault="000A2558" w:rsidP="000A2558">
            <w:pPr>
              <w:spacing w:before="240" w:after="120"/>
              <w:jc w:val="center"/>
              <w:rPr>
                <w:rFonts w:cs="Arial"/>
                <w:b/>
                <w:bCs/>
                <w:i/>
                <w:iCs/>
                <w:color w:val="C0504D" w:themeColor="accent2"/>
                <w:kern w:val="24"/>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E66E50E" w14:textId="7056B5C7"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5C6E3B4D" w14:textId="133F728C"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r>
      <w:tr w:rsidR="000A2558" w:rsidRPr="00592DAD" w14:paraId="37332A74" w14:textId="77777777" w:rsidTr="00DB18EC">
        <w:trPr>
          <w:trHeight w:val="197"/>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0D78C8D9" w14:textId="77777777" w:rsidR="000A2558" w:rsidRPr="00FA308C" w:rsidRDefault="000A2558" w:rsidP="000A2558">
            <w:pPr>
              <w:spacing w:before="240" w:after="120"/>
              <w:rPr>
                <w:rFonts w:cs="Arial"/>
                <w:b/>
                <w:bCs/>
                <w:i/>
                <w:iCs/>
                <w:color w:val="000000" w:themeColor="text1"/>
                <w:kern w:val="24"/>
              </w:rPr>
            </w:pPr>
            <w:r w:rsidRPr="00FA308C">
              <w:rPr>
                <w:rFonts w:cs="Arial"/>
                <w:b/>
                <w:bCs/>
                <w:i/>
                <w:iCs/>
                <w:color w:val="000000" w:themeColor="text1"/>
                <w:kern w:val="24"/>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DBDD67D" w14:textId="7A8E711B" w:rsidR="000A2558" w:rsidRPr="00FA308C" w:rsidRDefault="000A2558" w:rsidP="000A2558">
            <w:pPr>
              <w:spacing w:before="240" w:after="120"/>
              <w:jc w:val="center"/>
              <w:rPr>
                <w:rFonts w:cs="Arial"/>
                <w:b/>
                <w:bCs/>
                <w:i/>
                <w:iCs/>
                <w:color w:val="C0504D" w:themeColor="accent2"/>
                <w:kern w:val="24"/>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6DA7951" w14:textId="29AC40E0"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66CCE4D" w14:textId="01B9D583"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r>
      <w:tr w:rsidR="000A2558" w:rsidRPr="00592DAD" w14:paraId="37B9A6BF" w14:textId="77777777" w:rsidTr="00DB18EC">
        <w:trPr>
          <w:trHeight w:val="170"/>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0F06CBF" w14:textId="77777777" w:rsidR="000A2558" w:rsidRPr="00FA308C" w:rsidRDefault="000A2558" w:rsidP="000A2558">
            <w:pPr>
              <w:spacing w:before="240" w:after="120"/>
              <w:rPr>
                <w:rFonts w:cs="Arial"/>
                <w:b/>
                <w:bCs/>
                <w:i/>
                <w:iCs/>
                <w:color w:val="C0504D" w:themeColor="accent2"/>
                <w:kern w:val="24"/>
              </w:rPr>
            </w:pPr>
            <w:r w:rsidRPr="00FA308C">
              <w:rPr>
                <w:rFonts w:cs="Arial"/>
                <w:b/>
                <w:bCs/>
                <w:i/>
                <w:iCs/>
                <w:color w:val="000000" w:themeColor="text1"/>
                <w:kern w:val="24"/>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288B599" w14:textId="38C0F0EE" w:rsidR="000A2558" w:rsidRPr="00FA308C" w:rsidRDefault="000A2558" w:rsidP="000A2558">
            <w:pPr>
              <w:spacing w:before="240" w:after="120"/>
              <w:jc w:val="center"/>
              <w:rPr>
                <w:rFonts w:cs="Arial"/>
                <w:b/>
                <w:bCs/>
                <w:i/>
                <w:iCs/>
                <w:color w:val="C0504D" w:themeColor="accent2"/>
                <w:kern w:val="24"/>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31ABA319" w14:textId="408C792E"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09CBADE" w14:textId="07EE933F" w:rsidR="000A2558" w:rsidRPr="00FA308C" w:rsidRDefault="000A2558" w:rsidP="000A2558">
            <w:pPr>
              <w:spacing w:before="240" w:after="120"/>
              <w:jc w:val="center"/>
              <w:rPr>
                <w:rFonts w:cs="Arial"/>
                <w:b/>
                <w:bCs/>
                <w:i/>
                <w:iCs/>
                <w:color w:val="C0504D" w:themeColor="accent2"/>
                <w:kern w:val="24"/>
              </w:rPr>
            </w:pPr>
            <w:r w:rsidRPr="009360BB">
              <w:rPr>
                <w:rFonts w:cs="Arial"/>
                <w:b/>
                <w:bCs/>
                <w:i/>
                <w:iCs/>
                <w:caps/>
                <w:color w:val="000000" w:themeColor="text1"/>
                <w:kern w:val="24"/>
                <w:szCs w:val="40"/>
              </w:rPr>
              <w:t xml:space="preserve">Redacted </w:t>
            </w:r>
          </w:p>
        </w:tc>
      </w:tr>
    </w:tbl>
    <w:p w14:paraId="3215127D" w14:textId="77777777" w:rsidR="00BD3853" w:rsidRDefault="00BD3853" w:rsidP="00BD3853">
      <w:pPr>
        <w:pStyle w:val="BodyText"/>
        <w:rPr>
          <w:rFonts w:ascii="Arial" w:hAnsi="Arial" w:cs="Arial"/>
        </w:rPr>
      </w:pPr>
    </w:p>
    <w:p w14:paraId="49FF125C" w14:textId="329C76FF" w:rsidR="00382B38" w:rsidRPr="00FA308C" w:rsidRDefault="00382B38" w:rsidP="00382B38">
      <w:pPr>
        <w:pStyle w:val="BodyText"/>
        <w:rPr>
          <w:rFonts w:ascii="Arial" w:hAnsi="Arial" w:cs="Arial"/>
        </w:rPr>
      </w:pPr>
      <w:r>
        <w:rPr>
          <w:rFonts w:ascii="Arial" w:hAnsi="Arial" w:cs="Arial"/>
        </w:rPr>
        <w:t xml:space="preserve">This valuation assumes Plant Estatoah Unit 1 is restored to operation by </w:t>
      </w:r>
      <w:r w:rsidR="000A2558" w:rsidRPr="000A2558">
        <w:rPr>
          <w:rFonts w:cs="Arial"/>
          <w:b/>
          <w:bCs/>
          <w:iCs/>
          <w:caps/>
          <w:color w:val="000000" w:themeColor="text1"/>
          <w:kern w:val="24"/>
          <w:sz w:val="12"/>
          <w:szCs w:val="40"/>
        </w:rPr>
        <w:t>Redacted</w:t>
      </w:r>
      <w:r w:rsidR="00A24F31" w:rsidRPr="00A24F31">
        <w:rPr>
          <w:rFonts w:ascii="Arial" w:hAnsi="Arial" w:cs="Arial"/>
        </w:rPr>
        <w:t xml:space="preserve"> </w:t>
      </w:r>
      <w:r w:rsidR="00A24F31">
        <w:rPr>
          <w:rFonts w:ascii="Arial" w:hAnsi="Arial" w:cs="Arial"/>
        </w:rPr>
        <w:t xml:space="preserve">at a cost of </w:t>
      </w:r>
      <w:r w:rsidR="000A2558" w:rsidRPr="000A2558">
        <w:rPr>
          <w:rFonts w:cs="Arial"/>
          <w:b/>
          <w:bCs/>
          <w:iCs/>
          <w:caps/>
          <w:color w:val="000000" w:themeColor="text1"/>
          <w:kern w:val="24"/>
          <w:sz w:val="12"/>
          <w:szCs w:val="40"/>
        </w:rPr>
        <w:t>Redacted</w:t>
      </w:r>
      <w:r w:rsidR="000A2558">
        <w:rPr>
          <w:rFonts w:ascii="Arial" w:hAnsi="Arial" w:cs="Arial"/>
        </w:rPr>
        <w:t xml:space="preserve"> </w:t>
      </w:r>
      <w:proofErr w:type="spellStart"/>
      <w:r w:rsidR="000A2558" w:rsidRPr="000A2558">
        <w:rPr>
          <w:rFonts w:cs="Arial"/>
          <w:b/>
          <w:bCs/>
          <w:iCs/>
          <w:caps/>
          <w:color w:val="000000" w:themeColor="text1"/>
          <w:kern w:val="24"/>
          <w:sz w:val="12"/>
          <w:szCs w:val="40"/>
        </w:rPr>
        <w:t>Redacted</w:t>
      </w:r>
      <w:proofErr w:type="spellEnd"/>
      <w:r w:rsidR="000A2558">
        <w:rPr>
          <w:rFonts w:ascii="Arial" w:hAnsi="Arial" w:cs="Arial"/>
        </w:rPr>
        <w:t xml:space="preserve"> </w:t>
      </w:r>
      <w:r>
        <w:rPr>
          <w:rFonts w:ascii="Arial" w:hAnsi="Arial" w:cs="Arial"/>
        </w:rPr>
        <w:t xml:space="preserve">and reaches </w:t>
      </w:r>
      <w:r w:rsidR="000A2558">
        <w:rPr>
          <w:rFonts w:ascii="Arial" w:hAnsi="Arial" w:cs="Arial"/>
        </w:rPr>
        <w:t>0</w:t>
      </w:r>
      <w:r>
        <w:rPr>
          <w:rFonts w:ascii="Arial" w:hAnsi="Arial" w:cs="Arial"/>
        </w:rPr>
        <w:t>.1</w:t>
      </w:r>
      <w:r w:rsidR="000A2558">
        <w:rPr>
          <w:rFonts w:ascii="Arial" w:hAnsi="Arial" w:cs="Arial"/>
        </w:rPr>
        <w:t xml:space="preserve"> </w:t>
      </w:r>
      <w:r>
        <w:rPr>
          <w:rFonts w:ascii="Arial" w:hAnsi="Arial" w:cs="Arial"/>
        </w:rPr>
        <w:t>MW max gate value.</w:t>
      </w:r>
    </w:p>
    <w:p w14:paraId="5573DF0F" w14:textId="77F552BB" w:rsidR="00BD3853" w:rsidRPr="00FA308C" w:rsidRDefault="00BD3853" w:rsidP="00BD3853">
      <w:pPr>
        <w:pStyle w:val="BodyText"/>
        <w:rPr>
          <w:rFonts w:ascii="Arial" w:hAnsi="Arial" w:cs="Arial"/>
        </w:rPr>
      </w:pPr>
    </w:p>
    <w:p w14:paraId="1EF26298" w14:textId="0D660890" w:rsidR="000E704B" w:rsidRPr="00FA308C" w:rsidRDefault="000E704B" w:rsidP="00BD3853">
      <w:pPr>
        <w:pStyle w:val="BodyText"/>
        <w:rPr>
          <w:rFonts w:ascii="Arial" w:hAnsi="Arial" w:cs="Arial"/>
          <w:b/>
        </w:rPr>
      </w:pPr>
    </w:p>
    <w:p w14:paraId="53BD26C0" w14:textId="25F3F766" w:rsidR="000E704B" w:rsidRPr="00FA308C" w:rsidRDefault="000E704B" w:rsidP="00592DAD">
      <w:pPr>
        <w:keepNext/>
        <w:keepLines/>
        <w:spacing w:after="120"/>
        <w:rPr>
          <w:rFonts w:cs="Arial"/>
          <w:b/>
          <w:sz w:val="24"/>
          <w:szCs w:val="24"/>
        </w:rPr>
      </w:pPr>
      <w:r w:rsidRPr="00FA308C">
        <w:rPr>
          <w:rFonts w:cs="Arial"/>
          <w:b/>
          <w:sz w:val="24"/>
          <w:szCs w:val="24"/>
        </w:rPr>
        <w:lastRenderedPageBreak/>
        <w:t>2.0.2</w:t>
      </w:r>
      <w:r w:rsidR="00BD33D4">
        <w:rPr>
          <w:rFonts w:cs="Arial"/>
          <w:b/>
          <w:sz w:val="24"/>
          <w:szCs w:val="24"/>
        </w:rPr>
        <w:t>.</w:t>
      </w:r>
      <w:r w:rsidRPr="00FA308C">
        <w:rPr>
          <w:rFonts w:cs="Arial"/>
          <w:b/>
          <w:sz w:val="24"/>
          <w:szCs w:val="24"/>
        </w:rPr>
        <w:t xml:space="preserve"> Plant Langdale Units 5-6</w:t>
      </w:r>
    </w:p>
    <w:p w14:paraId="1A84832C" w14:textId="7AF6F149" w:rsidR="000E704B" w:rsidRDefault="000E704B" w:rsidP="00592DAD">
      <w:pPr>
        <w:pStyle w:val="BodyText"/>
        <w:keepNext/>
        <w:keepLines/>
        <w:rPr>
          <w:rFonts w:ascii="Arial" w:hAnsi="Arial" w:cs="Arial"/>
          <w:color w:val="000000" w:themeColor="text1"/>
          <w:szCs w:val="24"/>
        </w:rPr>
      </w:pPr>
      <w:r w:rsidRPr="00FA308C">
        <w:rPr>
          <w:rFonts w:ascii="Arial" w:hAnsi="Arial" w:cs="Arial"/>
          <w:szCs w:val="24"/>
        </w:rPr>
        <w:t xml:space="preserve">Customer Costs and Benefits for the Continued Operation of Plant Langdale Units 5-6 Compared to a </w:t>
      </w:r>
      <w:r w:rsidRPr="00FA308C">
        <w:rPr>
          <w:rFonts w:ascii="Arial" w:hAnsi="Arial" w:cs="Arial"/>
          <w:color w:val="000000" w:themeColor="text1"/>
          <w:szCs w:val="24"/>
        </w:rPr>
        <w:t xml:space="preserve">Replacement CT </w:t>
      </w:r>
    </w:p>
    <w:p w14:paraId="68A8E648" w14:textId="77777777" w:rsidR="000E704B" w:rsidRPr="00FA308C" w:rsidRDefault="000E704B" w:rsidP="00592DAD">
      <w:pPr>
        <w:pStyle w:val="BodyText"/>
        <w:keepNext/>
        <w:keepLines/>
        <w:rPr>
          <w:rFonts w:ascii="Arial" w:hAnsi="Arial" w:cs="Arial"/>
          <w:szCs w:val="24"/>
        </w:rPr>
      </w:pPr>
      <w:r w:rsidRPr="00FA308C">
        <w:rPr>
          <w:rFonts w:ascii="Arial" w:hAnsi="Arial" w:cs="Arial"/>
          <w:szCs w:val="24"/>
        </w:rPr>
        <w:t>Mid-year NPV (</w:t>
      </w:r>
      <w:r w:rsidRPr="00FA308C">
        <w:rPr>
          <w:rFonts w:ascii="Arial" w:hAnsi="Arial" w:cs="Arial"/>
          <w:color w:val="000000" w:themeColor="text1"/>
          <w:szCs w:val="24"/>
        </w:rPr>
        <w:t>2020-2048</w:t>
      </w:r>
      <w:r w:rsidRPr="00FA308C">
        <w:rPr>
          <w:rFonts w:ascii="Arial" w:hAnsi="Arial" w:cs="Arial"/>
          <w:szCs w:val="24"/>
        </w:rPr>
        <w:t>) in millions of dollars</w:t>
      </w:r>
    </w:p>
    <w:p w14:paraId="329733F2" w14:textId="3E0B2CAB" w:rsidR="000E704B" w:rsidRPr="00FA308C" w:rsidRDefault="000E704B" w:rsidP="00592DAD">
      <w:pPr>
        <w:keepNext/>
        <w:keepLines/>
        <w:rPr>
          <w:rFonts w:cs="Arial"/>
          <w:b/>
          <w:szCs w:val="24"/>
        </w:rPr>
      </w:pPr>
      <w:r w:rsidRPr="00FA308C">
        <w:rPr>
          <w:rFonts w:cs="Arial"/>
          <w:b/>
          <w:szCs w:val="24"/>
        </w:rPr>
        <w:t>Table 2.2</w:t>
      </w:r>
    </w:p>
    <w:tbl>
      <w:tblPr>
        <w:tblW w:w="7488" w:type="dxa"/>
        <w:jc w:val="center"/>
        <w:tblCellMar>
          <w:left w:w="0" w:type="dxa"/>
          <w:right w:w="0" w:type="dxa"/>
        </w:tblCellMar>
        <w:tblLook w:val="04A0" w:firstRow="1" w:lastRow="0" w:firstColumn="1" w:lastColumn="0" w:noHBand="0" w:noVBand="1"/>
      </w:tblPr>
      <w:tblGrid>
        <w:gridCol w:w="1908"/>
        <w:gridCol w:w="1710"/>
        <w:gridCol w:w="1800"/>
        <w:gridCol w:w="2070"/>
      </w:tblGrid>
      <w:tr w:rsidR="000E704B" w:rsidRPr="00FA308C" w14:paraId="3F07B7B0" w14:textId="77777777" w:rsidTr="00162514">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6DB091F2" w14:textId="77777777" w:rsidR="000E704B" w:rsidRPr="00FA308C" w:rsidRDefault="000E704B" w:rsidP="00592DAD">
            <w:pPr>
              <w:keepNext/>
              <w:keepLines/>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2019 $M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29DBD23F" w14:textId="77777777" w:rsidR="000E704B" w:rsidRPr="00FA308C" w:rsidRDefault="000E704B" w:rsidP="00592DAD">
            <w:pPr>
              <w:keepNext/>
              <w:keepLines/>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711D92ED" w14:textId="77777777" w:rsidR="000E704B" w:rsidRPr="00FA308C" w:rsidRDefault="000E704B" w:rsidP="00592DAD">
            <w:pPr>
              <w:keepNext/>
              <w:keepLines/>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69A7859" w14:textId="77777777" w:rsidR="000E704B" w:rsidRPr="00FA308C" w:rsidRDefault="000E704B" w:rsidP="00592DAD">
            <w:pPr>
              <w:keepNext/>
              <w:keepLines/>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70972D53" w14:textId="77777777" w:rsidTr="00001E25">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261EAE1C" w14:textId="77777777" w:rsidR="000A2558" w:rsidRPr="00FA308C" w:rsidRDefault="000A2558" w:rsidP="000A2558">
            <w:pPr>
              <w:keepNext/>
              <w:keepLines/>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020A337B" w14:textId="3D4C060B" w:rsidR="000A2558" w:rsidRPr="00FA308C" w:rsidRDefault="000A2558" w:rsidP="000A2558">
            <w:pPr>
              <w:keepNext/>
              <w:keepLines/>
              <w:spacing w:before="240" w:after="120"/>
              <w:jc w:val="center"/>
              <w:rPr>
                <w:rFonts w:cs="Arial"/>
                <w:b/>
                <w:bCs/>
                <w:i/>
                <w:iCs/>
                <w:color w:val="C0504D" w:themeColor="accent2"/>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5C6597D9" w14:textId="52E52B58"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07F5971" w14:textId="2B8B2B8C"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78BE51B2" w14:textId="77777777" w:rsidTr="00001E25">
        <w:trPr>
          <w:trHeight w:val="197"/>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72B2AADB" w14:textId="77777777" w:rsidR="000A2558" w:rsidRPr="00FA308C" w:rsidRDefault="000A2558" w:rsidP="000A2558">
            <w:pPr>
              <w:keepNext/>
              <w:keepLines/>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B518E5E" w14:textId="7D248BC5" w:rsidR="000A2558" w:rsidRPr="00FA308C" w:rsidRDefault="000A2558" w:rsidP="000A2558">
            <w:pPr>
              <w:keepNext/>
              <w:keepLines/>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12CF7AE7" w14:textId="3888A3E3"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3CAA9FB9" w14:textId="4E4AFEAF"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0DBF458B" w14:textId="77777777" w:rsidTr="00001E25">
        <w:trPr>
          <w:trHeight w:val="170"/>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38512388" w14:textId="77777777" w:rsidR="000A2558" w:rsidRPr="00FA308C" w:rsidRDefault="000A2558" w:rsidP="000A2558">
            <w:pPr>
              <w:keepNext/>
              <w:keepLines/>
              <w:spacing w:before="240" w:after="120"/>
              <w:rPr>
                <w:rFonts w:cs="Arial"/>
                <w:b/>
                <w:bCs/>
                <w:i/>
                <w:iCs/>
                <w:color w:val="C0504D" w:themeColor="accent2"/>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1BCCFAA4" w14:textId="1D658ABC" w:rsidR="000A2558" w:rsidRPr="00FA308C" w:rsidRDefault="000A2558" w:rsidP="000A2558">
            <w:pPr>
              <w:keepNext/>
              <w:keepLines/>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1B81E14" w14:textId="0D51083E"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F669718" w14:textId="73BE7142" w:rsidR="000A2558" w:rsidRPr="00FA308C" w:rsidRDefault="000A2558" w:rsidP="000A2558">
            <w:pPr>
              <w:keepNext/>
              <w:keepLines/>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bl>
    <w:p w14:paraId="17847F7D" w14:textId="77777777" w:rsidR="00382B38" w:rsidRDefault="00382B38" w:rsidP="003B1B46">
      <w:pPr>
        <w:pStyle w:val="BodyText"/>
        <w:ind w:firstLine="720"/>
        <w:rPr>
          <w:rFonts w:ascii="Arial" w:hAnsi="Arial" w:cs="Arial"/>
          <w:b/>
          <w:sz w:val="28"/>
          <w:szCs w:val="24"/>
        </w:rPr>
      </w:pPr>
    </w:p>
    <w:p w14:paraId="511B8FDD" w14:textId="0C36F9F2" w:rsidR="00382B38" w:rsidRPr="00FA308C" w:rsidRDefault="00382B38" w:rsidP="00382B38">
      <w:pPr>
        <w:pStyle w:val="BodyText"/>
        <w:rPr>
          <w:rFonts w:ascii="Arial" w:hAnsi="Arial" w:cs="Arial"/>
        </w:rPr>
      </w:pPr>
      <w:bookmarkStart w:id="13" w:name="_Hlk534913454"/>
      <w:r>
        <w:rPr>
          <w:rFonts w:ascii="Arial" w:hAnsi="Arial" w:cs="Arial"/>
        </w:rPr>
        <w:t xml:space="preserve">This valuation assumes Plant Langdale Units 5 and 6 are restored to operation by </w:t>
      </w:r>
      <w:r w:rsidR="000A2558" w:rsidRPr="000A2558">
        <w:rPr>
          <w:rFonts w:cs="Arial"/>
          <w:b/>
          <w:bCs/>
          <w:iCs/>
          <w:caps/>
          <w:color w:val="000000" w:themeColor="text1"/>
          <w:kern w:val="24"/>
          <w:sz w:val="12"/>
          <w:szCs w:val="40"/>
        </w:rPr>
        <w:t>Redacted</w:t>
      </w:r>
      <w:r w:rsidR="000A2558">
        <w:rPr>
          <w:rFonts w:ascii="Arial" w:hAnsi="Arial" w:cs="Arial"/>
        </w:rPr>
        <w:t xml:space="preserve"> </w:t>
      </w:r>
      <w:r w:rsidR="00105697">
        <w:rPr>
          <w:rFonts w:ascii="Arial" w:hAnsi="Arial" w:cs="Arial"/>
        </w:rPr>
        <w:t xml:space="preserve">at a cost of </w:t>
      </w:r>
      <w:r w:rsidR="000A2558" w:rsidRPr="000A2558">
        <w:rPr>
          <w:rFonts w:cs="Arial"/>
          <w:b/>
          <w:bCs/>
          <w:iCs/>
          <w:caps/>
          <w:color w:val="000000" w:themeColor="text1"/>
          <w:kern w:val="24"/>
          <w:szCs w:val="40"/>
        </w:rPr>
        <w:t>Redacted</w:t>
      </w:r>
      <w:r w:rsidR="000A2558" w:rsidRPr="000A2558">
        <w:rPr>
          <w:rFonts w:ascii="Arial" w:hAnsi="Arial" w:cs="Arial"/>
        </w:rPr>
        <w:t xml:space="preserve"> </w:t>
      </w:r>
      <w:r w:rsidR="00614B2E">
        <w:rPr>
          <w:rFonts w:ascii="Arial" w:hAnsi="Arial" w:cs="Arial"/>
        </w:rPr>
        <w:t>and reach</w:t>
      </w:r>
      <w:r>
        <w:rPr>
          <w:rFonts w:ascii="Arial" w:hAnsi="Arial" w:cs="Arial"/>
        </w:rPr>
        <w:t xml:space="preserve"> </w:t>
      </w:r>
      <w:r w:rsidR="000A2558">
        <w:rPr>
          <w:rFonts w:ascii="Arial" w:hAnsi="Arial" w:cs="Arial"/>
        </w:rPr>
        <w:t>0</w:t>
      </w:r>
      <w:r>
        <w:rPr>
          <w:rFonts w:ascii="Arial" w:hAnsi="Arial" w:cs="Arial"/>
        </w:rPr>
        <w:t>.2</w:t>
      </w:r>
      <w:r w:rsidR="000A2558">
        <w:rPr>
          <w:rFonts w:ascii="Arial" w:hAnsi="Arial" w:cs="Arial"/>
        </w:rPr>
        <w:t xml:space="preserve"> </w:t>
      </w:r>
      <w:r>
        <w:rPr>
          <w:rFonts w:ascii="Arial" w:hAnsi="Arial" w:cs="Arial"/>
        </w:rPr>
        <w:t>MW max gate value.</w:t>
      </w:r>
    </w:p>
    <w:bookmarkEnd w:id="13"/>
    <w:p w14:paraId="404B177F" w14:textId="40F52475" w:rsidR="00127771" w:rsidRPr="00FA308C" w:rsidRDefault="00127771" w:rsidP="003B1B46">
      <w:pPr>
        <w:pStyle w:val="BodyText"/>
        <w:ind w:firstLine="720"/>
        <w:rPr>
          <w:rFonts w:ascii="Arial" w:hAnsi="Arial" w:cs="Arial"/>
          <w:b/>
          <w:sz w:val="28"/>
          <w:szCs w:val="24"/>
        </w:rPr>
      </w:pPr>
      <w:r w:rsidRPr="00FA308C">
        <w:rPr>
          <w:rFonts w:ascii="Arial" w:hAnsi="Arial" w:cs="Arial"/>
          <w:b/>
          <w:sz w:val="28"/>
          <w:szCs w:val="24"/>
        </w:rPr>
        <w:br w:type="page"/>
      </w:r>
    </w:p>
    <w:p w14:paraId="57099C45" w14:textId="1B66CEB0" w:rsidR="000E704B" w:rsidRPr="00FA308C" w:rsidRDefault="000E704B" w:rsidP="00592DAD">
      <w:pPr>
        <w:spacing w:after="120"/>
        <w:rPr>
          <w:rFonts w:cs="Arial"/>
          <w:b/>
          <w:sz w:val="24"/>
          <w:szCs w:val="24"/>
        </w:rPr>
      </w:pPr>
      <w:r w:rsidRPr="00FA308C">
        <w:rPr>
          <w:rFonts w:cs="Arial"/>
          <w:b/>
          <w:sz w:val="24"/>
          <w:szCs w:val="24"/>
        </w:rPr>
        <w:lastRenderedPageBreak/>
        <w:t>2.0.3</w:t>
      </w:r>
      <w:r w:rsidR="00BD33D4">
        <w:rPr>
          <w:rFonts w:cs="Arial"/>
          <w:b/>
          <w:sz w:val="24"/>
          <w:szCs w:val="24"/>
        </w:rPr>
        <w:t>.</w:t>
      </w:r>
      <w:r w:rsidRPr="00FA308C">
        <w:rPr>
          <w:rFonts w:cs="Arial"/>
          <w:b/>
          <w:sz w:val="24"/>
          <w:szCs w:val="24"/>
        </w:rPr>
        <w:t xml:space="preserve"> Plant Riverview Units 1-2</w:t>
      </w:r>
    </w:p>
    <w:p w14:paraId="216BCBDB" w14:textId="77777777" w:rsidR="00382B38" w:rsidRDefault="000E704B" w:rsidP="00592DAD">
      <w:pPr>
        <w:pStyle w:val="BodyText"/>
        <w:rPr>
          <w:rFonts w:ascii="Arial" w:hAnsi="Arial" w:cs="Arial"/>
          <w:color w:val="000000" w:themeColor="text1"/>
          <w:szCs w:val="24"/>
        </w:rPr>
      </w:pPr>
      <w:r w:rsidRPr="00FA308C">
        <w:rPr>
          <w:rFonts w:ascii="Arial" w:hAnsi="Arial" w:cs="Arial"/>
          <w:szCs w:val="24"/>
        </w:rPr>
        <w:t xml:space="preserve">Customer Costs and Benefits for the Continued Operation of Plant Riverview Units 1-2 Compared to a </w:t>
      </w:r>
      <w:r w:rsidRPr="00FA308C">
        <w:rPr>
          <w:rFonts w:ascii="Arial" w:hAnsi="Arial" w:cs="Arial"/>
          <w:color w:val="000000" w:themeColor="text1"/>
          <w:szCs w:val="24"/>
        </w:rPr>
        <w:t>Replacement CT</w:t>
      </w:r>
    </w:p>
    <w:p w14:paraId="38B26817" w14:textId="77777777" w:rsidR="000E704B" w:rsidRPr="00FA308C" w:rsidRDefault="000E704B" w:rsidP="00592DAD">
      <w:pPr>
        <w:pStyle w:val="BodyText"/>
        <w:rPr>
          <w:rFonts w:ascii="Arial" w:hAnsi="Arial" w:cs="Arial"/>
          <w:szCs w:val="24"/>
        </w:rPr>
      </w:pPr>
      <w:r w:rsidRPr="00FA308C">
        <w:rPr>
          <w:rFonts w:ascii="Arial" w:hAnsi="Arial" w:cs="Arial"/>
          <w:szCs w:val="24"/>
        </w:rPr>
        <w:t>Mid-year NPV (</w:t>
      </w:r>
      <w:r w:rsidRPr="00FA308C">
        <w:rPr>
          <w:rFonts w:ascii="Arial" w:hAnsi="Arial" w:cs="Arial"/>
          <w:color w:val="000000" w:themeColor="text1"/>
          <w:szCs w:val="24"/>
        </w:rPr>
        <w:t>2020-2048</w:t>
      </w:r>
      <w:r w:rsidRPr="00FA308C">
        <w:rPr>
          <w:rFonts w:ascii="Arial" w:hAnsi="Arial" w:cs="Arial"/>
          <w:szCs w:val="24"/>
        </w:rPr>
        <w:t>) in millions of dollars</w:t>
      </w:r>
    </w:p>
    <w:p w14:paraId="2F50012A" w14:textId="77777777" w:rsidR="000E704B" w:rsidRPr="00FA308C" w:rsidRDefault="000E704B" w:rsidP="00592DAD">
      <w:pPr>
        <w:rPr>
          <w:rFonts w:cs="Arial"/>
          <w:b/>
          <w:szCs w:val="24"/>
        </w:rPr>
      </w:pPr>
      <w:r w:rsidRPr="00FA308C">
        <w:rPr>
          <w:rFonts w:cs="Arial"/>
          <w:b/>
          <w:szCs w:val="24"/>
        </w:rPr>
        <w:t>Table 2.2</w:t>
      </w:r>
    </w:p>
    <w:tbl>
      <w:tblPr>
        <w:tblW w:w="7488" w:type="dxa"/>
        <w:jc w:val="center"/>
        <w:tblCellMar>
          <w:left w:w="0" w:type="dxa"/>
          <w:right w:w="0" w:type="dxa"/>
        </w:tblCellMar>
        <w:tblLook w:val="04A0" w:firstRow="1" w:lastRow="0" w:firstColumn="1" w:lastColumn="0" w:noHBand="0" w:noVBand="1"/>
      </w:tblPr>
      <w:tblGrid>
        <w:gridCol w:w="1908"/>
        <w:gridCol w:w="1710"/>
        <w:gridCol w:w="1800"/>
        <w:gridCol w:w="2070"/>
      </w:tblGrid>
      <w:tr w:rsidR="000E704B" w:rsidRPr="00FA308C" w14:paraId="0FD8FD10" w14:textId="77777777" w:rsidTr="00162514">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2B4974B0" w14:textId="77777777" w:rsidR="000E704B" w:rsidRPr="00FA308C" w:rsidRDefault="000E704B"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 xml:space="preserve">Mid-Year NPV 2019 $M </w:t>
            </w:r>
          </w:p>
        </w:tc>
        <w:tc>
          <w:tcPr>
            <w:tcW w:w="171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3C0E41E7" w14:textId="77777777" w:rsidR="000E704B" w:rsidRPr="00FA308C" w:rsidRDefault="000E704B"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0A031D14" w14:textId="77777777" w:rsidR="000E704B" w:rsidRPr="00FA308C" w:rsidRDefault="000E704B"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$10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c>
          <w:tcPr>
            <w:tcW w:w="2070"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347F39CB" w14:textId="77777777" w:rsidR="000E704B" w:rsidRPr="00FA308C" w:rsidRDefault="000E704B" w:rsidP="00592DAD">
            <w:pPr>
              <w:spacing w:after="120"/>
              <w:jc w:val="center"/>
              <w:rPr>
                <w:rFonts w:cs="Arial"/>
                <w:b/>
                <w:bCs/>
                <w:i/>
                <w:iCs/>
                <w:color w:val="000000" w:themeColor="text1"/>
                <w:kern w:val="24"/>
                <w:szCs w:val="40"/>
              </w:rPr>
            </w:pPr>
            <w:r w:rsidRPr="00FA308C">
              <w:rPr>
                <w:rFonts w:cs="Arial"/>
                <w:b/>
                <w:bCs/>
                <w:i/>
                <w:iCs/>
                <w:color w:val="000000" w:themeColor="text1"/>
                <w:kern w:val="24"/>
                <w:szCs w:val="40"/>
              </w:rPr>
              <w:t>$20 CO</w:t>
            </w:r>
            <w:r w:rsidRPr="00FA308C">
              <w:rPr>
                <w:rFonts w:cs="Arial"/>
                <w:b/>
                <w:bCs/>
                <w:i/>
                <w:iCs/>
                <w:color w:val="000000" w:themeColor="text1"/>
                <w:kern w:val="24"/>
                <w:szCs w:val="40"/>
                <w:vertAlign w:val="subscript"/>
              </w:rPr>
              <w:t>2</w:t>
            </w:r>
            <w:r w:rsidRPr="00FA308C">
              <w:rPr>
                <w:rFonts w:cs="Arial"/>
                <w:b/>
                <w:bCs/>
                <w:i/>
                <w:iCs/>
                <w:color w:val="000000" w:themeColor="text1"/>
                <w:kern w:val="24"/>
                <w:szCs w:val="40"/>
              </w:rPr>
              <w:t xml:space="preserve"> </w:t>
            </w:r>
          </w:p>
        </w:tc>
      </w:tr>
      <w:tr w:rsidR="000A2558" w:rsidRPr="00FA308C" w14:paraId="1E64B9C9" w14:textId="77777777" w:rsidTr="007B0538">
        <w:trPr>
          <w:trHeight w:val="233"/>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270F9E6"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High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14:paraId="132FB10B" w14:textId="1D419AFE" w:rsidR="000A2558" w:rsidRPr="00FA308C" w:rsidRDefault="000A2558" w:rsidP="000A2558">
            <w:pPr>
              <w:spacing w:before="240" w:after="120"/>
              <w:jc w:val="center"/>
              <w:rPr>
                <w:rFonts w:cs="Arial"/>
                <w:b/>
                <w:bCs/>
                <w:i/>
                <w:iCs/>
                <w:color w:val="C0504D" w:themeColor="accent2"/>
                <w:kern w:val="24"/>
                <w:szCs w:val="40"/>
              </w:rPr>
            </w:pPr>
            <w:r w:rsidRPr="000A2558">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27A7A739" w14:textId="54EDFF55"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5C70055" w14:textId="65B28FAF"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632CED90" w14:textId="77777777" w:rsidTr="007B0538">
        <w:trPr>
          <w:trHeight w:val="197"/>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193825FE" w14:textId="77777777" w:rsidR="000A2558" w:rsidRPr="00FA308C" w:rsidRDefault="000A2558" w:rsidP="000A2558">
            <w:pPr>
              <w:spacing w:before="240" w:after="120"/>
              <w:rPr>
                <w:rFonts w:cs="Arial"/>
                <w:b/>
                <w:bCs/>
                <w:i/>
                <w:iCs/>
                <w:color w:val="000000" w:themeColor="text1"/>
                <w:kern w:val="24"/>
                <w:szCs w:val="40"/>
              </w:rPr>
            </w:pPr>
            <w:r w:rsidRPr="00FA308C">
              <w:rPr>
                <w:rFonts w:cs="Arial"/>
                <w:b/>
                <w:bCs/>
                <w:i/>
                <w:iCs/>
                <w:color w:val="000000" w:themeColor="text1"/>
                <w:kern w:val="24"/>
                <w:szCs w:val="40"/>
              </w:rPr>
              <w:t xml:space="preserve">Moderate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1A16502D" w14:textId="27A2EB9B"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50E8C16" w14:textId="0B95613E"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7A211B9A" w14:textId="750907A7"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r w:rsidR="000A2558" w:rsidRPr="00FA308C" w14:paraId="0B5909DE" w14:textId="77777777" w:rsidTr="007B0538">
        <w:trPr>
          <w:trHeight w:val="170"/>
          <w:jc w:val="center"/>
        </w:trPr>
        <w:tc>
          <w:tcPr>
            <w:tcW w:w="1908" w:type="dxa"/>
            <w:tcBorders>
              <w:top w:val="single" w:sz="8" w:space="0" w:color="000000"/>
              <w:left w:val="single" w:sz="8" w:space="0" w:color="000000"/>
              <w:bottom w:val="single" w:sz="8" w:space="0" w:color="000000"/>
              <w:right w:val="single" w:sz="8" w:space="0" w:color="000000"/>
            </w:tcBorders>
            <w:shd w:val="clear" w:color="auto" w:fill="CCCCCC"/>
            <w:tcMar>
              <w:top w:w="17" w:type="dxa"/>
              <w:left w:w="108" w:type="dxa"/>
              <w:bottom w:w="0" w:type="dxa"/>
              <w:right w:w="108" w:type="dxa"/>
            </w:tcMar>
            <w:vAlign w:val="center"/>
            <w:hideMark/>
          </w:tcPr>
          <w:p w14:paraId="4DA288A6" w14:textId="77777777" w:rsidR="000A2558" w:rsidRPr="00FA308C" w:rsidRDefault="000A2558" w:rsidP="000A2558">
            <w:pPr>
              <w:spacing w:before="240" w:after="120"/>
              <w:rPr>
                <w:rFonts w:cs="Arial"/>
                <w:b/>
                <w:bCs/>
                <w:i/>
                <w:iCs/>
                <w:color w:val="C0504D" w:themeColor="accent2"/>
                <w:kern w:val="24"/>
                <w:szCs w:val="40"/>
              </w:rPr>
            </w:pPr>
            <w:r w:rsidRPr="00FA308C">
              <w:rPr>
                <w:rFonts w:cs="Arial"/>
                <w:b/>
                <w:bCs/>
                <w:i/>
                <w:iCs/>
                <w:color w:val="000000" w:themeColor="text1"/>
                <w:kern w:val="24"/>
                <w:szCs w:val="40"/>
              </w:rPr>
              <w:t xml:space="preserve">Low Fuel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6F613240" w14:textId="62ED77B9" w:rsidR="000A2558" w:rsidRPr="00FA308C" w:rsidRDefault="000A2558" w:rsidP="000A2558">
            <w:pPr>
              <w:spacing w:before="240" w:after="120"/>
              <w:jc w:val="center"/>
              <w:rPr>
                <w:rFonts w:cs="Arial"/>
                <w:b/>
                <w:bCs/>
                <w:i/>
                <w:iCs/>
                <w:color w:val="C0504D" w:themeColor="accent2"/>
                <w:kern w:val="24"/>
                <w:szCs w:val="40"/>
              </w:rPr>
            </w:pPr>
            <w:r w:rsidRPr="005025DC">
              <w:rPr>
                <w:rFonts w:cs="Arial"/>
                <w:b/>
                <w:bCs/>
                <w:i/>
                <w:iCs/>
                <w:caps/>
                <w:color w:val="000000" w:themeColor="text1"/>
                <w:kern w:val="24"/>
                <w:szCs w:val="40"/>
              </w:rPr>
              <w:t xml:space="preserve">Redacted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7ED1BB4E" w14:textId="495DC0D1"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hideMark/>
          </w:tcPr>
          <w:p w14:paraId="4F0B9B7E" w14:textId="1C88B222" w:rsidR="000A2558" w:rsidRPr="00FA308C" w:rsidRDefault="000A2558" w:rsidP="000A2558">
            <w:pPr>
              <w:spacing w:before="240" w:after="120"/>
              <w:jc w:val="center"/>
              <w:rPr>
                <w:rFonts w:cs="Arial"/>
                <w:b/>
                <w:bCs/>
                <w:i/>
                <w:iCs/>
                <w:color w:val="C0504D" w:themeColor="accent2"/>
                <w:kern w:val="24"/>
                <w:szCs w:val="40"/>
              </w:rPr>
            </w:pPr>
            <w:r w:rsidRPr="009360BB">
              <w:rPr>
                <w:rFonts w:cs="Arial"/>
                <w:b/>
                <w:bCs/>
                <w:i/>
                <w:iCs/>
                <w:caps/>
                <w:color w:val="000000" w:themeColor="text1"/>
                <w:kern w:val="24"/>
                <w:szCs w:val="40"/>
              </w:rPr>
              <w:t xml:space="preserve">Redacted </w:t>
            </w:r>
          </w:p>
        </w:tc>
      </w:tr>
    </w:tbl>
    <w:p w14:paraId="77E2E8CB" w14:textId="051E840F" w:rsidR="000E704B" w:rsidRDefault="000E704B" w:rsidP="006B62E3">
      <w:pPr>
        <w:pStyle w:val="BodyText"/>
        <w:ind w:firstLine="720"/>
        <w:rPr>
          <w:rFonts w:ascii="Arial" w:hAnsi="Arial" w:cs="Arial"/>
          <w:b/>
          <w:sz w:val="28"/>
          <w:szCs w:val="24"/>
        </w:rPr>
      </w:pPr>
    </w:p>
    <w:p w14:paraId="3272070F" w14:textId="7DBCD28E" w:rsidR="00382B38" w:rsidRPr="00FA308C" w:rsidRDefault="00382B38" w:rsidP="00382B38">
      <w:pPr>
        <w:pStyle w:val="BodyText"/>
        <w:rPr>
          <w:rFonts w:ascii="Arial" w:hAnsi="Arial" w:cs="Arial"/>
        </w:rPr>
      </w:pPr>
      <w:bookmarkStart w:id="14" w:name="_Hlk534913479"/>
      <w:r>
        <w:rPr>
          <w:rFonts w:ascii="Arial" w:hAnsi="Arial" w:cs="Arial"/>
        </w:rPr>
        <w:t xml:space="preserve">This valuation assumes Plant Riverview Units 1 and 2 are restored to operation by </w:t>
      </w:r>
      <w:r w:rsidR="000A2558" w:rsidRPr="000A2558">
        <w:rPr>
          <w:rFonts w:cs="Arial"/>
          <w:b/>
          <w:bCs/>
          <w:iCs/>
          <w:caps/>
          <w:color w:val="000000" w:themeColor="text1"/>
          <w:kern w:val="24"/>
          <w:sz w:val="12"/>
          <w:szCs w:val="40"/>
        </w:rPr>
        <w:t>Redacted</w:t>
      </w:r>
      <w:r w:rsidR="000A2558">
        <w:rPr>
          <w:rFonts w:ascii="Arial" w:hAnsi="Arial" w:cs="Arial"/>
        </w:rPr>
        <w:t xml:space="preserve"> </w:t>
      </w:r>
      <w:r w:rsidR="00E66868">
        <w:rPr>
          <w:rFonts w:ascii="Arial" w:hAnsi="Arial" w:cs="Arial"/>
        </w:rPr>
        <w:t xml:space="preserve">at a cost of </w:t>
      </w:r>
      <w:r w:rsidR="000A2558" w:rsidRPr="000A2558">
        <w:rPr>
          <w:rFonts w:cs="Arial"/>
          <w:b/>
          <w:bCs/>
          <w:iCs/>
          <w:caps/>
          <w:color w:val="000000" w:themeColor="text1"/>
          <w:kern w:val="24"/>
          <w:szCs w:val="40"/>
        </w:rPr>
        <w:t>Redacted</w:t>
      </w:r>
      <w:r w:rsidR="000A2558" w:rsidRPr="000A2558">
        <w:rPr>
          <w:rFonts w:ascii="Arial" w:hAnsi="Arial" w:cs="Arial"/>
        </w:rPr>
        <w:t xml:space="preserve"> </w:t>
      </w:r>
      <w:r>
        <w:rPr>
          <w:rFonts w:ascii="Arial" w:hAnsi="Arial" w:cs="Arial"/>
        </w:rPr>
        <w:t xml:space="preserve">and reach </w:t>
      </w:r>
      <w:r w:rsidR="000A2558">
        <w:rPr>
          <w:rFonts w:ascii="Arial" w:hAnsi="Arial" w:cs="Arial"/>
        </w:rPr>
        <w:t>0</w:t>
      </w:r>
      <w:r>
        <w:rPr>
          <w:rFonts w:ascii="Arial" w:hAnsi="Arial" w:cs="Arial"/>
        </w:rPr>
        <w:t>.1</w:t>
      </w:r>
      <w:r w:rsidR="000A2558">
        <w:rPr>
          <w:rFonts w:ascii="Arial" w:hAnsi="Arial" w:cs="Arial"/>
        </w:rPr>
        <w:t xml:space="preserve"> </w:t>
      </w:r>
      <w:r>
        <w:rPr>
          <w:rFonts w:ascii="Arial" w:hAnsi="Arial" w:cs="Arial"/>
        </w:rPr>
        <w:t>MW max gate value.</w:t>
      </w:r>
    </w:p>
    <w:bookmarkEnd w:id="14"/>
    <w:p w14:paraId="7EBCF78E" w14:textId="77777777" w:rsidR="00382B38" w:rsidRPr="00FA308C" w:rsidRDefault="00382B38" w:rsidP="006B62E3">
      <w:pPr>
        <w:pStyle w:val="BodyText"/>
        <w:ind w:firstLine="720"/>
        <w:rPr>
          <w:rFonts w:ascii="Arial" w:hAnsi="Arial" w:cs="Arial"/>
          <w:b/>
          <w:sz w:val="28"/>
          <w:szCs w:val="24"/>
        </w:rPr>
      </w:pPr>
    </w:p>
    <w:p w14:paraId="404B1780" w14:textId="77777777" w:rsidR="00D66217" w:rsidRPr="00FA308C" w:rsidRDefault="00D66217" w:rsidP="00592DAD">
      <w:pPr>
        <w:pStyle w:val="BodyText"/>
        <w:rPr>
          <w:rFonts w:ascii="Arial" w:hAnsi="Arial" w:cs="Arial"/>
          <w:b/>
          <w:sz w:val="28"/>
          <w:szCs w:val="24"/>
        </w:rPr>
        <w:sectPr w:rsidR="00D66217" w:rsidRPr="00FA308C" w:rsidSect="0047178E">
          <w:headerReference w:type="default" r:id="rId8"/>
          <w:footerReference w:type="default" r:id="rId9"/>
          <w:pgSz w:w="12240" w:h="15840"/>
          <w:pgMar w:top="1440" w:right="1440" w:bottom="1440" w:left="1440" w:header="720" w:footer="720" w:gutter="0"/>
          <w:cols w:space="720"/>
          <w:docGrid w:linePitch="360"/>
        </w:sectPr>
      </w:pPr>
    </w:p>
    <w:p w14:paraId="4EC7179C" w14:textId="4EB3C535" w:rsidR="00DC309E" w:rsidRPr="003B1B46" w:rsidRDefault="00C500CD" w:rsidP="009D1EAD">
      <w:pPr>
        <w:pStyle w:val="BodyText"/>
        <w:jc w:val="left"/>
        <w:rPr>
          <w:highlight w:val="lightGray"/>
        </w:rPr>
      </w:pPr>
      <w:r w:rsidRPr="009D1EAD">
        <w:rPr>
          <w:rFonts w:ascii="Arial" w:hAnsi="Arial" w:cs="Arial"/>
          <w:b/>
          <w:sz w:val="24"/>
          <w:szCs w:val="24"/>
        </w:rPr>
        <w:lastRenderedPageBreak/>
        <w:t xml:space="preserve">Appendix A: Environmental Controls </w:t>
      </w:r>
      <w:r w:rsidRPr="009D1EAD">
        <w:rPr>
          <w:rFonts w:ascii="Arial" w:hAnsi="Arial" w:cs="Arial"/>
          <w:b/>
          <w:sz w:val="24"/>
          <w:szCs w:val="24"/>
        </w:rPr>
        <w:br/>
        <w:t>Table A.1</w:t>
      </w:r>
    </w:p>
    <w:tbl>
      <w:tblPr>
        <w:tblW w:w="12969" w:type="dxa"/>
        <w:tblLook w:val="04A0" w:firstRow="1" w:lastRow="0" w:firstColumn="1" w:lastColumn="0" w:noHBand="0" w:noVBand="1"/>
      </w:tblPr>
      <w:tblGrid>
        <w:gridCol w:w="5012"/>
        <w:gridCol w:w="2315"/>
        <w:gridCol w:w="2810"/>
        <w:gridCol w:w="2832"/>
      </w:tblGrid>
      <w:tr w:rsidR="00DC309E" w:rsidRPr="009D1EAD" w14:paraId="568DBBA2" w14:textId="77777777" w:rsidTr="00663CCB">
        <w:trPr>
          <w:trHeight w:val="474"/>
        </w:trPr>
        <w:tc>
          <w:tcPr>
            <w:tcW w:w="12969" w:type="dxa"/>
            <w:gridSpan w:val="4"/>
            <w:tcBorders>
              <w:top w:val="nil"/>
              <w:left w:val="nil"/>
              <w:bottom w:val="nil"/>
              <w:right w:val="nil"/>
            </w:tcBorders>
            <w:shd w:val="clear" w:color="auto" w:fill="auto"/>
            <w:noWrap/>
            <w:vAlign w:val="bottom"/>
            <w:hideMark/>
          </w:tcPr>
          <w:p w14:paraId="46E1913D" w14:textId="6D2CA1FE" w:rsidR="00DC309E" w:rsidRPr="009D1EAD" w:rsidRDefault="00DC309E" w:rsidP="00592DAD">
            <w:pPr>
              <w:spacing w:after="0"/>
              <w:jc w:val="center"/>
              <w:rPr>
                <w:rFonts w:eastAsia="Times New Roman" w:cs="Arial"/>
                <w:b/>
                <w:color w:val="000000"/>
                <w:sz w:val="24"/>
                <w:szCs w:val="24"/>
              </w:rPr>
            </w:pPr>
            <w:r w:rsidRPr="009D1EAD">
              <w:rPr>
                <w:rFonts w:eastAsia="Times New Roman" w:cs="Arial"/>
                <w:b/>
                <w:color w:val="000000"/>
                <w:sz w:val="24"/>
                <w:szCs w:val="24"/>
              </w:rPr>
              <w:t>Project Totals for Environmental Controls by Category (in Millions of Dollars)</w:t>
            </w:r>
          </w:p>
        </w:tc>
      </w:tr>
      <w:tr w:rsidR="00DC309E" w:rsidRPr="00592DAD" w14:paraId="01B71F9E" w14:textId="77777777" w:rsidTr="000A2558">
        <w:trPr>
          <w:trHeight w:val="474"/>
        </w:trPr>
        <w:tc>
          <w:tcPr>
            <w:tcW w:w="5012" w:type="dxa"/>
            <w:tcBorders>
              <w:top w:val="nil"/>
              <w:left w:val="nil"/>
              <w:bottom w:val="nil"/>
              <w:right w:val="nil"/>
            </w:tcBorders>
            <w:shd w:val="clear" w:color="auto" w:fill="auto"/>
            <w:noWrap/>
            <w:vAlign w:val="center"/>
            <w:hideMark/>
          </w:tcPr>
          <w:p w14:paraId="166413F7" w14:textId="77777777" w:rsidR="00DC309E" w:rsidRPr="009D1EAD" w:rsidRDefault="00DC309E" w:rsidP="000A2558">
            <w:pPr>
              <w:spacing w:after="0" w:line="240" w:lineRule="auto"/>
              <w:jc w:val="center"/>
              <w:rPr>
                <w:rFonts w:eastAsia="Times New Roman" w:cs="Arial"/>
                <w:color w:val="000000"/>
              </w:rPr>
            </w:pPr>
          </w:p>
        </w:tc>
        <w:tc>
          <w:tcPr>
            <w:tcW w:w="7957" w:type="dxa"/>
            <w:gridSpan w:val="3"/>
            <w:tcBorders>
              <w:top w:val="single" w:sz="8" w:space="0" w:color="auto"/>
              <w:left w:val="single" w:sz="8" w:space="0" w:color="auto"/>
              <w:bottom w:val="nil"/>
              <w:right w:val="single" w:sz="8" w:space="0" w:color="000000"/>
            </w:tcBorders>
            <w:shd w:val="clear" w:color="000000" w:fill="EEECE1"/>
            <w:vAlign w:val="center"/>
            <w:hideMark/>
          </w:tcPr>
          <w:p w14:paraId="185EA39B" w14:textId="77777777" w:rsidR="00DC309E" w:rsidRPr="009D1EAD" w:rsidRDefault="00DC309E" w:rsidP="000A2558">
            <w:pPr>
              <w:spacing w:after="0" w:line="240" w:lineRule="auto"/>
              <w:jc w:val="center"/>
              <w:rPr>
                <w:rFonts w:eastAsia="Times New Roman" w:cs="Arial"/>
                <w:color w:val="000000"/>
              </w:rPr>
            </w:pPr>
            <w:r w:rsidRPr="009D1EAD">
              <w:rPr>
                <w:rFonts w:eastAsia="Times New Roman" w:cs="Arial"/>
                <w:color w:val="000000"/>
              </w:rPr>
              <w:t>Control Category</w:t>
            </w:r>
          </w:p>
        </w:tc>
      </w:tr>
      <w:tr w:rsidR="001C00E7" w:rsidRPr="00592DAD" w14:paraId="376B92FA" w14:textId="77777777" w:rsidTr="000A2558">
        <w:trPr>
          <w:trHeight w:val="474"/>
        </w:trPr>
        <w:tc>
          <w:tcPr>
            <w:tcW w:w="5012" w:type="dxa"/>
            <w:tcBorders>
              <w:top w:val="single" w:sz="8" w:space="0" w:color="auto"/>
              <w:left w:val="single" w:sz="8" w:space="0" w:color="auto"/>
              <w:bottom w:val="single" w:sz="8" w:space="0" w:color="auto"/>
              <w:right w:val="single" w:sz="4" w:space="0" w:color="auto"/>
            </w:tcBorders>
            <w:shd w:val="clear" w:color="000000" w:fill="EEECE1"/>
            <w:noWrap/>
            <w:vAlign w:val="center"/>
            <w:hideMark/>
          </w:tcPr>
          <w:p w14:paraId="6944AD9D" w14:textId="77777777" w:rsidR="00DC309E" w:rsidRPr="009D1EAD" w:rsidRDefault="00DC309E" w:rsidP="000A2558">
            <w:pPr>
              <w:spacing w:after="0" w:line="240" w:lineRule="auto"/>
              <w:jc w:val="center"/>
              <w:rPr>
                <w:rFonts w:eastAsia="Times New Roman" w:cs="Arial"/>
                <w:color w:val="000000"/>
              </w:rPr>
            </w:pPr>
            <w:r w:rsidRPr="009D1EAD">
              <w:rPr>
                <w:rFonts w:eastAsia="Times New Roman" w:cs="Arial"/>
                <w:color w:val="000000"/>
              </w:rPr>
              <w:t>Plant Name</w:t>
            </w:r>
          </w:p>
        </w:tc>
        <w:tc>
          <w:tcPr>
            <w:tcW w:w="2315" w:type="dxa"/>
            <w:tcBorders>
              <w:top w:val="single" w:sz="8" w:space="0" w:color="auto"/>
              <w:left w:val="nil"/>
              <w:bottom w:val="single" w:sz="8" w:space="0" w:color="auto"/>
              <w:right w:val="single" w:sz="4" w:space="0" w:color="auto"/>
            </w:tcBorders>
            <w:shd w:val="clear" w:color="000000" w:fill="EEECE1"/>
            <w:noWrap/>
            <w:vAlign w:val="center"/>
            <w:hideMark/>
          </w:tcPr>
          <w:p w14:paraId="0AC5493E" w14:textId="77777777" w:rsidR="00DC309E" w:rsidRPr="009D1EAD" w:rsidRDefault="00DC309E" w:rsidP="000A2558">
            <w:pPr>
              <w:spacing w:after="0" w:line="240" w:lineRule="auto"/>
              <w:jc w:val="center"/>
              <w:rPr>
                <w:rFonts w:eastAsia="Times New Roman" w:cs="Arial"/>
                <w:color w:val="000000"/>
              </w:rPr>
            </w:pPr>
            <w:r w:rsidRPr="009D1EAD">
              <w:rPr>
                <w:rFonts w:eastAsia="Times New Roman" w:cs="Arial"/>
                <w:color w:val="000000"/>
              </w:rPr>
              <w:t>316(b)</w:t>
            </w:r>
          </w:p>
        </w:tc>
        <w:tc>
          <w:tcPr>
            <w:tcW w:w="2810" w:type="dxa"/>
            <w:tcBorders>
              <w:top w:val="single" w:sz="8" w:space="0" w:color="auto"/>
              <w:left w:val="nil"/>
              <w:bottom w:val="single" w:sz="8" w:space="0" w:color="auto"/>
              <w:right w:val="single" w:sz="4" w:space="0" w:color="auto"/>
            </w:tcBorders>
            <w:shd w:val="clear" w:color="000000" w:fill="EEECE1"/>
            <w:noWrap/>
            <w:vAlign w:val="center"/>
            <w:hideMark/>
          </w:tcPr>
          <w:p w14:paraId="4D97748A" w14:textId="77777777" w:rsidR="00DC309E" w:rsidRPr="009D1EAD" w:rsidRDefault="00DC309E" w:rsidP="000A2558">
            <w:pPr>
              <w:spacing w:after="0" w:line="240" w:lineRule="auto"/>
              <w:jc w:val="center"/>
              <w:rPr>
                <w:rFonts w:eastAsia="Times New Roman" w:cs="Arial"/>
                <w:color w:val="000000"/>
              </w:rPr>
            </w:pPr>
            <w:r w:rsidRPr="009D1EAD">
              <w:rPr>
                <w:rFonts w:eastAsia="Times New Roman" w:cs="Arial"/>
                <w:color w:val="000000"/>
              </w:rPr>
              <w:t>CCR</w:t>
            </w:r>
          </w:p>
        </w:tc>
        <w:tc>
          <w:tcPr>
            <w:tcW w:w="2832" w:type="dxa"/>
            <w:tcBorders>
              <w:top w:val="single" w:sz="8" w:space="0" w:color="auto"/>
              <w:left w:val="nil"/>
              <w:bottom w:val="single" w:sz="8" w:space="0" w:color="auto"/>
              <w:right w:val="single" w:sz="8" w:space="0" w:color="auto"/>
            </w:tcBorders>
            <w:shd w:val="clear" w:color="000000" w:fill="EEECE1"/>
            <w:noWrap/>
            <w:vAlign w:val="center"/>
            <w:hideMark/>
          </w:tcPr>
          <w:p w14:paraId="465EA1A2" w14:textId="77777777" w:rsidR="00DC309E" w:rsidRPr="009D1EAD" w:rsidRDefault="00DC309E" w:rsidP="000A2558">
            <w:pPr>
              <w:spacing w:after="0" w:line="240" w:lineRule="auto"/>
              <w:jc w:val="center"/>
              <w:rPr>
                <w:rFonts w:eastAsia="Times New Roman" w:cs="Arial"/>
                <w:color w:val="000000"/>
              </w:rPr>
            </w:pPr>
            <w:r w:rsidRPr="009D1EAD">
              <w:rPr>
                <w:rFonts w:eastAsia="Times New Roman" w:cs="Arial"/>
                <w:color w:val="000000"/>
              </w:rPr>
              <w:t>ELG</w:t>
            </w:r>
          </w:p>
        </w:tc>
      </w:tr>
      <w:tr w:rsidR="000A2558" w:rsidRPr="00592DAD" w14:paraId="61F98E3F"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34F25378"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Bowen 1-2</w:t>
            </w:r>
          </w:p>
        </w:tc>
        <w:tc>
          <w:tcPr>
            <w:tcW w:w="2315" w:type="dxa"/>
            <w:tcBorders>
              <w:top w:val="nil"/>
              <w:left w:val="nil"/>
              <w:bottom w:val="single" w:sz="4" w:space="0" w:color="auto"/>
              <w:right w:val="single" w:sz="4" w:space="0" w:color="auto"/>
            </w:tcBorders>
            <w:shd w:val="clear" w:color="auto" w:fill="auto"/>
            <w:noWrap/>
            <w:vAlign w:val="center"/>
            <w:hideMark/>
          </w:tcPr>
          <w:p w14:paraId="4F78E37B" w14:textId="455F4F11"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6BBBCB0F" w14:textId="7DE0720F"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1E69F570" w14:textId="37E80A75"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00DF438F"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3DD2E872"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Bowen 3-4</w:t>
            </w:r>
          </w:p>
        </w:tc>
        <w:tc>
          <w:tcPr>
            <w:tcW w:w="2315" w:type="dxa"/>
            <w:tcBorders>
              <w:top w:val="nil"/>
              <w:left w:val="nil"/>
              <w:bottom w:val="single" w:sz="4" w:space="0" w:color="auto"/>
              <w:right w:val="single" w:sz="4" w:space="0" w:color="auto"/>
            </w:tcBorders>
            <w:shd w:val="clear" w:color="auto" w:fill="auto"/>
            <w:noWrap/>
            <w:vAlign w:val="center"/>
            <w:hideMark/>
          </w:tcPr>
          <w:p w14:paraId="5F2C23EC" w14:textId="01C01FCC"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3B6AEBA7" w14:textId="4C6726A7"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0FDF341F" w14:textId="2380874A"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3DAA42A5"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102F8491"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Gaston 1-4</w:t>
            </w:r>
          </w:p>
        </w:tc>
        <w:tc>
          <w:tcPr>
            <w:tcW w:w="2315" w:type="dxa"/>
            <w:tcBorders>
              <w:top w:val="nil"/>
              <w:left w:val="nil"/>
              <w:bottom w:val="single" w:sz="4" w:space="0" w:color="auto"/>
              <w:right w:val="single" w:sz="4" w:space="0" w:color="auto"/>
            </w:tcBorders>
            <w:shd w:val="clear" w:color="auto" w:fill="auto"/>
            <w:noWrap/>
            <w:vAlign w:val="center"/>
            <w:hideMark/>
          </w:tcPr>
          <w:p w14:paraId="09FD6A53" w14:textId="3E982B5F"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59E4A13E" w14:textId="16B19171"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330ABABA" w14:textId="77AED7D3"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57064D28"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47CB7BF3"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Hammond 1-4</w:t>
            </w:r>
          </w:p>
        </w:tc>
        <w:tc>
          <w:tcPr>
            <w:tcW w:w="2315" w:type="dxa"/>
            <w:tcBorders>
              <w:top w:val="nil"/>
              <w:left w:val="nil"/>
              <w:bottom w:val="single" w:sz="4" w:space="0" w:color="auto"/>
              <w:right w:val="single" w:sz="4" w:space="0" w:color="auto"/>
            </w:tcBorders>
            <w:shd w:val="clear" w:color="auto" w:fill="auto"/>
            <w:noWrap/>
            <w:vAlign w:val="center"/>
            <w:hideMark/>
          </w:tcPr>
          <w:p w14:paraId="645EE21B" w14:textId="0D0EDC9E"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271514EE" w14:textId="76347F82"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6ED0B03F" w14:textId="0CA59D3E"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3E920D8E"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27CAE381"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McIntosh 1</w:t>
            </w:r>
          </w:p>
        </w:tc>
        <w:tc>
          <w:tcPr>
            <w:tcW w:w="2315" w:type="dxa"/>
            <w:tcBorders>
              <w:top w:val="nil"/>
              <w:left w:val="nil"/>
              <w:bottom w:val="single" w:sz="4" w:space="0" w:color="auto"/>
              <w:right w:val="single" w:sz="4" w:space="0" w:color="auto"/>
            </w:tcBorders>
            <w:shd w:val="clear" w:color="auto" w:fill="auto"/>
            <w:noWrap/>
            <w:vAlign w:val="center"/>
            <w:hideMark/>
          </w:tcPr>
          <w:p w14:paraId="2D869BE3" w14:textId="3D1D63A1"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20172D02" w14:textId="1B8843E1"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34265B87" w14:textId="0B7E7EE0"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1B93431D"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041ECD51"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Scherer 1-3</w:t>
            </w:r>
          </w:p>
        </w:tc>
        <w:tc>
          <w:tcPr>
            <w:tcW w:w="2315" w:type="dxa"/>
            <w:tcBorders>
              <w:top w:val="nil"/>
              <w:left w:val="nil"/>
              <w:bottom w:val="single" w:sz="4" w:space="0" w:color="auto"/>
              <w:right w:val="single" w:sz="4" w:space="0" w:color="auto"/>
            </w:tcBorders>
            <w:shd w:val="clear" w:color="auto" w:fill="auto"/>
            <w:noWrap/>
            <w:vAlign w:val="center"/>
            <w:hideMark/>
          </w:tcPr>
          <w:p w14:paraId="2CB74FE7" w14:textId="010A26F7"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0F812298" w14:textId="1413A079"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6818D43E" w14:textId="435A0B27"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559AC07B" w14:textId="77777777" w:rsidTr="000A2558">
        <w:trPr>
          <w:trHeight w:val="451"/>
        </w:trPr>
        <w:tc>
          <w:tcPr>
            <w:tcW w:w="5012" w:type="dxa"/>
            <w:tcBorders>
              <w:top w:val="nil"/>
              <w:left w:val="single" w:sz="8" w:space="0" w:color="auto"/>
              <w:bottom w:val="single" w:sz="4" w:space="0" w:color="auto"/>
              <w:right w:val="single" w:sz="4" w:space="0" w:color="auto"/>
            </w:tcBorders>
            <w:shd w:val="clear" w:color="auto" w:fill="auto"/>
            <w:noWrap/>
            <w:vAlign w:val="center"/>
            <w:hideMark/>
          </w:tcPr>
          <w:p w14:paraId="7B827B49"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Wansley 1-2</w:t>
            </w:r>
          </w:p>
        </w:tc>
        <w:tc>
          <w:tcPr>
            <w:tcW w:w="2315" w:type="dxa"/>
            <w:tcBorders>
              <w:top w:val="nil"/>
              <w:left w:val="nil"/>
              <w:bottom w:val="single" w:sz="4" w:space="0" w:color="auto"/>
              <w:right w:val="single" w:sz="4" w:space="0" w:color="auto"/>
            </w:tcBorders>
            <w:shd w:val="clear" w:color="auto" w:fill="auto"/>
            <w:noWrap/>
            <w:vAlign w:val="center"/>
            <w:hideMark/>
          </w:tcPr>
          <w:p w14:paraId="57C091DC" w14:textId="0751088D"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4" w:space="0" w:color="auto"/>
              <w:right w:val="single" w:sz="4" w:space="0" w:color="auto"/>
            </w:tcBorders>
            <w:shd w:val="clear" w:color="auto" w:fill="auto"/>
            <w:noWrap/>
            <w:vAlign w:val="center"/>
            <w:hideMark/>
          </w:tcPr>
          <w:p w14:paraId="11A885F5" w14:textId="2B8B3D13"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4" w:space="0" w:color="auto"/>
              <w:right w:val="single" w:sz="8" w:space="0" w:color="auto"/>
            </w:tcBorders>
            <w:shd w:val="clear" w:color="auto" w:fill="auto"/>
            <w:noWrap/>
            <w:vAlign w:val="center"/>
            <w:hideMark/>
          </w:tcPr>
          <w:p w14:paraId="0927C41A" w14:textId="4931FE98"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0A2558" w:rsidRPr="00592DAD" w14:paraId="0E419906" w14:textId="77777777" w:rsidTr="000A2558">
        <w:trPr>
          <w:trHeight w:val="474"/>
        </w:trPr>
        <w:tc>
          <w:tcPr>
            <w:tcW w:w="5012" w:type="dxa"/>
            <w:tcBorders>
              <w:top w:val="nil"/>
              <w:left w:val="single" w:sz="8" w:space="0" w:color="auto"/>
              <w:bottom w:val="single" w:sz="8" w:space="0" w:color="auto"/>
              <w:right w:val="single" w:sz="4" w:space="0" w:color="auto"/>
            </w:tcBorders>
            <w:shd w:val="clear" w:color="auto" w:fill="auto"/>
            <w:noWrap/>
            <w:vAlign w:val="center"/>
            <w:hideMark/>
          </w:tcPr>
          <w:p w14:paraId="2CD720E0"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Yates 6-7</w:t>
            </w:r>
          </w:p>
        </w:tc>
        <w:tc>
          <w:tcPr>
            <w:tcW w:w="2315" w:type="dxa"/>
            <w:tcBorders>
              <w:top w:val="nil"/>
              <w:left w:val="nil"/>
              <w:bottom w:val="single" w:sz="8" w:space="0" w:color="auto"/>
              <w:right w:val="single" w:sz="4" w:space="0" w:color="auto"/>
            </w:tcBorders>
            <w:shd w:val="clear" w:color="auto" w:fill="auto"/>
            <w:noWrap/>
            <w:vAlign w:val="center"/>
            <w:hideMark/>
          </w:tcPr>
          <w:p w14:paraId="54150452" w14:textId="047F7B91"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10" w:type="dxa"/>
            <w:tcBorders>
              <w:top w:val="nil"/>
              <w:left w:val="nil"/>
              <w:bottom w:val="single" w:sz="8" w:space="0" w:color="auto"/>
              <w:right w:val="single" w:sz="4" w:space="0" w:color="auto"/>
            </w:tcBorders>
            <w:shd w:val="clear" w:color="auto" w:fill="auto"/>
            <w:noWrap/>
            <w:vAlign w:val="center"/>
            <w:hideMark/>
          </w:tcPr>
          <w:p w14:paraId="45539A8D" w14:textId="3E8EB448"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c>
          <w:tcPr>
            <w:tcW w:w="2832" w:type="dxa"/>
            <w:tcBorders>
              <w:top w:val="nil"/>
              <w:left w:val="nil"/>
              <w:bottom w:val="single" w:sz="8" w:space="0" w:color="auto"/>
              <w:right w:val="single" w:sz="8" w:space="0" w:color="auto"/>
            </w:tcBorders>
            <w:shd w:val="clear" w:color="auto" w:fill="auto"/>
            <w:noWrap/>
            <w:vAlign w:val="center"/>
            <w:hideMark/>
          </w:tcPr>
          <w:p w14:paraId="335CE81E" w14:textId="25B82496" w:rsidR="000A2558" w:rsidRPr="000A2558" w:rsidRDefault="000A2558" w:rsidP="000A2558">
            <w:pPr>
              <w:spacing w:after="0" w:line="240" w:lineRule="auto"/>
              <w:jc w:val="center"/>
              <w:rPr>
                <w:rFonts w:eastAsia="Times New Roman" w:cs="Arial"/>
                <w:b/>
                <w:color w:val="000000"/>
              </w:rPr>
            </w:pPr>
            <w:r w:rsidRPr="000A2558">
              <w:rPr>
                <w:rFonts w:cs="Arial"/>
                <w:b/>
                <w:bCs/>
                <w:iCs/>
                <w:caps/>
                <w:color w:val="000000" w:themeColor="text1"/>
                <w:kern w:val="24"/>
                <w:szCs w:val="40"/>
              </w:rPr>
              <w:t>Redacted</w:t>
            </w:r>
          </w:p>
        </w:tc>
      </w:tr>
      <w:tr w:rsidR="00A12390" w:rsidRPr="00592DAD" w14:paraId="2EFDECFE" w14:textId="77777777" w:rsidTr="00A12390">
        <w:trPr>
          <w:trHeight w:val="451"/>
        </w:trPr>
        <w:tc>
          <w:tcPr>
            <w:tcW w:w="7327" w:type="dxa"/>
            <w:gridSpan w:val="2"/>
            <w:tcBorders>
              <w:top w:val="nil"/>
              <w:left w:val="nil"/>
              <w:bottom w:val="nil"/>
              <w:right w:val="nil"/>
            </w:tcBorders>
            <w:shd w:val="clear" w:color="auto" w:fill="auto"/>
            <w:noWrap/>
            <w:vAlign w:val="bottom"/>
            <w:hideMark/>
          </w:tcPr>
          <w:p w14:paraId="12303E3E" w14:textId="77777777" w:rsidR="00A12390" w:rsidRPr="00A12390" w:rsidRDefault="00A12390" w:rsidP="00A12390">
            <w:pPr>
              <w:spacing w:after="0" w:line="240" w:lineRule="auto"/>
              <w:rPr>
                <w:rFonts w:eastAsia="Times New Roman" w:cs="Arial"/>
                <w:color w:val="000000"/>
              </w:rPr>
            </w:pPr>
            <w:r w:rsidRPr="00A12390">
              <w:rPr>
                <w:rFonts w:eastAsia="Times New Roman" w:cs="Arial"/>
                <w:color w:val="000000"/>
              </w:rPr>
              <w:t>*GPC ownership dollars only shown</w:t>
            </w:r>
          </w:p>
          <w:p w14:paraId="059831A8" w14:textId="5FD07AEE" w:rsidR="00A12390" w:rsidRPr="00A12390" w:rsidRDefault="00A12390" w:rsidP="00A12390">
            <w:pPr>
              <w:spacing w:after="0"/>
              <w:rPr>
                <w:rFonts w:eastAsia="Times New Roman" w:cs="Arial"/>
                <w:color w:val="000000"/>
              </w:rPr>
            </w:pPr>
            <w:r w:rsidRPr="00A12390">
              <w:rPr>
                <w:rFonts w:eastAsia="Times New Roman" w:cs="Arial"/>
                <w:color w:val="000000"/>
              </w:rPr>
              <w:t>**CCR Environmental Controls do not include ARO expenditures</w:t>
            </w:r>
          </w:p>
        </w:tc>
        <w:tc>
          <w:tcPr>
            <w:tcW w:w="2810" w:type="dxa"/>
            <w:tcBorders>
              <w:top w:val="nil"/>
              <w:left w:val="nil"/>
              <w:bottom w:val="nil"/>
              <w:right w:val="nil"/>
            </w:tcBorders>
            <w:shd w:val="clear" w:color="auto" w:fill="auto"/>
            <w:noWrap/>
            <w:vAlign w:val="bottom"/>
            <w:hideMark/>
          </w:tcPr>
          <w:p w14:paraId="3AB5AF88" w14:textId="77777777" w:rsidR="00A12390" w:rsidRPr="009D1EAD" w:rsidRDefault="00A12390" w:rsidP="00A12390">
            <w:pPr>
              <w:spacing w:after="0"/>
              <w:rPr>
                <w:rFonts w:eastAsia="Times New Roman" w:cs="Arial"/>
                <w:color w:val="000000"/>
              </w:rPr>
            </w:pPr>
          </w:p>
        </w:tc>
        <w:tc>
          <w:tcPr>
            <w:tcW w:w="2832" w:type="dxa"/>
            <w:tcBorders>
              <w:top w:val="nil"/>
              <w:left w:val="nil"/>
              <w:bottom w:val="nil"/>
              <w:right w:val="nil"/>
            </w:tcBorders>
            <w:shd w:val="clear" w:color="auto" w:fill="auto"/>
            <w:noWrap/>
            <w:vAlign w:val="bottom"/>
            <w:hideMark/>
          </w:tcPr>
          <w:p w14:paraId="671BC268" w14:textId="77777777" w:rsidR="00A12390" w:rsidRPr="009D1EAD" w:rsidRDefault="00A12390" w:rsidP="00A12390">
            <w:pPr>
              <w:spacing w:after="0"/>
              <w:rPr>
                <w:rFonts w:eastAsia="Times New Roman" w:cs="Arial"/>
                <w:sz w:val="20"/>
                <w:szCs w:val="20"/>
              </w:rPr>
            </w:pPr>
          </w:p>
        </w:tc>
      </w:tr>
    </w:tbl>
    <w:p w14:paraId="24EA32B7" w14:textId="644F89CD" w:rsidR="00DA4C15" w:rsidRPr="009D1EAD" w:rsidRDefault="00C500CD" w:rsidP="00592DAD">
      <w:pPr>
        <w:rPr>
          <w:rFonts w:cs="Arial"/>
          <w:b/>
          <w:sz w:val="24"/>
          <w:szCs w:val="24"/>
        </w:rPr>
      </w:pPr>
      <w:r w:rsidRPr="00592DAD">
        <w:rPr>
          <w:rFonts w:cs="Arial"/>
          <w:highlight w:val="lightGray"/>
        </w:rPr>
        <w:br w:type="page"/>
      </w:r>
      <w:r w:rsidRPr="009D1EAD">
        <w:rPr>
          <w:rFonts w:cs="Arial"/>
          <w:b/>
          <w:sz w:val="24"/>
          <w:szCs w:val="24"/>
        </w:rPr>
        <w:lastRenderedPageBreak/>
        <w:t>Table A.2</w:t>
      </w:r>
      <w:r w:rsidR="007B04D0" w:rsidRPr="009D1EAD">
        <w:rPr>
          <w:rFonts w:cs="Arial"/>
          <w:b/>
          <w:sz w:val="24"/>
          <w:szCs w:val="24"/>
        </w:rPr>
        <w:t xml:space="preserve"> </w:t>
      </w:r>
    </w:p>
    <w:tbl>
      <w:tblPr>
        <w:tblW w:w="12960" w:type="dxa"/>
        <w:tblLook w:val="04A0" w:firstRow="1" w:lastRow="0" w:firstColumn="1" w:lastColumn="0" w:noHBand="0" w:noVBand="1"/>
      </w:tblPr>
      <w:tblGrid>
        <w:gridCol w:w="5040"/>
        <w:gridCol w:w="2250"/>
        <w:gridCol w:w="2880"/>
        <w:gridCol w:w="2790"/>
      </w:tblGrid>
      <w:tr w:rsidR="004B689C" w:rsidRPr="009D1EAD" w14:paraId="30A2E338" w14:textId="77777777" w:rsidTr="00663CCB">
        <w:trPr>
          <w:trHeight w:val="390"/>
        </w:trPr>
        <w:tc>
          <w:tcPr>
            <w:tcW w:w="12960" w:type="dxa"/>
            <w:gridSpan w:val="4"/>
            <w:tcBorders>
              <w:top w:val="nil"/>
              <w:left w:val="nil"/>
              <w:bottom w:val="nil"/>
              <w:right w:val="nil"/>
            </w:tcBorders>
            <w:shd w:val="clear" w:color="auto" w:fill="auto"/>
            <w:noWrap/>
            <w:vAlign w:val="center"/>
            <w:hideMark/>
          </w:tcPr>
          <w:p w14:paraId="27E5A976" w14:textId="77777777" w:rsidR="004B689C" w:rsidRPr="009D1EAD" w:rsidRDefault="004B689C" w:rsidP="00592DAD">
            <w:pPr>
              <w:spacing w:after="0"/>
              <w:jc w:val="center"/>
              <w:rPr>
                <w:rFonts w:eastAsia="Times New Roman" w:cs="Arial"/>
                <w:b/>
                <w:bCs/>
                <w:color w:val="000000"/>
                <w:sz w:val="24"/>
                <w:szCs w:val="28"/>
              </w:rPr>
            </w:pPr>
            <w:r w:rsidRPr="009D1EAD">
              <w:rPr>
                <w:rFonts w:eastAsia="Times New Roman" w:cs="Arial"/>
                <w:b/>
                <w:bCs/>
                <w:color w:val="000000"/>
                <w:sz w:val="24"/>
                <w:szCs w:val="28"/>
              </w:rPr>
              <w:t>NPV of the Revenue Requirements for Environmental Controls (in Millions of Dollars)</w:t>
            </w:r>
          </w:p>
        </w:tc>
      </w:tr>
      <w:tr w:rsidR="004B689C" w:rsidRPr="00592DAD" w14:paraId="2D846BD3" w14:textId="77777777" w:rsidTr="000A2558">
        <w:trPr>
          <w:trHeight w:val="475"/>
        </w:trPr>
        <w:tc>
          <w:tcPr>
            <w:tcW w:w="5040" w:type="dxa"/>
            <w:tcBorders>
              <w:top w:val="nil"/>
              <w:left w:val="nil"/>
              <w:bottom w:val="nil"/>
              <w:right w:val="nil"/>
            </w:tcBorders>
            <w:shd w:val="clear" w:color="auto" w:fill="auto"/>
            <w:noWrap/>
            <w:vAlign w:val="center"/>
            <w:hideMark/>
          </w:tcPr>
          <w:p w14:paraId="73F39C87" w14:textId="77777777" w:rsidR="004B689C" w:rsidRPr="009D1EAD" w:rsidRDefault="004B689C" w:rsidP="000A2558">
            <w:pPr>
              <w:spacing w:after="0" w:line="240" w:lineRule="auto"/>
              <w:jc w:val="center"/>
              <w:rPr>
                <w:rFonts w:eastAsia="Times New Roman" w:cs="Arial"/>
                <w:b/>
                <w:bCs/>
                <w:color w:val="000000"/>
              </w:rPr>
            </w:pPr>
          </w:p>
        </w:tc>
        <w:tc>
          <w:tcPr>
            <w:tcW w:w="7920" w:type="dxa"/>
            <w:gridSpan w:val="3"/>
            <w:tcBorders>
              <w:top w:val="single" w:sz="8" w:space="0" w:color="auto"/>
              <w:left w:val="single" w:sz="8" w:space="0" w:color="auto"/>
              <w:bottom w:val="nil"/>
              <w:right w:val="single" w:sz="8" w:space="0" w:color="000000"/>
            </w:tcBorders>
            <w:shd w:val="clear" w:color="000000" w:fill="EEECE1"/>
            <w:vAlign w:val="center"/>
            <w:hideMark/>
          </w:tcPr>
          <w:p w14:paraId="63C8E84B" w14:textId="77777777" w:rsidR="004B689C" w:rsidRPr="009D1EAD" w:rsidRDefault="004B689C" w:rsidP="000A2558">
            <w:pPr>
              <w:spacing w:after="0" w:line="240" w:lineRule="auto"/>
              <w:jc w:val="center"/>
              <w:rPr>
                <w:rFonts w:eastAsia="Times New Roman" w:cs="Arial"/>
                <w:color w:val="000000"/>
              </w:rPr>
            </w:pPr>
            <w:r w:rsidRPr="009D1EAD">
              <w:rPr>
                <w:rFonts w:eastAsia="Times New Roman" w:cs="Arial"/>
                <w:color w:val="000000"/>
              </w:rPr>
              <w:t>Control Category</w:t>
            </w:r>
          </w:p>
        </w:tc>
      </w:tr>
      <w:tr w:rsidR="004B689C" w:rsidRPr="00592DAD" w14:paraId="01989279" w14:textId="77777777" w:rsidTr="000A2558">
        <w:trPr>
          <w:trHeight w:val="475"/>
        </w:trPr>
        <w:tc>
          <w:tcPr>
            <w:tcW w:w="5040" w:type="dxa"/>
            <w:tcBorders>
              <w:top w:val="single" w:sz="8" w:space="0" w:color="auto"/>
              <w:left w:val="single" w:sz="8" w:space="0" w:color="auto"/>
              <w:bottom w:val="single" w:sz="8" w:space="0" w:color="auto"/>
              <w:right w:val="single" w:sz="4" w:space="0" w:color="auto"/>
            </w:tcBorders>
            <w:shd w:val="clear" w:color="000000" w:fill="EEECE1"/>
            <w:noWrap/>
            <w:vAlign w:val="center"/>
            <w:hideMark/>
          </w:tcPr>
          <w:p w14:paraId="4C294AAE" w14:textId="77777777" w:rsidR="004B689C" w:rsidRPr="009D1EAD" w:rsidRDefault="004B689C" w:rsidP="000A2558">
            <w:pPr>
              <w:spacing w:after="0" w:line="240" w:lineRule="auto"/>
              <w:jc w:val="center"/>
              <w:rPr>
                <w:rFonts w:eastAsia="Times New Roman" w:cs="Arial"/>
                <w:color w:val="000000"/>
              </w:rPr>
            </w:pPr>
            <w:r w:rsidRPr="009D1EAD">
              <w:rPr>
                <w:rFonts w:eastAsia="Times New Roman" w:cs="Arial"/>
                <w:color w:val="000000"/>
              </w:rPr>
              <w:t>Plant Name</w:t>
            </w:r>
          </w:p>
        </w:tc>
        <w:tc>
          <w:tcPr>
            <w:tcW w:w="2250" w:type="dxa"/>
            <w:tcBorders>
              <w:top w:val="single" w:sz="8" w:space="0" w:color="auto"/>
              <w:left w:val="nil"/>
              <w:bottom w:val="single" w:sz="8" w:space="0" w:color="auto"/>
              <w:right w:val="single" w:sz="4" w:space="0" w:color="auto"/>
            </w:tcBorders>
            <w:shd w:val="clear" w:color="000000" w:fill="EEECE1"/>
            <w:noWrap/>
            <w:vAlign w:val="center"/>
            <w:hideMark/>
          </w:tcPr>
          <w:p w14:paraId="6722C48F" w14:textId="77777777" w:rsidR="004B689C" w:rsidRPr="009D1EAD" w:rsidRDefault="004B689C" w:rsidP="000A2558">
            <w:pPr>
              <w:spacing w:after="0" w:line="240" w:lineRule="auto"/>
              <w:jc w:val="center"/>
              <w:rPr>
                <w:rFonts w:eastAsia="Times New Roman" w:cs="Arial"/>
                <w:color w:val="000000"/>
              </w:rPr>
            </w:pPr>
            <w:r w:rsidRPr="009D1EAD">
              <w:rPr>
                <w:rFonts w:eastAsia="Times New Roman" w:cs="Arial"/>
                <w:color w:val="000000"/>
              </w:rPr>
              <w:t>316(b)</w:t>
            </w:r>
          </w:p>
        </w:tc>
        <w:tc>
          <w:tcPr>
            <w:tcW w:w="2880" w:type="dxa"/>
            <w:tcBorders>
              <w:top w:val="single" w:sz="8" w:space="0" w:color="auto"/>
              <w:left w:val="nil"/>
              <w:bottom w:val="single" w:sz="8" w:space="0" w:color="auto"/>
              <w:right w:val="single" w:sz="4" w:space="0" w:color="auto"/>
            </w:tcBorders>
            <w:shd w:val="clear" w:color="000000" w:fill="EEECE1"/>
            <w:noWrap/>
            <w:vAlign w:val="center"/>
            <w:hideMark/>
          </w:tcPr>
          <w:p w14:paraId="3BDB8980" w14:textId="77777777" w:rsidR="004B689C" w:rsidRPr="009D1EAD" w:rsidRDefault="004B689C" w:rsidP="000A2558">
            <w:pPr>
              <w:spacing w:after="0" w:line="240" w:lineRule="auto"/>
              <w:jc w:val="center"/>
              <w:rPr>
                <w:rFonts w:eastAsia="Times New Roman" w:cs="Arial"/>
                <w:color w:val="000000"/>
              </w:rPr>
            </w:pPr>
            <w:r w:rsidRPr="009D1EAD">
              <w:rPr>
                <w:rFonts w:eastAsia="Times New Roman" w:cs="Arial"/>
                <w:color w:val="000000"/>
              </w:rPr>
              <w:t>CCR</w:t>
            </w:r>
          </w:p>
        </w:tc>
        <w:tc>
          <w:tcPr>
            <w:tcW w:w="2790" w:type="dxa"/>
            <w:tcBorders>
              <w:top w:val="single" w:sz="8" w:space="0" w:color="auto"/>
              <w:left w:val="nil"/>
              <w:bottom w:val="single" w:sz="8" w:space="0" w:color="auto"/>
              <w:right w:val="single" w:sz="8" w:space="0" w:color="auto"/>
            </w:tcBorders>
            <w:shd w:val="clear" w:color="000000" w:fill="EEECE1"/>
            <w:noWrap/>
            <w:vAlign w:val="center"/>
            <w:hideMark/>
          </w:tcPr>
          <w:p w14:paraId="7036CE63" w14:textId="77777777" w:rsidR="004B689C" w:rsidRPr="009D1EAD" w:rsidRDefault="004B689C" w:rsidP="000A2558">
            <w:pPr>
              <w:spacing w:after="0" w:line="240" w:lineRule="auto"/>
              <w:jc w:val="center"/>
              <w:rPr>
                <w:rFonts w:eastAsia="Times New Roman" w:cs="Arial"/>
                <w:color w:val="000000"/>
              </w:rPr>
            </w:pPr>
            <w:r w:rsidRPr="009D1EAD">
              <w:rPr>
                <w:rFonts w:eastAsia="Times New Roman" w:cs="Arial"/>
                <w:color w:val="000000"/>
              </w:rPr>
              <w:t>ELG</w:t>
            </w:r>
          </w:p>
        </w:tc>
      </w:tr>
      <w:tr w:rsidR="000A2558" w:rsidRPr="00592DAD" w14:paraId="4D6E912D"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5537CBA7"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Bowen 1-2</w:t>
            </w:r>
          </w:p>
        </w:tc>
        <w:tc>
          <w:tcPr>
            <w:tcW w:w="2250" w:type="dxa"/>
            <w:tcBorders>
              <w:top w:val="nil"/>
              <w:left w:val="nil"/>
              <w:bottom w:val="single" w:sz="4" w:space="0" w:color="auto"/>
              <w:right w:val="single" w:sz="4" w:space="0" w:color="auto"/>
            </w:tcBorders>
            <w:shd w:val="clear" w:color="auto" w:fill="auto"/>
            <w:noWrap/>
            <w:vAlign w:val="center"/>
            <w:hideMark/>
          </w:tcPr>
          <w:p w14:paraId="588C9923" w14:textId="48ABD5BC"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24DBC65B" w14:textId="7A643D05"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1E556774" w14:textId="1452C61D"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3CCBB18C"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25C4427E"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Bowen 3-4</w:t>
            </w:r>
          </w:p>
        </w:tc>
        <w:tc>
          <w:tcPr>
            <w:tcW w:w="2250" w:type="dxa"/>
            <w:tcBorders>
              <w:top w:val="nil"/>
              <w:left w:val="nil"/>
              <w:bottom w:val="single" w:sz="4" w:space="0" w:color="auto"/>
              <w:right w:val="single" w:sz="4" w:space="0" w:color="auto"/>
            </w:tcBorders>
            <w:shd w:val="clear" w:color="auto" w:fill="auto"/>
            <w:noWrap/>
            <w:vAlign w:val="center"/>
            <w:hideMark/>
          </w:tcPr>
          <w:p w14:paraId="753798C3" w14:textId="69137856"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70EC6B7F" w14:textId="1682B3FB"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38E4CE50" w14:textId="41E785A2"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5BF148F3"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6D672392"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Gaston 1-4</w:t>
            </w:r>
          </w:p>
        </w:tc>
        <w:tc>
          <w:tcPr>
            <w:tcW w:w="2250" w:type="dxa"/>
            <w:tcBorders>
              <w:top w:val="nil"/>
              <w:left w:val="nil"/>
              <w:bottom w:val="single" w:sz="4" w:space="0" w:color="auto"/>
              <w:right w:val="single" w:sz="4" w:space="0" w:color="auto"/>
            </w:tcBorders>
            <w:shd w:val="clear" w:color="auto" w:fill="auto"/>
            <w:noWrap/>
            <w:vAlign w:val="center"/>
            <w:hideMark/>
          </w:tcPr>
          <w:p w14:paraId="28CC7E78" w14:textId="3263953D"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481C80C2" w14:textId="2C353E84"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0884710A" w14:textId="63536E57"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34F3B5E3"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52887495"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Hammond 1-4</w:t>
            </w:r>
          </w:p>
        </w:tc>
        <w:tc>
          <w:tcPr>
            <w:tcW w:w="2250" w:type="dxa"/>
            <w:tcBorders>
              <w:top w:val="nil"/>
              <w:left w:val="nil"/>
              <w:bottom w:val="single" w:sz="4" w:space="0" w:color="auto"/>
              <w:right w:val="single" w:sz="4" w:space="0" w:color="auto"/>
            </w:tcBorders>
            <w:shd w:val="clear" w:color="auto" w:fill="auto"/>
            <w:noWrap/>
            <w:vAlign w:val="center"/>
            <w:hideMark/>
          </w:tcPr>
          <w:p w14:paraId="57ED5DF5" w14:textId="732BF47C"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483A5413" w14:textId="12C4BC56"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00B82F1A" w14:textId="73058F8A"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730297F9"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04959D36"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McIntosh 1</w:t>
            </w:r>
          </w:p>
        </w:tc>
        <w:tc>
          <w:tcPr>
            <w:tcW w:w="2250" w:type="dxa"/>
            <w:tcBorders>
              <w:top w:val="nil"/>
              <w:left w:val="nil"/>
              <w:bottom w:val="single" w:sz="4" w:space="0" w:color="auto"/>
              <w:right w:val="single" w:sz="4" w:space="0" w:color="auto"/>
            </w:tcBorders>
            <w:shd w:val="clear" w:color="auto" w:fill="auto"/>
            <w:noWrap/>
            <w:vAlign w:val="center"/>
            <w:hideMark/>
          </w:tcPr>
          <w:p w14:paraId="7ABCD421" w14:textId="0EF5C4CC"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3922DE54" w14:textId="02095B58"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09B800C7" w14:textId="0E9EEEA6"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5E324ADA"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458D28D0"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Scherer 1-3</w:t>
            </w:r>
          </w:p>
        </w:tc>
        <w:tc>
          <w:tcPr>
            <w:tcW w:w="2250" w:type="dxa"/>
            <w:tcBorders>
              <w:top w:val="nil"/>
              <w:left w:val="nil"/>
              <w:bottom w:val="single" w:sz="4" w:space="0" w:color="auto"/>
              <w:right w:val="single" w:sz="4" w:space="0" w:color="auto"/>
            </w:tcBorders>
            <w:shd w:val="clear" w:color="auto" w:fill="auto"/>
            <w:noWrap/>
            <w:vAlign w:val="center"/>
            <w:hideMark/>
          </w:tcPr>
          <w:p w14:paraId="5363890E" w14:textId="550EA6C8"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2C8DC198" w14:textId="306BA05A"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5548A016" w14:textId="6EA9293F"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7BB889ED" w14:textId="77777777" w:rsidTr="000A2558">
        <w:trPr>
          <w:trHeight w:val="446"/>
        </w:trPr>
        <w:tc>
          <w:tcPr>
            <w:tcW w:w="5040" w:type="dxa"/>
            <w:tcBorders>
              <w:top w:val="nil"/>
              <w:left w:val="single" w:sz="8" w:space="0" w:color="auto"/>
              <w:bottom w:val="single" w:sz="4" w:space="0" w:color="auto"/>
              <w:right w:val="single" w:sz="4" w:space="0" w:color="auto"/>
            </w:tcBorders>
            <w:shd w:val="clear" w:color="auto" w:fill="auto"/>
            <w:noWrap/>
            <w:vAlign w:val="center"/>
            <w:hideMark/>
          </w:tcPr>
          <w:p w14:paraId="4A6E6563"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Wansley 1-2</w:t>
            </w:r>
          </w:p>
        </w:tc>
        <w:tc>
          <w:tcPr>
            <w:tcW w:w="2250" w:type="dxa"/>
            <w:tcBorders>
              <w:top w:val="nil"/>
              <w:left w:val="nil"/>
              <w:bottom w:val="single" w:sz="4" w:space="0" w:color="auto"/>
              <w:right w:val="single" w:sz="4" w:space="0" w:color="auto"/>
            </w:tcBorders>
            <w:shd w:val="clear" w:color="auto" w:fill="auto"/>
            <w:noWrap/>
            <w:vAlign w:val="center"/>
            <w:hideMark/>
          </w:tcPr>
          <w:p w14:paraId="083458CA" w14:textId="4855B4E5"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4" w:space="0" w:color="auto"/>
              <w:right w:val="single" w:sz="4" w:space="0" w:color="auto"/>
            </w:tcBorders>
            <w:shd w:val="clear" w:color="auto" w:fill="auto"/>
            <w:noWrap/>
            <w:vAlign w:val="center"/>
            <w:hideMark/>
          </w:tcPr>
          <w:p w14:paraId="5B3EFE58" w14:textId="31DB8833"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4" w:space="0" w:color="auto"/>
              <w:right w:val="single" w:sz="8" w:space="0" w:color="auto"/>
            </w:tcBorders>
            <w:shd w:val="clear" w:color="auto" w:fill="auto"/>
            <w:noWrap/>
            <w:vAlign w:val="center"/>
            <w:hideMark/>
          </w:tcPr>
          <w:p w14:paraId="1AB06251" w14:textId="23BA7D1E"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0A2558" w:rsidRPr="00592DAD" w14:paraId="21B9D381" w14:textId="77777777" w:rsidTr="000A2558">
        <w:trPr>
          <w:trHeight w:val="446"/>
        </w:trPr>
        <w:tc>
          <w:tcPr>
            <w:tcW w:w="5040" w:type="dxa"/>
            <w:tcBorders>
              <w:top w:val="nil"/>
              <w:left w:val="single" w:sz="8" w:space="0" w:color="auto"/>
              <w:bottom w:val="single" w:sz="8" w:space="0" w:color="auto"/>
              <w:right w:val="single" w:sz="4" w:space="0" w:color="auto"/>
            </w:tcBorders>
            <w:shd w:val="clear" w:color="auto" w:fill="auto"/>
            <w:noWrap/>
            <w:vAlign w:val="center"/>
            <w:hideMark/>
          </w:tcPr>
          <w:p w14:paraId="71903464" w14:textId="77777777" w:rsidR="000A2558" w:rsidRPr="009D1EAD" w:rsidRDefault="000A2558" w:rsidP="000A2558">
            <w:pPr>
              <w:spacing w:after="0" w:line="240" w:lineRule="auto"/>
              <w:jc w:val="center"/>
              <w:rPr>
                <w:rFonts w:eastAsia="Times New Roman" w:cs="Arial"/>
                <w:color w:val="000000"/>
              </w:rPr>
            </w:pPr>
            <w:r w:rsidRPr="009D1EAD">
              <w:rPr>
                <w:rFonts w:eastAsia="Times New Roman" w:cs="Arial"/>
                <w:color w:val="000000"/>
              </w:rPr>
              <w:t>Yates 6-7</w:t>
            </w:r>
          </w:p>
        </w:tc>
        <w:tc>
          <w:tcPr>
            <w:tcW w:w="2250" w:type="dxa"/>
            <w:tcBorders>
              <w:top w:val="nil"/>
              <w:left w:val="nil"/>
              <w:bottom w:val="single" w:sz="8" w:space="0" w:color="auto"/>
              <w:right w:val="single" w:sz="4" w:space="0" w:color="auto"/>
            </w:tcBorders>
            <w:shd w:val="clear" w:color="auto" w:fill="auto"/>
            <w:noWrap/>
            <w:vAlign w:val="center"/>
            <w:hideMark/>
          </w:tcPr>
          <w:p w14:paraId="4436E4BA" w14:textId="5836FDC9"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880" w:type="dxa"/>
            <w:tcBorders>
              <w:top w:val="nil"/>
              <w:left w:val="nil"/>
              <w:bottom w:val="single" w:sz="8" w:space="0" w:color="auto"/>
              <w:right w:val="single" w:sz="4" w:space="0" w:color="auto"/>
            </w:tcBorders>
            <w:shd w:val="clear" w:color="auto" w:fill="auto"/>
            <w:noWrap/>
            <w:vAlign w:val="center"/>
            <w:hideMark/>
          </w:tcPr>
          <w:p w14:paraId="08F18BEA" w14:textId="2A1277D6"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c>
          <w:tcPr>
            <w:tcW w:w="2790" w:type="dxa"/>
            <w:tcBorders>
              <w:top w:val="nil"/>
              <w:left w:val="nil"/>
              <w:bottom w:val="single" w:sz="8" w:space="0" w:color="auto"/>
              <w:right w:val="single" w:sz="8" w:space="0" w:color="auto"/>
            </w:tcBorders>
            <w:shd w:val="clear" w:color="auto" w:fill="auto"/>
            <w:noWrap/>
            <w:vAlign w:val="center"/>
            <w:hideMark/>
          </w:tcPr>
          <w:p w14:paraId="35914967" w14:textId="7DFF9216" w:rsidR="000A2558" w:rsidRPr="009D1EAD" w:rsidRDefault="000A2558" w:rsidP="000A2558">
            <w:pPr>
              <w:spacing w:after="0" w:line="240" w:lineRule="auto"/>
              <w:jc w:val="center"/>
              <w:rPr>
                <w:rFonts w:eastAsia="Times New Roman" w:cs="Arial"/>
                <w:color w:val="000000"/>
              </w:rPr>
            </w:pPr>
            <w:r w:rsidRPr="002C19EB">
              <w:rPr>
                <w:rFonts w:cs="Arial"/>
                <w:b/>
                <w:bCs/>
                <w:iCs/>
                <w:caps/>
                <w:color w:val="000000" w:themeColor="text1"/>
                <w:kern w:val="24"/>
                <w:szCs w:val="40"/>
              </w:rPr>
              <w:t>Redacted</w:t>
            </w:r>
          </w:p>
        </w:tc>
      </w:tr>
      <w:tr w:rsidR="004B689C" w:rsidRPr="00592DAD" w14:paraId="54400448" w14:textId="77777777" w:rsidTr="00663CCB">
        <w:trPr>
          <w:trHeight w:val="300"/>
        </w:trPr>
        <w:tc>
          <w:tcPr>
            <w:tcW w:w="7290" w:type="dxa"/>
            <w:gridSpan w:val="2"/>
            <w:tcBorders>
              <w:top w:val="nil"/>
              <w:left w:val="nil"/>
              <w:bottom w:val="nil"/>
              <w:right w:val="nil"/>
            </w:tcBorders>
            <w:shd w:val="clear" w:color="auto" w:fill="auto"/>
            <w:noWrap/>
            <w:vAlign w:val="bottom"/>
            <w:hideMark/>
          </w:tcPr>
          <w:p w14:paraId="70F3C298" w14:textId="77777777" w:rsidR="004B689C" w:rsidRPr="009D1EAD" w:rsidRDefault="004B689C" w:rsidP="00592DAD">
            <w:pPr>
              <w:spacing w:after="0"/>
              <w:rPr>
                <w:rFonts w:eastAsia="Times New Roman" w:cs="Arial"/>
                <w:color w:val="000000"/>
              </w:rPr>
            </w:pPr>
            <w:r w:rsidRPr="009D1EAD">
              <w:rPr>
                <w:rFonts w:eastAsia="Times New Roman" w:cs="Arial"/>
                <w:color w:val="000000"/>
              </w:rPr>
              <w:t>*GPC ownership dollars only shown</w:t>
            </w:r>
          </w:p>
        </w:tc>
        <w:tc>
          <w:tcPr>
            <w:tcW w:w="2880" w:type="dxa"/>
            <w:tcBorders>
              <w:top w:val="nil"/>
              <w:left w:val="nil"/>
              <w:bottom w:val="nil"/>
              <w:right w:val="nil"/>
            </w:tcBorders>
            <w:shd w:val="clear" w:color="auto" w:fill="auto"/>
            <w:noWrap/>
            <w:vAlign w:val="bottom"/>
            <w:hideMark/>
          </w:tcPr>
          <w:p w14:paraId="527D2D0A" w14:textId="77777777" w:rsidR="004B689C" w:rsidRPr="009D1EAD" w:rsidRDefault="004B689C" w:rsidP="00592DAD">
            <w:pPr>
              <w:spacing w:after="0"/>
              <w:rPr>
                <w:rFonts w:eastAsia="Times New Roman" w:cs="Arial"/>
                <w:color w:val="000000"/>
              </w:rPr>
            </w:pPr>
          </w:p>
        </w:tc>
        <w:tc>
          <w:tcPr>
            <w:tcW w:w="2790" w:type="dxa"/>
            <w:tcBorders>
              <w:top w:val="nil"/>
              <w:left w:val="nil"/>
              <w:bottom w:val="nil"/>
              <w:right w:val="nil"/>
            </w:tcBorders>
            <w:shd w:val="clear" w:color="auto" w:fill="auto"/>
            <w:noWrap/>
            <w:vAlign w:val="bottom"/>
            <w:hideMark/>
          </w:tcPr>
          <w:p w14:paraId="2735C129" w14:textId="77777777" w:rsidR="004B689C" w:rsidRPr="009D1EAD" w:rsidRDefault="004B689C" w:rsidP="00592DAD">
            <w:pPr>
              <w:spacing w:after="0"/>
              <w:rPr>
                <w:rFonts w:eastAsia="Times New Roman" w:cs="Arial"/>
              </w:rPr>
            </w:pPr>
          </w:p>
        </w:tc>
      </w:tr>
    </w:tbl>
    <w:p w14:paraId="21F00CA2" w14:textId="77777777" w:rsidR="000A2558" w:rsidRDefault="000A2558" w:rsidP="002203CB">
      <w:pPr>
        <w:pStyle w:val="BodyText"/>
        <w:spacing w:before="120" w:after="0"/>
        <w:ind w:left="-720"/>
        <w:jc w:val="left"/>
        <w:rPr>
          <w:rFonts w:ascii="Arial" w:hAnsi="Arial" w:cs="Arial"/>
          <w:b/>
          <w:sz w:val="24"/>
          <w:szCs w:val="24"/>
        </w:rPr>
      </w:pPr>
    </w:p>
    <w:p w14:paraId="48ABB2A9" w14:textId="77777777" w:rsidR="000A2558" w:rsidRDefault="000A2558">
      <w:pPr>
        <w:spacing w:after="200" w:line="276" w:lineRule="auto"/>
        <w:jc w:val="left"/>
        <w:rPr>
          <w:rFonts w:eastAsia="Times New Roman" w:cs="Arial"/>
          <w:b/>
          <w:sz w:val="24"/>
          <w:szCs w:val="24"/>
        </w:rPr>
      </w:pPr>
      <w:r>
        <w:rPr>
          <w:rFonts w:cs="Arial"/>
          <w:b/>
          <w:sz w:val="24"/>
          <w:szCs w:val="24"/>
        </w:rPr>
        <w:br w:type="page"/>
      </w:r>
    </w:p>
    <w:p w14:paraId="63D6258F" w14:textId="112161A5" w:rsidR="002203CB" w:rsidRDefault="002203CB" w:rsidP="002203CB">
      <w:pPr>
        <w:pStyle w:val="BodyText"/>
        <w:spacing w:before="120" w:after="0"/>
        <w:ind w:left="-720"/>
        <w:jc w:val="left"/>
        <w:rPr>
          <w:rFonts w:ascii="Arial" w:hAnsi="Arial" w:cs="Arial"/>
          <w:b/>
          <w:sz w:val="24"/>
          <w:szCs w:val="24"/>
        </w:rPr>
      </w:pPr>
      <w:r w:rsidRPr="009D1EAD">
        <w:rPr>
          <w:rFonts w:ascii="Arial" w:hAnsi="Arial" w:cs="Arial"/>
          <w:b/>
          <w:sz w:val="24"/>
          <w:szCs w:val="24"/>
        </w:rPr>
        <w:lastRenderedPageBreak/>
        <w:t>Appendix B</w:t>
      </w:r>
      <w:r w:rsidRPr="009D1EAD">
        <w:rPr>
          <w:rFonts w:ascii="Arial" w:hAnsi="Arial" w:cs="Arial"/>
          <w:b/>
          <w:sz w:val="24"/>
          <w:szCs w:val="24"/>
        </w:rPr>
        <w:br/>
      </w:r>
      <w:r>
        <w:rPr>
          <w:rFonts w:ascii="Arial" w:hAnsi="Arial" w:cs="Arial"/>
          <w:b/>
          <w:sz w:val="24"/>
          <w:szCs w:val="24"/>
        </w:rPr>
        <w:t>Moderate-Gas, Zero-Dollar Carbon</w:t>
      </w:r>
    </w:p>
    <w:p w14:paraId="6755346D" w14:textId="77777777" w:rsidR="002203CB" w:rsidRDefault="002203CB" w:rsidP="002203CB">
      <w:pPr>
        <w:spacing w:after="0"/>
        <w:ind w:left="-720"/>
        <w:rPr>
          <w:rFonts w:cs="Arial"/>
          <w:noProof/>
          <w:szCs w:val="24"/>
        </w:rPr>
      </w:pPr>
      <w:r w:rsidRPr="009D1EAD">
        <w:rPr>
          <w:rFonts w:cs="Arial"/>
          <w:b/>
          <w:sz w:val="24"/>
          <w:szCs w:val="24"/>
        </w:rPr>
        <w:t>NPV (2020-2048) in Millions of Dollars</w:t>
      </w:r>
      <w:r w:rsidRPr="00592DAD">
        <w:rPr>
          <w:rFonts w:cs="Arial"/>
          <w:noProof/>
          <w:szCs w:val="24"/>
        </w:rPr>
        <w:t xml:space="preserve"> </w:t>
      </w:r>
    </w:p>
    <w:tbl>
      <w:tblPr>
        <w:tblpPr w:leftFromText="180" w:rightFromText="180" w:vertAnchor="text" w:horzAnchor="page" w:tblpX="731" w:tblpY="46"/>
        <w:tblW w:w="5568" w:type="pct"/>
        <w:tblLook w:val="04A0" w:firstRow="1" w:lastRow="0" w:firstColumn="1" w:lastColumn="0" w:noHBand="0" w:noVBand="1"/>
      </w:tblPr>
      <w:tblGrid>
        <w:gridCol w:w="439"/>
        <w:gridCol w:w="3608"/>
        <w:gridCol w:w="2593"/>
        <w:gridCol w:w="2592"/>
        <w:gridCol w:w="2592"/>
        <w:gridCol w:w="2592"/>
      </w:tblGrid>
      <w:tr w:rsidR="002203CB" w:rsidRPr="002203CB" w14:paraId="1EC53ABD" w14:textId="77777777" w:rsidTr="000A2558">
        <w:trPr>
          <w:trHeight w:val="300"/>
        </w:trPr>
        <w:tc>
          <w:tcPr>
            <w:tcW w:w="152"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14:paraId="46319000" w14:textId="216B98D6" w:rsidR="002203CB" w:rsidRPr="002203CB" w:rsidRDefault="002203CB" w:rsidP="000A2558">
            <w:pPr>
              <w:spacing w:after="0" w:line="240" w:lineRule="auto"/>
              <w:jc w:val="center"/>
              <w:rPr>
                <w:rFonts w:eastAsia="Times New Roman" w:cs="Arial"/>
                <w:color w:val="000000"/>
                <w:sz w:val="18"/>
                <w:szCs w:val="24"/>
              </w:rPr>
            </w:pPr>
          </w:p>
        </w:tc>
        <w:tc>
          <w:tcPr>
            <w:tcW w:w="1251"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66E2AF6"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Generation Unit Cost and Benefits</w:t>
            </w:r>
          </w:p>
        </w:tc>
        <w:tc>
          <w:tcPr>
            <w:tcW w:w="899" w:type="pct"/>
            <w:tcBorders>
              <w:top w:val="single" w:sz="8" w:space="0" w:color="auto"/>
              <w:left w:val="nil"/>
              <w:bottom w:val="single" w:sz="4" w:space="0" w:color="auto"/>
              <w:right w:val="single" w:sz="4" w:space="0" w:color="auto"/>
            </w:tcBorders>
            <w:shd w:val="clear" w:color="auto" w:fill="auto"/>
            <w:noWrap/>
            <w:vAlign w:val="center"/>
            <w:hideMark/>
          </w:tcPr>
          <w:p w14:paraId="7B730CD6"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Bowen 1-2</w:t>
            </w:r>
          </w:p>
        </w:tc>
        <w:tc>
          <w:tcPr>
            <w:tcW w:w="899" w:type="pct"/>
            <w:tcBorders>
              <w:top w:val="single" w:sz="8" w:space="0" w:color="auto"/>
              <w:left w:val="nil"/>
              <w:bottom w:val="single" w:sz="4" w:space="0" w:color="auto"/>
              <w:right w:val="single" w:sz="4" w:space="0" w:color="auto"/>
            </w:tcBorders>
            <w:shd w:val="clear" w:color="auto" w:fill="auto"/>
            <w:noWrap/>
            <w:vAlign w:val="center"/>
            <w:hideMark/>
          </w:tcPr>
          <w:p w14:paraId="07C0561F"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Bowen 3-4</w:t>
            </w:r>
          </w:p>
        </w:tc>
        <w:tc>
          <w:tcPr>
            <w:tcW w:w="899" w:type="pct"/>
            <w:tcBorders>
              <w:top w:val="single" w:sz="8" w:space="0" w:color="auto"/>
              <w:left w:val="nil"/>
              <w:bottom w:val="single" w:sz="4" w:space="0" w:color="auto"/>
              <w:right w:val="single" w:sz="4" w:space="0" w:color="auto"/>
            </w:tcBorders>
            <w:shd w:val="clear" w:color="auto" w:fill="auto"/>
            <w:noWrap/>
            <w:vAlign w:val="center"/>
            <w:hideMark/>
          </w:tcPr>
          <w:p w14:paraId="761D9648" w14:textId="681B4968" w:rsidR="00A24F31"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Gaston 1-4</w:t>
            </w:r>
          </w:p>
          <w:p w14:paraId="78B497C9" w14:textId="71E194FD"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(GPC Ownership)</w:t>
            </w:r>
          </w:p>
        </w:tc>
        <w:tc>
          <w:tcPr>
            <w:tcW w:w="899" w:type="pct"/>
            <w:tcBorders>
              <w:top w:val="single" w:sz="8" w:space="0" w:color="auto"/>
              <w:left w:val="nil"/>
              <w:bottom w:val="single" w:sz="4" w:space="0" w:color="auto"/>
              <w:right w:val="single" w:sz="4" w:space="0" w:color="auto"/>
            </w:tcBorders>
            <w:shd w:val="clear" w:color="auto" w:fill="auto"/>
            <w:noWrap/>
            <w:vAlign w:val="center"/>
            <w:hideMark/>
          </w:tcPr>
          <w:p w14:paraId="432FE086"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Hammond 1-4</w:t>
            </w:r>
          </w:p>
        </w:tc>
      </w:tr>
      <w:tr w:rsidR="002203CB" w:rsidRPr="002203CB" w14:paraId="6AB0559D" w14:textId="77777777" w:rsidTr="000A2558">
        <w:trPr>
          <w:trHeight w:val="300"/>
        </w:trPr>
        <w:tc>
          <w:tcPr>
            <w:tcW w:w="152" w:type="pct"/>
            <w:vMerge/>
            <w:tcBorders>
              <w:top w:val="single" w:sz="8" w:space="0" w:color="auto"/>
              <w:left w:val="single" w:sz="8" w:space="0" w:color="auto"/>
              <w:bottom w:val="single" w:sz="4" w:space="0" w:color="000000"/>
              <w:right w:val="single" w:sz="4" w:space="0" w:color="auto"/>
            </w:tcBorders>
            <w:vAlign w:val="center"/>
            <w:hideMark/>
          </w:tcPr>
          <w:p w14:paraId="0F6B3822" w14:textId="77777777" w:rsidR="002203CB" w:rsidRPr="002203CB" w:rsidRDefault="002203CB" w:rsidP="000A2558">
            <w:pPr>
              <w:spacing w:after="0" w:line="240" w:lineRule="auto"/>
              <w:jc w:val="center"/>
              <w:rPr>
                <w:rFonts w:eastAsia="Times New Roman" w:cs="Arial"/>
                <w:color w:val="000000"/>
                <w:sz w:val="18"/>
                <w:szCs w:val="24"/>
              </w:rPr>
            </w:pPr>
          </w:p>
        </w:tc>
        <w:tc>
          <w:tcPr>
            <w:tcW w:w="1251" w:type="pct"/>
            <w:vMerge/>
            <w:tcBorders>
              <w:top w:val="single" w:sz="8" w:space="0" w:color="auto"/>
              <w:left w:val="single" w:sz="4" w:space="0" w:color="auto"/>
              <w:bottom w:val="single" w:sz="4" w:space="0" w:color="auto"/>
              <w:right w:val="single" w:sz="4" w:space="0" w:color="auto"/>
            </w:tcBorders>
            <w:vAlign w:val="center"/>
            <w:hideMark/>
          </w:tcPr>
          <w:p w14:paraId="1F55312B" w14:textId="77777777" w:rsidR="002203CB" w:rsidRPr="002203CB" w:rsidRDefault="002203CB" w:rsidP="000A2558">
            <w:pPr>
              <w:spacing w:after="0" w:line="240" w:lineRule="auto"/>
              <w:jc w:val="center"/>
              <w:rPr>
                <w:rFonts w:eastAsia="Times New Roman" w:cs="Arial"/>
                <w:color w:val="000000"/>
                <w:sz w:val="18"/>
                <w:szCs w:val="24"/>
              </w:rPr>
            </w:pPr>
          </w:p>
        </w:tc>
        <w:tc>
          <w:tcPr>
            <w:tcW w:w="899" w:type="pct"/>
            <w:tcBorders>
              <w:top w:val="nil"/>
              <w:left w:val="nil"/>
              <w:bottom w:val="single" w:sz="4" w:space="0" w:color="auto"/>
              <w:right w:val="single" w:sz="4" w:space="0" w:color="auto"/>
            </w:tcBorders>
            <w:shd w:val="clear" w:color="auto" w:fill="auto"/>
            <w:noWrap/>
            <w:vAlign w:val="center"/>
            <w:hideMark/>
          </w:tcPr>
          <w:p w14:paraId="224BF6AB"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899" w:type="pct"/>
            <w:tcBorders>
              <w:top w:val="nil"/>
              <w:left w:val="nil"/>
              <w:bottom w:val="single" w:sz="4" w:space="0" w:color="auto"/>
              <w:right w:val="single" w:sz="4" w:space="0" w:color="auto"/>
            </w:tcBorders>
            <w:shd w:val="clear" w:color="auto" w:fill="auto"/>
            <w:noWrap/>
            <w:vAlign w:val="center"/>
            <w:hideMark/>
          </w:tcPr>
          <w:p w14:paraId="5742D2DD"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899" w:type="pct"/>
            <w:tcBorders>
              <w:top w:val="nil"/>
              <w:left w:val="nil"/>
              <w:bottom w:val="single" w:sz="4" w:space="0" w:color="auto"/>
              <w:right w:val="single" w:sz="4" w:space="0" w:color="auto"/>
            </w:tcBorders>
            <w:shd w:val="clear" w:color="auto" w:fill="auto"/>
            <w:noWrap/>
            <w:vAlign w:val="center"/>
            <w:hideMark/>
          </w:tcPr>
          <w:p w14:paraId="39A052D5"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899" w:type="pct"/>
            <w:tcBorders>
              <w:top w:val="nil"/>
              <w:left w:val="nil"/>
              <w:bottom w:val="single" w:sz="4" w:space="0" w:color="auto"/>
              <w:right w:val="single" w:sz="4" w:space="0" w:color="auto"/>
            </w:tcBorders>
            <w:shd w:val="clear" w:color="auto" w:fill="auto"/>
            <w:noWrap/>
            <w:vAlign w:val="center"/>
            <w:hideMark/>
          </w:tcPr>
          <w:p w14:paraId="56969A75"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r>
      <w:tr w:rsidR="002203CB" w:rsidRPr="002203CB" w14:paraId="4478BC51" w14:textId="77777777" w:rsidTr="000A2558">
        <w:trPr>
          <w:trHeight w:val="300"/>
        </w:trPr>
        <w:tc>
          <w:tcPr>
            <w:tcW w:w="152" w:type="pct"/>
            <w:vMerge/>
            <w:tcBorders>
              <w:top w:val="single" w:sz="8" w:space="0" w:color="auto"/>
              <w:left w:val="single" w:sz="8" w:space="0" w:color="auto"/>
              <w:bottom w:val="single" w:sz="4" w:space="0" w:color="000000"/>
              <w:right w:val="single" w:sz="4" w:space="0" w:color="auto"/>
            </w:tcBorders>
            <w:vAlign w:val="center"/>
            <w:hideMark/>
          </w:tcPr>
          <w:p w14:paraId="09D16372" w14:textId="77777777" w:rsidR="002203CB" w:rsidRPr="002203CB" w:rsidRDefault="002203CB" w:rsidP="000A2558">
            <w:pPr>
              <w:spacing w:after="0" w:line="240" w:lineRule="auto"/>
              <w:jc w:val="center"/>
              <w:rPr>
                <w:rFonts w:eastAsia="Times New Roman" w:cs="Arial"/>
                <w:color w:val="000000"/>
                <w:sz w:val="18"/>
                <w:szCs w:val="24"/>
              </w:rPr>
            </w:pPr>
          </w:p>
        </w:tc>
        <w:tc>
          <w:tcPr>
            <w:tcW w:w="1251" w:type="pct"/>
            <w:vMerge/>
            <w:tcBorders>
              <w:top w:val="single" w:sz="8" w:space="0" w:color="auto"/>
              <w:left w:val="single" w:sz="4" w:space="0" w:color="auto"/>
              <w:bottom w:val="single" w:sz="4" w:space="0" w:color="auto"/>
              <w:right w:val="single" w:sz="4" w:space="0" w:color="auto"/>
            </w:tcBorders>
            <w:vAlign w:val="center"/>
            <w:hideMark/>
          </w:tcPr>
          <w:p w14:paraId="40E0C61C" w14:textId="77777777" w:rsidR="002203CB" w:rsidRPr="002203CB" w:rsidRDefault="002203CB" w:rsidP="000A2558">
            <w:pPr>
              <w:spacing w:after="0" w:line="240" w:lineRule="auto"/>
              <w:jc w:val="center"/>
              <w:rPr>
                <w:rFonts w:eastAsia="Times New Roman" w:cs="Arial"/>
                <w:color w:val="000000"/>
                <w:sz w:val="18"/>
                <w:szCs w:val="24"/>
              </w:rPr>
            </w:pPr>
          </w:p>
        </w:tc>
        <w:tc>
          <w:tcPr>
            <w:tcW w:w="899" w:type="pct"/>
            <w:tcBorders>
              <w:top w:val="nil"/>
              <w:left w:val="nil"/>
              <w:bottom w:val="single" w:sz="4" w:space="0" w:color="auto"/>
              <w:right w:val="single" w:sz="4" w:space="0" w:color="auto"/>
            </w:tcBorders>
            <w:shd w:val="clear" w:color="auto" w:fill="auto"/>
            <w:noWrap/>
            <w:vAlign w:val="center"/>
            <w:hideMark/>
          </w:tcPr>
          <w:p w14:paraId="0A1CF4C5"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CC</w:t>
            </w:r>
          </w:p>
        </w:tc>
        <w:tc>
          <w:tcPr>
            <w:tcW w:w="899" w:type="pct"/>
            <w:tcBorders>
              <w:top w:val="nil"/>
              <w:left w:val="nil"/>
              <w:bottom w:val="single" w:sz="4" w:space="0" w:color="auto"/>
              <w:right w:val="single" w:sz="4" w:space="0" w:color="auto"/>
            </w:tcBorders>
            <w:shd w:val="clear" w:color="auto" w:fill="auto"/>
            <w:noWrap/>
            <w:vAlign w:val="center"/>
            <w:hideMark/>
          </w:tcPr>
          <w:p w14:paraId="13E6DFD1"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CC</w:t>
            </w:r>
          </w:p>
        </w:tc>
        <w:tc>
          <w:tcPr>
            <w:tcW w:w="899" w:type="pct"/>
            <w:tcBorders>
              <w:top w:val="nil"/>
              <w:left w:val="nil"/>
              <w:bottom w:val="single" w:sz="4" w:space="0" w:color="auto"/>
              <w:right w:val="single" w:sz="4" w:space="0" w:color="auto"/>
            </w:tcBorders>
            <w:shd w:val="clear" w:color="auto" w:fill="auto"/>
            <w:noWrap/>
            <w:vAlign w:val="center"/>
            <w:hideMark/>
          </w:tcPr>
          <w:p w14:paraId="1B251BE3"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CT</w:t>
            </w:r>
          </w:p>
        </w:tc>
        <w:tc>
          <w:tcPr>
            <w:tcW w:w="899" w:type="pct"/>
            <w:tcBorders>
              <w:top w:val="nil"/>
              <w:left w:val="nil"/>
              <w:bottom w:val="single" w:sz="4" w:space="0" w:color="auto"/>
              <w:right w:val="single" w:sz="4" w:space="0" w:color="auto"/>
            </w:tcBorders>
            <w:shd w:val="clear" w:color="auto" w:fill="auto"/>
            <w:noWrap/>
            <w:vAlign w:val="center"/>
            <w:hideMark/>
          </w:tcPr>
          <w:p w14:paraId="79AB8776"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CT</w:t>
            </w:r>
          </w:p>
        </w:tc>
      </w:tr>
      <w:tr w:rsidR="000A2558" w:rsidRPr="002203CB" w14:paraId="6B2E02BA" w14:textId="77777777" w:rsidTr="000A2558">
        <w:trPr>
          <w:trHeight w:val="300"/>
        </w:trPr>
        <w:tc>
          <w:tcPr>
            <w:tcW w:w="152" w:type="pct"/>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66DD5267"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Replacement Unit</w:t>
            </w:r>
          </w:p>
        </w:tc>
        <w:tc>
          <w:tcPr>
            <w:tcW w:w="1251" w:type="pct"/>
            <w:tcBorders>
              <w:top w:val="nil"/>
              <w:left w:val="nil"/>
              <w:bottom w:val="single" w:sz="4" w:space="0" w:color="auto"/>
              <w:right w:val="single" w:sz="4" w:space="0" w:color="auto"/>
            </w:tcBorders>
            <w:shd w:val="clear" w:color="auto" w:fill="auto"/>
            <w:noWrap/>
            <w:vAlign w:val="center"/>
            <w:hideMark/>
          </w:tcPr>
          <w:p w14:paraId="53AF3799"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Energy</w:t>
            </w:r>
          </w:p>
        </w:tc>
        <w:tc>
          <w:tcPr>
            <w:tcW w:w="899" w:type="pct"/>
            <w:tcBorders>
              <w:top w:val="nil"/>
              <w:left w:val="nil"/>
              <w:bottom w:val="single" w:sz="4" w:space="0" w:color="auto"/>
              <w:right w:val="single" w:sz="4" w:space="0" w:color="auto"/>
            </w:tcBorders>
            <w:shd w:val="clear" w:color="auto" w:fill="auto"/>
            <w:noWrap/>
            <w:vAlign w:val="center"/>
            <w:hideMark/>
          </w:tcPr>
          <w:p w14:paraId="03F4BDEE" w14:textId="4F42C35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F2702AA" w14:textId="6A5E844A"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769E1E3A" w14:textId="43E6985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2AFA9B8C" w14:textId="302F5F1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7418A7BC"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5F2B949A"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25F0BBAD"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Capacity</w:t>
            </w:r>
          </w:p>
        </w:tc>
        <w:tc>
          <w:tcPr>
            <w:tcW w:w="899" w:type="pct"/>
            <w:tcBorders>
              <w:top w:val="nil"/>
              <w:left w:val="nil"/>
              <w:bottom w:val="single" w:sz="4" w:space="0" w:color="auto"/>
              <w:right w:val="single" w:sz="4" w:space="0" w:color="auto"/>
            </w:tcBorders>
            <w:shd w:val="clear" w:color="auto" w:fill="auto"/>
            <w:noWrap/>
            <w:vAlign w:val="center"/>
            <w:hideMark/>
          </w:tcPr>
          <w:p w14:paraId="1F5CAC9F" w14:textId="2F6514F9"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1572242" w14:textId="4CADAAA1"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6CA174A" w14:textId="227C3B2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1EC5F81" w14:textId="09A54DF6"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7CAF90AC"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70E7C943"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0720F3D3"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Avoided Transmission</w:t>
            </w:r>
          </w:p>
        </w:tc>
        <w:tc>
          <w:tcPr>
            <w:tcW w:w="899" w:type="pct"/>
            <w:tcBorders>
              <w:top w:val="nil"/>
              <w:left w:val="nil"/>
              <w:bottom w:val="single" w:sz="4" w:space="0" w:color="auto"/>
              <w:right w:val="single" w:sz="4" w:space="0" w:color="auto"/>
            </w:tcBorders>
            <w:shd w:val="clear" w:color="auto" w:fill="auto"/>
            <w:noWrap/>
            <w:vAlign w:val="center"/>
            <w:hideMark/>
          </w:tcPr>
          <w:p w14:paraId="16368919" w14:textId="30692E6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5363456" w14:textId="38E4CD2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B82A02F" w14:textId="0AB2E07E"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6D47F5DA" w14:textId="687E662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2100B8A8"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764E06A6"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2A620B5D"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 Unit Maintenance Capital</w:t>
            </w:r>
          </w:p>
        </w:tc>
        <w:tc>
          <w:tcPr>
            <w:tcW w:w="899" w:type="pct"/>
            <w:tcBorders>
              <w:top w:val="nil"/>
              <w:left w:val="nil"/>
              <w:bottom w:val="single" w:sz="4" w:space="0" w:color="auto"/>
              <w:right w:val="single" w:sz="4" w:space="0" w:color="auto"/>
            </w:tcBorders>
            <w:shd w:val="clear" w:color="auto" w:fill="auto"/>
            <w:noWrap/>
            <w:vAlign w:val="center"/>
            <w:hideMark/>
          </w:tcPr>
          <w:p w14:paraId="0E5AA869" w14:textId="09413E39"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6FB6B68" w14:textId="21E8267A"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36545584" w14:textId="3E2CFB14"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C616F89" w14:textId="19D9045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66099C0C"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33B8CF5C"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53F7DD74"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Fixed O&amp;M</w:t>
            </w:r>
          </w:p>
        </w:tc>
        <w:tc>
          <w:tcPr>
            <w:tcW w:w="899" w:type="pct"/>
            <w:tcBorders>
              <w:top w:val="nil"/>
              <w:left w:val="nil"/>
              <w:bottom w:val="single" w:sz="4" w:space="0" w:color="auto"/>
              <w:right w:val="single" w:sz="4" w:space="0" w:color="auto"/>
            </w:tcBorders>
            <w:shd w:val="clear" w:color="auto" w:fill="auto"/>
            <w:noWrap/>
            <w:vAlign w:val="center"/>
            <w:hideMark/>
          </w:tcPr>
          <w:p w14:paraId="66F78D98" w14:textId="490D9B9C"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1FFF3FC" w14:textId="713DEC8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33FD661" w14:textId="14E6BE2D"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30FF3D3" w14:textId="4A78831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77DE441C"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19B4739E"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3AC44685" w14:textId="77777777" w:rsidR="000A2558" w:rsidRPr="002203CB" w:rsidRDefault="000A2558" w:rsidP="000A2558">
            <w:pPr>
              <w:spacing w:after="0" w:line="240" w:lineRule="auto"/>
              <w:jc w:val="center"/>
              <w:rPr>
                <w:rFonts w:eastAsia="Times New Roman" w:cs="Arial"/>
                <w:color w:val="000000"/>
                <w:sz w:val="18"/>
                <w:szCs w:val="24"/>
              </w:rPr>
            </w:pPr>
            <w:proofErr w:type="spellStart"/>
            <w:r w:rsidRPr="002203CB">
              <w:rPr>
                <w:rFonts w:eastAsia="Times New Roman" w:cs="Arial"/>
                <w:color w:val="000000"/>
                <w:sz w:val="18"/>
                <w:szCs w:val="24"/>
              </w:rPr>
              <w:t>InService</w:t>
            </w:r>
            <w:proofErr w:type="spellEnd"/>
            <w:r w:rsidRPr="002203CB">
              <w:rPr>
                <w:rFonts w:eastAsia="Times New Roman" w:cs="Arial"/>
                <w:color w:val="000000"/>
                <w:sz w:val="18"/>
                <w:szCs w:val="24"/>
              </w:rPr>
              <w:t xml:space="preserve"> Capital</w:t>
            </w:r>
          </w:p>
        </w:tc>
        <w:tc>
          <w:tcPr>
            <w:tcW w:w="899" w:type="pct"/>
            <w:tcBorders>
              <w:top w:val="nil"/>
              <w:left w:val="nil"/>
              <w:bottom w:val="single" w:sz="4" w:space="0" w:color="auto"/>
              <w:right w:val="single" w:sz="4" w:space="0" w:color="auto"/>
            </w:tcBorders>
            <w:shd w:val="clear" w:color="auto" w:fill="auto"/>
            <w:noWrap/>
            <w:vAlign w:val="center"/>
            <w:hideMark/>
          </w:tcPr>
          <w:p w14:paraId="16D23928" w14:textId="6414777C"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9E76908" w14:textId="025E8B2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DB525E8" w14:textId="5A4E217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097C127F" w14:textId="36BB7F35"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7458B9C8"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24E7EC4C"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7060D87A"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Firm Gas Transportation</w:t>
            </w:r>
          </w:p>
        </w:tc>
        <w:tc>
          <w:tcPr>
            <w:tcW w:w="899" w:type="pct"/>
            <w:tcBorders>
              <w:top w:val="nil"/>
              <w:left w:val="nil"/>
              <w:bottom w:val="single" w:sz="4" w:space="0" w:color="auto"/>
              <w:right w:val="single" w:sz="4" w:space="0" w:color="auto"/>
            </w:tcBorders>
            <w:shd w:val="clear" w:color="auto" w:fill="auto"/>
            <w:noWrap/>
            <w:vAlign w:val="center"/>
            <w:hideMark/>
          </w:tcPr>
          <w:p w14:paraId="4E5DBB5A" w14:textId="1AD42461"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7CE94F6C" w14:textId="0F97AB0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D98D95F" w14:textId="64E4F9D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0BD7E429" w14:textId="2B168A4B"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6D498E14" w14:textId="77777777" w:rsidTr="000A2558">
        <w:trPr>
          <w:trHeight w:val="315"/>
        </w:trPr>
        <w:tc>
          <w:tcPr>
            <w:tcW w:w="152" w:type="pct"/>
            <w:vMerge/>
            <w:tcBorders>
              <w:top w:val="nil"/>
              <w:left w:val="single" w:sz="8" w:space="0" w:color="auto"/>
              <w:bottom w:val="single" w:sz="4" w:space="0" w:color="auto"/>
              <w:right w:val="single" w:sz="4" w:space="0" w:color="auto"/>
            </w:tcBorders>
            <w:vAlign w:val="center"/>
            <w:hideMark/>
          </w:tcPr>
          <w:p w14:paraId="0ADC130A"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nil"/>
              <w:right w:val="single" w:sz="4" w:space="0" w:color="auto"/>
            </w:tcBorders>
            <w:shd w:val="clear" w:color="auto" w:fill="auto"/>
            <w:noWrap/>
            <w:vAlign w:val="center"/>
            <w:hideMark/>
          </w:tcPr>
          <w:p w14:paraId="37D310F8"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Transmission Delivery</w:t>
            </w:r>
          </w:p>
        </w:tc>
        <w:tc>
          <w:tcPr>
            <w:tcW w:w="899" w:type="pct"/>
            <w:tcBorders>
              <w:top w:val="nil"/>
              <w:left w:val="nil"/>
              <w:bottom w:val="nil"/>
              <w:right w:val="single" w:sz="4" w:space="0" w:color="auto"/>
            </w:tcBorders>
            <w:shd w:val="clear" w:color="auto" w:fill="auto"/>
            <w:noWrap/>
            <w:vAlign w:val="center"/>
            <w:hideMark/>
          </w:tcPr>
          <w:p w14:paraId="373EC59F" w14:textId="0A92171C"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nil"/>
              <w:right w:val="single" w:sz="4" w:space="0" w:color="auto"/>
            </w:tcBorders>
            <w:shd w:val="clear" w:color="auto" w:fill="auto"/>
            <w:noWrap/>
            <w:vAlign w:val="center"/>
            <w:hideMark/>
          </w:tcPr>
          <w:p w14:paraId="7E304232" w14:textId="4E26DDD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nil"/>
              <w:right w:val="single" w:sz="4" w:space="0" w:color="auto"/>
            </w:tcBorders>
            <w:shd w:val="clear" w:color="auto" w:fill="auto"/>
            <w:noWrap/>
            <w:vAlign w:val="center"/>
            <w:hideMark/>
          </w:tcPr>
          <w:p w14:paraId="1C686569" w14:textId="663A6BA4"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nil"/>
              <w:right w:val="single" w:sz="4" w:space="0" w:color="auto"/>
            </w:tcBorders>
            <w:shd w:val="clear" w:color="auto" w:fill="auto"/>
            <w:noWrap/>
            <w:vAlign w:val="center"/>
            <w:hideMark/>
          </w:tcPr>
          <w:p w14:paraId="6C0740B0" w14:textId="739E205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6279CEFF" w14:textId="77777777" w:rsidTr="000A2558">
        <w:trPr>
          <w:trHeight w:val="315"/>
        </w:trPr>
        <w:tc>
          <w:tcPr>
            <w:tcW w:w="152"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9DC9611" w14:textId="37D318F1"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single" w:sz="8" w:space="0" w:color="auto"/>
              <w:left w:val="nil"/>
              <w:bottom w:val="single" w:sz="8" w:space="0" w:color="auto"/>
              <w:right w:val="single" w:sz="4" w:space="0" w:color="auto"/>
            </w:tcBorders>
            <w:shd w:val="clear" w:color="auto" w:fill="auto"/>
            <w:noWrap/>
            <w:vAlign w:val="center"/>
            <w:hideMark/>
          </w:tcPr>
          <w:p w14:paraId="5E75ED4E"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Total Replacement Benefits to the System</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6D1DAF16" w14:textId="44FB5AB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26D2D275" w14:textId="1CC85BD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00E0A8E7" w14:textId="427AF71E"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45BC4397" w14:textId="6024539C"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6F188425" w14:textId="77777777" w:rsidTr="000A2558">
        <w:trPr>
          <w:trHeight w:val="300"/>
        </w:trPr>
        <w:tc>
          <w:tcPr>
            <w:tcW w:w="152" w:type="pct"/>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7606FB74"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Existing Unit</w:t>
            </w:r>
          </w:p>
        </w:tc>
        <w:tc>
          <w:tcPr>
            <w:tcW w:w="1251" w:type="pct"/>
            <w:tcBorders>
              <w:top w:val="nil"/>
              <w:left w:val="nil"/>
              <w:bottom w:val="single" w:sz="4" w:space="0" w:color="auto"/>
              <w:right w:val="single" w:sz="4" w:space="0" w:color="auto"/>
            </w:tcBorders>
            <w:shd w:val="clear" w:color="auto" w:fill="auto"/>
            <w:noWrap/>
            <w:vAlign w:val="center"/>
            <w:hideMark/>
          </w:tcPr>
          <w:p w14:paraId="04E983C9"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Energy</w:t>
            </w:r>
          </w:p>
        </w:tc>
        <w:tc>
          <w:tcPr>
            <w:tcW w:w="899" w:type="pct"/>
            <w:tcBorders>
              <w:top w:val="nil"/>
              <w:left w:val="nil"/>
              <w:bottom w:val="single" w:sz="4" w:space="0" w:color="auto"/>
              <w:right w:val="single" w:sz="4" w:space="0" w:color="auto"/>
            </w:tcBorders>
            <w:shd w:val="clear" w:color="auto" w:fill="auto"/>
            <w:noWrap/>
            <w:vAlign w:val="center"/>
            <w:hideMark/>
          </w:tcPr>
          <w:p w14:paraId="0D716634" w14:textId="3AEB935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26A8480" w14:textId="734F94C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B69F166" w14:textId="46C372F6"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0A5EBA2A" w14:textId="15D3AC2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5AB9BBF7"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1A9263B3"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7D077F00"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Capacity</w:t>
            </w:r>
          </w:p>
        </w:tc>
        <w:tc>
          <w:tcPr>
            <w:tcW w:w="899" w:type="pct"/>
            <w:tcBorders>
              <w:top w:val="nil"/>
              <w:left w:val="nil"/>
              <w:bottom w:val="single" w:sz="4" w:space="0" w:color="auto"/>
              <w:right w:val="single" w:sz="4" w:space="0" w:color="auto"/>
            </w:tcBorders>
            <w:shd w:val="clear" w:color="auto" w:fill="auto"/>
            <w:noWrap/>
            <w:vAlign w:val="center"/>
            <w:hideMark/>
          </w:tcPr>
          <w:p w14:paraId="23A00CF3" w14:textId="2755C1D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E1D9A1F" w14:textId="0674A7A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60AE7AEA" w14:textId="47CCE155"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20AE532D" w14:textId="1CCCC39B"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498AA0A6"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226CCBAC"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42CE5043"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Avoided Transmission</w:t>
            </w:r>
          </w:p>
        </w:tc>
        <w:tc>
          <w:tcPr>
            <w:tcW w:w="899" w:type="pct"/>
            <w:tcBorders>
              <w:top w:val="nil"/>
              <w:left w:val="nil"/>
              <w:bottom w:val="single" w:sz="4" w:space="0" w:color="auto"/>
              <w:right w:val="single" w:sz="4" w:space="0" w:color="auto"/>
            </w:tcBorders>
            <w:shd w:val="clear" w:color="auto" w:fill="auto"/>
            <w:noWrap/>
            <w:vAlign w:val="center"/>
            <w:hideMark/>
          </w:tcPr>
          <w:p w14:paraId="7FE9FED1" w14:textId="61850AEC"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EE18805" w14:textId="09349D0B"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3D2BF777" w14:textId="3F9D97EE"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5AC16D4A" w14:textId="11A3AA6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590A430D"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6641E84E"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0979D6AD"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Eval Unit Maintenance Capital</w:t>
            </w:r>
          </w:p>
        </w:tc>
        <w:tc>
          <w:tcPr>
            <w:tcW w:w="899" w:type="pct"/>
            <w:tcBorders>
              <w:top w:val="nil"/>
              <w:left w:val="nil"/>
              <w:bottom w:val="single" w:sz="4" w:space="0" w:color="auto"/>
              <w:right w:val="single" w:sz="4" w:space="0" w:color="auto"/>
            </w:tcBorders>
            <w:shd w:val="clear" w:color="auto" w:fill="auto"/>
            <w:noWrap/>
            <w:vAlign w:val="center"/>
            <w:hideMark/>
          </w:tcPr>
          <w:p w14:paraId="222D5243" w14:textId="653FDBB5"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3FB99CA5" w14:textId="48C8CAD7"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4EBB4AA5" w14:textId="25418ABB"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022B7A94" w14:textId="0CD91259"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6E54D190"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79BB27E8"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1BF6EC7D"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Fixed O&amp;M</w:t>
            </w:r>
          </w:p>
        </w:tc>
        <w:tc>
          <w:tcPr>
            <w:tcW w:w="899" w:type="pct"/>
            <w:tcBorders>
              <w:top w:val="nil"/>
              <w:left w:val="nil"/>
              <w:bottom w:val="single" w:sz="4" w:space="0" w:color="auto"/>
              <w:right w:val="single" w:sz="4" w:space="0" w:color="auto"/>
            </w:tcBorders>
            <w:shd w:val="clear" w:color="auto" w:fill="auto"/>
            <w:noWrap/>
            <w:vAlign w:val="center"/>
            <w:hideMark/>
          </w:tcPr>
          <w:p w14:paraId="6ADB3EF7" w14:textId="74A9D04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780B7579" w14:textId="4465F68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6AA6AAF3" w14:textId="20447F55"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6F92032" w14:textId="1A50DF9D"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26ED91D8"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46F87261"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4448D0D3"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Firm Gas Transportation</w:t>
            </w:r>
          </w:p>
        </w:tc>
        <w:tc>
          <w:tcPr>
            <w:tcW w:w="899" w:type="pct"/>
            <w:tcBorders>
              <w:top w:val="nil"/>
              <w:left w:val="nil"/>
              <w:bottom w:val="single" w:sz="4" w:space="0" w:color="auto"/>
              <w:right w:val="single" w:sz="4" w:space="0" w:color="auto"/>
            </w:tcBorders>
            <w:shd w:val="clear" w:color="auto" w:fill="auto"/>
            <w:noWrap/>
            <w:vAlign w:val="center"/>
            <w:hideMark/>
          </w:tcPr>
          <w:p w14:paraId="38800379" w14:textId="039072E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2212041D" w14:textId="46BF48DB"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28348722" w14:textId="655CFAE1"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0230D87B" w14:textId="162D261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3EDAE9D5" w14:textId="77777777" w:rsidTr="000A2558">
        <w:trPr>
          <w:trHeight w:val="300"/>
        </w:trPr>
        <w:tc>
          <w:tcPr>
            <w:tcW w:w="152" w:type="pct"/>
            <w:vMerge/>
            <w:tcBorders>
              <w:top w:val="nil"/>
              <w:left w:val="single" w:sz="8" w:space="0" w:color="auto"/>
              <w:bottom w:val="single" w:sz="4" w:space="0" w:color="auto"/>
              <w:right w:val="single" w:sz="4" w:space="0" w:color="auto"/>
            </w:tcBorders>
            <w:vAlign w:val="center"/>
            <w:hideMark/>
          </w:tcPr>
          <w:p w14:paraId="0300D6EE"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4" w:space="0" w:color="auto"/>
              <w:right w:val="single" w:sz="4" w:space="0" w:color="auto"/>
            </w:tcBorders>
            <w:shd w:val="clear" w:color="auto" w:fill="auto"/>
            <w:noWrap/>
            <w:vAlign w:val="center"/>
            <w:hideMark/>
          </w:tcPr>
          <w:p w14:paraId="52420934"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Environmental Capital</w:t>
            </w:r>
          </w:p>
        </w:tc>
        <w:tc>
          <w:tcPr>
            <w:tcW w:w="899" w:type="pct"/>
            <w:tcBorders>
              <w:top w:val="nil"/>
              <w:left w:val="nil"/>
              <w:bottom w:val="single" w:sz="4" w:space="0" w:color="auto"/>
              <w:right w:val="single" w:sz="4" w:space="0" w:color="auto"/>
            </w:tcBorders>
            <w:shd w:val="clear" w:color="auto" w:fill="auto"/>
            <w:noWrap/>
            <w:vAlign w:val="center"/>
            <w:hideMark/>
          </w:tcPr>
          <w:p w14:paraId="4A67F831" w14:textId="6A9EB86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1A95AA7" w14:textId="40414CA6"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29076CE5" w14:textId="2930C7E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4" w:space="0" w:color="auto"/>
              <w:right w:val="single" w:sz="4" w:space="0" w:color="auto"/>
            </w:tcBorders>
            <w:shd w:val="clear" w:color="auto" w:fill="auto"/>
            <w:noWrap/>
            <w:vAlign w:val="center"/>
            <w:hideMark/>
          </w:tcPr>
          <w:p w14:paraId="1CE957D3" w14:textId="74A8F7B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0DCE3F12" w14:textId="77777777" w:rsidTr="000A2558">
        <w:trPr>
          <w:trHeight w:val="315"/>
        </w:trPr>
        <w:tc>
          <w:tcPr>
            <w:tcW w:w="152" w:type="pct"/>
            <w:vMerge/>
            <w:tcBorders>
              <w:top w:val="nil"/>
              <w:left w:val="single" w:sz="8" w:space="0" w:color="auto"/>
              <w:bottom w:val="single" w:sz="4" w:space="0" w:color="auto"/>
              <w:right w:val="single" w:sz="4" w:space="0" w:color="auto"/>
            </w:tcBorders>
            <w:vAlign w:val="center"/>
            <w:hideMark/>
          </w:tcPr>
          <w:p w14:paraId="6F496259"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nil"/>
              <w:right w:val="single" w:sz="4" w:space="0" w:color="auto"/>
            </w:tcBorders>
            <w:shd w:val="clear" w:color="auto" w:fill="auto"/>
            <w:noWrap/>
            <w:vAlign w:val="center"/>
            <w:hideMark/>
          </w:tcPr>
          <w:p w14:paraId="6D4EE598"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Environmental O&amp;M</w:t>
            </w:r>
          </w:p>
        </w:tc>
        <w:tc>
          <w:tcPr>
            <w:tcW w:w="899" w:type="pct"/>
            <w:tcBorders>
              <w:top w:val="nil"/>
              <w:left w:val="nil"/>
              <w:bottom w:val="single" w:sz="8" w:space="0" w:color="auto"/>
              <w:right w:val="single" w:sz="4" w:space="0" w:color="auto"/>
            </w:tcBorders>
            <w:shd w:val="clear" w:color="auto" w:fill="auto"/>
            <w:noWrap/>
            <w:vAlign w:val="center"/>
            <w:hideMark/>
          </w:tcPr>
          <w:p w14:paraId="06CADC67" w14:textId="04D51C56"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8" w:space="0" w:color="auto"/>
              <w:right w:val="single" w:sz="4" w:space="0" w:color="auto"/>
            </w:tcBorders>
            <w:shd w:val="clear" w:color="auto" w:fill="auto"/>
            <w:noWrap/>
            <w:vAlign w:val="center"/>
            <w:hideMark/>
          </w:tcPr>
          <w:p w14:paraId="2F76095A" w14:textId="6AC41DA4"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nil"/>
              <w:right w:val="single" w:sz="4" w:space="0" w:color="auto"/>
            </w:tcBorders>
            <w:shd w:val="clear" w:color="auto" w:fill="auto"/>
            <w:noWrap/>
            <w:vAlign w:val="center"/>
            <w:hideMark/>
          </w:tcPr>
          <w:p w14:paraId="5E51826F" w14:textId="399C967D"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nil"/>
              <w:right w:val="single" w:sz="4" w:space="0" w:color="auto"/>
            </w:tcBorders>
            <w:shd w:val="clear" w:color="auto" w:fill="auto"/>
            <w:noWrap/>
            <w:vAlign w:val="center"/>
            <w:hideMark/>
          </w:tcPr>
          <w:p w14:paraId="7805B3C3" w14:textId="44A23E7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107C8B9F" w14:textId="77777777" w:rsidTr="000A2558">
        <w:trPr>
          <w:trHeight w:val="315"/>
        </w:trPr>
        <w:tc>
          <w:tcPr>
            <w:tcW w:w="152"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C565980" w14:textId="3870AF2A"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single" w:sz="8" w:space="0" w:color="auto"/>
              <w:left w:val="nil"/>
              <w:bottom w:val="single" w:sz="8" w:space="0" w:color="auto"/>
              <w:right w:val="single" w:sz="4" w:space="0" w:color="auto"/>
            </w:tcBorders>
            <w:shd w:val="clear" w:color="auto" w:fill="auto"/>
            <w:noWrap/>
            <w:vAlign w:val="center"/>
            <w:hideMark/>
          </w:tcPr>
          <w:p w14:paraId="57B453AC"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Total Evaluation Benefit to the System</w:t>
            </w:r>
          </w:p>
        </w:tc>
        <w:tc>
          <w:tcPr>
            <w:tcW w:w="899" w:type="pct"/>
            <w:tcBorders>
              <w:top w:val="nil"/>
              <w:left w:val="nil"/>
              <w:bottom w:val="single" w:sz="8" w:space="0" w:color="auto"/>
              <w:right w:val="single" w:sz="4" w:space="0" w:color="auto"/>
            </w:tcBorders>
            <w:shd w:val="clear" w:color="auto" w:fill="auto"/>
            <w:noWrap/>
            <w:vAlign w:val="center"/>
            <w:hideMark/>
          </w:tcPr>
          <w:p w14:paraId="3BFAD4F6" w14:textId="425859CE"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8" w:space="0" w:color="auto"/>
              <w:right w:val="single" w:sz="4" w:space="0" w:color="auto"/>
            </w:tcBorders>
            <w:shd w:val="clear" w:color="auto" w:fill="auto"/>
            <w:noWrap/>
            <w:vAlign w:val="center"/>
            <w:hideMark/>
          </w:tcPr>
          <w:p w14:paraId="20C8B54A" w14:textId="4A212C2F"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4EDF9C24" w14:textId="63FBEB56"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single" w:sz="8" w:space="0" w:color="auto"/>
              <w:left w:val="nil"/>
              <w:bottom w:val="single" w:sz="8" w:space="0" w:color="auto"/>
              <w:right w:val="single" w:sz="4" w:space="0" w:color="auto"/>
            </w:tcBorders>
            <w:shd w:val="clear" w:color="auto" w:fill="auto"/>
            <w:noWrap/>
            <w:vAlign w:val="center"/>
            <w:hideMark/>
          </w:tcPr>
          <w:p w14:paraId="7375FD1F" w14:textId="741AB9E2"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r w:rsidR="000A2558" w:rsidRPr="002203CB" w14:paraId="48B1BB43" w14:textId="77777777" w:rsidTr="000A2558">
        <w:trPr>
          <w:trHeight w:val="315"/>
        </w:trPr>
        <w:tc>
          <w:tcPr>
            <w:tcW w:w="152" w:type="pct"/>
            <w:vMerge/>
            <w:tcBorders>
              <w:top w:val="single" w:sz="8" w:space="0" w:color="auto"/>
              <w:left w:val="single" w:sz="8" w:space="0" w:color="auto"/>
              <w:bottom w:val="single" w:sz="8" w:space="0" w:color="000000"/>
              <w:right w:val="single" w:sz="4" w:space="0" w:color="auto"/>
            </w:tcBorders>
            <w:vAlign w:val="center"/>
            <w:hideMark/>
          </w:tcPr>
          <w:p w14:paraId="150501E5" w14:textId="77777777" w:rsidR="000A2558" w:rsidRPr="002203CB" w:rsidRDefault="000A2558" w:rsidP="000A2558">
            <w:pPr>
              <w:spacing w:after="0" w:line="240" w:lineRule="auto"/>
              <w:jc w:val="center"/>
              <w:rPr>
                <w:rFonts w:eastAsia="Times New Roman" w:cs="Arial"/>
                <w:color w:val="000000"/>
                <w:sz w:val="18"/>
                <w:szCs w:val="24"/>
              </w:rPr>
            </w:pPr>
          </w:p>
        </w:tc>
        <w:tc>
          <w:tcPr>
            <w:tcW w:w="1251" w:type="pct"/>
            <w:tcBorders>
              <w:top w:val="nil"/>
              <w:left w:val="nil"/>
              <w:bottom w:val="single" w:sz="8" w:space="0" w:color="auto"/>
              <w:right w:val="single" w:sz="4" w:space="0" w:color="auto"/>
            </w:tcBorders>
            <w:shd w:val="clear" w:color="000000" w:fill="EEECE1"/>
            <w:noWrap/>
            <w:vAlign w:val="center"/>
            <w:hideMark/>
          </w:tcPr>
          <w:p w14:paraId="7C266B54"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Net Benefit (Existing minus Replacement)</w:t>
            </w:r>
          </w:p>
        </w:tc>
        <w:tc>
          <w:tcPr>
            <w:tcW w:w="899" w:type="pct"/>
            <w:tcBorders>
              <w:top w:val="nil"/>
              <w:left w:val="nil"/>
              <w:bottom w:val="single" w:sz="8" w:space="0" w:color="auto"/>
              <w:right w:val="single" w:sz="4" w:space="0" w:color="auto"/>
            </w:tcBorders>
            <w:shd w:val="clear" w:color="000000" w:fill="EEECE1"/>
            <w:noWrap/>
            <w:vAlign w:val="center"/>
            <w:hideMark/>
          </w:tcPr>
          <w:p w14:paraId="68F07E1C" w14:textId="2D718E48"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8" w:space="0" w:color="auto"/>
              <w:right w:val="single" w:sz="4" w:space="0" w:color="auto"/>
            </w:tcBorders>
            <w:shd w:val="clear" w:color="000000" w:fill="EEECE1"/>
            <w:noWrap/>
            <w:vAlign w:val="center"/>
            <w:hideMark/>
          </w:tcPr>
          <w:p w14:paraId="6D22D71B" w14:textId="6B9B24B3"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8" w:space="0" w:color="auto"/>
              <w:right w:val="single" w:sz="4" w:space="0" w:color="auto"/>
            </w:tcBorders>
            <w:shd w:val="clear" w:color="000000" w:fill="EEECE1"/>
            <w:noWrap/>
            <w:vAlign w:val="center"/>
            <w:hideMark/>
          </w:tcPr>
          <w:p w14:paraId="6CA305F7" w14:textId="1C2330DE"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c>
          <w:tcPr>
            <w:tcW w:w="899" w:type="pct"/>
            <w:tcBorders>
              <w:top w:val="nil"/>
              <w:left w:val="nil"/>
              <w:bottom w:val="single" w:sz="8" w:space="0" w:color="auto"/>
              <w:right w:val="single" w:sz="4" w:space="0" w:color="auto"/>
            </w:tcBorders>
            <w:shd w:val="clear" w:color="000000" w:fill="EEECE1"/>
            <w:noWrap/>
            <w:vAlign w:val="center"/>
            <w:hideMark/>
          </w:tcPr>
          <w:p w14:paraId="4528C8F2" w14:textId="5AA648E1" w:rsidR="000A2558" w:rsidRPr="000A2558" w:rsidRDefault="000A2558" w:rsidP="000A2558">
            <w:pPr>
              <w:spacing w:after="0" w:line="240" w:lineRule="auto"/>
              <w:jc w:val="center"/>
              <w:rPr>
                <w:rFonts w:eastAsia="Times New Roman" w:cs="Arial"/>
                <w:color w:val="000000"/>
              </w:rPr>
            </w:pPr>
            <w:r w:rsidRPr="000A2558">
              <w:rPr>
                <w:rFonts w:cs="Arial"/>
                <w:b/>
                <w:bCs/>
                <w:iCs/>
                <w:caps/>
                <w:color w:val="000000" w:themeColor="text1"/>
                <w:kern w:val="24"/>
              </w:rPr>
              <w:t>Redacted</w:t>
            </w:r>
          </w:p>
        </w:tc>
      </w:tr>
    </w:tbl>
    <w:p w14:paraId="4084D9DC" w14:textId="77777777" w:rsidR="000A2558" w:rsidRDefault="000A2558" w:rsidP="009D1EAD">
      <w:pPr>
        <w:pStyle w:val="BodyText"/>
        <w:spacing w:before="120" w:after="0"/>
        <w:ind w:left="-720"/>
        <w:jc w:val="left"/>
        <w:rPr>
          <w:rFonts w:ascii="Arial" w:hAnsi="Arial" w:cs="Arial"/>
          <w:b/>
          <w:sz w:val="24"/>
          <w:szCs w:val="24"/>
        </w:rPr>
      </w:pPr>
    </w:p>
    <w:p w14:paraId="6A0AE783" w14:textId="77777777" w:rsidR="000A2558" w:rsidRDefault="000A2558">
      <w:pPr>
        <w:spacing w:after="200" w:line="276" w:lineRule="auto"/>
        <w:jc w:val="left"/>
        <w:rPr>
          <w:rFonts w:eastAsia="Times New Roman" w:cs="Arial"/>
          <w:b/>
          <w:sz w:val="24"/>
          <w:szCs w:val="24"/>
        </w:rPr>
      </w:pPr>
      <w:r>
        <w:rPr>
          <w:rFonts w:cs="Arial"/>
          <w:b/>
          <w:sz w:val="24"/>
          <w:szCs w:val="24"/>
        </w:rPr>
        <w:br w:type="page"/>
      </w:r>
    </w:p>
    <w:p w14:paraId="404B178E" w14:textId="43A69E12" w:rsidR="0047178E" w:rsidRPr="009D1EAD" w:rsidRDefault="0047178E" w:rsidP="009D1EAD">
      <w:pPr>
        <w:pStyle w:val="BodyText"/>
        <w:spacing w:before="120" w:after="0"/>
        <w:ind w:left="-720"/>
        <w:jc w:val="left"/>
        <w:rPr>
          <w:rFonts w:ascii="Arial" w:hAnsi="Arial" w:cs="Arial"/>
          <w:b/>
          <w:sz w:val="24"/>
          <w:szCs w:val="24"/>
        </w:rPr>
      </w:pPr>
      <w:r w:rsidRPr="009D1EAD">
        <w:rPr>
          <w:rFonts w:ascii="Arial" w:hAnsi="Arial" w:cs="Arial"/>
          <w:b/>
          <w:sz w:val="24"/>
          <w:szCs w:val="24"/>
        </w:rPr>
        <w:lastRenderedPageBreak/>
        <w:t>Appendix B</w:t>
      </w:r>
      <w:r w:rsidRPr="009D1EAD">
        <w:rPr>
          <w:rFonts w:ascii="Arial" w:hAnsi="Arial" w:cs="Arial"/>
          <w:b/>
          <w:sz w:val="24"/>
          <w:szCs w:val="24"/>
        </w:rPr>
        <w:br/>
      </w:r>
      <w:r w:rsidR="00ED18E7">
        <w:rPr>
          <w:rFonts w:ascii="Arial" w:hAnsi="Arial" w:cs="Arial"/>
          <w:b/>
          <w:sz w:val="24"/>
          <w:szCs w:val="24"/>
        </w:rPr>
        <w:t>Moderate-Gas, Zero-Dollar Carbon</w:t>
      </w:r>
      <w:r w:rsidRPr="009D1EAD">
        <w:rPr>
          <w:rFonts w:ascii="Arial" w:hAnsi="Arial" w:cs="Arial"/>
          <w:b/>
          <w:sz w:val="24"/>
          <w:szCs w:val="24"/>
        </w:rPr>
        <w:t xml:space="preserve"> </w:t>
      </w:r>
    </w:p>
    <w:p w14:paraId="404B1790" w14:textId="2E9E1E76" w:rsidR="0047178E" w:rsidRDefault="0047178E" w:rsidP="002A71FD">
      <w:pPr>
        <w:spacing w:after="0"/>
        <w:ind w:left="-720"/>
        <w:rPr>
          <w:rFonts w:cs="Arial"/>
          <w:noProof/>
          <w:szCs w:val="24"/>
        </w:rPr>
      </w:pPr>
      <w:r w:rsidRPr="009D1EAD">
        <w:rPr>
          <w:rFonts w:cs="Arial"/>
          <w:b/>
          <w:sz w:val="24"/>
          <w:szCs w:val="24"/>
        </w:rPr>
        <w:t>NPV (</w:t>
      </w:r>
      <w:r w:rsidR="00FD470D" w:rsidRPr="009D1EAD">
        <w:rPr>
          <w:rFonts w:cs="Arial"/>
          <w:b/>
          <w:sz w:val="24"/>
          <w:szCs w:val="24"/>
        </w:rPr>
        <w:t>2020</w:t>
      </w:r>
      <w:r w:rsidRPr="009D1EAD">
        <w:rPr>
          <w:rFonts w:cs="Arial"/>
          <w:b/>
          <w:sz w:val="24"/>
          <w:szCs w:val="24"/>
        </w:rPr>
        <w:t>-</w:t>
      </w:r>
      <w:r w:rsidR="00D22288" w:rsidRPr="009D1EAD">
        <w:rPr>
          <w:rFonts w:cs="Arial"/>
          <w:b/>
          <w:sz w:val="24"/>
          <w:szCs w:val="24"/>
        </w:rPr>
        <w:t>204</w:t>
      </w:r>
      <w:r w:rsidR="00FD470D" w:rsidRPr="009D1EAD">
        <w:rPr>
          <w:rFonts w:cs="Arial"/>
          <w:b/>
          <w:sz w:val="24"/>
          <w:szCs w:val="24"/>
        </w:rPr>
        <w:t>8</w:t>
      </w:r>
      <w:r w:rsidRPr="009D1EAD">
        <w:rPr>
          <w:rFonts w:cs="Arial"/>
          <w:b/>
          <w:sz w:val="24"/>
          <w:szCs w:val="24"/>
        </w:rPr>
        <w:t>) in Millions of Dollars</w:t>
      </w:r>
      <w:r w:rsidRPr="00592DAD">
        <w:rPr>
          <w:rFonts w:cs="Arial"/>
          <w:noProof/>
          <w:szCs w:val="24"/>
        </w:rPr>
        <w:t xml:space="preserve"> </w:t>
      </w:r>
    </w:p>
    <w:tbl>
      <w:tblPr>
        <w:tblpPr w:leftFromText="180" w:rightFromText="180" w:vertAnchor="text" w:horzAnchor="page" w:tblpX="711" w:tblpY="344"/>
        <w:tblW w:w="14408" w:type="dxa"/>
        <w:tblLook w:val="04A0" w:firstRow="1" w:lastRow="0" w:firstColumn="1" w:lastColumn="0" w:noHBand="0" w:noVBand="1"/>
      </w:tblPr>
      <w:tblGrid>
        <w:gridCol w:w="440"/>
        <w:gridCol w:w="3600"/>
        <w:gridCol w:w="2592"/>
        <w:gridCol w:w="2592"/>
        <w:gridCol w:w="2592"/>
        <w:gridCol w:w="2592"/>
      </w:tblGrid>
      <w:tr w:rsidR="002203CB" w:rsidRPr="002203CB" w14:paraId="477D9D75" w14:textId="77777777" w:rsidTr="000A2558">
        <w:trPr>
          <w:trHeight w:val="300"/>
        </w:trPr>
        <w:tc>
          <w:tcPr>
            <w:tcW w:w="44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14:paraId="4EAEC843" w14:textId="2280E6C5" w:rsidR="002203CB" w:rsidRPr="002203CB" w:rsidRDefault="002203CB" w:rsidP="000A2558">
            <w:pPr>
              <w:spacing w:after="0" w:line="240" w:lineRule="auto"/>
              <w:jc w:val="center"/>
              <w:rPr>
                <w:rFonts w:eastAsia="Times New Roman" w:cs="Arial"/>
                <w:color w:val="000000"/>
                <w:sz w:val="18"/>
                <w:szCs w:val="24"/>
              </w:rPr>
            </w:pPr>
          </w:p>
        </w:tc>
        <w:tc>
          <w:tcPr>
            <w:tcW w:w="36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2459519"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Generation Unit Cost and Benefits</w:t>
            </w:r>
          </w:p>
        </w:tc>
        <w:tc>
          <w:tcPr>
            <w:tcW w:w="2592" w:type="dxa"/>
            <w:tcBorders>
              <w:top w:val="single" w:sz="8" w:space="0" w:color="auto"/>
              <w:left w:val="nil"/>
              <w:bottom w:val="single" w:sz="4" w:space="0" w:color="auto"/>
              <w:right w:val="single" w:sz="4" w:space="0" w:color="auto"/>
            </w:tcBorders>
            <w:shd w:val="clear" w:color="auto" w:fill="auto"/>
            <w:noWrap/>
            <w:vAlign w:val="center"/>
            <w:hideMark/>
          </w:tcPr>
          <w:p w14:paraId="6275A2FE"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McIntosh 1</w:t>
            </w:r>
          </w:p>
        </w:tc>
        <w:tc>
          <w:tcPr>
            <w:tcW w:w="2592" w:type="dxa"/>
            <w:tcBorders>
              <w:top w:val="single" w:sz="8" w:space="0" w:color="auto"/>
              <w:left w:val="nil"/>
              <w:bottom w:val="single" w:sz="4" w:space="0" w:color="auto"/>
              <w:right w:val="single" w:sz="4" w:space="0" w:color="auto"/>
            </w:tcBorders>
            <w:shd w:val="clear" w:color="auto" w:fill="auto"/>
            <w:noWrap/>
            <w:vAlign w:val="center"/>
            <w:hideMark/>
          </w:tcPr>
          <w:p w14:paraId="524F7D2D" w14:textId="4E82023C" w:rsidR="00A24F31"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Scherer 1-3</w:t>
            </w:r>
          </w:p>
          <w:p w14:paraId="55FACBFB" w14:textId="3F845220"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(GPC Ownership)</w:t>
            </w:r>
          </w:p>
        </w:tc>
        <w:tc>
          <w:tcPr>
            <w:tcW w:w="2592" w:type="dxa"/>
            <w:tcBorders>
              <w:top w:val="single" w:sz="8" w:space="0" w:color="auto"/>
              <w:left w:val="nil"/>
              <w:bottom w:val="single" w:sz="4" w:space="0" w:color="auto"/>
              <w:right w:val="single" w:sz="4" w:space="0" w:color="auto"/>
            </w:tcBorders>
            <w:shd w:val="clear" w:color="auto" w:fill="auto"/>
            <w:noWrap/>
            <w:vAlign w:val="center"/>
            <w:hideMark/>
          </w:tcPr>
          <w:p w14:paraId="082CF374" w14:textId="6C9C9E4C" w:rsidR="00A24F31"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Wansley 1-2</w:t>
            </w:r>
          </w:p>
          <w:p w14:paraId="117030A2" w14:textId="79DC015B"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(GPC Ownership)</w:t>
            </w:r>
          </w:p>
        </w:tc>
        <w:tc>
          <w:tcPr>
            <w:tcW w:w="2592" w:type="dxa"/>
            <w:tcBorders>
              <w:top w:val="single" w:sz="8" w:space="0" w:color="auto"/>
              <w:left w:val="nil"/>
              <w:bottom w:val="single" w:sz="4" w:space="0" w:color="auto"/>
              <w:right w:val="single" w:sz="8" w:space="0" w:color="auto"/>
            </w:tcBorders>
            <w:shd w:val="clear" w:color="auto" w:fill="auto"/>
            <w:noWrap/>
            <w:vAlign w:val="center"/>
            <w:hideMark/>
          </w:tcPr>
          <w:p w14:paraId="18065F2A"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Yates 6-7</w:t>
            </w:r>
          </w:p>
        </w:tc>
      </w:tr>
      <w:tr w:rsidR="002203CB" w:rsidRPr="002203CB" w14:paraId="6F8563C7" w14:textId="77777777" w:rsidTr="000A2558">
        <w:trPr>
          <w:trHeight w:val="300"/>
        </w:trPr>
        <w:tc>
          <w:tcPr>
            <w:tcW w:w="440" w:type="dxa"/>
            <w:vMerge/>
            <w:tcBorders>
              <w:top w:val="single" w:sz="8" w:space="0" w:color="auto"/>
              <w:left w:val="single" w:sz="8" w:space="0" w:color="auto"/>
              <w:bottom w:val="single" w:sz="4" w:space="0" w:color="000000"/>
              <w:right w:val="single" w:sz="4" w:space="0" w:color="auto"/>
            </w:tcBorders>
            <w:vAlign w:val="center"/>
            <w:hideMark/>
          </w:tcPr>
          <w:p w14:paraId="390E6B1E" w14:textId="77777777" w:rsidR="002203CB" w:rsidRPr="002203CB" w:rsidRDefault="002203CB" w:rsidP="000A2558">
            <w:pPr>
              <w:spacing w:after="0" w:line="240" w:lineRule="auto"/>
              <w:jc w:val="center"/>
              <w:rPr>
                <w:rFonts w:eastAsia="Times New Roman" w:cs="Arial"/>
                <w:color w:val="000000"/>
                <w:sz w:val="18"/>
                <w:szCs w:val="24"/>
              </w:rPr>
            </w:pPr>
          </w:p>
        </w:tc>
        <w:tc>
          <w:tcPr>
            <w:tcW w:w="3600" w:type="dxa"/>
            <w:vMerge/>
            <w:tcBorders>
              <w:top w:val="single" w:sz="8" w:space="0" w:color="auto"/>
              <w:left w:val="single" w:sz="4" w:space="0" w:color="auto"/>
              <w:bottom w:val="single" w:sz="4" w:space="0" w:color="auto"/>
              <w:right w:val="single" w:sz="4" w:space="0" w:color="auto"/>
            </w:tcBorders>
            <w:vAlign w:val="center"/>
            <w:hideMark/>
          </w:tcPr>
          <w:p w14:paraId="79304107" w14:textId="77777777" w:rsidR="002203CB" w:rsidRPr="002203CB" w:rsidRDefault="002203CB" w:rsidP="000A2558">
            <w:pPr>
              <w:spacing w:after="0" w:line="240" w:lineRule="auto"/>
              <w:jc w:val="center"/>
              <w:rPr>
                <w:rFonts w:eastAsia="Times New Roman" w:cs="Arial"/>
                <w:color w:val="000000"/>
                <w:sz w:val="18"/>
                <w:szCs w:val="24"/>
              </w:rPr>
            </w:pPr>
          </w:p>
        </w:tc>
        <w:tc>
          <w:tcPr>
            <w:tcW w:w="2592" w:type="dxa"/>
            <w:tcBorders>
              <w:top w:val="nil"/>
              <w:left w:val="nil"/>
              <w:bottom w:val="single" w:sz="4" w:space="0" w:color="auto"/>
              <w:right w:val="single" w:sz="4" w:space="0" w:color="auto"/>
            </w:tcBorders>
            <w:shd w:val="clear" w:color="auto" w:fill="auto"/>
            <w:noWrap/>
            <w:vAlign w:val="center"/>
            <w:hideMark/>
          </w:tcPr>
          <w:p w14:paraId="4B3B8F4C"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2592" w:type="dxa"/>
            <w:tcBorders>
              <w:top w:val="nil"/>
              <w:left w:val="nil"/>
              <w:bottom w:val="single" w:sz="4" w:space="0" w:color="auto"/>
              <w:right w:val="single" w:sz="4" w:space="0" w:color="auto"/>
            </w:tcBorders>
            <w:shd w:val="clear" w:color="auto" w:fill="auto"/>
            <w:noWrap/>
            <w:vAlign w:val="center"/>
            <w:hideMark/>
          </w:tcPr>
          <w:p w14:paraId="46F523DC"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2592" w:type="dxa"/>
            <w:tcBorders>
              <w:top w:val="nil"/>
              <w:left w:val="nil"/>
              <w:bottom w:val="single" w:sz="4" w:space="0" w:color="auto"/>
              <w:right w:val="single" w:sz="4" w:space="0" w:color="auto"/>
            </w:tcBorders>
            <w:shd w:val="clear" w:color="auto" w:fill="auto"/>
            <w:noWrap/>
            <w:vAlign w:val="center"/>
            <w:hideMark/>
          </w:tcPr>
          <w:p w14:paraId="456D932D"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c>
          <w:tcPr>
            <w:tcW w:w="2592" w:type="dxa"/>
            <w:tcBorders>
              <w:top w:val="nil"/>
              <w:left w:val="nil"/>
              <w:bottom w:val="single" w:sz="4" w:space="0" w:color="auto"/>
              <w:right w:val="single" w:sz="8" w:space="0" w:color="auto"/>
            </w:tcBorders>
            <w:shd w:val="clear" w:color="auto" w:fill="auto"/>
            <w:noWrap/>
            <w:vAlign w:val="center"/>
            <w:hideMark/>
          </w:tcPr>
          <w:p w14:paraId="17B4008A"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With Compliance Costs</w:t>
            </w:r>
          </w:p>
        </w:tc>
      </w:tr>
      <w:tr w:rsidR="002203CB" w:rsidRPr="002203CB" w14:paraId="42CE0440" w14:textId="77777777" w:rsidTr="000A2558">
        <w:trPr>
          <w:trHeight w:val="300"/>
        </w:trPr>
        <w:tc>
          <w:tcPr>
            <w:tcW w:w="440" w:type="dxa"/>
            <w:vMerge/>
            <w:tcBorders>
              <w:top w:val="single" w:sz="8" w:space="0" w:color="auto"/>
              <w:left w:val="single" w:sz="8" w:space="0" w:color="auto"/>
              <w:bottom w:val="single" w:sz="4" w:space="0" w:color="000000"/>
              <w:right w:val="single" w:sz="4" w:space="0" w:color="auto"/>
            </w:tcBorders>
            <w:vAlign w:val="center"/>
            <w:hideMark/>
          </w:tcPr>
          <w:p w14:paraId="6B51CB97" w14:textId="77777777" w:rsidR="002203CB" w:rsidRPr="002203CB" w:rsidRDefault="002203CB" w:rsidP="000A2558">
            <w:pPr>
              <w:spacing w:after="0" w:line="240" w:lineRule="auto"/>
              <w:jc w:val="center"/>
              <w:rPr>
                <w:rFonts w:eastAsia="Times New Roman" w:cs="Arial"/>
                <w:color w:val="000000"/>
                <w:sz w:val="18"/>
                <w:szCs w:val="24"/>
              </w:rPr>
            </w:pPr>
          </w:p>
        </w:tc>
        <w:tc>
          <w:tcPr>
            <w:tcW w:w="3600" w:type="dxa"/>
            <w:vMerge/>
            <w:tcBorders>
              <w:top w:val="single" w:sz="8" w:space="0" w:color="auto"/>
              <w:left w:val="single" w:sz="4" w:space="0" w:color="auto"/>
              <w:bottom w:val="single" w:sz="4" w:space="0" w:color="auto"/>
              <w:right w:val="single" w:sz="4" w:space="0" w:color="auto"/>
            </w:tcBorders>
            <w:vAlign w:val="center"/>
            <w:hideMark/>
          </w:tcPr>
          <w:p w14:paraId="3BFC5B43" w14:textId="77777777" w:rsidR="002203CB" w:rsidRPr="002203CB" w:rsidRDefault="002203CB" w:rsidP="000A2558">
            <w:pPr>
              <w:spacing w:after="0" w:line="240" w:lineRule="auto"/>
              <w:jc w:val="center"/>
              <w:rPr>
                <w:rFonts w:eastAsia="Times New Roman" w:cs="Arial"/>
                <w:color w:val="000000"/>
                <w:sz w:val="18"/>
                <w:szCs w:val="24"/>
              </w:rPr>
            </w:pPr>
          </w:p>
        </w:tc>
        <w:tc>
          <w:tcPr>
            <w:tcW w:w="2592" w:type="dxa"/>
            <w:tcBorders>
              <w:top w:val="nil"/>
              <w:left w:val="nil"/>
              <w:bottom w:val="single" w:sz="4" w:space="0" w:color="auto"/>
              <w:right w:val="single" w:sz="4" w:space="0" w:color="auto"/>
            </w:tcBorders>
            <w:shd w:val="clear" w:color="auto" w:fill="auto"/>
            <w:noWrap/>
            <w:vAlign w:val="center"/>
            <w:hideMark/>
          </w:tcPr>
          <w:p w14:paraId="5B45F979"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CT</w:t>
            </w:r>
          </w:p>
        </w:tc>
        <w:tc>
          <w:tcPr>
            <w:tcW w:w="2592" w:type="dxa"/>
            <w:tcBorders>
              <w:top w:val="nil"/>
              <w:left w:val="nil"/>
              <w:bottom w:val="single" w:sz="4" w:space="0" w:color="auto"/>
              <w:right w:val="single" w:sz="4" w:space="0" w:color="auto"/>
            </w:tcBorders>
            <w:shd w:val="clear" w:color="auto" w:fill="auto"/>
            <w:noWrap/>
            <w:vAlign w:val="center"/>
            <w:hideMark/>
          </w:tcPr>
          <w:p w14:paraId="26807285"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CC</w:t>
            </w:r>
          </w:p>
        </w:tc>
        <w:tc>
          <w:tcPr>
            <w:tcW w:w="2592" w:type="dxa"/>
            <w:tcBorders>
              <w:top w:val="nil"/>
              <w:left w:val="nil"/>
              <w:bottom w:val="single" w:sz="4" w:space="0" w:color="auto"/>
              <w:right w:val="single" w:sz="4" w:space="0" w:color="auto"/>
            </w:tcBorders>
            <w:shd w:val="clear" w:color="auto" w:fill="auto"/>
            <w:noWrap/>
            <w:vAlign w:val="center"/>
            <w:hideMark/>
          </w:tcPr>
          <w:p w14:paraId="28B630CF"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CC</w:t>
            </w:r>
          </w:p>
        </w:tc>
        <w:tc>
          <w:tcPr>
            <w:tcW w:w="2592" w:type="dxa"/>
            <w:tcBorders>
              <w:top w:val="nil"/>
              <w:left w:val="nil"/>
              <w:bottom w:val="single" w:sz="4" w:space="0" w:color="auto"/>
              <w:right w:val="single" w:sz="8" w:space="0" w:color="auto"/>
            </w:tcBorders>
            <w:shd w:val="clear" w:color="auto" w:fill="auto"/>
            <w:noWrap/>
            <w:vAlign w:val="center"/>
            <w:hideMark/>
          </w:tcPr>
          <w:p w14:paraId="707B3C87" w14:textId="77777777" w:rsidR="002203CB" w:rsidRPr="002203CB" w:rsidRDefault="002203CB"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Compared to a CT</w:t>
            </w:r>
          </w:p>
        </w:tc>
      </w:tr>
      <w:tr w:rsidR="000A2558" w:rsidRPr="002203CB" w14:paraId="4A065432" w14:textId="77777777" w:rsidTr="000A2558">
        <w:trPr>
          <w:trHeight w:val="300"/>
        </w:trPr>
        <w:tc>
          <w:tcPr>
            <w:tcW w:w="440"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7485D2CE"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Replacement Unit</w:t>
            </w:r>
          </w:p>
        </w:tc>
        <w:tc>
          <w:tcPr>
            <w:tcW w:w="3600" w:type="dxa"/>
            <w:tcBorders>
              <w:top w:val="nil"/>
              <w:left w:val="nil"/>
              <w:bottom w:val="single" w:sz="4" w:space="0" w:color="auto"/>
              <w:right w:val="single" w:sz="4" w:space="0" w:color="auto"/>
            </w:tcBorders>
            <w:shd w:val="clear" w:color="auto" w:fill="auto"/>
            <w:noWrap/>
            <w:vAlign w:val="center"/>
            <w:hideMark/>
          </w:tcPr>
          <w:p w14:paraId="4CF51495"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Energy</w:t>
            </w:r>
          </w:p>
        </w:tc>
        <w:tc>
          <w:tcPr>
            <w:tcW w:w="2592" w:type="dxa"/>
            <w:tcBorders>
              <w:top w:val="nil"/>
              <w:left w:val="nil"/>
              <w:bottom w:val="single" w:sz="4" w:space="0" w:color="auto"/>
              <w:right w:val="single" w:sz="4" w:space="0" w:color="auto"/>
            </w:tcBorders>
            <w:shd w:val="clear" w:color="auto" w:fill="auto"/>
            <w:noWrap/>
            <w:vAlign w:val="center"/>
            <w:hideMark/>
          </w:tcPr>
          <w:p w14:paraId="712379C2" w14:textId="3025D9A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7902FB50" w14:textId="16379EC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02702560" w14:textId="6A227D53"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23568A5A" w14:textId="6D9DB44B"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104752EF"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6FD8E72A"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6F2930C3"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Capacity</w:t>
            </w:r>
          </w:p>
        </w:tc>
        <w:tc>
          <w:tcPr>
            <w:tcW w:w="2592" w:type="dxa"/>
            <w:tcBorders>
              <w:top w:val="nil"/>
              <w:left w:val="nil"/>
              <w:bottom w:val="single" w:sz="4" w:space="0" w:color="auto"/>
              <w:right w:val="single" w:sz="4" w:space="0" w:color="auto"/>
            </w:tcBorders>
            <w:shd w:val="clear" w:color="auto" w:fill="auto"/>
            <w:noWrap/>
            <w:vAlign w:val="center"/>
            <w:hideMark/>
          </w:tcPr>
          <w:p w14:paraId="1A40A872" w14:textId="573000F5"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3D8ADDC7" w14:textId="56CCD102"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136AF642" w14:textId="4863A915"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09760916" w14:textId="574EA37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38BB3169"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1B45484F"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4BF3BBFD"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Avoided Transmission</w:t>
            </w:r>
          </w:p>
        </w:tc>
        <w:tc>
          <w:tcPr>
            <w:tcW w:w="2592" w:type="dxa"/>
            <w:tcBorders>
              <w:top w:val="nil"/>
              <w:left w:val="nil"/>
              <w:bottom w:val="single" w:sz="4" w:space="0" w:color="auto"/>
              <w:right w:val="single" w:sz="4" w:space="0" w:color="auto"/>
            </w:tcBorders>
            <w:shd w:val="clear" w:color="auto" w:fill="auto"/>
            <w:noWrap/>
            <w:vAlign w:val="center"/>
            <w:hideMark/>
          </w:tcPr>
          <w:p w14:paraId="607FC913" w14:textId="3C585EFA"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2151DAE3" w14:textId="2E59F6F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C46E90A" w14:textId="5365236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276715C7" w14:textId="5A8F49C7"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4DAF3894"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006352E1"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7D6F2B05"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Comp Unit Maintenance Capital</w:t>
            </w:r>
          </w:p>
        </w:tc>
        <w:tc>
          <w:tcPr>
            <w:tcW w:w="2592" w:type="dxa"/>
            <w:tcBorders>
              <w:top w:val="nil"/>
              <w:left w:val="nil"/>
              <w:bottom w:val="single" w:sz="4" w:space="0" w:color="auto"/>
              <w:right w:val="single" w:sz="4" w:space="0" w:color="auto"/>
            </w:tcBorders>
            <w:shd w:val="clear" w:color="auto" w:fill="auto"/>
            <w:noWrap/>
            <w:vAlign w:val="center"/>
            <w:hideMark/>
          </w:tcPr>
          <w:p w14:paraId="2CD2623E" w14:textId="3534A1A5"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1E0FBD51" w14:textId="42081FC1"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CDE8944" w14:textId="593350C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6044E26C" w14:textId="2CFACEE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0033C7E6"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561A5C75"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4C59D469"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Fixed O&amp;M</w:t>
            </w:r>
          </w:p>
        </w:tc>
        <w:tc>
          <w:tcPr>
            <w:tcW w:w="2592" w:type="dxa"/>
            <w:tcBorders>
              <w:top w:val="nil"/>
              <w:left w:val="nil"/>
              <w:bottom w:val="single" w:sz="4" w:space="0" w:color="auto"/>
              <w:right w:val="single" w:sz="4" w:space="0" w:color="auto"/>
            </w:tcBorders>
            <w:shd w:val="clear" w:color="auto" w:fill="auto"/>
            <w:noWrap/>
            <w:vAlign w:val="center"/>
            <w:hideMark/>
          </w:tcPr>
          <w:p w14:paraId="2D36AD2B" w14:textId="4AB60722"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259E091D" w14:textId="260A3CDD"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3AD063BE" w14:textId="72A9777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678F516E" w14:textId="6045E01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7B97E0E9"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5D887B59"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57F0F965" w14:textId="77777777" w:rsidR="000A2558" w:rsidRPr="002203CB" w:rsidRDefault="000A2558" w:rsidP="000A2558">
            <w:pPr>
              <w:spacing w:after="0" w:line="240" w:lineRule="auto"/>
              <w:jc w:val="center"/>
              <w:rPr>
                <w:rFonts w:eastAsia="Times New Roman" w:cs="Arial"/>
                <w:color w:val="000000"/>
                <w:sz w:val="18"/>
                <w:szCs w:val="24"/>
              </w:rPr>
            </w:pPr>
            <w:proofErr w:type="spellStart"/>
            <w:r w:rsidRPr="002203CB">
              <w:rPr>
                <w:rFonts w:eastAsia="Times New Roman" w:cs="Arial"/>
                <w:color w:val="000000"/>
                <w:sz w:val="18"/>
                <w:szCs w:val="24"/>
              </w:rPr>
              <w:t>InService</w:t>
            </w:r>
            <w:proofErr w:type="spellEnd"/>
            <w:r w:rsidRPr="002203CB">
              <w:rPr>
                <w:rFonts w:eastAsia="Times New Roman" w:cs="Arial"/>
                <w:color w:val="000000"/>
                <w:sz w:val="18"/>
                <w:szCs w:val="24"/>
              </w:rPr>
              <w:t xml:space="preserve"> Capital</w:t>
            </w:r>
          </w:p>
        </w:tc>
        <w:tc>
          <w:tcPr>
            <w:tcW w:w="2592" w:type="dxa"/>
            <w:tcBorders>
              <w:top w:val="nil"/>
              <w:left w:val="nil"/>
              <w:bottom w:val="single" w:sz="4" w:space="0" w:color="auto"/>
              <w:right w:val="single" w:sz="4" w:space="0" w:color="auto"/>
            </w:tcBorders>
            <w:shd w:val="clear" w:color="auto" w:fill="auto"/>
            <w:noWrap/>
            <w:vAlign w:val="center"/>
            <w:hideMark/>
          </w:tcPr>
          <w:p w14:paraId="529C8DC7" w14:textId="5D70CB6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AF7EF52" w14:textId="7CDB9D73"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74A5096F" w14:textId="0F807C7D"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7A67CFB2" w14:textId="57856E7A"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2517EE7E"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0C9C5797"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64D8E297"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Firm Gas Transportation</w:t>
            </w:r>
          </w:p>
        </w:tc>
        <w:tc>
          <w:tcPr>
            <w:tcW w:w="2592" w:type="dxa"/>
            <w:tcBorders>
              <w:top w:val="nil"/>
              <w:left w:val="nil"/>
              <w:bottom w:val="single" w:sz="4" w:space="0" w:color="auto"/>
              <w:right w:val="single" w:sz="4" w:space="0" w:color="auto"/>
            </w:tcBorders>
            <w:shd w:val="clear" w:color="auto" w:fill="auto"/>
            <w:noWrap/>
            <w:vAlign w:val="center"/>
            <w:hideMark/>
          </w:tcPr>
          <w:p w14:paraId="6F79B789" w14:textId="6C047E6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2B82E633" w14:textId="40C59D3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7C60DDD" w14:textId="2E662517"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640EC13B" w14:textId="623F195B"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192691FA" w14:textId="77777777" w:rsidTr="000A2558">
        <w:trPr>
          <w:trHeight w:val="315"/>
        </w:trPr>
        <w:tc>
          <w:tcPr>
            <w:tcW w:w="440" w:type="dxa"/>
            <w:vMerge/>
            <w:tcBorders>
              <w:top w:val="nil"/>
              <w:left w:val="single" w:sz="8" w:space="0" w:color="auto"/>
              <w:bottom w:val="single" w:sz="4" w:space="0" w:color="auto"/>
              <w:right w:val="single" w:sz="4" w:space="0" w:color="auto"/>
            </w:tcBorders>
            <w:vAlign w:val="center"/>
            <w:hideMark/>
          </w:tcPr>
          <w:p w14:paraId="22252D7E"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nil"/>
              <w:right w:val="single" w:sz="4" w:space="0" w:color="auto"/>
            </w:tcBorders>
            <w:shd w:val="clear" w:color="auto" w:fill="auto"/>
            <w:noWrap/>
            <w:vAlign w:val="center"/>
            <w:hideMark/>
          </w:tcPr>
          <w:p w14:paraId="074F0CD3"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Transmission Delivery</w:t>
            </w:r>
          </w:p>
        </w:tc>
        <w:tc>
          <w:tcPr>
            <w:tcW w:w="2592" w:type="dxa"/>
            <w:tcBorders>
              <w:top w:val="nil"/>
              <w:left w:val="nil"/>
              <w:bottom w:val="nil"/>
              <w:right w:val="single" w:sz="4" w:space="0" w:color="auto"/>
            </w:tcBorders>
            <w:shd w:val="clear" w:color="auto" w:fill="auto"/>
            <w:noWrap/>
            <w:vAlign w:val="center"/>
            <w:hideMark/>
          </w:tcPr>
          <w:p w14:paraId="7EABAA27" w14:textId="68816693"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4" w:space="0" w:color="auto"/>
            </w:tcBorders>
            <w:shd w:val="clear" w:color="auto" w:fill="auto"/>
            <w:noWrap/>
            <w:vAlign w:val="center"/>
            <w:hideMark/>
          </w:tcPr>
          <w:p w14:paraId="1AABA084" w14:textId="1B5BDF51"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4" w:space="0" w:color="auto"/>
            </w:tcBorders>
            <w:shd w:val="clear" w:color="auto" w:fill="auto"/>
            <w:noWrap/>
            <w:vAlign w:val="center"/>
            <w:hideMark/>
          </w:tcPr>
          <w:p w14:paraId="4539B5A7" w14:textId="4D16E0F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8" w:space="0" w:color="auto"/>
            </w:tcBorders>
            <w:shd w:val="clear" w:color="auto" w:fill="auto"/>
            <w:noWrap/>
            <w:vAlign w:val="center"/>
            <w:hideMark/>
          </w:tcPr>
          <w:p w14:paraId="51FAAF5E" w14:textId="44581DA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7AE7CF04" w14:textId="77777777" w:rsidTr="000A2558">
        <w:trPr>
          <w:trHeight w:val="315"/>
        </w:trPr>
        <w:tc>
          <w:tcPr>
            <w:tcW w:w="4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7BADBB7" w14:textId="4621E8AF"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single" w:sz="8" w:space="0" w:color="auto"/>
              <w:left w:val="nil"/>
              <w:bottom w:val="single" w:sz="8" w:space="0" w:color="auto"/>
              <w:right w:val="single" w:sz="4" w:space="0" w:color="auto"/>
            </w:tcBorders>
            <w:shd w:val="clear" w:color="auto" w:fill="auto"/>
            <w:noWrap/>
            <w:vAlign w:val="center"/>
            <w:hideMark/>
          </w:tcPr>
          <w:p w14:paraId="568BE8A6"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Total Replacement Benefits to the System</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50691B2B" w14:textId="54C4070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6B442BEB" w14:textId="56395C7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3155B468" w14:textId="08BB40C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8" w:space="0" w:color="auto"/>
            </w:tcBorders>
            <w:shd w:val="clear" w:color="auto" w:fill="auto"/>
            <w:noWrap/>
            <w:vAlign w:val="center"/>
            <w:hideMark/>
          </w:tcPr>
          <w:p w14:paraId="3FF6D21F" w14:textId="740D4B9D"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1F3F5260" w14:textId="77777777" w:rsidTr="000A2558">
        <w:trPr>
          <w:trHeight w:val="300"/>
        </w:trPr>
        <w:tc>
          <w:tcPr>
            <w:tcW w:w="440"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29FDD1E7"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Existing Unit</w:t>
            </w:r>
          </w:p>
        </w:tc>
        <w:tc>
          <w:tcPr>
            <w:tcW w:w="3600" w:type="dxa"/>
            <w:tcBorders>
              <w:top w:val="nil"/>
              <w:left w:val="nil"/>
              <w:bottom w:val="single" w:sz="4" w:space="0" w:color="auto"/>
              <w:right w:val="single" w:sz="4" w:space="0" w:color="auto"/>
            </w:tcBorders>
            <w:shd w:val="clear" w:color="auto" w:fill="auto"/>
            <w:noWrap/>
            <w:vAlign w:val="center"/>
            <w:hideMark/>
          </w:tcPr>
          <w:p w14:paraId="096A51BB"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Energy</w:t>
            </w:r>
          </w:p>
        </w:tc>
        <w:tc>
          <w:tcPr>
            <w:tcW w:w="2592" w:type="dxa"/>
            <w:tcBorders>
              <w:top w:val="nil"/>
              <w:left w:val="nil"/>
              <w:bottom w:val="single" w:sz="4" w:space="0" w:color="auto"/>
              <w:right w:val="single" w:sz="4" w:space="0" w:color="auto"/>
            </w:tcBorders>
            <w:shd w:val="clear" w:color="auto" w:fill="auto"/>
            <w:noWrap/>
            <w:vAlign w:val="center"/>
            <w:hideMark/>
          </w:tcPr>
          <w:p w14:paraId="4ECE18FF" w14:textId="1D641496"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3A1D2F7" w14:textId="651613F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02272FE4" w14:textId="4D42742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3464EF5B" w14:textId="484D973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03B72EE6"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5B47EEF6"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71A73525"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Capacity</w:t>
            </w:r>
          </w:p>
        </w:tc>
        <w:tc>
          <w:tcPr>
            <w:tcW w:w="2592" w:type="dxa"/>
            <w:tcBorders>
              <w:top w:val="nil"/>
              <w:left w:val="nil"/>
              <w:bottom w:val="single" w:sz="4" w:space="0" w:color="auto"/>
              <w:right w:val="single" w:sz="4" w:space="0" w:color="auto"/>
            </w:tcBorders>
            <w:shd w:val="clear" w:color="auto" w:fill="auto"/>
            <w:noWrap/>
            <w:vAlign w:val="center"/>
            <w:hideMark/>
          </w:tcPr>
          <w:p w14:paraId="36AECE38" w14:textId="16E45062"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6B2A04E5" w14:textId="41321899"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460ABB21" w14:textId="270C1D7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24B9B73C" w14:textId="6456E08D"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4E171D66"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258EE694"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76307801"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Avoided Transmission</w:t>
            </w:r>
          </w:p>
        </w:tc>
        <w:tc>
          <w:tcPr>
            <w:tcW w:w="2592" w:type="dxa"/>
            <w:tcBorders>
              <w:top w:val="nil"/>
              <w:left w:val="nil"/>
              <w:bottom w:val="single" w:sz="4" w:space="0" w:color="auto"/>
              <w:right w:val="single" w:sz="4" w:space="0" w:color="auto"/>
            </w:tcBorders>
            <w:shd w:val="clear" w:color="auto" w:fill="auto"/>
            <w:noWrap/>
            <w:vAlign w:val="center"/>
            <w:hideMark/>
          </w:tcPr>
          <w:p w14:paraId="3C78C011" w14:textId="3DE7CDDA"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7F6D0FD5" w14:textId="5B4E5CE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16055F69" w14:textId="6D38949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6729EA87" w14:textId="10F6BBA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63C56409"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67CFC285"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28665ACF"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Eval Unit Maintenance Capital</w:t>
            </w:r>
          </w:p>
        </w:tc>
        <w:tc>
          <w:tcPr>
            <w:tcW w:w="2592" w:type="dxa"/>
            <w:tcBorders>
              <w:top w:val="nil"/>
              <w:left w:val="nil"/>
              <w:bottom w:val="single" w:sz="4" w:space="0" w:color="auto"/>
              <w:right w:val="single" w:sz="4" w:space="0" w:color="auto"/>
            </w:tcBorders>
            <w:shd w:val="clear" w:color="auto" w:fill="auto"/>
            <w:noWrap/>
            <w:vAlign w:val="center"/>
            <w:hideMark/>
          </w:tcPr>
          <w:p w14:paraId="79B67FA7" w14:textId="6A6F8AC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694C1C4E" w14:textId="535703A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27E6D93E" w14:textId="1EB432B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5E28F17E" w14:textId="3AE715E6"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2E70CF24"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269B9160"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3924DD20"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Fixed O&amp;M</w:t>
            </w:r>
          </w:p>
        </w:tc>
        <w:tc>
          <w:tcPr>
            <w:tcW w:w="2592" w:type="dxa"/>
            <w:tcBorders>
              <w:top w:val="nil"/>
              <w:left w:val="nil"/>
              <w:bottom w:val="single" w:sz="4" w:space="0" w:color="auto"/>
              <w:right w:val="single" w:sz="4" w:space="0" w:color="auto"/>
            </w:tcBorders>
            <w:shd w:val="clear" w:color="auto" w:fill="auto"/>
            <w:noWrap/>
            <w:vAlign w:val="center"/>
            <w:hideMark/>
          </w:tcPr>
          <w:p w14:paraId="5643F8E1" w14:textId="5A859CA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08AFAAEE" w14:textId="0A4D58F1"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563D221C" w14:textId="0D9C9DA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0252681D" w14:textId="0711D50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290C3CD2"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38C7712C"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564D6E57"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Firm Gas Transportation</w:t>
            </w:r>
          </w:p>
        </w:tc>
        <w:tc>
          <w:tcPr>
            <w:tcW w:w="2592" w:type="dxa"/>
            <w:tcBorders>
              <w:top w:val="nil"/>
              <w:left w:val="nil"/>
              <w:bottom w:val="single" w:sz="4" w:space="0" w:color="auto"/>
              <w:right w:val="single" w:sz="4" w:space="0" w:color="auto"/>
            </w:tcBorders>
            <w:shd w:val="clear" w:color="auto" w:fill="auto"/>
            <w:noWrap/>
            <w:vAlign w:val="center"/>
            <w:hideMark/>
          </w:tcPr>
          <w:p w14:paraId="738ED2C6" w14:textId="64B4C351"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4938E798" w14:textId="12796F1E"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2719A130" w14:textId="753A5848"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1D4988A7" w14:textId="45816E2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57C4DE11" w14:textId="77777777" w:rsidTr="000A2558">
        <w:trPr>
          <w:trHeight w:val="300"/>
        </w:trPr>
        <w:tc>
          <w:tcPr>
            <w:tcW w:w="440" w:type="dxa"/>
            <w:vMerge/>
            <w:tcBorders>
              <w:top w:val="nil"/>
              <w:left w:val="single" w:sz="8" w:space="0" w:color="auto"/>
              <w:bottom w:val="single" w:sz="4" w:space="0" w:color="auto"/>
              <w:right w:val="single" w:sz="4" w:space="0" w:color="auto"/>
            </w:tcBorders>
            <w:vAlign w:val="center"/>
            <w:hideMark/>
          </w:tcPr>
          <w:p w14:paraId="55860912"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4" w:space="0" w:color="auto"/>
              <w:right w:val="single" w:sz="4" w:space="0" w:color="auto"/>
            </w:tcBorders>
            <w:shd w:val="clear" w:color="auto" w:fill="auto"/>
            <w:noWrap/>
            <w:vAlign w:val="center"/>
            <w:hideMark/>
          </w:tcPr>
          <w:p w14:paraId="1216EE01"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Environmental Capital</w:t>
            </w:r>
          </w:p>
        </w:tc>
        <w:tc>
          <w:tcPr>
            <w:tcW w:w="2592" w:type="dxa"/>
            <w:tcBorders>
              <w:top w:val="nil"/>
              <w:left w:val="nil"/>
              <w:bottom w:val="single" w:sz="4" w:space="0" w:color="auto"/>
              <w:right w:val="single" w:sz="4" w:space="0" w:color="auto"/>
            </w:tcBorders>
            <w:shd w:val="clear" w:color="auto" w:fill="auto"/>
            <w:noWrap/>
            <w:vAlign w:val="center"/>
            <w:hideMark/>
          </w:tcPr>
          <w:p w14:paraId="14B55683" w14:textId="30DB69FB"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0BC49145" w14:textId="7653CE1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4" w:space="0" w:color="auto"/>
            </w:tcBorders>
            <w:shd w:val="clear" w:color="auto" w:fill="auto"/>
            <w:noWrap/>
            <w:vAlign w:val="center"/>
            <w:hideMark/>
          </w:tcPr>
          <w:p w14:paraId="0F05C7F4" w14:textId="3E26705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4" w:space="0" w:color="auto"/>
              <w:right w:val="single" w:sz="8" w:space="0" w:color="auto"/>
            </w:tcBorders>
            <w:shd w:val="clear" w:color="auto" w:fill="auto"/>
            <w:noWrap/>
            <w:vAlign w:val="center"/>
            <w:hideMark/>
          </w:tcPr>
          <w:p w14:paraId="6BD4A4D8" w14:textId="06FA59C7"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142467AA" w14:textId="77777777" w:rsidTr="000A2558">
        <w:trPr>
          <w:trHeight w:val="315"/>
        </w:trPr>
        <w:tc>
          <w:tcPr>
            <w:tcW w:w="440" w:type="dxa"/>
            <w:vMerge/>
            <w:tcBorders>
              <w:top w:val="nil"/>
              <w:left w:val="single" w:sz="8" w:space="0" w:color="auto"/>
              <w:bottom w:val="single" w:sz="4" w:space="0" w:color="auto"/>
              <w:right w:val="single" w:sz="4" w:space="0" w:color="auto"/>
            </w:tcBorders>
            <w:vAlign w:val="center"/>
            <w:hideMark/>
          </w:tcPr>
          <w:p w14:paraId="368805B9"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nil"/>
              <w:right w:val="single" w:sz="4" w:space="0" w:color="auto"/>
            </w:tcBorders>
            <w:shd w:val="clear" w:color="auto" w:fill="auto"/>
            <w:noWrap/>
            <w:vAlign w:val="center"/>
            <w:hideMark/>
          </w:tcPr>
          <w:p w14:paraId="1B5051FE"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Environmental O&amp;M</w:t>
            </w:r>
          </w:p>
        </w:tc>
        <w:tc>
          <w:tcPr>
            <w:tcW w:w="2592" w:type="dxa"/>
            <w:tcBorders>
              <w:top w:val="nil"/>
              <w:left w:val="nil"/>
              <w:bottom w:val="nil"/>
              <w:right w:val="single" w:sz="4" w:space="0" w:color="auto"/>
            </w:tcBorders>
            <w:shd w:val="clear" w:color="auto" w:fill="auto"/>
            <w:noWrap/>
            <w:vAlign w:val="center"/>
            <w:hideMark/>
          </w:tcPr>
          <w:p w14:paraId="73663132" w14:textId="28D1CF9F"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4" w:space="0" w:color="auto"/>
            </w:tcBorders>
            <w:shd w:val="clear" w:color="auto" w:fill="auto"/>
            <w:noWrap/>
            <w:vAlign w:val="center"/>
            <w:hideMark/>
          </w:tcPr>
          <w:p w14:paraId="327A46A6" w14:textId="491E292B"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4" w:space="0" w:color="auto"/>
            </w:tcBorders>
            <w:shd w:val="clear" w:color="auto" w:fill="auto"/>
            <w:noWrap/>
            <w:vAlign w:val="center"/>
            <w:hideMark/>
          </w:tcPr>
          <w:p w14:paraId="17F50EF8" w14:textId="754686B4"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nil"/>
              <w:right w:val="single" w:sz="8" w:space="0" w:color="auto"/>
            </w:tcBorders>
            <w:shd w:val="clear" w:color="auto" w:fill="auto"/>
            <w:noWrap/>
            <w:vAlign w:val="center"/>
            <w:hideMark/>
          </w:tcPr>
          <w:p w14:paraId="2F4C1091" w14:textId="7CE4DD27"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72838714" w14:textId="77777777" w:rsidTr="000A2558">
        <w:trPr>
          <w:trHeight w:val="315"/>
        </w:trPr>
        <w:tc>
          <w:tcPr>
            <w:tcW w:w="4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3A9A831" w14:textId="1DE8689A"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single" w:sz="8" w:space="0" w:color="auto"/>
              <w:left w:val="nil"/>
              <w:bottom w:val="single" w:sz="8" w:space="0" w:color="auto"/>
              <w:right w:val="single" w:sz="4" w:space="0" w:color="auto"/>
            </w:tcBorders>
            <w:shd w:val="clear" w:color="auto" w:fill="auto"/>
            <w:noWrap/>
            <w:vAlign w:val="center"/>
            <w:hideMark/>
          </w:tcPr>
          <w:p w14:paraId="2EA64BEC"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Total Evaluation Benefit to the System</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3CBB7AB2" w14:textId="4B5A5523"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7F5ECFF5" w14:textId="117B18F3"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4" w:space="0" w:color="auto"/>
            </w:tcBorders>
            <w:shd w:val="clear" w:color="auto" w:fill="auto"/>
            <w:noWrap/>
            <w:vAlign w:val="center"/>
            <w:hideMark/>
          </w:tcPr>
          <w:p w14:paraId="735CED47" w14:textId="06766959"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single" w:sz="8" w:space="0" w:color="auto"/>
              <w:left w:val="nil"/>
              <w:bottom w:val="single" w:sz="8" w:space="0" w:color="auto"/>
              <w:right w:val="single" w:sz="8" w:space="0" w:color="auto"/>
            </w:tcBorders>
            <w:shd w:val="clear" w:color="auto" w:fill="auto"/>
            <w:noWrap/>
            <w:vAlign w:val="center"/>
            <w:hideMark/>
          </w:tcPr>
          <w:p w14:paraId="4F079F9F" w14:textId="242C2A4C"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r w:rsidR="000A2558" w:rsidRPr="002203CB" w14:paraId="4CA31AC8" w14:textId="77777777" w:rsidTr="000A2558">
        <w:trPr>
          <w:trHeight w:val="315"/>
        </w:trPr>
        <w:tc>
          <w:tcPr>
            <w:tcW w:w="440" w:type="dxa"/>
            <w:vMerge/>
            <w:tcBorders>
              <w:top w:val="single" w:sz="8" w:space="0" w:color="auto"/>
              <w:left w:val="single" w:sz="8" w:space="0" w:color="auto"/>
              <w:bottom w:val="single" w:sz="8" w:space="0" w:color="000000"/>
              <w:right w:val="single" w:sz="4" w:space="0" w:color="auto"/>
            </w:tcBorders>
            <w:vAlign w:val="center"/>
            <w:hideMark/>
          </w:tcPr>
          <w:p w14:paraId="3AE1EED2" w14:textId="77777777" w:rsidR="000A2558" w:rsidRPr="002203CB" w:rsidRDefault="000A2558" w:rsidP="000A2558">
            <w:pPr>
              <w:spacing w:after="0" w:line="240" w:lineRule="auto"/>
              <w:jc w:val="center"/>
              <w:rPr>
                <w:rFonts w:eastAsia="Times New Roman" w:cs="Arial"/>
                <w:color w:val="000000"/>
                <w:sz w:val="18"/>
                <w:szCs w:val="24"/>
              </w:rPr>
            </w:pPr>
          </w:p>
        </w:tc>
        <w:tc>
          <w:tcPr>
            <w:tcW w:w="3600" w:type="dxa"/>
            <w:tcBorders>
              <w:top w:val="nil"/>
              <w:left w:val="nil"/>
              <w:bottom w:val="single" w:sz="8" w:space="0" w:color="auto"/>
              <w:right w:val="single" w:sz="4" w:space="0" w:color="auto"/>
            </w:tcBorders>
            <w:shd w:val="clear" w:color="000000" w:fill="EEECE1"/>
            <w:noWrap/>
            <w:vAlign w:val="center"/>
            <w:hideMark/>
          </w:tcPr>
          <w:p w14:paraId="0893BF24" w14:textId="77777777" w:rsidR="000A2558" w:rsidRPr="002203CB" w:rsidRDefault="000A2558" w:rsidP="000A2558">
            <w:pPr>
              <w:spacing w:after="0" w:line="240" w:lineRule="auto"/>
              <w:jc w:val="center"/>
              <w:rPr>
                <w:rFonts w:eastAsia="Times New Roman" w:cs="Arial"/>
                <w:color w:val="000000"/>
                <w:sz w:val="18"/>
                <w:szCs w:val="24"/>
              </w:rPr>
            </w:pPr>
            <w:r w:rsidRPr="002203CB">
              <w:rPr>
                <w:rFonts w:eastAsia="Times New Roman" w:cs="Arial"/>
                <w:color w:val="000000"/>
                <w:sz w:val="18"/>
                <w:szCs w:val="24"/>
              </w:rPr>
              <w:t>Net Benefit (Existing minus Replacement)</w:t>
            </w:r>
          </w:p>
        </w:tc>
        <w:tc>
          <w:tcPr>
            <w:tcW w:w="2592" w:type="dxa"/>
            <w:tcBorders>
              <w:top w:val="nil"/>
              <w:left w:val="nil"/>
              <w:bottom w:val="single" w:sz="8" w:space="0" w:color="auto"/>
              <w:right w:val="single" w:sz="4" w:space="0" w:color="auto"/>
            </w:tcBorders>
            <w:shd w:val="clear" w:color="000000" w:fill="EEECE1"/>
            <w:noWrap/>
            <w:vAlign w:val="center"/>
            <w:hideMark/>
          </w:tcPr>
          <w:p w14:paraId="27187B2E" w14:textId="65405646"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8" w:space="0" w:color="auto"/>
              <w:right w:val="single" w:sz="4" w:space="0" w:color="auto"/>
            </w:tcBorders>
            <w:shd w:val="clear" w:color="000000" w:fill="EEECE1"/>
            <w:noWrap/>
            <w:vAlign w:val="center"/>
            <w:hideMark/>
          </w:tcPr>
          <w:p w14:paraId="713A68E7" w14:textId="488200BA"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8" w:space="0" w:color="auto"/>
              <w:right w:val="single" w:sz="4" w:space="0" w:color="auto"/>
            </w:tcBorders>
            <w:shd w:val="clear" w:color="000000" w:fill="EEECE1"/>
            <w:noWrap/>
            <w:vAlign w:val="center"/>
            <w:hideMark/>
          </w:tcPr>
          <w:p w14:paraId="68D753E9" w14:textId="250D3D0A"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c>
          <w:tcPr>
            <w:tcW w:w="2592" w:type="dxa"/>
            <w:tcBorders>
              <w:top w:val="nil"/>
              <w:left w:val="nil"/>
              <w:bottom w:val="single" w:sz="8" w:space="0" w:color="auto"/>
              <w:right w:val="single" w:sz="8" w:space="0" w:color="auto"/>
            </w:tcBorders>
            <w:shd w:val="clear" w:color="000000" w:fill="EEECE1"/>
            <w:noWrap/>
            <w:vAlign w:val="center"/>
            <w:hideMark/>
          </w:tcPr>
          <w:p w14:paraId="27BB045D" w14:textId="6364338D" w:rsidR="000A2558" w:rsidRPr="002203CB" w:rsidRDefault="000A2558" w:rsidP="000A2558">
            <w:pPr>
              <w:spacing w:after="0" w:line="240" w:lineRule="auto"/>
              <w:jc w:val="center"/>
              <w:rPr>
                <w:rFonts w:eastAsia="Times New Roman" w:cs="Arial"/>
                <w:color w:val="000000"/>
                <w:sz w:val="18"/>
                <w:szCs w:val="24"/>
              </w:rPr>
            </w:pPr>
            <w:r w:rsidRPr="00BD7726">
              <w:rPr>
                <w:rFonts w:cs="Arial"/>
                <w:b/>
                <w:bCs/>
                <w:iCs/>
                <w:caps/>
                <w:color w:val="000000" w:themeColor="text1"/>
                <w:kern w:val="24"/>
              </w:rPr>
              <w:t>Redacted</w:t>
            </w:r>
          </w:p>
        </w:tc>
      </w:tr>
    </w:tbl>
    <w:p w14:paraId="03035310" w14:textId="35176500" w:rsidR="002A71FD" w:rsidRPr="002A71FD" w:rsidRDefault="002A71FD" w:rsidP="002A71FD">
      <w:pPr>
        <w:spacing w:after="0"/>
        <w:ind w:left="-720"/>
        <w:rPr>
          <w:rFonts w:cs="Arial"/>
          <w:noProof/>
          <w:szCs w:val="24"/>
        </w:rPr>
      </w:pPr>
    </w:p>
    <w:p w14:paraId="404B1792" w14:textId="77777777" w:rsidR="00C500CD" w:rsidRPr="009D1EAD" w:rsidRDefault="00C500CD" w:rsidP="00592DAD">
      <w:pPr>
        <w:pStyle w:val="BodyText"/>
        <w:spacing w:before="120" w:after="0"/>
        <w:rPr>
          <w:rFonts w:ascii="Arial" w:hAnsi="Arial" w:cs="Arial"/>
        </w:rPr>
      </w:pPr>
    </w:p>
    <w:sectPr w:rsidR="00C500CD" w:rsidRPr="009D1EAD" w:rsidSect="00967F6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1DDCC" w14:textId="77777777" w:rsidR="00BC7D86" w:rsidRDefault="00BC7D86" w:rsidP="00567D07">
      <w:pPr>
        <w:spacing w:after="0" w:line="240" w:lineRule="auto"/>
      </w:pPr>
      <w:r>
        <w:separator/>
      </w:r>
    </w:p>
  </w:endnote>
  <w:endnote w:type="continuationSeparator" w:id="0">
    <w:p w14:paraId="20DD3106" w14:textId="77777777" w:rsidR="00BC7D86" w:rsidRDefault="00BC7D86" w:rsidP="00567D07">
      <w:pPr>
        <w:spacing w:after="0" w:line="240" w:lineRule="auto"/>
      </w:pPr>
      <w:r>
        <w:continuationSeparator/>
      </w:r>
    </w:p>
  </w:endnote>
  <w:endnote w:type="continuationNotice" w:id="1">
    <w:p w14:paraId="1E9C4195" w14:textId="77777777" w:rsidR="00BC7D86" w:rsidRDefault="00BC7D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5543238"/>
      <w:docPartObj>
        <w:docPartGallery w:val="Page Numbers (Bottom of Page)"/>
        <w:docPartUnique/>
      </w:docPartObj>
    </w:sdtPr>
    <w:sdtEndPr>
      <w:rPr>
        <w:noProof/>
      </w:rPr>
    </w:sdtEndPr>
    <w:sdtContent>
      <w:p w14:paraId="404B17AA" w14:textId="7352DECF" w:rsidR="00BC7D86" w:rsidRDefault="00BC7D86" w:rsidP="000A2558">
        <w:pPr>
          <w:pStyle w:val="Footer"/>
          <w:jc w:val="right"/>
        </w:pPr>
        <w:r>
          <w:fldChar w:fldCharType="begin"/>
        </w:r>
        <w:r>
          <w:instrText xml:space="preserve"> PAGE   \* MERGEFORMAT </w:instrText>
        </w:r>
        <w:r>
          <w:fldChar w:fldCharType="separate"/>
        </w:r>
        <w:r>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FD4E2" w14:textId="77777777" w:rsidR="00BC7D86" w:rsidRDefault="00BC7D86" w:rsidP="00567D07">
      <w:pPr>
        <w:spacing w:after="0" w:line="240" w:lineRule="auto"/>
      </w:pPr>
      <w:r>
        <w:separator/>
      </w:r>
    </w:p>
  </w:footnote>
  <w:footnote w:type="continuationSeparator" w:id="0">
    <w:p w14:paraId="344524B1" w14:textId="77777777" w:rsidR="00BC7D86" w:rsidRDefault="00BC7D86" w:rsidP="00567D07">
      <w:pPr>
        <w:spacing w:after="0" w:line="240" w:lineRule="auto"/>
      </w:pPr>
      <w:r>
        <w:continuationSeparator/>
      </w:r>
    </w:p>
  </w:footnote>
  <w:footnote w:type="continuationNotice" w:id="1">
    <w:p w14:paraId="3ECE852B" w14:textId="77777777" w:rsidR="00BC7D86" w:rsidRDefault="00BC7D86">
      <w:pPr>
        <w:spacing w:after="0" w:line="240" w:lineRule="auto"/>
      </w:pPr>
    </w:p>
  </w:footnote>
  <w:footnote w:id="2">
    <w:p w14:paraId="7DD02013" w14:textId="5F61FE5E" w:rsidR="00BC7D86" w:rsidRPr="00592DAD" w:rsidRDefault="00BC7D86">
      <w:pPr>
        <w:pStyle w:val="FootnoteText"/>
        <w:rPr>
          <w:rFonts w:cs="Arial"/>
        </w:rPr>
      </w:pPr>
      <w:r w:rsidRPr="00F80892">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 xml:space="preserve">stated </w:t>
      </w:r>
      <w:r w:rsidRPr="009D1EAD">
        <w:rPr>
          <w:rFonts w:cs="Arial"/>
        </w:rPr>
        <w:t>in-service year.</w:t>
      </w:r>
    </w:p>
  </w:footnote>
  <w:footnote w:id="3">
    <w:p w14:paraId="1A7B618B" w14:textId="5C8B3128"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4">
    <w:p w14:paraId="545492B0" w14:textId="3E8F735C"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5">
    <w:p w14:paraId="098EA3C9" w14:textId="5FF6FC63"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6">
    <w:p w14:paraId="0E6ECB39" w14:textId="3156B8D8"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7">
    <w:p w14:paraId="76A9B928" w14:textId="057ED281"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8">
    <w:p w14:paraId="0F4E283E" w14:textId="69DFB7CA"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 w:id="9">
    <w:p w14:paraId="7E5E6A45" w14:textId="4286FE47" w:rsidR="00BC7D86" w:rsidRPr="00592DAD" w:rsidRDefault="00BC7D86" w:rsidP="00206917">
      <w:pPr>
        <w:pStyle w:val="FootnoteText"/>
        <w:rPr>
          <w:rFonts w:cs="Arial"/>
        </w:rPr>
      </w:pPr>
      <w:r w:rsidRPr="00592DAD">
        <w:rPr>
          <w:rStyle w:val="FootnoteReference"/>
          <w:rFonts w:cs="Arial"/>
        </w:rPr>
        <w:footnoteRef/>
      </w:r>
      <w:r w:rsidRPr="00592DAD">
        <w:rPr>
          <w:rFonts w:cs="Arial"/>
        </w:rPr>
        <w:t xml:space="preserve"> </w:t>
      </w:r>
      <w:r w:rsidRPr="009D1EAD">
        <w:rPr>
          <w:rFonts w:cs="Arial"/>
        </w:rPr>
        <w:t xml:space="preserve">For modeling purposes, revenue requirements are applied beginning in the year directly following the </w:t>
      </w:r>
      <w:r>
        <w:rPr>
          <w:rFonts w:cs="Arial"/>
        </w:rPr>
        <w:t>stated</w:t>
      </w:r>
      <w:r w:rsidRPr="009D1EAD">
        <w:rPr>
          <w:rFonts w:cs="Arial"/>
        </w:rPr>
        <w:t xml:space="preserve"> in-service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B17A8" w14:textId="5CF4F4D8" w:rsidR="00BC7D86" w:rsidRPr="000A2558" w:rsidRDefault="00C503A4" w:rsidP="000A2558">
    <w:pPr>
      <w:spacing w:after="0" w:line="240" w:lineRule="auto"/>
      <w:jc w:val="right"/>
      <w:rPr>
        <w:rFonts w:cs="Arial"/>
        <w:b/>
        <w:sz w:val="24"/>
        <w:szCs w:val="28"/>
      </w:rPr>
    </w:pPr>
    <w:r w:rsidRPr="000A2558">
      <w:rPr>
        <w:rFonts w:cs="Arial"/>
        <w:b/>
        <w:szCs w:val="24"/>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271516"/>
    <w:multiLevelType w:val="multilevel"/>
    <w:tmpl w:val="8D9295D6"/>
    <w:lvl w:ilvl="0">
      <w:start w:val="1"/>
      <w:numFmt w:val="decimal"/>
      <w:lvlRestart w:val="0"/>
      <w:pStyle w:val="Heading1"/>
      <w:lvlText w:val="%1."/>
      <w:lvlJc w:val="left"/>
      <w:pPr>
        <w:tabs>
          <w:tab w:val="num" w:pos="72"/>
        </w:tabs>
        <w:ind w:left="4104" w:hanging="4104"/>
      </w:pPr>
      <w:rPr>
        <w:rFonts w:ascii="Arial" w:hAnsi="Arial" w:cs="Arial" w:hint="default"/>
        <w:b/>
        <w:i w:val="0"/>
        <w:caps w:val="0"/>
        <w:smallCaps w:val="0"/>
        <w:strike w:val="0"/>
        <w:dstrike w:val="0"/>
        <w:vanish w:val="0"/>
        <w:color w:val="auto"/>
        <w:spacing w:val="0"/>
        <w:w w:val="100"/>
        <w:kern w:val="0"/>
        <w:position w:val="0"/>
        <w:sz w:val="24"/>
        <w:szCs w:val="28"/>
        <w:u w:val="none"/>
        <w:effect w:val="none"/>
        <w:vertAlign w:val="baseline"/>
      </w:rPr>
    </w:lvl>
    <w:lvl w:ilvl="1">
      <w:start w:val="1"/>
      <w:numFmt w:val="decimal"/>
      <w:pStyle w:val="Heading2"/>
      <w:isLgl/>
      <w:lvlText w:val="%1.%2."/>
      <w:lvlJc w:val="left"/>
      <w:pPr>
        <w:tabs>
          <w:tab w:val="num" w:pos="1710"/>
        </w:tabs>
        <w:ind w:left="720" w:hanging="720"/>
      </w:pPr>
      <w:rPr>
        <w:rFonts w:ascii="Arial" w:hAnsi="Arial" w:cs="Arial" w:hint="default"/>
        <w:b/>
        <w:i w:val="0"/>
        <w:caps w:val="0"/>
        <w:smallCaps w:val="0"/>
        <w:strike w:val="0"/>
        <w:dstrike w:val="0"/>
        <w:vanish w:val="0"/>
        <w:color w:val="auto"/>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F6"/>
    <w:rsid w:val="00003A37"/>
    <w:rsid w:val="000054E1"/>
    <w:rsid w:val="00005BE5"/>
    <w:rsid w:val="00007A0C"/>
    <w:rsid w:val="000115C6"/>
    <w:rsid w:val="00012388"/>
    <w:rsid w:val="00013D96"/>
    <w:rsid w:val="00013FF4"/>
    <w:rsid w:val="00015AD5"/>
    <w:rsid w:val="00017BB0"/>
    <w:rsid w:val="00020E63"/>
    <w:rsid w:val="0002759F"/>
    <w:rsid w:val="0003237F"/>
    <w:rsid w:val="00036BD6"/>
    <w:rsid w:val="000420C3"/>
    <w:rsid w:val="00042B9C"/>
    <w:rsid w:val="00057077"/>
    <w:rsid w:val="0005748C"/>
    <w:rsid w:val="00060528"/>
    <w:rsid w:val="000635A1"/>
    <w:rsid w:val="000665BC"/>
    <w:rsid w:val="000703F6"/>
    <w:rsid w:val="00071470"/>
    <w:rsid w:val="000729BA"/>
    <w:rsid w:val="00075119"/>
    <w:rsid w:val="00080120"/>
    <w:rsid w:val="00081D1F"/>
    <w:rsid w:val="00081D5C"/>
    <w:rsid w:val="00082223"/>
    <w:rsid w:val="0008517B"/>
    <w:rsid w:val="00093121"/>
    <w:rsid w:val="00094060"/>
    <w:rsid w:val="00096B8F"/>
    <w:rsid w:val="000A2431"/>
    <w:rsid w:val="000A2558"/>
    <w:rsid w:val="000A3713"/>
    <w:rsid w:val="000A474C"/>
    <w:rsid w:val="000A63C7"/>
    <w:rsid w:val="000A6C75"/>
    <w:rsid w:val="000B3788"/>
    <w:rsid w:val="000B499E"/>
    <w:rsid w:val="000B75BE"/>
    <w:rsid w:val="000C3B9A"/>
    <w:rsid w:val="000C4926"/>
    <w:rsid w:val="000C6290"/>
    <w:rsid w:val="000C6FD5"/>
    <w:rsid w:val="000C7AC8"/>
    <w:rsid w:val="000D1707"/>
    <w:rsid w:val="000D2833"/>
    <w:rsid w:val="000D6906"/>
    <w:rsid w:val="000D71E9"/>
    <w:rsid w:val="000E0ADB"/>
    <w:rsid w:val="000E4A00"/>
    <w:rsid w:val="000E704B"/>
    <w:rsid w:val="000F08FC"/>
    <w:rsid w:val="000F7BC6"/>
    <w:rsid w:val="001018D2"/>
    <w:rsid w:val="001026B0"/>
    <w:rsid w:val="00105697"/>
    <w:rsid w:val="00106F0C"/>
    <w:rsid w:val="00112683"/>
    <w:rsid w:val="0011360D"/>
    <w:rsid w:val="0011725B"/>
    <w:rsid w:val="00117941"/>
    <w:rsid w:val="0012515A"/>
    <w:rsid w:val="00127488"/>
    <w:rsid w:val="00127771"/>
    <w:rsid w:val="00133428"/>
    <w:rsid w:val="001375EA"/>
    <w:rsid w:val="001377D3"/>
    <w:rsid w:val="00141BB7"/>
    <w:rsid w:val="00144856"/>
    <w:rsid w:val="00144ACA"/>
    <w:rsid w:val="00146D6E"/>
    <w:rsid w:val="00147D15"/>
    <w:rsid w:val="00152A38"/>
    <w:rsid w:val="00155170"/>
    <w:rsid w:val="00155301"/>
    <w:rsid w:val="00160D5A"/>
    <w:rsid w:val="0016176F"/>
    <w:rsid w:val="00161FD2"/>
    <w:rsid w:val="00162514"/>
    <w:rsid w:val="00164770"/>
    <w:rsid w:val="00170341"/>
    <w:rsid w:val="00171270"/>
    <w:rsid w:val="001733DA"/>
    <w:rsid w:val="00181084"/>
    <w:rsid w:val="0018412D"/>
    <w:rsid w:val="00186409"/>
    <w:rsid w:val="0019596E"/>
    <w:rsid w:val="001A0860"/>
    <w:rsid w:val="001B2CD0"/>
    <w:rsid w:val="001B47C4"/>
    <w:rsid w:val="001B4A3D"/>
    <w:rsid w:val="001B77CD"/>
    <w:rsid w:val="001C00E7"/>
    <w:rsid w:val="001C2314"/>
    <w:rsid w:val="001D24F5"/>
    <w:rsid w:val="001D71F1"/>
    <w:rsid w:val="001E0F09"/>
    <w:rsid w:val="001E1126"/>
    <w:rsid w:val="001E1521"/>
    <w:rsid w:val="001E183E"/>
    <w:rsid w:val="001E2422"/>
    <w:rsid w:val="001E7CDA"/>
    <w:rsid w:val="001F2114"/>
    <w:rsid w:val="001F3919"/>
    <w:rsid w:val="001F6242"/>
    <w:rsid w:val="00200B4C"/>
    <w:rsid w:val="0020139A"/>
    <w:rsid w:val="00203274"/>
    <w:rsid w:val="002055B3"/>
    <w:rsid w:val="00205EB9"/>
    <w:rsid w:val="002062D2"/>
    <w:rsid w:val="00206917"/>
    <w:rsid w:val="00206CFC"/>
    <w:rsid w:val="002107D2"/>
    <w:rsid w:val="00211066"/>
    <w:rsid w:val="0021107F"/>
    <w:rsid w:val="00211F23"/>
    <w:rsid w:val="002203CB"/>
    <w:rsid w:val="00222191"/>
    <w:rsid w:val="00225896"/>
    <w:rsid w:val="00227784"/>
    <w:rsid w:val="00230EDA"/>
    <w:rsid w:val="002340E2"/>
    <w:rsid w:val="00236F5A"/>
    <w:rsid w:val="0023782D"/>
    <w:rsid w:val="00242DEF"/>
    <w:rsid w:val="00245731"/>
    <w:rsid w:val="00246BD1"/>
    <w:rsid w:val="002523E0"/>
    <w:rsid w:val="002574E8"/>
    <w:rsid w:val="00260BAD"/>
    <w:rsid w:val="002624C2"/>
    <w:rsid w:val="00264201"/>
    <w:rsid w:val="0026424E"/>
    <w:rsid w:val="00266159"/>
    <w:rsid w:val="002671C8"/>
    <w:rsid w:val="002757DC"/>
    <w:rsid w:val="00275C47"/>
    <w:rsid w:val="00285105"/>
    <w:rsid w:val="002867C0"/>
    <w:rsid w:val="00292A55"/>
    <w:rsid w:val="002945BD"/>
    <w:rsid w:val="00297334"/>
    <w:rsid w:val="002977BE"/>
    <w:rsid w:val="002A124E"/>
    <w:rsid w:val="002A24FC"/>
    <w:rsid w:val="002A2DDE"/>
    <w:rsid w:val="002A356D"/>
    <w:rsid w:val="002A7088"/>
    <w:rsid w:val="002A71FD"/>
    <w:rsid w:val="002B1AC6"/>
    <w:rsid w:val="002B537A"/>
    <w:rsid w:val="002C4850"/>
    <w:rsid w:val="002C7C4D"/>
    <w:rsid w:val="002E29A4"/>
    <w:rsid w:val="002E48F3"/>
    <w:rsid w:val="002E77F4"/>
    <w:rsid w:val="002F5154"/>
    <w:rsid w:val="00300B9C"/>
    <w:rsid w:val="0030138C"/>
    <w:rsid w:val="00303AB6"/>
    <w:rsid w:val="00306E43"/>
    <w:rsid w:val="00307C90"/>
    <w:rsid w:val="0031029D"/>
    <w:rsid w:val="00312FE5"/>
    <w:rsid w:val="00315558"/>
    <w:rsid w:val="0032062B"/>
    <w:rsid w:val="003207E0"/>
    <w:rsid w:val="003221BC"/>
    <w:rsid w:val="003246AF"/>
    <w:rsid w:val="003261D0"/>
    <w:rsid w:val="00326FE8"/>
    <w:rsid w:val="0033122E"/>
    <w:rsid w:val="003353B0"/>
    <w:rsid w:val="00336F75"/>
    <w:rsid w:val="003371CB"/>
    <w:rsid w:val="0034197A"/>
    <w:rsid w:val="0035783A"/>
    <w:rsid w:val="0036126D"/>
    <w:rsid w:val="00365F8A"/>
    <w:rsid w:val="003702DE"/>
    <w:rsid w:val="003712B5"/>
    <w:rsid w:val="00372878"/>
    <w:rsid w:val="00375381"/>
    <w:rsid w:val="00382B38"/>
    <w:rsid w:val="00382F1F"/>
    <w:rsid w:val="00382FA0"/>
    <w:rsid w:val="0038498A"/>
    <w:rsid w:val="00391DC1"/>
    <w:rsid w:val="00392099"/>
    <w:rsid w:val="00393C82"/>
    <w:rsid w:val="003A17CD"/>
    <w:rsid w:val="003A3FBC"/>
    <w:rsid w:val="003A5FBC"/>
    <w:rsid w:val="003B0038"/>
    <w:rsid w:val="003B1B46"/>
    <w:rsid w:val="003B2E86"/>
    <w:rsid w:val="003B3546"/>
    <w:rsid w:val="003B61CF"/>
    <w:rsid w:val="003B7389"/>
    <w:rsid w:val="003C3E2D"/>
    <w:rsid w:val="003C5E61"/>
    <w:rsid w:val="003C69EB"/>
    <w:rsid w:val="003D0F32"/>
    <w:rsid w:val="003D2938"/>
    <w:rsid w:val="003D420D"/>
    <w:rsid w:val="003D5812"/>
    <w:rsid w:val="003D5B01"/>
    <w:rsid w:val="003E1A71"/>
    <w:rsid w:val="003E2EF1"/>
    <w:rsid w:val="003E5232"/>
    <w:rsid w:val="003F4CD1"/>
    <w:rsid w:val="003F58B9"/>
    <w:rsid w:val="004005C2"/>
    <w:rsid w:val="00401476"/>
    <w:rsid w:val="004037FB"/>
    <w:rsid w:val="00406102"/>
    <w:rsid w:val="00406E03"/>
    <w:rsid w:val="00416A09"/>
    <w:rsid w:val="00417601"/>
    <w:rsid w:val="00420F61"/>
    <w:rsid w:val="00426008"/>
    <w:rsid w:val="00430847"/>
    <w:rsid w:val="00430A6C"/>
    <w:rsid w:val="004414C3"/>
    <w:rsid w:val="00447633"/>
    <w:rsid w:val="00454802"/>
    <w:rsid w:val="00454A90"/>
    <w:rsid w:val="004554B1"/>
    <w:rsid w:val="00465E26"/>
    <w:rsid w:val="00466606"/>
    <w:rsid w:val="0047178E"/>
    <w:rsid w:val="00472BD5"/>
    <w:rsid w:val="004764A4"/>
    <w:rsid w:val="0048384B"/>
    <w:rsid w:val="00483A61"/>
    <w:rsid w:val="00483EB7"/>
    <w:rsid w:val="00490DB9"/>
    <w:rsid w:val="00493583"/>
    <w:rsid w:val="00493AC6"/>
    <w:rsid w:val="0049468E"/>
    <w:rsid w:val="0049481B"/>
    <w:rsid w:val="004A1A23"/>
    <w:rsid w:val="004A316C"/>
    <w:rsid w:val="004B025B"/>
    <w:rsid w:val="004B0301"/>
    <w:rsid w:val="004B1B91"/>
    <w:rsid w:val="004B275A"/>
    <w:rsid w:val="004B45EE"/>
    <w:rsid w:val="004B54F6"/>
    <w:rsid w:val="004B63AE"/>
    <w:rsid w:val="004B689C"/>
    <w:rsid w:val="004B692D"/>
    <w:rsid w:val="004C0020"/>
    <w:rsid w:val="004D1CA6"/>
    <w:rsid w:val="004D7D18"/>
    <w:rsid w:val="004E01AE"/>
    <w:rsid w:val="004E0A28"/>
    <w:rsid w:val="004E0F43"/>
    <w:rsid w:val="004E53ED"/>
    <w:rsid w:val="004E7DD4"/>
    <w:rsid w:val="004F1530"/>
    <w:rsid w:val="004F4309"/>
    <w:rsid w:val="00503C58"/>
    <w:rsid w:val="005074CB"/>
    <w:rsid w:val="00512988"/>
    <w:rsid w:val="005146DF"/>
    <w:rsid w:val="00514A1F"/>
    <w:rsid w:val="00516E1E"/>
    <w:rsid w:val="00520A05"/>
    <w:rsid w:val="00523D05"/>
    <w:rsid w:val="005302C9"/>
    <w:rsid w:val="0053429D"/>
    <w:rsid w:val="00537225"/>
    <w:rsid w:val="00541226"/>
    <w:rsid w:val="00545E17"/>
    <w:rsid w:val="005556E9"/>
    <w:rsid w:val="00560973"/>
    <w:rsid w:val="0056098E"/>
    <w:rsid w:val="00567D07"/>
    <w:rsid w:val="00571052"/>
    <w:rsid w:val="00572541"/>
    <w:rsid w:val="005733EF"/>
    <w:rsid w:val="00584B7C"/>
    <w:rsid w:val="005869B4"/>
    <w:rsid w:val="00592DAD"/>
    <w:rsid w:val="005A2AA3"/>
    <w:rsid w:val="005A5C81"/>
    <w:rsid w:val="005A7AD1"/>
    <w:rsid w:val="005B04C0"/>
    <w:rsid w:val="005B0C82"/>
    <w:rsid w:val="005B12EA"/>
    <w:rsid w:val="005B2270"/>
    <w:rsid w:val="005B2D60"/>
    <w:rsid w:val="005B4550"/>
    <w:rsid w:val="005B4CE5"/>
    <w:rsid w:val="005B7F15"/>
    <w:rsid w:val="005D3EB6"/>
    <w:rsid w:val="005E044A"/>
    <w:rsid w:val="005E581C"/>
    <w:rsid w:val="005F2CB1"/>
    <w:rsid w:val="005F3BC9"/>
    <w:rsid w:val="005F47F6"/>
    <w:rsid w:val="00605798"/>
    <w:rsid w:val="00606315"/>
    <w:rsid w:val="00610656"/>
    <w:rsid w:val="006122CC"/>
    <w:rsid w:val="00614B2E"/>
    <w:rsid w:val="006161B6"/>
    <w:rsid w:val="00621265"/>
    <w:rsid w:val="00621FA3"/>
    <w:rsid w:val="00622499"/>
    <w:rsid w:val="00625A1C"/>
    <w:rsid w:val="00630356"/>
    <w:rsid w:val="00630FB5"/>
    <w:rsid w:val="006312EE"/>
    <w:rsid w:val="00636187"/>
    <w:rsid w:val="00642DF2"/>
    <w:rsid w:val="00644756"/>
    <w:rsid w:val="00646C3F"/>
    <w:rsid w:val="00655831"/>
    <w:rsid w:val="006572B3"/>
    <w:rsid w:val="00657950"/>
    <w:rsid w:val="006634D4"/>
    <w:rsid w:val="00663CCB"/>
    <w:rsid w:val="00667EA1"/>
    <w:rsid w:val="00671414"/>
    <w:rsid w:val="006720C3"/>
    <w:rsid w:val="00672B40"/>
    <w:rsid w:val="00673048"/>
    <w:rsid w:val="00675D7E"/>
    <w:rsid w:val="006775AB"/>
    <w:rsid w:val="0069549E"/>
    <w:rsid w:val="006A6CEC"/>
    <w:rsid w:val="006B0134"/>
    <w:rsid w:val="006B62E3"/>
    <w:rsid w:val="006B7D50"/>
    <w:rsid w:val="006C538B"/>
    <w:rsid w:val="006C555C"/>
    <w:rsid w:val="006C66EB"/>
    <w:rsid w:val="006D1702"/>
    <w:rsid w:val="006E0A09"/>
    <w:rsid w:val="006E3C6F"/>
    <w:rsid w:val="006E5CE7"/>
    <w:rsid w:val="006E5D92"/>
    <w:rsid w:val="006E7C43"/>
    <w:rsid w:val="006F49F0"/>
    <w:rsid w:val="006F5FF5"/>
    <w:rsid w:val="006F77A9"/>
    <w:rsid w:val="007000AD"/>
    <w:rsid w:val="00700B8F"/>
    <w:rsid w:val="00702962"/>
    <w:rsid w:val="0070477A"/>
    <w:rsid w:val="007053AC"/>
    <w:rsid w:val="00705D2C"/>
    <w:rsid w:val="00710CAA"/>
    <w:rsid w:val="0071649C"/>
    <w:rsid w:val="00716DF3"/>
    <w:rsid w:val="00722D4D"/>
    <w:rsid w:val="007239EF"/>
    <w:rsid w:val="00731B14"/>
    <w:rsid w:val="00746C6F"/>
    <w:rsid w:val="007503D7"/>
    <w:rsid w:val="007524B8"/>
    <w:rsid w:val="007561AF"/>
    <w:rsid w:val="007566C4"/>
    <w:rsid w:val="007628E2"/>
    <w:rsid w:val="007651BE"/>
    <w:rsid w:val="007657A6"/>
    <w:rsid w:val="00766311"/>
    <w:rsid w:val="00774BFB"/>
    <w:rsid w:val="00775CBA"/>
    <w:rsid w:val="00776772"/>
    <w:rsid w:val="0077697C"/>
    <w:rsid w:val="00780451"/>
    <w:rsid w:val="00780B81"/>
    <w:rsid w:val="00782931"/>
    <w:rsid w:val="007851C5"/>
    <w:rsid w:val="00786A73"/>
    <w:rsid w:val="00787929"/>
    <w:rsid w:val="0079064F"/>
    <w:rsid w:val="00790BA3"/>
    <w:rsid w:val="00792146"/>
    <w:rsid w:val="00792EFC"/>
    <w:rsid w:val="007A3B2D"/>
    <w:rsid w:val="007A5174"/>
    <w:rsid w:val="007A5CE3"/>
    <w:rsid w:val="007B04D0"/>
    <w:rsid w:val="007B221E"/>
    <w:rsid w:val="007B6984"/>
    <w:rsid w:val="007B6DA0"/>
    <w:rsid w:val="007B7BBB"/>
    <w:rsid w:val="007C1A1F"/>
    <w:rsid w:val="007C2289"/>
    <w:rsid w:val="007C5161"/>
    <w:rsid w:val="007D2410"/>
    <w:rsid w:val="007E2FB9"/>
    <w:rsid w:val="007E3630"/>
    <w:rsid w:val="007F18D4"/>
    <w:rsid w:val="007F1CBA"/>
    <w:rsid w:val="0080050A"/>
    <w:rsid w:val="00803FFE"/>
    <w:rsid w:val="00805369"/>
    <w:rsid w:val="008067B4"/>
    <w:rsid w:val="00806D7E"/>
    <w:rsid w:val="00806E1C"/>
    <w:rsid w:val="0081321D"/>
    <w:rsid w:val="008138A2"/>
    <w:rsid w:val="0081613B"/>
    <w:rsid w:val="0081651A"/>
    <w:rsid w:val="00821E76"/>
    <w:rsid w:val="0082470C"/>
    <w:rsid w:val="0082629C"/>
    <w:rsid w:val="00826A9C"/>
    <w:rsid w:val="00837FB3"/>
    <w:rsid w:val="00844C4B"/>
    <w:rsid w:val="00856C9F"/>
    <w:rsid w:val="00863CBA"/>
    <w:rsid w:val="00865924"/>
    <w:rsid w:val="00866851"/>
    <w:rsid w:val="00867DAD"/>
    <w:rsid w:val="00870235"/>
    <w:rsid w:val="00872638"/>
    <w:rsid w:val="00872962"/>
    <w:rsid w:val="008735BD"/>
    <w:rsid w:val="0087582C"/>
    <w:rsid w:val="00876811"/>
    <w:rsid w:val="00876C8A"/>
    <w:rsid w:val="00877C05"/>
    <w:rsid w:val="00877DE8"/>
    <w:rsid w:val="0088044B"/>
    <w:rsid w:val="00880F90"/>
    <w:rsid w:val="00884C08"/>
    <w:rsid w:val="0088509B"/>
    <w:rsid w:val="00894EFD"/>
    <w:rsid w:val="00895013"/>
    <w:rsid w:val="008A2D26"/>
    <w:rsid w:val="008A4D29"/>
    <w:rsid w:val="008A652E"/>
    <w:rsid w:val="008B0B0E"/>
    <w:rsid w:val="008B284D"/>
    <w:rsid w:val="008B518C"/>
    <w:rsid w:val="008C2E9C"/>
    <w:rsid w:val="008C78EC"/>
    <w:rsid w:val="008D336C"/>
    <w:rsid w:val="008D74D1"/>
    <w:rsid w:val="008D7613"/>
    <w:rsid w:val="008E09CE"/>
    <w:rsid w:val="008E1413"/>
    <w:rsid w:val="008F2F80"/>
    <w:rsid w:val="008F30DB"/>
    <w:rsid w:val="008F341A"/>
    <w:rsid w:val="008F3DE5"/>
    <w:rsid w:val="008F56E1"/>
    <w:rsid w:val="00900AF7"/>
    <w:rsid w:val="00902345"/>
    <w:rsid w:val="00905F82"/>
    <w:rsid w:val="009074F3"/>
    <w:rsid w:val="009119E3"/>
    <w:rsid w:val="00914C8B"/>
    <w:rsid w:val="00915AB9"/>
    <w:rsid w:val="00915AE4"/>
    <w:rsid w:val="0091626A"/>
    <w:rsid w:val="00916428"/>
    <w:rsid w:val="009225BA"/>
    <w:rsid w:val="00926FBA"/>
    <w:rsid w:val="00931913"/>
    <w:rsid w:val="00931CEA"/>
    <w:rsid w:val="009332E8"/>
    <w:rsid w:val="00947D23"/>
    <w:rsid w:val="00956F77"/>
    <w:rsid w:val="00965CDD"/>
    <w:rsid w:val="00967F6E"/>
    <w:rsid w:val="00971E91"/>
    <w:rsid w:val="00973C6E"/>
    <w:rsid w:val="00976457"/>
    <w:rsid w:val="00984768"/>
    <w:rsid w:val="00985DD4"/>
    <w:rsid w:val="009A1370"/>
    <w:rsid w:val="009A15B7"/>
    <w:rsid w:val="009A2CA7"/>
    <w:rsid w:val="009B090F"/>
    <w:rsid w:val="009B465F"/>
    <w:rsid w:val="009C22EB"/>
    <w:rsid w:val="009C7332"/>
    <w:rsid w:val="009D0E26"/>
    <w:rsid w:val="009D1EAD"/>
    <w:rsid w:val="009D2045"/>
    <w:rsid w:val="009D3211"/>
    <w:rsid w:val="009D35AC"/>
    <w:rsid w:val="009D7D0E"/>
    <w:rsid w:val="009E053A"/>
    <w:rsid w:val="009E15B6"/>
    <w:rsid w:val="009E20FD"/>
    <w:rsid w:val="009E39FA"/>
    <w:rsid w:val="009E3A1D"/>
    <w:rsid w:val="009F01FE"/>
    <w:rsid w:val="00A0500D"/>
    <w:rsid w:val="00A05493"/>
    <w:rsid w:val="00A06D29"/>
    <w:rsid w:val="00A10110"/>
    <w:rsid w:val="00A12390"/>
    <w:rsid w:val="00A13591"/>
    <w:rsid w:val="00A17169"/>
    <w:rsid w:val="00A22910"/>
    <w:rsid w:val="00A24812"/>
    <w:rsid w:val="00A24F31"/>
    <w:rsid w:val="00A25301"/>
    <w:rsid w:val="00A431A1"/>
    <w:rsid w:val="00A43B63"/>
    <w:rsid w:val="00A457E3"/>
    <w:rsid w:val="00A45DDF"/>
    <w:rsid w:val="00A5058A"/>
    <w:rsid w:val="00A51722"/>
    <w:rsid w:val="00A530A9"/>
    <w:rsid w:val="00A55741"/>
    <w:rsid w:val="00A56F24"/>
    <w:rsid w:val="00A61CD0"/>
    <w:rsid w:val="00A6274E"/>
    <w:rsid w:val="00A64547"/>
    <w:rsid w:val="00A6461F"/>
    <w:rsid w:val="00A6581A"/>
    <w:rsid w:val="00A67134"/>
    <w:rsid w:val="00A67AB6"/>
    <w:rsid w:val="00A72C93"/>
    <w:rsid w:val="00A73A40"/>
    <w:rsid w:val="00A74FC0"/>
    <w:rsid w:val="00A80098"/>
    <w:rsid w:val="00A83EA2"/>
    <w:rsid w:val="00A85C15"/>
    <w:rsid w:val="00A906B6"/>
    <w:rsid w:val="00A90A4D"/>
    <w:rsid w:val="00A93128"/>
    <w:rsid w:val="00A96613"/>
    <w:rsid w:val="00A96EFA"/>
    <w:rsid w:val="00AA5B47"/>
    <w:rsid w:val="00AB6DDC"/>
    <w:rsid w:val="00AC0AF0"/>
    <w:rsid w:val="00AC0C26"/>
    <w:rsid w:val="00AC1A47"/>
    <w:rsid w:val="00AC6E4C"/>
    <w:rsid w:val="00AD06F8"/>
    <w:rsid w:val="00AD0DAC"/>
    <w:rsid w:val="00AD42B3"/>
    <w:rsid w:val="00AE1EA6"/>
    <w:rsid w:val="00AE40F9"/>
    <w:rsid w:val="00AF1C7C"/>
    <w:rsid w:val="00AF4BBA"/>
    <w:rsid w:val="00AF727E"/>
    <w:rsid w:val="00B01C05"/>
    <w:rsid w:val="00B06BD7"/>
    <w:rsid w:val="00B161B3"/>
    <w:rsid w:val="00B16881"/>
    <w:rsid w:val="00B168C9"/>
    <w:rsid w:val="00B1730B"/>
    <w:rsid w:val="00B2334D"/>
    <w:rsid w:val="00B23CD8"/>
    <w:rsid w:val="00B32105"/>
    <w:rsid w:val="00B32D48"/>
    <w:rsid w:val="00B3629C"/>
    <w:rsid w:val="00B3658F"/>
    <w:rsid w:val="00B41720"/>
    <w:rsid w:val="00B4231F"/>
    <w:rsid w:val="00B42AC9"/>
    <w:rsid w:val="00B43C1B"/>
    <w:rsid w:val="00B43EF2"/>
    <w:rsid w:val="00B461A6"/>
    <w:rsid w:val="00B475B1"/>
    <w:rsid w:val="00B624D3"/>
    <w:rsid w:val="00B73572"/>
    <w:rsid w:val="00B73A99"/>
    <w:rsid w:val="00B74AE6"/>
    <w:rsid w:val="00B76915"/>
    <w:rsid w:val="00B85EEB"/>
    <w:rsid w:val="00B903C1"/>
    <w:rsid w:val="00B90C3D"/>
    <w:rsid w:val="00B91DD9"/>
    <w:rsid w:val="00B95411"/>
    <w:rsid w:val="00B965D3"/>
    <w:rsid w:val="00BA6066"/>
    <w:rsid w:val="00BA614A"/>
    <w:rsid w:val="00BB15B1"/>
    <w:rsid w:val="00BC4816"/>
    <w:rsid w:val="00BC5A2B"/>
    <w:rsid w:val="00BC6ED0"/>
    <w:rsid w:val="00BC7D86"/>
    <w:rsid w:val="00BD1209"/>
    <w:rsid w:val="00BD280F"/>
    <w:rsid w:val="00BD2ECA"/>
    <w:rsid w:val="00BD33D4"/>
    <w:rsid w:val="00BD3853"/>
    <w:rsid w:val="00BE0A0F"/>
    <w:rsid w:val="00BE33E6"/>
    <w:rsid w:val="00BE6EC5"/>
    <w:rsid w:val="00BF208C"/>
    <w:rsid w:val="00BF248F"/>
    <w:rsid w:val="00BF67CA"/>
    <w:rsid w:val="00C022D4"/>
    <w:rsid w:val="00C025D8"/>
    <w:rsid w:val="00C03AAC"/>
    <w:rsid w:val="00C047FF"/>
    <w:rsid w:val="00C04BAB"/>
    <w:rsid w:val="00C11704"/>
    <w:rsid w:val="00C23391"/>
    <w:rsid w:val="00C243D7"/>
    <w:rsid w:val="00C2542D"/>
    <w:rsid w:val="00C34E62"/>
    <w:rsid w:val="00C45409"/>
    <w:rsid w:val="00C45849"/>
    <w:rsid w:val="00C500CD"/>
    <w:rsid w:val="00C50277"/>
    <w:rsid w:val="00C503A4"/>
    <w:rsid w:val="00C52190"/>
    <w:rsid w:val="00C53F57"/>
    <w:rsid w:val="00C5482B"/>
    <w:rsid w:val="00C551A0"/>
    <w:rsid w:val="00C57469"/>
    <w:rsid w:val="00C57CD4"/>
    <w:rsid w:val="00C60A58"/>
    <w:rsid w:val="00C60CBA"/>
    <w:rsid w:val="00C650DB"/>
    <w:rsid w:val="00C666BA"/>
    <w:rsid w:val="00C71709"/>
    <w:rsid w:val="00C7292C"/>
    <w:rsid w:val="00C758C3"/>
    <w:rsid w:val="00C846FB"/>
    <w:rsid w:val="00C93651"/>
    <w:rsid w:val="00C95223"/>
    <w:rsid w:val="00CA517D"/>
    <w:rsid w:val="00CB2F6E"/>
    <w:rsid w:val="00CB740F"/>
    <w:rsid w:val="00CC156E"/>
    <w:rsid w:val="00CC1E9D"/>
    <w:rsid w:val="00CC7D7D"/>
    <w:rsid w:val="00CD14EB"/>
    <w:rsid w:val="00CD2761"/>
    <w:rsid w:val="00CD5E93"/>
    <w:rsid w:val="00CD7519"/>
    <w:rsid w:val="00CD7561"/>
    <w:rsid w:val="00CE7ED7"/>
    <w:rsid w:val="00CF0984"/>
    <w:rsid w:val="00CF3496"/>
    <w:rsid w:val="00CF3E62"/>
    <w:rsid w:val="00CF497B"/>
    <w:rsid w:val="00CF6D31"/>
    <w:rsid w:val="00CF71FE"/>
    <w:rsid w:val="00D03108"/>
    <w:rsid w:val="00D04C48"/>
    <w:rsid w:val="00D1232C"/>
    <w:rsid w:val="00D13EB7"/>
    <w:rsid w:val="00D22288"/>
    <w:rsid w:val="00D22B04"/>
    <w:rsid w:val="00D23507"/>
    <w:rsid w:val="00D25ECF"/>
    <w:rsid w:val="00D26C5A"/>
    <w:rsid w:val="00D27F2B"/>
    <w:rsid w:val="00D317BD"/>
    <w:rsid w:val="00D319B4"/>
    <w:rsid w:val="00D406F1"/>
    <w:rsid w:val="00D40D74"/>
    <w:rsid w:val="00D418E3"/>
    <w:rsid w:val="00D45125"/>
    <w:rsid w:val="00D47A82"/>
    <w:rsid w:val="00D56588"/>
    <w:rsid w:val="00D57642"/>
    <w:rsid w:val="00D66217"/>
    <w:rsid w:val="00D703C5"/>
    <w:rsid w:val="00D71159"/>
    <w:rsid w:val="00D75C78"/>
    <w:rsid w:val="00D86155"/>
    <w:rsid w:val="00DA31E3"/>
    <w:rsid w:val="00DA4C15"/>
    <w:rsid w:val="00DA767F"/>
    <w:rsid w:val="00DB1E02"/>
    <w:rsid w:val="00DB4A95"/>
    <w:rsid w:val="00DB63D3"/>
    <w:rsid w:val="00DB7347"/>
    <w:rsid w:val="00DC1061"/>
    <w:rsid w:val="00DC11AA"/>
    <w:rsid w:val="00DC309E"/>
    <w:rsid w:val="00DD2AFC"/>
    <w:rsid w:val="00DE32D3"/>
    <w:rsid w:val="00DF07E4"/>
    <w:rsid w:val="00DF5E3D"/>
    <w:rsid w:val="00DF744F"/>
    <w:rsid w:val="00E00C3D"/>
    <w:rsid w:val="00E04353"/>
    <w:rsid w:val="00E131F4"/>
    <w:rsid w:val="00E16AB1"/>
    <w:rsid w:val="00E22E28"/>
    <w:rsid w:val="00E2371B"/>
    <w:rsid w:val="00E25FA1"/>
    <w:rsid w:val="00E26881"/>
    <w:rsid w:val="00E303EC"/>
    <w:rsid w:val="00E36750"/>
    <w:rsid w:val="00E45C46"/>
    <w:rsid w:val="00E45E90"/>
    <w:rsid w:val="00E47F70"/>
    <w:rsid w:val="00E52681"/>
    <w:rsid w:val="00E6166A"/>
    <w:rsid w:val="00E61CEA"/>
    <w:rsid w:val="00E6457C"/>
    <w:rsid w:val="00E64AD0"/>
    <w:rsid w:val="00E66868"/>
    <w:rsid w:val="00E728BE"/>
    <w:rsid w:val="00E744AC"/>
    <w:rsid w:val="00E75085"/>
    <w:rsid w:val="00E75CD2"/>
    <w:rsid w:val="00E768ED"/>
    <w:rsid w:val="00E817D8"/>
    <w:rsid w:val="00E86475"/>
    <w:rsid w:val="00E97406"/>
    <w:rsid w:val="00E97FDD"/>
    <w:rsid w:val="00EA1D58"/>
    <w:rsid w:val="00EA1D63"/>
    <w:rsid w:val="00EB58B1"/>
    <w:rsid w:val="00EC4290"/>
    <w:rsid w:val="00ED1480"/>
    <w:rsid w:val="00ED18E7"/>
    <w:rsid w:val="00ED206B"/>
    <w:rsid w:val="00ED3622"/>
    <w:rsid w:val="00ED5946"/>
    <w:rsid w:val="00EE0A5D"/>
    <w:rsid w:val="00EE1F1B"/>
    <w:rsid w:val="00EF05F9"/>
    <w:rsid w:val="00EF35D0"/>
    <w:rsid w:val="00EF3FE5"/>
    <w:rsid w:val="00F01F87"/>
    <w:rsid w:val="00F05FE7"/>
    <w:rsid w:val="00F10832"/>
    <w:rsid w:val="00F12605"/>
    <w:rsid w:val="00F126B0"/>
    <w:rsid w:val="00F23AC5"/>
    <w:rsid w:val="00F2496D"/>
    <w:rsid w:val="00F24C83"/>
    <w:rsid w:val="00F3697A"/>
    <w:rsid w:val="00F44BF6"/>
    <w:rsid w:val="00F475CA"/>
    <w:rsid w:val="00F56522"/>
    <w:rsid w:val="00F6037A"/>
    <w:rsid w:val="00F66BE4"/>
    <w:rsid w:val="00F71BE5"/>
    <w:rsid w:val="00F71D61"/>
    <w:rsid w:val="00F7449E"/>
    <w:rsid w:val="00F7565B"/>
    <w:rsid w:val="00F779F3"/>
    <w:rsid w:val="00F80048"/>
    <w:rsid w:val="00F80892"/>
    <w:rsid w:val="00F80C0A"/>
    <w:rsid w:val="00F81037"/>
    <w:rsid w:val="00F845BB"/>
    <w:rsid w:val="00F86186"/>
    <w:rsid w:val="00F92942"/>
    <w:rsid w:val="00F97C13"/>
    <w:rsid w:val="00FA1A24"/>
    <w:rsid w:val="00FA308C"/>
    <w:rsid w:val="00FA409B"/>
    <w:rsid w:val="00FB09CA"/>
    <w:rsid w:val="00FB3166"/>
    <w:rsid w:val="00FB7472"/>
    <w:rsid w:val="00FD14FB"/>
    <w:rsid w:val="00FD1F1E"/>
    <w:rsid w:val="00FD470D"/>
    <w:rsid w:val="00FD62E8"/>
    <w:rsid w:val="00FE0F94"/>
    <w:rsid w:val="00FE3FE1"/>
    <w:rsid w:val="00FF3C37"/>
    <w:rsid w:val="00FF64AF"/>
    <w:rsid w:val="00FF6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uiPriority w:val="99"/>
    <w:qFormat/>
    <w:rsid w:val="005F47F6"/>
    <w:pPr>
      <w:numPr>
        <w:numId w:val="1"/>
      </w:numPr>
      <w:spacing w:before="240" w:after="0" w:line="480" w:lineRule="auto"/>
      <w:outlineLvl w:val="0"/>
    </w:pPr>
    <w:rPr>
      <w:rFonts w:ascii="Times New Roman Bold" w:eastAsia="Calibri" w:hAnsi="Times New Roman Bold" w:cs="Arial"/>
      <w:b/>
      <w:sz w:val="28"/>
      <w:szCs w:val="28"/>
      <w:u w:val="single"/>
    </w:rPr>
  </w:style>
  <w:style w:type="paragraph" w:styleId="Heading2">
    <w:name w:val="heading 2"/>
    <w:basedOn w:val="BodyText"/>
    <w:next w:val="BodyText"/>
    <w:link w:val="Heading2Char"/>
    <w:uiPriority w:val="99"/>
    <w:qFormat/>
    <w:rsid w:val="00775CBA"/>
    <w:pPr>
      <w:keepNext/>
      <w:numPr>
        <w:ilvl w:val="1"/>
        <w:numId w:val="1"/>
      </w:numPr>
      <w:outlineLvl w:val="1"/>
    </w:pPr>
    <w:rPr>
      <w:rFonts w:ascii="Arial" w:eastAsia="Calibri" w:hAnsi="Arial" w:cs="Arial"/>
      <w:b/>
      <w:sz w:val="24"/>
      <w:szCs w:val="24"/>
    </w:rPr>
  </w:style>
  <w:style w:type="paragraph" w:styleId="Heading3">
    <w:name w:val="heading 3"/>
    <w:basedOn w:val="Normal"/>
    <w:next w:val="BodyText"/>
    <w:link w:val="Heading3Char"/>
    <w:uiPriority w:val="99"/>
    <w:qFormat/>
    <w:rsid w:val="005F47F6"/>
    <w:pPr>
      <w:keepNext/>
      <w:numPr>
        <w:ilvl w:val="2"/>
        <w:numId w:val="1"/>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1"/>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1"/>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1"/>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1"/>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1"/>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47F6"/>
    <w:rPr>
      <w:rFonts w:ascii="Times New Roman Bold" w:eastAsia="Calibri" w:hAnsi="Times New Roman Bold" w:cs="Arial"/>
      <w:b/>
      <w:sz w:val="28"/>
      <w:szCs w:val="28"/>
      <w:u w:val="single"/>
    </w:rPr>
  </w:style>
  <w:style w:type="character" w:customStyle="1" w:styleId="Heading2Char">
    <w:name w:val="Heading 2 Char"/>
    <w:basedOn w:val="DefaultParagraphFont"/>
    <w:link w:val="Heading2"/>
    <w:uiPriority w:val="99"/>
    <w:rsid w:val="00775CBA"/>
    <w:rPr>
      <w:rFonts w:ascii="Arial" w:eastAsia="Calibri" w:hAnsi="Arial" w:cs="Arial"/>
      <w:b/>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semiHidden/>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semiHidden/>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A43E1-4712-4359-9803-9E211B81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3349</Words>
  <Characters>19091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2019-01-17T19:05:00Z</dcterms:created>
  <dcterms:modified xsi:type="dcterms:W3CDTF">2019-01-29T20:38:00Z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