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51A75" w:rsidRDefault="00551A75" w:rsidP="00E00F7C">
      <w:pPr>
        <w:ind w:left="720"/>
        <w:rPr>
          <w:rFonts w:ascii="Arial" w:hAnsi="Arial" w:cs="Arial"/>
        </w:rPr>
      </w:pPr>
      <w:bookmarkStart w:id="0" w:name="_GoBack"/>
      <w:bookmarkEnd w:id="0"/>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Default="00551A75" w:rsidP="00551A75">
      <w:pPr>
        <w:rPr>
          <w:rFonts w:ascii="Arial" w:hAnsi="Arial" w:cs="Arial"/>
        </w:rPr>
      </w:pPr>
    </w:p>
    <w:p w:rsidR="00551A75" w:rsidRPr="00092ED5" w:rsidRDefault="00551A75" w:rsidP="00551A75"/>
    <w:p w:rsidR="00551A75" w:rsidRPr="004E2665" w:rsidRDefault="001A1FA9" w:rsidP="00551A75">
      <w:pPr>
        <w:pStyle w:val="Heading1"/>
        <w:keepNext w:val="0"/>
        <w:jc w:val="center"/>
        <w:rPr>
          <w:rFonts w:ascii="Arial" w:hAnsi="Arial" w:cs="Arial"/>
          <w:sz w:val="48"/>
          <w:szCs w:val="48"/>
        </w:rPr>
      </w:pPr>
      <w:r w:rsidRPr="004E2665">
        <w:rPr>
          <w:rFonts w:ascii="Arial" w:hAnsi="Arial" w:cs="Arial"/>
          <w:sz w:val="48"/>
          <w:szCs w:val="48"/>
        </w:rPr>
        <w:t xml:space="preserve">APPENDIX </w:t>
      </w:r>
      <w:r w:rsidR="00E21D46" w:rsidRPr="004E2665">
        <w:rPr>
          <w:rFonts w:ascii="Arial" w:hAnsi="Arial" w:cs="Arial"/>
          <w:sz w:val="48"/>
          <w:szCs w:val="48"/>
        </w:rPr>
        <w:t>E</w:t>
      </w:r>
    </w:p>
    <w:p w:rsidR="00551A75" w:rsidRPr="004E2665" w:rsidRDefault="00551A75" w:rsidP="00551A75">
      <w:pPr>
        <w:rPr>
          <w:rFonts w:ascii="Arial" w:hAnsi="Arial" w:cs="Arial"/>
        </w:rPr>
      </w:pPr>
    </w:p>
    <w:p w:rsidR="001A1FA9" w:rsidRPr="004E2665" w:rsidRDefault="001A1FA9" w:rsidP="00551A75">
      <w:pPr>
        <w:pStyle w:val="Heading1"/>
        <w:keepNext w:val="0"/>
        <w:jc w:val="center"/>
        <w:rPr>
          <w:rFonts w:ascii="Arial" w:hAnsi="Arial" w:cs="Arial"/>
          <w:sz w:val="32"/>
          <w:szCs w:val="32"/>
        </w:rPr>
      </w:pPr>
      <w:r w:rsidRPr="004E2665">
        <w:rPr>
          <w:rFonts w:ascii="Arial" w:hAnsi="Arial" w:cs="Arial"/>
          <w:sz w:val="32"/>
          <w:szCs w:val="32"/>
        </w:rPr>
        <w:t>An Overview of the PROVIEW Module</w:t>
      </w:r>
    </w:p>
    <w:p w:rsidR="001A1FA9" w:rsidRPr="00092ED5" w:rsidRDefault="00551A75">
      <w:pPr>
        <w:pStyle w:val="Heading1"/>
        <w:rPr>
          <w:sz w:val="28"/>
        </w:rPr>
      </w:pPr>
      <w:r w:rsidRPr="00092ED5">
        <w:rPr>
          <w:sz w:val="28"/>
        </w:rPr>
        <w:br w:type="page"/>
      </w:r>
    </w:p>
    <w:p w:rsidR="001A1FA9" w:rsidRPr="004E2665" w:rsidRDefault="001A1FA9" w:rsidP="004E2665">
      <w:pPr>
        <w:pStyle w:val="Heading1"/>
        <w:jc w:val="both"/>
        <w:rPr>
          <w:rFonts w:ascii="Arial" w:hAnsi="Arial" w:cs="Arial"/>
          <w:sz w:val="28"/>
        </w:rPr>
      </w:pPr>
      <w:r w:rsidRPr="004E2665">
        <w:rPr>
          <w:rFonts w:ascii="Arial" w:hAnsi="Arial" w:cs="Arial"/>
          <w:sz w:val="28"/>
        </w:rPr>
        <w:lastRenderedPageBreak/>
        <w:t>Overview</w:t>
      </w:r>
    </w:p>
    <w:p w:rsidR="001A1FA9" w:rsidRPr="004E2665" w:rsidRDefault="001A1FA9" w:rsidP="004E2665">
      <w:pPr>
        <w:pStyle w:val="Heading1"/>
        <w:jc w:val="both"/>
        <w:rPr>
          <w:rFonts w:ascii="Arial" w:hAnsi="Arial" w:cs="Arial"/>
        </w:rPr>
      </w:pPr>
    </w:p>
    <w:p w:rsidR="001A1FA9" w:rsidRPr="004E2665" w:rsidRDefault="001A1FA9" w:rsidP="004E2665">
      <w:pPr>
        <w:pStyle w:val="Heading1"/>
        <w:jc w:val="both"/>
        <w:rPr>
          <w:rFonts w:ascii="Arial" w:hAnsi="Arial" w:cs="Arial"/>
        </w:rPr>
      </w:pPr>
      <w:r w:rsidRPr="004E2665">
        <w:rPr>
          <w:rFonts w:ascii="Arial" w:hAnsi="Arial" w:cs="Arial"/>
        </w:rPr>
        <w:t>Module Introduction</w:t>
      </w:r>
    </w:p>
    <w:p w:rsidR="001A1FA9" w:rsidRPr="004E2665" w:rsidRDefault="001A1FA9" w:rsidP="004E2665">
      <w:pPr>
        <w:jc w:val="both"/>
        <w:rPr>
          <w:rFonts w:ascii="Arial" w:hAnsi="Arial" w:cs="Arial"/>
        </w:rPr>
      </w:pPr>
    </w:p>
    <w:p w:rsidR="001A1FA9" w:rsidRPr="004E2665" w:rsidRDefault="00BB29CD" w:rsidP="004E2665">
      <w:pPr>
        <w:jc w:val="both"/>
        <w:rPr>
          <w:rFonts w:ascii="Arial" w:hAnsi="Arial" w:cs="Arial"/>
          <w:sz w:val="24"/>
        </w:rPr>
      </w:pPr>
      <w:r w:rsidRPr="004E2665">
        <w:rPr>
          <w:rFonts w:ascii="Arial" w:hAnsi="Arial" w:cs="Arial"/>
          <w:sz w:val="24"/>
        </w:rPr>
        <w:t>The PROVIE</w:t>
      </w:r>
      <w:r w:rsidR="00FB3020" w:rsidRPr="004E2665">
        <w:rPr>
          <w:rFonts w:ascii="Arial" w:hAnsi="Arial" w:cs="Arial"/>
          <w:sz w:val="24"/>
        </w:rPr>
        <w:t>W</w:t>
      </w:r>
      <w:r w:rsidR="001A1FA9" w:rsidRPr="004E2665">
        <w:rPr>
          <w:rFonts w:ascii="Arial" w:hAnsi="Arial" w:cs="Arial"/>
          <w:sz w:val="24"/>
        </w:rPr>
        <w:t xml:space="preserve"> Module is an automatic expansion planning module which can determine the optimal balanced supply plan for a utility system under a prescribed set of constraints and assumptions. PROVIEW enables planners to study a wide variety of long range expansion planning options including alternative technologies, fuel costs, reliability limits, and financial constraints in order to develop a coordinated integrated plan which would be best suited for the utility. PROVIEW simulates the operation of a utility system to determine the cost and reliability effects of adding resources to the system, and it examines the impact on the construction budget of building new units.</w:t>
      </w:r>
    </w:p>
    <w:p w:rsidR="001A1FA9" w:rsidRPr="004E2665" w:rsidRDefault="001A1FA9" w:rsidP="004E2665">
      <w:pPr>
        <w:jc w:val="both"/>
        <w:rPr>
          <w:rFonts w:ascii="Arial" w:hAnsi="Arial" w:cs="Arial"/>
          <w:sz w:val="24"/>
        </w:rPr>
      </w:pPr>
    </w:p>
    <w:p w:rsidR="001A1FA9" w:rsidRPr="004E2665" w:rsidRDefault="001A1FA9" w:rsidP="004E2665">
      <w:pPr>
        <w:jc w:val="both"/>
        <w:rPr>
          <w:rFonts w:ascii="Arial" w:hAnsi="Arial" w:cs="Arial"/>
          <w:sz w:val="24"/>
        </w:rPr>
      </w:pPr>
      <w:r w:rsidRPr="004E2665">
        <w:rPr>
          <w:rFonts w:ascii="Arial" w:hAnsi="Arial" w:cs="Arial"/>
          <w:sz w:val="24"/>
        </w:rPr>
        <w:t xml:space="preserve">Accurate results and quick turnaround time allow the strategic planner to evaluate numerous expansion scenarios quickly. The Module achieves its speed of operation by eliminating the detail which is typically not needed for these kinds of "screening" applications. The dispatch of alternatives can be performed on an annual basis or in user–defined dispatch periods (seasons). The probabilistic production cost approach used by PROVIEW is identical to that used in the </w:t>
      </w:r>
      <w:r w:rsidR="00746CCC" w:rsidRPr="004E2665">
        <w:rPr>
          <w:rFonts w:ascii="Arial" w:hAnsi="Arial" w:cs="Arial"/>
          <w:sz w:val="24"/>
        </w:rPr>
        <w:t>STRATEGIST</w:t>
      </w:r>
      <w:r w:rsidRPr="004E2665">
        <w:rPr>
          <w:rFonts w:ascii="Arial" w:hAnsi="Arial" w:cs="Arial"/>
          <w:sz w:val="24"/>
        </w:rPr>
        <w:t xml:space="preserve"> Generation and Fuel Module (GAF). In fact, a GAF database containing information pertaining to the utility system can be directly used for a PROVIEW simulation. </w:t>
      </w:r>
    </w:p>
    <w:p w:rsidR="001A1FA9" w:rsidRPr="004E2665" w:rsidRDefault="001A1FA9" w:rsidP="004E2665">
      <w:pPr>
        <w:jc w:val="both"/>
        <w:rPr>
          <w:rFonts w:ascii="Arial" w:hAnsi="Arial" w:cs="Arial"/>
          <w:sz w:val="24"/>
        </w:rPr>
      </w:pPr>
    </w:p>
    <w:p w:rsidR="001A1FA9" w:rsidRPr="004E2665" w:rsidRDefault="001A1FA9" w:rsidP="004E2665">
      <w:pPr>
        <w:jc w:val="both"/>
        <w:rPr>
          <w:rFonts w:ascii="Arial" w:hAnsi="Arial" w:cs="Arial"/>
          <w:sz w:val="24"/>
        </w:rPr>
      </w:pPr>
      <w:r w:rsidRPr="004E2665">
        <w:rPr>
          <w:rFonts w:ascii="Arial" w:hAnsi="Arial" w:cs="Arial"/>
          <w:sz w:val="24"/>
        </w:rPr>
        <w:t>The PROVIEW module provides the user with three options for expansion planning analysis (the PROVIEW RUN FLAG setting for each is in parentheses):  Dynamic Programming ('D'), Generalized Benders Decomposition ('O'), and Independent Processing ('X').</w:t>
      </w:r>
    </w:p>
    <w:p w:rsidR="005C302E" w:rsidRPr="004E2665" w:rsidRDefault="005C302E" w:rsidP="004E2665">
      <w:pPr>
        <w:jc w:val="both"/>
        <w:rPr>
          <w:rFonts w:ascii="Arial" w:hAnsi="Arial" w:cs="Arial"/>
          <w:sz w:val="24"/>
        </w:rPr>
      </w:pPr>
    </w:p>
    <w:p w:rsidR="001A1FA9" w:rsidRPr="004E2665" w:rsidRDefault="001A1FA9" w:rsidP="004E2665">
      <w:pPr>
        <w:jc w:val="both"/>
        <w:rPr>
          <w:rFonts w:ascii="Arial" w:hAnsi="Arial" w:cs="Arial"/>
          <w:sz w:val="24"/>
        </w:rPr>
      </w:pPr>
      <w:r w:rsidRPr="004E2665">
        <w:rPr>
          <w:rFonts w:ascii="Arial" w:hAnsi="Arial" w:cs="Arial"/>
          <w:sz w:val="24"/>
        </w:rPr>
        <w:t xml:space="preserve">Dynamic Programming is </w:t>
      </w:r>
      <w:r w:rsidR="00E92E88" w:rsidRPr="004E2665">
        <w:rPr>
          <w:rFonts w:ascii="Arial" w:hAnsi="Arial" w:cs="Arial"/>
          <w:sz w:val="24"/>
        </w:rPr>
        <w:t>an</w:t>
      </w:r>
      <w:r w:rsidRPr="004E2665">
        <w:rPr>
          <w:rFonts w:ascii="Arial" w:hAnsi="Arial" w:cs="Arial"/>
          <w:sz w:val="24"/>
        </w:rPr>
        <w:t xml:space="preserve"> acknowledged </w:t>
      </w:r>
      <w:r w:rsidR="00E92E88" w:rsidRPr="004E2665">
        <w:rPr>
          <w:rFonts w:ascii="Arial" w:hAnsi="Arial" w:cs="Arial"/>
          <w:sz w:val="24"/>
        </w:rPr>
        <w:t>advanced technique</w:t>
      </w:r>
      <w:r w:rsidRPr="004E2665">
        <w:rPr>
          <w:rFonts w:ascii="Arial" w:hAnsi="Arial" w:cs="Arial"/>
          <w:sz w:val="24"/>
        </w:rPr>
        <w:t xml:space="preserve"> in utility expansion planning analysis. The Dynamic Programming Option will select the best expansion plan for the planning period. This option applies a dynamic programming optimization procedure coupled with end effects analysis. In each year, feasible combinations of alternatives are evaluated and saved. At the end of the planning period, each potential expansion plan is subjected to end effects analysis.</w:t>
      </w:r>
    </w:p>
    <w:p w:rsidR="001A1FA9" w:rsidRPr="004E2665" w:rsidRDefault="001A1FA9" w:rsidP="004E2665">
      <w:pPr>
        <w:jc w:val="both"/>
        <w:rPr>
          <w:rFonts w:ascii="Arial" w:hAnsi="Arial" w:cs="Arial"/>
          <w:sz w:val="24"/>
        </w:rPr>
      </w:pPr>
    </w:p>
    <w:p w:rsidR="001A1FA9" w:rsidRPr="004E2665" w:rsidRDefault="001A1FA9" w:rsidP="004E2665">
      <w:pPr>
        <w:jc w:val="both"/>
        <w:rPr>
          <w:rFonts w:ascii="Arial" w:hAnsi="Arial" w:cs="Arial"/>
          <w:sz w:val="24"/>
        </w:rPr>
      </w:pPr>
      <w:r w:rsidRPr="004E2665">
        <w:rPr>
          <w:rFonts w:ascii="Arial" w:hAnsi="Arial" w:cs="Arial"/>
          <w:sz w:val="24"/>
        </w:rPr>
        <w:t xml:space="preserve">The Dynamic Programming option </w:t>
      </w:r>
      <w:r w:rsidR="00051097" w:rsidRPr="004E2665">
        <w:rPr>
          <w:rFonts w:ascii="Arial" w:hAnsi="Arial" w:cs="Arial"/>
          <w:sz w:val="24"/>
        </w:rPr>
        <w:t xml:space="preserve">is used by the Company and </w:t>
      </w:r>
      <w:r w:rsidRPr="004E2665">
        <w:rPr>
          <w:rFonts w:ascii="Arial" w:hAnsi="Arial" w:cs="Arial"/>
          <w:sz w:val="24"/>
        </w:rPr>
        <w:t xml:space="preserve">provides the user with options as to which objective function is to be optimized. For typical system expansion planning analysis, the net present worth of utility cost is minimized. </w:t>
      </w:r>
    </w:p>
    <w:p w:rsidR="001A1FA9" w:rsidRPr="004E2665" w:rsidRDefault="001A1FA9" w:rsidP="004E2665">
      <w:pPr>
        <w:jc w:val="both"/>
        <w:rPr>
          <w:rFonts w:ascii="Arial" w:hAnsi="Arial" w:cs="Arial"/>
          <w:sz w:val="24"/>
        </w:rPr>
      </w:pPr>
    </w:p>
    <w:p w:rsidR="001A1FA9" w:rsidRPr="004E2665" w:rsidRDefault="001A1FA9" w:rsidP="004E2665">
      <w:pPr>
        <w:jc w:val="both"/>
        <w:rPr>
          <w:rFonts w:ascii="Arial" w:hAnsi="Arial" w:cs="Arial"/>
          <w:sz w:val="24"/>
        </w:rPr>
      </w:pPr>
      <w:r w:rsidRPr="004E2665">
        <w:rPr>
          <w:rFonts w:ascii="Arial" w:hAnsi="Arial" w:cs="Arial"/>
          <w:sz w:val="24"/>
        </w:rPr>
        <w:t>Outputs produced include the generating capacity additions in each year, total present worth of utility cost, annual capital requirements, annual operating cost, fuel requirements, reserve margin, and other detailed results that a user may require.</w:t>
      </w:r>
    </w:p>
    <w:p w:rsidR="00D410C4" w:rsidRPr="004E2665" w:rsidRDefault="00D410C4" w:rsidP="004E2665">
      <w:pPr>
        <w:jc w:val="both"/>
        <w:rPr>
          <w:rFonts w:ascii="Arial" w:hAnsi="Arial" w:cs="Arial"/>
          <w:sz w:val="24"/>
        </w:rPr>
      </w:pPr>
    </w:p>
    <w:p w:rsidR="001A1FA9" w:rsidRPr="004E2665" w:rsidRDefault="001A1FA9" w:rsidP="004E2665">
      <w:pPr>
        <w:jc w:val="both"/>
        <w:rPr>
          <w:rFonts w:ascii="Arial" w:hAnsi="Arial" w:cs="Arial"/>
        </w:rPr>
      </w:pPr>
      <w:r w:rsidRPr="004E2665">
        <w:rPr>
          <w:rFonts w:ascii="Arial" w:hAnsi="Arial" w:cs="Arial"/>
          <w:sz w:val="24"/>
        </w:rPr>
        <w:t xml:space="preserve">The PROVIEW documentation includes chapters describing module methodology, operation, input data requirements and output reports. For discussion of simulation of an existing generating system, see the </w:t>
      </w:r>
      <w:r w:rsidR="00746CCC" w:rsidRPr="004E2665">
        <w:rPr>
          <w:rFonts w:ascii="Arial" w:hAnsi="Arial" w:cs="Arial"/>
          <w:sz w:val="24"/>
        </w:rPr>
        <w:t>STRATEGIST</w:t>
      </w:r>
      <w:r w:rsidRPr="004E2665">
        <w:rPr>
          <w:rFonts w:ascii="Arial" w:hAnsi="Arial" w:cs="Arial"/>
          <w:sz w:val="24"/>
        </w:rPr>
        <w:t xml:space="preserve"> GAF module documentation. For </w:t>
      </w:r>
      <w:r w:rsidRPr="004E2665">
        <w:rPr>
          <w:rFonts w:ascii="Arial" w:hAnsi="Arial" w:cs="Arial"/>
          <w:sz w:val="24"/>
        </w:rPr>
        <w:lastRenderedPageBreak/>
        <w:t xml:space="preserve">discussion of simulation of existing loads, see the </w:t>
      </w:r>
      <w:r w:rsidR="00746CCC" w:rsidRPr="004E2665">
        <w:rPr>
          <w:rFonts w:ascii="Arial" w:hAnsi="Arial" w:cs="Arial"/>
          <w:sz w:val="24"/>
        </w:rPr>
        <w:t>STRATEGIST</w:t>
      </w:r>
      <w:r w:rsidRPr="004E2665">
        <w:rPr>
          <w:rFonts w:ascii="Arial" w:hAnsi="Arial" w:cs="Arial"/>
          <w:sz w:val="24"/>
        </w:rPr>
        <w:t xml:space="preserve"> LFA module documentation.</w:t>
      </w:r>
    </w:p>
    <w:p w:rsidR="001A1FA9" w:rsidRPr="004E2665" w:rsidRDefault="001A1FA9" w:rsidP="004E2665">
      <w:pPr>
        <w:jc w:val="both"/>
        <w:rPr>
          <w:rFonts w:ascii="Arial" w:hAnsi="Arial" w:cs="Arial"/>
        </w:rPr>
      </w:pPr>
    </w:p>
    <w:p w:rsidR="001A1FA9" w:rsidRPr="004E2665" w:rsidRDefault="001A1FA9" w:rsidP="004E2665">
      <w:pPr>
        <w:pStyle w:val="Heading1"/>
        <w:jc w:val="both"/>
        <w:rPr>
          <w:rFonts w:ascii="Arial" w:hAnsi="Arial" w:cs="Arial"/>
          <w:sz w:val="28"/>
        </w:rPr>
      </w:pPr>
      <w:r w:rsidRPr="004E2665">
        <w:rPr>
          <w:rFonts w:ascii="Arial" w:hAnsi="Arial" w:cs="Arial"/>
          <w:sz w:val="28"/>
        </w:rPr>
        <w:t>Module Methodology</w:t>
      </w:r>
    </w:p>
    <w:p w:rsidR="001A1FA9" w:rsidRPr="004E2665" w:rsidRDefault="001A1FA9" w:rsidP="004E2665">
      <w:pPr>
        <w:pStyle w:val="Heading1"/>
        <w:jc w:val="both"/>
        <w:rPr>
          <w:rFonts w:ascii="Arial" w:hAnsi="Arial" w:cs="Arial"/>
        </w:rPr>
      </w:pPr>
    </w:p>
    <w:p w:rsidR="001A1FA9" w:rsidRPr="004E2665" w:rsidRDefault="001A1FA9" w:rsidP="004E2665">
      <w:pPr>
        <w:pStyle w:val="Heading1"/>
        <w:jc w:val="both"/>
        <w:rPr>
          <w:rFonts w:ascii="Arial" w:hAnsi="Arial" w:cs="Arial"/>
        </w:rPr>
      </w:pPr>
      <w:r w:rsidRPr="004E2665">
        <w:rPr>
          <w:rFonts w:ascii="Arial" w:hAnsi="Arial" w:cs="Arial"/>
        </w:rPr>
        <w:t>Dynamic Programming Defined</w:t>
      </w:r>
    </w:p>
    <w:p w:rsidR="001A1FA9" w:rsidRPr="004E2665" w:rsidRDefault="001A1FA9" w:rsidP="004E2665">
      <w:pPr>
        <w:jc w:val="both"/>
        <w:rPr>
          <w:rFonts w:ascii="Arial" w:hAnsi="Arial" w:cs="Arial"/>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Dynamic programming is a mathematical technique useful for making a sequence of interrelated decisions. It is a systematic procedure for determining the combination of decisions that maximizes the desired outcome. Rather than using a standard mathematical formulation, dynamic programming is a general approach to problem solving. Equations used must be developed to fit each individual situation or problem.</w:t>
      </w:r>
    </w:p>
    <w:p w:rsidR="00D410C4" w:rsidRPr="004E2665" w:rsidRDefault="00D410C4"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dynamic programming algorithm used by PROVIEW to analyze the generation expansion problem is described as follows. In each year of the study all numeric combinations of the available alternatives are considered. Each unique combination of alternatives is considered a state.</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primary objective is to optimize the selected objective function subject to the user specified constraints. Each combination of alternatives that satisfies the primary objective is considered to be a feasible state and is saved by the program. Note that a state is defined by the number of each alternative resource making up the state, regardless of whether the resources were added in the current or a previous year.</w:t>
      </w:r>
    </w:p>
    <w:p w:rsidR="00871FE8" w:rsidRPr="004E2665" w:rsidRDefault="00871FE8"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As the years progress and the amount of new capacity required increases, the number of possible combinations as well as the number of feasible states increase. This in turn becomes an extremely large computational and data storage problem. The computational and storage problems increase approximately exponentially with the number of alternatives considered. The manner in which an analyst chooses to address these problems will affect the ability of the dynamic programming algorithm to accurately find the optimal solution.</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An example with two alternative types, a 200 MW coal unit and a 60 MW combustion turbine, is shown in Figure PRV-1. In the first year, two states (combinations) are found that satisfy the constraints and result in reserves between the user specified minimum and maximum. Again, the state description is the number of coal units and the number of combustion turbines included in the state. In the example, the state (0,4) has no coal units and four combustion turbines. The state (1,0) contains one coal unit and no combustion turbines. The capital costs are based on the economic carrying charges associated with each alternative in the state. The production costs are defined as the total system cost from the Generation and Fuel Module based on a full probabilistic dispatch for the year in question. The present value of the total of production</w:t>
      </w:r>
      <w:r w:rsidR="00DC7CF4" w:rsidRPr="004E2665">
        <w:rPr>
          <w:rFonts w:ascii="Arial" w:hAnsi="Arial" w:cs="Arial"/>
          <w:sz w:val="24"/>
          <w:szCs w:val="24"/>
        </w:rPr>
        <w:t xml:space="preserve"> </w:t>
      </w:r>
      <w:r w:rsidRPr="004E2665">
        <w:rPr>
          <w:rFonts w:ascii="Arial" w:hAnsi="Arial" w:cs="Arial"/>
          <w:sz w:val="24"/>
          <w:szCs w:val="24"/>
        </w:rPr>
        <w:t>and capital costs are saved as the accumulated cost to date for each state.</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 xml:space="preserve">In subsequent years, each of the feasible states from the prior year is considered one at a time as an origin state. Each origin state is then eligible to generate additional states used as the basis for determining feasible states in the current year. For each origin state, </w:t>
      </w:r>
      <w:r w:rsidRPr="004E2665">
        <w:rPr>
          <w:rFonts w:ascii="Arial" w:hAnsi="Arial" w:cs="Arial"/>
          <w:sz w:val="24"/>
          <w:szCs w:val="24"/>
        </w:rPr>
        <w:lastRenderedPageBreak/>
        <w:t>all of the numeric possible combinations of the origin state and the alternative resources available are considered. Each combination (state) that satisfies all of the constraints and results in reserves between the specified minimum and maximum is saved as a feasible state.</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convergent states switch determines how many new states are generated and saved for the current year. It also determines the way the present value of the production cost is computed for the new states. When a particular state can be reached from more than one origin state, if the switch is turned on (default value 1), only one new state is said to exist and the path with the best objective function value is saved. In the example, using the default value for convergent state switch, four feasible states were found in the second year. Note that the state (1,4) could have been reached from either of the states in the first year. In this case, only the path from state (0,4) was saved because it resulted in a lower accumulated cost than the path from state (1,0). Turning off the convergent states switch for either of these alternatives by setting its value to 2 or 3 would have resulted in two new states (with identical current year description (1,4) saved). In this case, the current year production cost is computed only once and passed to both new states when the convergent states switch takes the value of 3. Otherwise, the current year production cost is computed separately for both new states saved. For each feasible state, the state description, the objective function value to date, and the origin state index are saved. In the subsequent years, the objective function value to date equals the objective function for the origin state plus the present value of the production and capital cost from the current state. The index number of the origin state is used to retrace the optimal path arriving at any state.</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analysis continues in this fashion until the last year of the study is processed. At this point, end effects are considered to account for differences in operating characteristics, fuel costs, operations and maintenance costs, and lives of the alternatives after the study horizon.</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 xml:space="preserve">The end effects total costs equal the present value of capital costs plus production costs. The capital costs equal the economic carrying cost associated with each year of the specified end effects period. Production costs equal the total system cost from a single period simulation representing the same specified end effects period. The dispatch for end effects is based on constant loads and "time weighted" inputs for fuel, and operating costs. </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total cost objective function value is the present value of revenue cost plus the present value of customer costs as computed in the Load Forecast Adjustment Module and the Generation and Fuel Module.</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societal cost objective function value is the present value of total cost plus the present value of externalities as computed in the Load Forecast Adjustment Module and Generation and Fuel Module.</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lastRenderedPageBreak/>
        <w:t>The unit profitability objective function value is the present value of total unit revenues less total unit expenditures as computed in the Generation and Fuel Module, less capital costs.  Unit profitability will not be calculated unless either this objective function is chosen or the GAF. INPUT. PARAMETERS. UNIT PROFITABILITY FLAG is equal to 1 or 2.</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final economic optimal plan is selected as the one having the optimal present value objective function value after the end effects analysis. The economic optimal and suboptimal plans can be printed through the Integrated Plan Report.</w:t>
      </w:r>
    </w:p>
    <w:p w:rsidR="00E21F78" w:rsidRPr="004E2665" w:rsidRDefault="00E21F78" w:rsidP="004E2665">
      <w:pPr>
        <w:pStyle w:val="Heading1"/>
        <w:jc w:val="both"/>
        <w:rPr>
          <w:rFonts w:ascii="Arial" w:hAnsi="Arial" w:cs="Arial"/>
          <w:szCs w:val="24"/>
        </w:rPr>
      </w:pPr>
    </w:p>
    <w:p w:rsidR="001A1FA9" w:rsidRPr="004E2665" w:rsidRDefault="001A1FA9" w:rsidP="004E2665">
      <w:pPr>
        <w:pStyle w:val="Heading1"/>
        <w:jc w:val="both"/>
        <w:rPr>
          <w:rFonts w:ascii="Arial" w:hAnsi="Arial" w:cs="Arial"/>
          <w:szCs w:val="24"/>
        </w:rPr>
      </w:pPr>
      <w:r w:rsidRPr="004E2665">
        <w:rPr>
          <w:rFonts w:ascii="Arial" w:hAnsi="Arial" w:cs="Arial"/>
          <w:szCs w:val="24"/>
        </w:rPr>
        <w:t>Bellman’s Principle of Optimality</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Bellman's Principle of Optimality states that:  If a path between point A and C must contain point B, then the optimal path from A to B will always be on the optimal path from A to C, through B. Thus if two proposed paths converge at a single point, Bellman's Principle is used to determine which is the optimal path (plan).</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In making this decision, the principle assumes that all future expenses (Production, etc.) are identical regardless of which path is chosen. Future differences in capital costs are directly accounted for in the decision based on the capital cost representation option selected.</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b/>
          <w:sz w:val="24"/>
          <w:szCs w:val="24"/>
        </w:rPr>
        <w:t>Note:</w:t>
      </w:r>
      <w:r w:rsidRPr="004E2665">
        <w:rPr>
          <w:rFonts w:ascii="Arial" w:hAnsi="Arial" w:cs="Arial"/>
          <w:sz w:val="24"/>
          <w:szCs w:val="24"/>
        </w:rPr>
        <w:t xml:space="preserve">  Time dependent characteristics of alternatives must not be modeled if plans are allowed to converge at a single point using Bellman's Principle of Optimality.</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 xml:space="preserve">For minimization of utility cost, the path selected is the one producing the lowest present value total state utility cost. For minimization of total cost, the path selected is the one producing the lowest present value total state cost (including cost born by the customer). For minimization of societal cost, the path selected is the one producing the lowest present value societal cost (including external costs).  </w:t>
      </w:r>
    </w:p>
    <w:p w:rsidR="001A1FA9" w:rsidRPr="004E2665" w:rsidRDefault="001A1FA9" w:rsidP="004E2665">
      <w:pPr>
        <w:jc w:val="both"/>
        <w:rPr>
          <w:rFonts w:ascii="Arial" w:hAnsi="Arial" w:cs="Arial"/>
          <w:sz w:val="24"/>
          <w:szCs w:val="24"/>
        </w:rPr>
      </w:pPr>
      <w:r w:rsidRPr="004E2665">
        <w:rPr>
          <w:rFonts w:ascii="Arial" w:hAnsi="Arial" w:cs="Arial"/>
          <w:sz w:val="24"/>
          <w:szCs w:val="24"/>
        </w:rPr>
        <w:t>In general, financial optimization may not be performed using dynamic programming.  Since one year's beginning balances vary based on the previous year's ending balances, Bellman's Principle is not satisfied.  In order to rank expansion plans based on financial measures, PROVIEW must first optimize based on one of the objective functions described above.  Then, PROVIEW will analyze each saved plan over the planning period and re</w:t>
      </w:r>
      <w:r w:rsidR="00D410C4" w:rsidRPr="004E2665">
        <w:rPr>
          <w:rFonts w:ascii="Arial" w:hAnsi="Arial" w:cs="Arial"/>
          <w:sz w:val="24"/>
          <w:szCs w:val="24"/>
        </w:rPr>
        <w:t>-</w:t>
      </w:r>
      <w:r w:rsidRPr="004E2665">
        <w:rPr>
          <w:rFonts w:ascii="Arial" w:hAnsi="Arial" w:cs="Arial"/>
          <w:sz w:val="24"/>
          <w:szCs w:val="24"/>
        </w:rPr>
        <w:t>rank based on:</w:t>
      </w:r>
    </w:p>
    <w:p w:rsidR="001A1FA9" w:rsidRPr="004E2665" w:rsidRDefault="001A1FA9">
      <w:pPr>
        <w:rPr>
          <w:rFonts w:ascii="Arial" w:hAnsi="Arial" w:cs="Arial"/>
          <w:sz w:val="24"/>
          <w:szCs w:val="24"/>
        </w:rPr>
      </w:pPr>
    </w:p>
    <w:p w:rsidR="001A1FA9" w:rsidRPr="004E2665" w:rsidRDefault="001A1FA9">
      <w:pPr>
        <w:rPr>
          <w:rFonts w:ascii="Arial" w:hAnsi="Arial" w:cs="Arial"/>
          <w:sz w:val="24"/>
          <w:szCs w:val="24"/>
        </w:rPr>
      </w:pPr>
      <w:r w:rsidRPr="004E2665">
        <w:rPr>
          <w:rFonts w:ascii="Arial" w:hAnsi="Arial" w:cs="Arial"/>
          <w:sz w:val="24"/>
          <w:szCs w:val="24"/>
        </w:rPr>
        <w:t>·</w:t>
      </w:r>
      <w:r w:rsidRPr="004E2665">
        <w:rPr>
          <w:rFonts w:ascii="Arial" w:hAnsi="Arial" w:cs="Arial"/>
          <w:sz w:val="24"/>
          <w:szCs w:val="24"/>
        </w:rPr>
        <w:tab/>
        <w:t>Electric Revenue (¢/kWh)</w:t>
      </w:r>
    </w:p>
    <w:p w:rsidR="001A1FA9" w:rsidRPr="004E2665" w:rsidRDefault="001A1FA9">
      <w:pPr>
        <w:rPr>
          <w:rFonts w:ascii="Arial" w:hAnsi="Arial" w:cs="Arial"/>
          <w:sz w:val="24"/>
          <w:szCs w:val="24"/>
        </w:rPr>
      </w:pPr>
      <w:r w:rsidRPr="004E2665">
        <w:rPr>
          <w:rFonts w:ascii="Arial" w:hAnsi="Arial" w:cs="Arial"/>
          <w:sz w:val="24"/>
          <w:szCs w:val="24"/>
        </w:rPr>
        <w:t>·</w:t>
      </w:r>
      <w:r w:rsidRPr="004E2665">
        <w:rPr>
          <w:rFonts w:ascii="Arial" w:hAnsi="Arial" w:cs="Arial"/>
          <w:sz w:val="24"/>
          <w:szCs w:val="24"/>
        </w:rPr>
        <w:tab/>
        <w:t>Corporate Value of Firm</w:t>
      </w:r>
    </w:p>
    <w:p w:rsidR="001A1FA9" w:rsidRPr="004E2665" w:rsidRDefault="001A1FA9">
      <w:pPr>
        <w:rPr>
          <w:rFonts w:ascii="Arial" w:hAnsi="Arial" w:cs="Arial"/>
          <w:sz w:val="24"/>
          <w:szCs w:val="24"/>
        </w:rPr>
      </w:pPr>
      <w:r w:rsidRPr="004E2665">
        <w:rPr>
          <w:rFonts w:ascii="Arial" w:hAnsi="Arial" w:cs="Arial"/>
          <w:sz w:val="24"/>
          <w:szCs w:val="24"/>
        </w:rPr>
        <w:t>·</w:t>
      </w:r>
      <w:r w:rsidRPr="004E2665">
        <w:rPr>
          <w:rFonts w:ascii="Arial" w:hAnsi="Arial" w:cs="Arial"/>
          <w:sz w:val="24"/>
          <w:szCs w:val="24"/>
        </w:rPr>
        <w:tab/>
        <w:t>Economic Profit</w:t>
      </w:r>
    </w:p>
    <w:p w:rsidR="001A1FA9" w:rsidRPr="004E2665" w:rsidRDefault="001A1FA9">
      <w:pPr>
        <w:rPr>
          <w:rFonts w:ascii="Arial" w:hAnsi="Arial" w:cs="Arial"/>
          <w:sz w:val="24"/>
          <w:szCs w:val="24"/>
        </w:rPr>
      </w:pPr>
      <w:r w:rsidRPr="004E2665">
        <w:rPr>
          <w:rFonts w:ascii="Arial" w:hAnsi="Arial" w:cs="Arial"/>
          <w:sz w:val="24"/>
          <w:szCs w:val="24"/>
        </w:rPr>
        <w:t>·</w:t>
      </w:r>
      <w:r w:rsidRPr="004E2665">
        <w:rPr>
          <w:rFonts w:ascii="Arial" w:hAnsi="Arial" w:cs="Arial"/>
          <w:sz w:val="24"/>
          <w:szCs w:val="24"/>
        </w:rPr>
        <w:tab/>
        <w:t>Earnings per Share</w:t>
      </w:r>
    </w:p>
    <w:p w:rsidR="001A1FA9" w:rsidRPr="004E2665" w:rsidRDefault="001A1FA9">
      <w:pPr>
        <w:rPr>
          <w:rFonts w:ascii="Arial" w:hAnsi="Arial" w:cs="Arial"/>
          <w:sz w:val="24"/>
          <w:szCs w:val="24"/>
        </w:rPr>
      </w:pPr>
      <w:r w:rsidRPr="004E2665">
        <w:rPr>
          <w:rFonts w:ascii="Arial" w:hAnsi="Arial" w:cs="Arial"/>
          <w:sz w:val="24"/>
          <w:szCs w:val="24"/>
        </w:rPr>
        <w:t>·</w:t>
      </w:r>
      <w:r w:rsidRPr="004E2665">
        <w:rPr>
          <w:rFonts w:ascii="Arial" w:hAnsi="Arial" w:cs="Arial"/>
          <w:sz w:val="24"/>
          <w:szCs w:val="24"/>
        </w:rPr>
        <w:tab/>
        <w:t>Value per Share</w:t>
      </w:r>
    </w:p>
    <w:p w:rsidR="001A1FA9" w:rsidRPr="004E2665" w:rsidRDefault="001A1FA9">
      <w:pPr>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 xml:space="preserve">In order to be consistent with Bellman's Principle and dynamic programming optimization theory, the analyst should not allow the alternative's operating characteristics and capacity to change during the optimization period. However, if an alternative is to be modeled whose market penetrations, operating characteristics, or capacity changes </w:t>
      </w:r>
      <w:r w:rsidRPr="004E2665">
        <w:rPr>
          <w:rFonts w:ascii="Arial" w:hAnsi="Arial" w:cs="Arial"/>
          <w:sz w:val="24"/>
          <w:szCs w:val="24"/>
        </w:rPr>
        <w:lastRenderedPageBreak/>
        <w:t>during the optimization period, it is possible to tell PROVIEW not to eliminate multiple origin states. This causes PROVIEW's dynamic optimization to revert to direct enumeration for this alternative. Setting the PRV.INPUT.ALTERNATIVE DATA.CONVERGENT STATES SWITCH to 2 will deactivate the convergent states logic. This is particularly useful when modeling market programs that typically have ramping costs or penetrations, or generating units with an immaturity period for forced outages. If the logic has been deactivated, and the alternative is present in equal number in the states that converge, and it was added in different years, then both states are considered to be different. Both states will be saved and the convergent states logic will not be run.</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b/>
          <w:sz w:val="24"/>
          <w:szCs w:val="24"/>
        </w:rPr>
        <w:t>Note:</w:t>
      </w:r>
      <w:r w:rsidRPr="004E2665">
        <w:rPr>
          <w:rFonts w:ascii="Arial" w:hAnsi="Arial" w:cs="Arial"/>
          <w:sz w:val="24"/>
          <w:szCs w:val="24"/>
        </w:rPr>
        <w:t xml:space="preserve">  Saving both states can have a significant impact on the time and size of the problem. It is suggested that the user restrict the availability of such options.</w:t>
      </w:r>
    </w:p>
    <w:p w:rsidR="00D410C4" w:rsidRPr="004E2665" w:rsidRDefault="00D410C4" w:rsidP="004E2665">
      <w:pPr>
        <w:pStyle w:val="Header"/>
        <w:tabs>
          <w:tab w:val="clear" w:pos="4320"/>
          <w:tab w:val="clear" w:pos="8640"/>
        </w:tabs>
        <w:jc w:val="both"/>
        <w:rPr>
          <w:rFonts w:ascii="Arial" w:hAnsi="Arial" w:cs="Arial"/>
          <w:sz w:val="24"/>
          <w:szCs w:val="24"/>
        </w:rPr>
      </w:pPr>
    </w:p>
    <w:p w:rsidR="001A1FA9" w:rsidRPr="004E2665" w:rsidRDefault="001A1FA9" w:rsidP="004E2665">
      <w:pPr>
        <w:pStyle w:val="Heading1"/>
        <w:jc w:val="both"/>
        <w:rPr>
          <w:rFonts w:ascii="Arial" w:hAnsi="Arial" w:cs="Arial"/>
          <w:szCs w:val="24"/>
        </w:rPr>
      </w:pPr>
      <w:r w:rsidRPr="004E2665">
        <w:rPr>
          <w:rFonts w:ascii="Arial" w:hAnsi="Arial" w:cs="Arial"/>
          <w:szCs w:val="24"/>
        </w:rPr>
        <w:t>Dynamic Programming Versus Direct Enumeration</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underlying assumption that distinguishes dynamic programming from direct enumeration is that, for direct enumeration, each state, regardless of the timing of commission dates, is considered unique. In essence, if the resources are subject to an immaturity period, each combination of alternatives would not be unique because of the timing differences. Direct enumeration would attempt to keep track of the availability transitions for each individual resource and thus create an extremely difficult computational and data storage problem.</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For certain resources, direct enumeration may be desired because of the transition that is an inherent nature of the resource. For these resources PROVIEW provides an option to override dynamic programming and pursue direct enumeration. The user will need to exercise care in developing data for these resources</w:t>
      </w:r>
    </w:p>
    <w:p w:rsidR="001A1FA9" w:rsidRPr="004E2665" w:rsidRDefault="001A1FA9" w:rsidP="004E2665">
      <w:pPr>
        <w:pStyle w:val="Heading1"/>
        <w:jc w:val="both"/>
        <w:rPr>
          <w:rFonts w:ascii="Arial" w:hAnsi="Arial" w:cs="Arial"/>
          <w:szCs w:val="24"/>
        </w:rPr>
      </w:pPr>
    </w:p>
    <w:p w:rsidR="001A1FA9" w:rsidRPr="004E2665" w:rsidRDefault="001A1FA9" w:rsidP="004E2665">
      <w:pPr>
        <w:pStyle w:val="Heading1"/>
        <w:jc w:val="both"/>
        <w:rPr>
          <w:rFonts w:ascii="Arial" w:hAnsi="Arial" w:cs="Arial"/>
          <w:szCs w:val="24"/>
        </w:rPr>
      </w:pPr>
      <w:r w:rsidRPr="004E2665">
        <w:rPr>
          <w:rFonts w:ascii="Arial" w:hAnsi="Arial" w:cs="Arial"/>
          <w:szCs w:val="24"/>
        </w:rPr>
        <w:t>Dynamic Programming Versus Year-by-Year Analysis</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The basic difference between a year-by-year analysis such as the Iterative Cost Effectiveness Methodology and dynamic programming is that the year-by-year approach commits to a decision each year. This approach reduces both the number of combinations considered and computational time required. However, this approach overlooks the situation where a higher cost decision in a single year results in an overall savings for the entire plan. For example, one would not install a CT in one year if a coal unit was required in the next and the CT could be avoided by commissioning the coal unit a year early.</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This method, which inherently relies on first–year impacts, works well in most cases for resources such as power plants which have relatively mature effects in their first year of operation. For resources such as conservation programs, which achieve only modest levels of saturation in the early years, a year-by-year analysis tends to underestimate the resource value.</w:t>
      </w:r>
    </w:p>
    <w:p w:rsidR="001A1FA9" w:rsidRPr="004E2665" w:rsidRDefault="001A1FA9" w:rsidP="004E2665">
      <w:pPr>
        <w:jc w:val="both"/>
        <w:rPr>
          <w:rFonts w:ascii="Arial" w:hAnsi="Arial" w:cs="Arial"/>
          <w:sz w:val="24"/>
          <w:szCs w:val="24"/>
        </w:rPr>
      </w:pPr>
    </w:p>
    <w:p w:rsidR="001A1FA9" w:rsidRPr="004E2665" w:rsidRDefault="001A1FA9" w:rsidP="004E2665">
      <w:pPr>
        <w:jc w:val="both"/>
        <w:rPr>
          <w:rFonts w:ascii="Arial" w:hAnsi="Arial" w:cs="Arial"/>
          <w:sz w:val="24"/>
          <w:szCs w:val="24"/>
        </w:rPr>
      </w:pPr>
      <w:r w:rsidRPr="004E2665">
        <w:rPr>
          <w:rFonts w:ascii="Arial" w:hAnsi="Arial" w:cs="Arial"/>
          <w:sz w:val="24"/>
          <w:szCs w:val="24"/>
        </w:rPr>
        <w:t xml:space="preserve">Dynamic programming saves all of the feasible states from each year during the planning period. Once the state with the lowest objective function value in the end effects period is </w:t>
      </w:r>
      <w:r w:rsidRPr="004E2665">
        <w:rPr>
          <w:rFonts w:ascii="Arial" w:hAnsi="Arial" w:cs="Arial"/>
          <w:sz w:val="24"/>
          <w:szCs w:val="24"/>
        </w:rPr>
        <w:lastRenderedPageBreak/>
        <w:t>selected, the yearly states are identified by tracing back through the matrix of feasible states. This approach does not allow a decision in a single year to bias the final plan.</w:t>
      </w:r>
    </w:p>
    <w:p w:rsidR="001A1FA9" w:rsidRPr="004E2665" w:rsidRDefault="001A1FA9">
      <w:pPr>
        <w:rPr>
          <w:rFonts w:ascii="Arial" w:hAnsi="Arial" w:cs="Arial"/>
          <w:sz w:val="24"/>
          <w:szCs w:val="24"/>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4E2665" w:rsidRDefault="001A1FA9">
      <w:pPr>
        <w:rPr>
          <w:rFonts w:ascii="Arial" w:hAnsi="Arial" w:cs="Arial"/>
        </w:rPr>
      </w:pPr>
    </w:p>
    <w:p w:rsidR="001A1FA9" w:rsidRPr="00092ED5" w:rsidRDefault="00923CAB">
      <w:r w:rsidRPr="00092ED5">
        <w:rPr>
          <w:noProof/>
        </w:rPr>
        <w:lastRenderedPageBreak/>
        <w:drawing>
          <wp:anchor distT="0" distB="0" distL="114300" distR="114300" simplePos="0" relativeHeight="251658752" behindDoc="0" locked="0" layoutInCell="0" allowOverlap="1" wp14:anchorId="55DEC2E4" wp14:editId="5DE78CE7">
            <wp:simplePos x="0" y="0"/>
            <wp:positionH relativeFrom="column">
              <wp:posOffset>0</wp:posOffset>
            </wp:positionH>
            <wp:positionV relativeFrom="paragraph">
              <wp:posOffset>0</wp:posOffset>
            </wp:positionV>
            <wp:extent cx="5048250" cy="8022590"/>
            <wp:effectExtent l="19050" t="0" r="0"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a:stretch>
                      <a:fillRect/>
                    </a:stretch>
                  </pic:blipFill>
                  <pic:spPr bwMode="auto">
                    <a:xfrm>
                      <a:off x="0" y="0"/>
                      <a:ext cx="5048250" cy="8022590"/>
                    </a:xfrm>
                    <a:prstGeom prst="rect">
                      <a:avLst/>
                    </a:prstGeom>
                    <a:noFill/>
                    <a:ln w="9525">
                      <a:noFill/>
                      <a:miter lim="800000"/>
                      <a:headEnd/>
                      <a:tailEnd/>
                    </a:ln>
                  </pic:spPr>
                </pic:pic>
              </a:graphicData>
            </a:graphic>
          </wp:anchor>
        </w:drawing>
      </w:r>
      <w:r w:rsidRPr="00092ED5">
        <w:rPr>
          <w:noProof/>
        </w:rPr>
        <w:drawing>
          <wp:anchor distT="0" distB="0" distL="114300" distR="114300" simplePos="0" relativeHeight="251657728" behindDoc="0" locked="0" layoutInCell="0" allowOverlap="1" wp14:anchorId="17155F39" wp14:editId="29F2D75D">
            <wp:simplePos x="0" y="0"/>
            <wp:positionH relativeFrom="column">
              <wp:posOffset>0</wp:posOffset>
            </wp:positionH>
            <wp:positionV relativeFrom="paragraph">
              <wp:posOffset>0</wp:posOffset>
            </wp:positionV>
            <wp:extent cx="5048250" cy="8122285"/>
            <wp:effectExtent l="1905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srcRect/>
                    <a:stretch>
                      <a:fillRect/>
                    </a:stretch>
                  </pic:blipFill>
                  <pic:spPr bwMode="auto">
                    <a:xfrm>
                      <a:off x="0" y="0"/>
                      <a:ext cx="5048250" cy="8122285"/>
                    </a:xfrm>
                    <a:prstGeom prst="rect">
                      <a:avLst/>
                    </a:prstGeom>
                    <a:noFill/>
                    <a:ln w="9525">
                      <a:noFill/>
                      <a:miter lim="800000"/>
                      <a:headEnd/>
                      <a:tailEnd/>
                    </a:ln>
                  </pic:spPr>
                </pic:pic>
              </a:graphicData>
            </a:graphic>
          </wp:anchor>
        </w:drawing>
      </w:r>
    </w:p>
    <w:p w:rsidR="001A1FA9" w:rsidRPr="00092ED5" w:rsidRDefault="00923CAB">
      <w:r w:rsidRPr="00092ED5">
        <w:rPr>
          <w:noProof/>
        </w:rPr>
        <w:lastRenderedPageBreak/>
        <w:drawing>
          <wp:anchor distT="0" distB="0" distL="114300" distR="114300" simplePos="0" relativeHeight="251656704" behindDoc="0" locked="0" layoutInCell="0" allowOverlap="1" wp14:anchorId="643CD377" wp14:editId="0C895D6A">
            <wp:simplePos x="0" y="0"/>
            <wp:positionH relativeFrom="column">
              <wp:posOffset>0</wp:posOffset>
            </wp:positionH>
            <wp:positionV relativeFrom="paragraph">
              <wp:posOffset>0</wp:posOffset>
            </wp:positionV>
            <wp:extent cx="5072380" cy="7856855"/>
            <wp:effectExtent l="1905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5072380" cy="7856855"/>
                    </a:xfrm>
                    <a:prstGeom prst="rect">
                      <a:avLst/>
                    </a:prstGeom>
                    <a:noFill/>
                    <a:ln w="9525">
                      <a:noFill/>
                      <a:miter lim="800000"/>
                      <a:headEnd/>
                      <a:tailEnd/>
                    </a:ln>
                  </pic:spPr>
                </pic:pic>
              </a:graphicData>
            </a:graphic>
          </wp:anchor>
        </w:drawing>
      </w:r>
    </w:p>
    <w:sectPr w:rsidR="001A1FA9" w:rsidRPr="00092ED5" w:rsidSect="004E2665">
      <w:headerReference w:type="default" r:id="rId8"/>
      <w:pgSz w:w="12240" w:h="15840"/>
      <w:pgMar w:top="1440" w:right="1440" w:bottom="144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6302D" w:rsidRDefault="0076302D">
      <w:r>
        <w:separator/>
      </w:r>
    </w:p>
  </w:endnote>
  <w:endnote w:type="continuationSeparator" w:id="0">
    <w:p w:rsidR="0076302D" w:rsidRDefault="007630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6302D" w:rsidRDefault="0076302D">
      <w:r>
        <w:separator/>
      </w:r>
    </w:p>
  </w:footnote>
  <w:footnote w:type="continuationSeparator" w:id="0">
    <w:p w:rsidR="0076302D" w:rsidRDefault="007630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E1D1E" w:rsidRPr="00D85DFA" w:rsidRDefault="00D134AC" w:rsidP="00417690">
    <w:pPr>
      <w:pStyle w:val="Header"/>
      <w:tabs>
        <w:tab w:val="clear" w:pos="4320"/>
        <w:tab w:val="clear" w:pos="8640"/>
      </w:tabs>
      <w:jc w:val="right"/>
      <w:rPr>
        <w:rFonts w:ascii="Arial" w:hAnsi="Arial" w:cs="Arial"/>
        <w:b/>
        <w:sz w:val="22"/>
      </w:rPr>
    </w:pPr>
    <w:r w:rsidRPr="00D134AC">
      <w:rPr>
        <w:rFonts w:ascii="Arial" w:hAnsi="Arial" w:cs="Arial"/>
        <w:b/>
        <w:sz w:val="22"/>
      </w:rPr>
      <w:t>PUBLIC DISCLOSURE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244B"/>
    <w:rsid w:val="00051097"/>
    <w:rsid w:val="00062C90"/>
    <w:rsid w:val="00090DD2"/>
    <w:rsid w:val="00092ED5"/>
    <w:rsid w:val="00095623"/>
    <w:rsid w:val="00096C9D"/>
    <w:rsid w:val="000E7B8F"/>
    <w:rsid w:val="000F22FE"/>
    <w:rsid w:val="00196BB4"/>
    <w:rsid w:val="001A1FA9"/>
    <w:rsid w:val="001B3923"/>
    <w:rsid w:val="001D3AA5"/>
    <w:rsid w:val="002800A0"/>
    <w:rsid w:val="0028241D"/>
    <w:rsid w:val="002A15C2"/>
    <w:rsid w:val="003025BA"/>
    <w:rsid w:val="00311AE1"/>
    <w:rsid w:val="00325661"/>
    <w:rsid w:val="00357A59"/>
    <w:rsid w:val="00386DBF"/>
    <w:rsid w:val="00417690"/>
    <w:rsid w:val="0044655E"/>
    <w:rsid w:val="004C2FEE"/>
    <w:rsid w:val="004E2665"/>
    <w:rsid w:val="00531BB1"/>
    <w:rsid w:val="005324B2"/>
    <w:rsid w:val="00540BF6"/>
    <w:rsid w:val="00551A75"/>
    <w:rsid w:val="00565387"/>
    <w:rsid w:val="005C302E"/>
    <w:rsid w:val="00613F80"/>
    <w:rsid w:val="0064286A"/>
    <w:rsid w:val="00647781"/>
    <w:rsid w:val="00651B5C"/>
    <w:rsid w:val="00692AEA"/>
    <w:rsid w:val="007421F8"/>
    <w:rsid w:val="00746CCC"/>
    <w:rsid w:val="0076302D"/>
    <w:rsid w:val="00773029"/>
    <w:rsid w:val="00774FF1"/>
    <w:rsid w:val="00782747"/>
    <w:rsid w:val="00792D87"/>
    <w:rsid w:val="00871FE8"/>
    <w:rsid w:val="008E3CA2"/>
    <w:rsid w:val="00923CAB"/>
    <w:rsid w:val="00960068"/>
    <w:rsid w:val="00A40E29"/>
    <w:rsid w:val="00B154EB"/>
    <w:rsid w:val="00B3244B"/>
    <w:rsid w:val="00B844A1"/>
    <w:rsid w:val="00B945C9"/>
    <w:rsid w:val="00BB29CD"/>
    <w:rsid w:val="00BE12F1"/>
    <w:rsid w:val="00C06195"/>
    <w:rsid w:val="00C24CF5"/>
    <w:rsid w:val="00C7652F"/>
    <w:rsid w:val="00CC1C84"/>
    <w:rsid w:val="00D07ECE"/>
    <w:rsid w:val="00D134AC"/>
    <w:rsid w:val="00D410C4"/>
    <w:rsid w:val="00D85DFA"/>
    <w:rsid w:val="00DC7CF4"/>
    <w:rsid w:val="00E00F7C"/>
    <w:rsid w:val="00E21D46"/>
    <w:rsid w:val="00E21F78"/>
    <w:rsid w:val="00E91210"/>
    <w:rsid w:val="00E92E88"/>
    <w:rsid w:val="00ED61F6"/>
    <w:rsid w:val="00FB3020"/>
    <w:rsid w:val="00FB34B8"/>
    <w:rsid w:val="00FB35FC"/>
    <w:rsid w:val="00FD44DD"/>
    <w:rsid w:val="00FE1D1E"/>
    <w:rsid w:val="00FF4E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357A59"/>
  </w:style>
  <w:style w:type="paragraph" w:styleId="Heading1">
    <w:name w:val="heading 1"/>
    <w:basedOn w:val="Normal"/>
    <w:next w:val="Normal"/>
    <w:qFormat/>
    <w:rsid w:val="00357A59"/>
    <w:pPr>
      <w:keepNext/>
      <w:outlineLvl w:val="0"/>
    </w:pPr>
    <w:rPr>
      <w:b/>
      <w:sz w:val="24"/>
    </w:rPr>
  </w:style>
  <w:style w:type="paragraph" w:styleId="Heading2">
    <w:name w:val="heading 2"/>
    <w:basedOn w:val="Normal"/>
    <w:next w:val="Normal"/>
    <w:qFormat/>
    <w:rsid w:val="00357A59"/>
    <w:pPr>
      <w:keepNext/>
      <w:jc w:val="center"/>
      <w:outlineLvl w:val="1"/>
    </w:pPr>
    <w:rPr>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357A59"/>
    <w:pPr>
      <w:tabs>
        <w:tab w:val="center" w:pos="4320"/>
        <w:tab w:val="right" w:pos="8640"/>
      </w:tabs>
    </w:pPr>
  </w:style>
  <w:style w:type="paragraph" w:styleId="Footer">
    <w:name w:val="footer"/>
    <w:basedOn w:val="Normal"/>
    <w:rsid w:val="00357A59"/>
    <w:pPr>
      <w:tabs>
        <w:tab w:val="center" w:pos="4320"/>
        <w:tab w:val="right" w:pos="8640"/>
      </w:tabs>
    </w:pPr>
  </w:style>
  <w:style w:type="character" w:styleId="CommentReference">
    <w:name w:val="annotation reference"/>
    <w:basedOn w:val="DefaultParagraphFont"/>
    <w:rsid w:val="0044655E"/>
    <w:rPr>
      <w:sz w:val="16"/>
      <w:szCs w:val="16"/>
    </w:rPr>
  </w:style>
  <w:style w:type="paragraph" w:styleId="CommentText">
    <w:name w:val="annotation text"/>
    <w:basedOn w:val="Normal"/>
    <w:link w:val="CommentTextChar"/>
    <w:rsid w:val="0044655E"/>
  </w:style>
  <w:style w:type="character" w:customStyle="1" w:styleId="CommentTextChar">
    <w:name w:val="Comment Text Char"/>
    <w:basedOn w:val="DefaultParagraphFont"/>
    <w:link w:val="CommentText"/>
    <w:rsid w:val="0044655E"/>
  </w:style>
  <w:style w:type="paragraph" w:styleId="CommentSubject">
    <w:name w:val="annotation subject"/>
    <w:basedOn w:val="CommentText"/>
    <w:next w:val="CommentText"/>
    <w:link w:val="CommentSubjectChar"/>
    <w:rsid w:val="0044655E"/>
    <w:rPr>
      <w:b/>
      <w:bCs/>
    </w:rPr>
  </w:style>
  <w:style w:type="character" w:customStyle="1" w:styleId="CommentSubjectChar">
    <w:name w:val="Comment Subject Char"/>
    <w:basedOn w:val="CommentTextChar"/>
    <w:link w:val="CommentSubject"/>
    <w:rsid w:val="0044655E"/>
    <w:rPr>
      <w:b/>
      <w:bCs/>
    </w:rPr>
  </w:style>
  <w:style w:type="paragraph" w:styleId="BalloonText">
    <w:name w:val="Balloon Text"/>
    <w:basedOn w:val="Normal"/>
    <w:link w:val="BalloonTextChar"/>
    <w:rsid w:val="0044655E"/>
    <w:rPr>
      <w:rFonts w:ascii="Tahoma" w:hAnsi="Tahoma" w:cs="Tahoma"/>
      <w:sz w:val="16"/>
      <w:szCs w:val="16"/>
    </w:rPr>
  </w:style>
  <w:style w:type="character" w:customStyle="1" w:styleId="BalloonTextChar">
    <w:name w:val="Balloon Text Char"/>
    <w:basedOn w:val="DefaultParagraphFont"/>
    <w:link w:val="BalloonText"/>
    <w:rsid w:val="0044655E"/>
    <w:rPr>
      <w:rFonts w:ascii="Tahoma" w:hAnsi="Tahoma" w:cs="Tahoma"/>
      <w:sz w:val="16"/>
      <w:szCs w:val="16"/>
    </w:rPr>
  </w:style>
  <w:style w:type="character" w:customStyle="1" w:styleId="HeaderChar">
    <w:name w:val="Header Char"/>
    <w:basedOn w:val="DefaultParagraphFont"/>
    <w:link w:val="Header"/>
    <w:uiPriority w:val="99"/>
    <w:rsid w:val="00774F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1322452">
      <w:bodyDiv w:val="1"/>
      <w:marLeft w:val="0"/>
      <w:marRight w:val="0"/>
      <w:marTop w:val="0"/>
      <w:marBottom w:val="0"/>
      <w:divBdr>
        <w:top w:val="none" w:sz="0" w:space="0" w:color="auto"/>
        <w:left w:val="none" w:sz="0" w:space="0" w:color="auto"/>
        <w:bottom w:val="none" w:sz="0" w:space="0" w:color="auto"/>
        <w:right w:val="none" w:sz="0" w:space="0" w:color="auto"/>
      </w:divBdr>
    </w:div>
    <w:div w:id="1261526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w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wm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2312</Words>
  <Characters>12562</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2019-01-18T20:49:00Z</dcterms:created>
  <dcterms:modified xsi:type="dcterms:W3CDTF">2019-01-29T21:06:00Z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