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3.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6E9C50F" w14:textId="77777777" w:rsidR="006C7BC0" w:rsidRDefault="006C7BC0">
      <w:bookmarkStart w:id="0" w:name="_GoBack"/>
      <w:bookmarkEnd w:id="0"/>
    </w:p>
    <w:p w14:paraId="21398D25" w14:textId="77777777" w:rsidR="00F92700" w:rsidRDefault="00F92700"/>
    <w:p w14:paraId="37E87CDD" w14:textId="77777777" w:rsidR="00F92700" w:rsidRDefault="00F92700"/>
    <w:p w14:paraId="6D0AFB81" w14:textId="77777777" w:rsidR="00F92700" w:rsidRDefault="00F92700"/>
    <w:p w14:paraId="595F802B" w14:textId="77777777" w:rsidR="00F92700" w:rsidRPr="003C2BC8" w:rsidRDefault="00F92700" w:rsidP="00F92700">
      <w:pPr>
        <w:pStyle w:val="BodyTextIndent"/>
        <w:rPr>
          <w:b/>
          <w:sz w:val="24"/>
          <w:szCs w:val="24"/>
        </w:rPr>
      </w:pPr>
      <w:bookmarkStart w:id="1" w:name="_Toc135536387"/>
      <w:bookmarkStart w:id="2" w:name="_Toc135537278"/>
      <w:bookmarkStart w:id="3" w:name="_Toc135537413"/>
      <w:bookmarkStart w:id="4" w:name="_Toc135537547"/>
      <w:bookmarkStart w:id="5" w:name="_Toc135549326"/>
      <w:bookmarkStart w:id="6" w:name="_Toc135549459"/>
      <w:bookmarkStart w:id="7" w:name="_Toc136068087"/>
      <w:bookmarkStart w:id="8" w:name="_Toc136765894"/>
      <w:bookmarkStart w:id="9" w:name="_Toc137028000"/>
      <w:bookmarkStart w:id="10" w:name="_Toc137279487"/>
      <w:bookmarkStart w:id="11" w:name="_Toc137281013"/>
      <w:bookmarkStart w:id="12" w:name="_Toc137285449"/>
      <w:bookmarkStart w:id="13" w:name="_Toc137353507"/>
      <w:bookmarkStart w:id="14" w:name="_Toc137955135"/>
      <w:bookmarkStart w:id="15" w:name="_Toc137956201"/>
      <w:r w:rsidRPr="003C2BC8">
        <w:rPr>
          <w:b/>
          <w:sz w:val="24"/>
          <w:szCs w:val="24"/>
        </w:rPr>
        <w:t>GEORGIA POWER COMPANY</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p w14:paraId="3FC4D8A6" w14:textId="77777777" w:rsidR="00F92700" w:rsidRPr="003A3426" w:rsidRDefault="00F92700" w:rsidP="00F92700">
      <w:pPr>
        <w:pStyle w:val="Title"/>
      </w:pPr>
    </w:p>
    <w:p w14:paraId="7DB828C6" w14:textId="77777777" w:rsidR="00F92700" w:rsidRPr="003A3426" w:rsidRDefault="00F92700" w:rsidP="00F92700">
      <w:pPr>
        <w:pStyle w:val="Title"/>
      </w:pPr>
    </w:p>
    <w:p w14:paraId="1D013748" w14:textId="77777777" w:rsidR="00F92700" w:rsidRPr="003A3426" w:rsidRDefault="00F92700" w:rsidP="00F92700">
      <w:pPr>
        <w:pStyle w:val="Title"/>
      </w:pPr>
    </w:p>
    <w:p w14:paraId="52B288AA" w14:textId="39EBAA17" w:rsidR="00F92700" w:rsidRPr="003A3426" w:rsidRDefault="00F92700" w:rsidP="00F92700">
      <w:pPr>
        <w:rPr>
          <w:sz w:val="32"/>
          <w:szCs w:val="32"/>
        </w:rPr>
      </w:pPr>
      <w:bookmarkStart w:id="16" w:name="_Toc135536388"/>
      <w:bookmarkStart w:id="17" w:name="_Toc135537279"/>
      <w:bookmarkStart w:id="18" w:name="_Toc135537414"/>
      <w:bookmarkStart w:id="19" w:name="_Toc135537548"/>
      <w:bookmarkStart w:id="20" w:name="_Toc135549327"/>
      <w:bookmarkStart w:id="21" w:name="_Toc135549460"/>
      <w:bookmarkStart w:id="22" w:name="_Toc136068088"/>
      <w:bookmarkStart w:id="23" w:name="_Toc136765895"/>
      <w:bookmarkStart w:id="24" w:name="_Toc137028001"/>
      <w:bookmarkStart w:id="25" w:name="_Toc137279488"/>
      <w:bookmarkStart w:id="26" w:name="_Toc137281014"/>
      <w:bookmarkStart w:id="27" w:name="_Toc137285450"/>
      <w:bookmarkStart w:id="28" w:name="_Toc137353508"/>
      <w:bookmarkStart w:id="29" w:name="_Toc137955136"/>
      <w:bookmarkStart w:id="30" w:name="_Toc137956202"/>
      <w:r w:rsidRPr="003A3426">
        <w:rPr>
          <w:sz w:val="32"/>
          <w:szCs w:val="32"/>
        </w:rPr>
        <w:t xml:space="preserve">BUDGET </w:t>
      </w:r>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r w:rsidR="00CA73DD" w:rsidRPr="003A3426">
        <w:rPr>
          <w:sz w:val="32"/>
          <w:szCs w:val="32"/>
        </w:rPr>
        <w:t>20</w:t>
      </w:r>
      <w:r w:rsidR="00CA73DD">
        <w:rPr>
          <w:sz w:val="32"/>
          <w:szCs w:val="32"/>
        </w:rPr>
        <w:t>19</w:t>
      </w:r>
    </w:p>
    <w:p w14:paraId="2631D4D9" w14:textId="77777777" w:rsidR="00F92700" w:rsidRPr="003A3426" w:rsidRDefault="00F92700" w:rsidP="00F92700">
      <w:pPr>
        <w:rPr>
          <w:sz w:val="32"/>
          <w:szCs w:val="32"/>
        </w:rPr>
      </w:pPr>
      <w:bookmarkStart w:id="31" w:name="_Toc135536389"/>
      <w:bookmarkStart w:id="32" w:name="_Toc135537280"/>
      <w:bookmarkStart w:id="33" w:name="_Toc135537415"/>
      <w:bookmarkStart w:id="34" w:name="_Toc135537549"/>
      <w:bookmarkStart w:id="35" w:name="_Toc135549328"/>
      <w:bookmarkStart w:id="36" w:name="_Toc135549461"/>
      <w:bookmarkStart w:id="37" w:name="_Toc136068089"/>
      <w:bookmarkStart w:id="38" w:name="_Toc136765896"/>
      <w:bookmarkStart w:id="39" w:name="_Toc137028002"/>
      <w:bookmarkStart w:id="40" w:name="_Toc137279489"/>
      <w:bookmarkStart w:id="41" w:name="_Toc137281015"/>
      <w:bookmarkStart w:id="42" w:name="_Toc137285451"/>
      <w:bookmarkStart w:id="43" w:name="_Toc137353509"/>
      <w:bookmarkStart w:id="44" w:name="_Toc137955137"/>
      <w:bookmarkStart w:id="45" w:name="_Toc137956203"/>
      <w:r w:rsidRPr="003A3426">
        <w:rPr>
          <w:sz w:val="32"/>
          <w:szCs w:val="32"/>
        </w:rPr>
        <w:t>LOAD AND ENERGY FORECAST</w:t>
      </w:r>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p>
    <w:p w14:paraId="60BF62AB" w14:textId="52236659" w:rsidR="00F92700" w:rsidRPr="003A3426" w:rsidRDefault="00CA73DD" w:rsidP="00F92700">
      <w:pPr>
        <w:rPr>
          <w:sz w:val="32"/>
          <w:szCs w:val="32"/>
        </w:rPr>
      </w:pPr>
      <w:bookmarkStart w:id="46" w:name="_Toc135536390"/>
      <w:bookmarkStart w:id="47" w:name="_Toc135537281"/>
      <w:bookmarkStart w:id="48" w:name="_Toc135537416"/>
      <w:bookmarkStart w:id="49" w:name="_Toc135537550"/>
      <w:bookmarkStart w:id="50" w:name="_Toc135549329"/>
      <w:bookmarkStart w:id="51" w:name="_Toc135549462"/>
      <w:bookmarkStart w:id="52" w:name="_Toc136068090"/>
      <w:bookmarkStart w:id="53" w:name="_Toc136765897"/>
      <w:bookmarkStart w:id="54" w:name="_Toc137028003"/>
      <w:bookmarkStart w:id="55" w:name="_Toc137279490"/>
      <w:bookmarkStart w:id="56" w:name="_Toc137281016"/>
      <w:bookmarkStart w:id="57" w:name="_Toc137285452"/>
      <w:bookmarkStart w:id="58" w:name="_Toc137353510"/>
      <w:bookmarkStart w:id="59" w:name="_Toc137955138"/>
      <w:bookmarkStart w:id="60" w:name="_Toc137956204"/>
      <w:r w:rsidRPr="003A3426">
        <w:rPr>
          <w:sz w:val="32"/>
          <w:szCs w:val="32"/>
        </w:rPr>
        <w:t>20</w:t>
      </w:r>
      <w:r>
        <w:rPr>
          <w:sz w:val="32"/>
          <w:szCs w:val="32"/>
        </w:rPr>
        <w:t>19</w:t>
      </w:r>
      <w:r w:rsidRPr="003A3426">
        <w:rPr>
          <w:sz w:val="32"/>
          <w:szCs w:val="32"/>
        </w:rPr>
        <w:t xml:space="preserve"> </w:t>
      </w:r>
      <w:r w:rsidR="00F92700" w:rsidRPr="003A3426">
        <w:rPr>
          <w:sz w:val="32"/>
          <w:szCs w:val="32"/>
        </w:rPr>
        <w:t xml:space="preserve">TO </w:t>
      </w:r>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r w:rsidRPr="003A3426">
        <w:rPr>
          <w:sz w:val="32"/>
          <w:szCs w:val="32"/>
        </w:rPr>
        <w:t>20</w:t>
      </w:r>
      <w:r>
        <w:rPr>
          <w:sz w:val="32"/>
          <w:szCs w:val="32"/>
        </w:rPr>
        <w:t>38</w:t>
      </w:r>
    </w:p>
    <w:p w14:paraId="29393228" w14:textId="77777777" w:rsidR="00F92700" w:rsidRPr="003A3426" w:rsidRDefault="00F92700" w:rsidP="00F92700">
      <w:pPr>
        <w:pStyle w:val="Title"/>
      </w:pPr>
    </w:p>
    <w:p w14:paraId="124601EC" w14:textId="77777777" w:rsidR="00F92700" w:rsidRPr="003A3426" w:rsidRDefault="00F92700" w:rsidP="00F92700">
      <w:pPr>
        <w:pStyle w:val="Title"/>
      </w:pPr>
    </w:p>
    <w:p w14:paraId="22C488F6" w14:textId="77777777" w:rsidR="00F92700" w:rsidRPr="003A3426" w:rsidRDefault="00F92700" w:rsidP="00F92700">
      <w:pPr>
        <w:pStyle w:val="Title"/>
      </w:pPr>
    </w:p>
    <w:p w14:paraId="68C7111E" w14:textId="77777777" w:rsidR="00F92700" w:rsidRPr="003A3426" w:rsidRDefault="00F92700" w:rsidP="00F92700">
      <w:pPr>
        <w:pStyle w:val="Title"/>
      </w:pPr>
    </w:p>
    <w:p w14:paraId="37E89E3D" w14:textId="77777777" w:rsidR="00F92700" w:rsidRPr="003A3426" w:rsidRDefault="00F92700" w:rsidP="00F92700">
      <w:pPr>
        <w:pStyle w:val="Title"/>
      </w:pPr>
    </w:p>
    <w:p w14:paraId="720B6B0A" w14:textId="77777777" w:rsidR="00F92700" w:rsidRPr="003A3426" w:rsidRDefault="00F92700" w:rsidP="00F92700">
      <w:pPr>
        <w:rPr>
          <w:sz w:val="24"/>
          <w:szCs w:val="24"/>
        </w:rPr>
      </w:pPr>
      <w:bookmarkStart w:id="61" w:name="_Toc135536391"/>
      <w:bookmarkStart w:id="62" w:name="_Toc135537282"/>
      <w:bookmarkStart w:id="63" w:name="_Toc135537417"/>
      <w:bookmarkStart w:id="64" w:name="_Toc135537551"/>
      <w:bookmarkStart w:id="65" w:name="_Toc135549330"/>
      <w:bookmarkStart w:id="66" w:name="_Toc135549463"/>
      <w:bookmarkStart w:id="67" w:name="_Toc136068091"/>
      <w:bookmarkStart w:id="68" w:name="_Toc136765898"/>
      <w:bookmarkStart w:id="69" w:name="_Toc137028004"/>
      <w:bookmarkStart w:id="70" w:name="_Toc137279491"/>
      <w:bookmarkStart w:id="71" w:name="_Toc137281017"/>
      <w:bookmarkStart w:id="72" w:name="_Toc137285453"/>
      <w:bookmarkStart w:id="73" w:name="_Toc137353511"/>
      <w:bookmarkStart w:id="74" w:name="_Toc137955139"/>
      <w:bookmarkStart w:id="75" w:name="_Toc137956205"/>
      <w:r w:rsidRPr="003A3426">
        <w:rPr>
          <w:sz w:val="24"/>
          <w:szCs w:val="24"/>
        </w:rPr>
        <w:t>Prepared by:</w:t>
      </w:r>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p>
    <w:p w14:paraId="3B165984" w14:textId="77777777" w:rsidR="00F92700" w:rsidRDefault="00F92700" w:rsidP="003C2BC8">
      <w:pPr>
        <w:pStyle w:val="BodyTextIndent"/>
        <w:ind w:left="0"/>
        <w:rPr>
          <w:sz w:val="24"/>
          <w:szCs w:val="24"/>
        </w:rPr>
      </w:pPr>
      <w:r w:rsidRPr="003A3426">
        <w:rPr>
          <w:b/>
          <w:sz w:val="24"/>
          <w:szCs w:val="24"/>
        </w:rPr>
        <w:t>Georgia Power Company</w:t>
      </w:r>
    </w:p>
    <w:p w14:paraId="6374F298" w14:textId="77777777" w:rsidR="00A47EB3" w:rsidRDefault="00F92700">
      <w:pPr>
        <w:spacing w:after="200" w:line="276" w:lineRule="auto"/>
        <w:jc w:val="left"/>
        <w:rPr>
          <w:sz w:val="24"/>
          <w:szCs w:val="24"/>
        </w:rPr>
        <w:sectPr w:rsidR="00A47EB3" w:rsidSect="00A47EB3">
          <w:headerReference w:type="default" r:id="rId8"/>
          <w:footerReference w:type="default" r:id="rId9"/>
          <w:footnotePr>
            <w:numRestart w:val="eachSect"/>
          </w:footnotePr>
          <w:pgSz w:w="12240" w:h="15840"/>
          <w:pgMar w:top="1440" w:right="1800" w:bottom="1440" w:left="1267" w:header="720" w:footer="720" w:gutter="0"/>
          <w:pgNumType w:fmt="lowerRoman" w:start="1"/>
          <w:cols w:space="720"/>
        </w:sectPr>
      </w:pPr>
      <w:r>
        <w:rPr>
          <w:sz w:val="24"/>
          <w:szCs w:val="24"/>
        </w:rPr>
        <w:br w:type="page"/>
      </w:r>
    </w:p>
    <w:p w14:paraId="188BA2AA" w14:textId="77777777" w:rsidR="00F92700" w:rsidRDefault="00F92700">
      <w:pPr>
        <w:spacing w:after="200" w:line="276" w:lineRule="auto"/>
        <w:jc w:val="left"/>
        <w:rPr>
          <w:sz w:val="24"/>
          <w:szCs w:val="24"/>
        </w:rPr>
      </w:pPr>
    </w:p>
    <w:p w14:paraId="3FEC0762" w14:textId="77777777" w:rsidR="008E1CE2" w:rsidRPr="003A3426" w:rsidRDefault="008E1CE2" w:rsidP="008E1CE2">
      <w:pPr>
        <w:pStyle w:val="BodyText"/>
        <w:rPr>
          <w:b w:val="0"/>
          <w:sz w:val="32"/>
          <w:szCs w:val="32"/>
        </w:rPr>
      </w:pPr>
      <w:bookmarkStart w:id="76" w:name="_Toc135536393"/>
      <w:bookmarkStart w:id="77" w:name="_Toc135537284"/>
      <w:bookmarkStart w:id="78" w:name="_Toc135537419"/>
      <w:bookmarkStart w:id="79" w:name="_Toc135537553"/>
      <w:bookmarkStart w:id="80" w:name="_Toc135549332"/>
      <w:bookmarkStart w:id="81" w:name="_Toc135549465"/>
      <w:bookmarkStart w:id="82" w:name="_Toc136068093"/>
      <w:bookmarkStart w:id="83" w:name="_Toc136765900"/>
      <w:bookmarkStart w:id="84" w:name="_Toc137028006"/>
      <w:bookmarkStart w:id="85" w:name="_Toc137279493"/>
      <w:bookmarkStart w:id="86" w:name="_Toc137281019"/>
      <w:bookmarkStart w:id="87" w:name="_Toc137285455"/>
      <w:bookmarkStart w:id="88" w:name="_Toc137353513"/>
      <w:bookmarkStart w:id="89" w:name="_Toc137955141"/>
      <w:bookmarkStart w:id="90" w:name="_Toc137956207"/>
      <w:r w:rsidRPr="003A3426">
        <w:rPr>
          <w:sz w:val="32"/>
          <w:szCs w:val="32"/>
        </w:rPr>
        <w:t>Georgia Power Company</w:t>
      </w:r>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p>
    <w:p w14:paraId="5CE41A35" w14:textId="02EB7887" w:rsidR="008E1CE2" w:rsidRPr="003A3426" w:rsidRDefault="008E1CE2" w:rsidP="008E1CE2">
      <w:pPr>
        <w:rPr>
          <w:sz w:val="32"/>
          <w:szCs w:val="32"/>
        </w:rPr>
      </w:pPr>
      <w:bookmarkStart w:id="91" w:name="_Toc135536394"/>
      <w:bookmarkStart w:id="92" w:name="_Toc135537285"/>
      <w:bookmarkStart w:id="93" w:name="_Toc135537420"/>
      <w:bookmarkStart w:id="94" w:name="_Toc135537554"/>
      <w:bookmarkStart w:id="95" w:name="_Toc135549333"/>
      <w:bookmarkStart w:id="96" w:name="_Toc135549466"/>
      <w:bookmarkStart w:id="97" w:name="_Toc136068094"/>
      <w:bookmarkStart w:id="98" w:name="_Toc136765901"/>
      <w:bookmarkStart w:id="99" w:name="_Toc137028007"/>
      <w:bookmarkStart w:id="100" w:name="_Toc137279494"/>
      <w:bookmarkStart w:id="101" w:name="_Toc137281020"/>
      <w:bookmarkStart w:id="102" w:name="_Toc137285456"/>
      <w:bookmarkStart w:id="103" w:name="_Toc137353514"/>
      <w:bookmarkStart w:id="104" w:name="_Toc137955142"/>
      <w:bookmarkStart w:id="105" w:name="_Toc137956208"/>
      <w:r w:rsidRPr="003A3426">
        <w:rPr>
          <w:sz w:val="32"/>
          <w:szCs w:val="32"/>
        </w:rPr>
        <w:t xml:space="preserve">Budget </w:t>
      </w:r>
      <w:r w:rsidR="00CA73DD" w:rsidRPr="003A3426">
        <w:rPr>
          <w:sz w:val="32"/>
          <w:szCs w:val="32"/>
        </w:rPr>
        <w:t>20</w:t>
      </w:r>
      <w:r w:rsidR="00CA73DD">
        <w:rPr>
          <w:sz w:val="32"/>
          <w:szCs w:val="32"/>
        </w:rPr>
        <w:t>19</w:t>
      </w:r>
      <w:r w:rsidR="00CA73DD" w:rsidRPr="003A3426">
        <w:rPr>
          <w:sz w:val="32"/>
          <w:szCs w:val="32"/>
        </w:rPr>
        <w:t xml:space="preserve"> </w:t>
      </w:r>
      <w:r w:rsidRPr="003A3426">
        <w:rPr>
          <w:sz w:val="32"/>
          <w:szCs w:val="32"/>
        </w:rPr>
        <w:t>Load and Energy Forecast</w:t>
      </w:r>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35CE5AC4" w14:textId="77777777" w:rsidR="008E1CE2" w:rsidRPr="003A3426" w:rsidRDefault="008E1CE2" w:rsidP="008E1CE2">
      <w:pPr>
        <w:rPr>
          <w:sz w:val="32"/>
          <w:szCs w:val="32"/>
        </w:rPr>
      </w:pPr>
    </w:p>
    <w:p w14:paraId="487CE02D" w14:textId="77777777" w:rsidR="008E1CE2" w:rsidRPr="003A3426" w:rsidRDefault="008E1CE2" w:rsidP="008E1CE2">
      <w:pPr>
        <w:rPr>
          <w:sz w:val="32"/>
          <w:szCs w:val="32"/>
        </w:rPr>
      </w:pPr>
      <w:bookmarkStart w:id="106" w:name="_Toc135536395"/>
      <w:bookmarkStart w:id="107" w:name="_Toc135537286"/>
      <w:bookmarkStart w:id="108" w:name="_Toc135537421"/>
      <w:bookmarkStart w:id="109" w:name="_Toc135537555"/>
      <w:bookmarkStart w:id="110" w:name="_Toc135549334"/>
      <w:bookmarkStart w:id="111" w:name="_Toc135549467"/>
      <w:bookmarkStart w:id="112" w:name="_Toc136068095"/>
      <w:bookmarkStart w:id="113" w:name="_Toc136765902"/>
      <w:bookmarkStart w:id="114" w:name="_Toc137028008"/>
      <w:bookmarkStart w:id="115" w:name="_Toc137279495"/>
      <w:bookmarkStart w:id="116" w:name="_Toc137281021"/>
      <w:bookmarkStart w:id="117" w:name="_Toc137285457"/>
      <w:bookmarkStart w:id="118" w:name="_Toc137353515"/>
      <w:bookmarkStart w:id="119" w:name="_Toc137955143"/>
      <w:bookmarkStart w:id="120" w:name="_Toc137956209"/>
      <w:r w:rsidRPr="003A3426">
        <w:rPr>
          <w:sz w:val="32"/>
          <w:szCs w:val="32"/>
        </w:rPr>
        <w:t>Table of Contents</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79B1096B" w14:textId="77777777" w:rsidR="008E1CE2" w:rsidRPr="003A3426" w:rsidRDefault="008E1CE2" w:rsidP="008E1CE2">
      <w:pPr>
        <w:pStyle w:val="BodyText"/>
        <w:jc w:val="left"/>
        <w:rPr>
          <w:sz w:val="32"/>
          <w:szCs w:val="32"/>
        </w:rPr>
      </w:pPr>
    </w:p>
    <w:sdt>
      <w:sdtPr>
        <w:rPr>
          <w:rFonts w:ascii="Arial" w:eastAsia="Times New Roman" w:hAnsi="Arial" w:cs="Arial"/>
          <w:bCs w:val="0"/>
          <w:color w:val="auto"/>
          <w:sz w:val="20"/>
          <w:szCs w:val="20"/>
          <w:lang w:eastAsia="en-US"/>
        </w:rPr>
        <w:id w:val="21299971"/>
        <w:docPartObj>
          <w:docPartGallery w:val="Table of Contents"/>
          <w:docPartUnique/>
        </w:docPartObj>
      </w:sdtPr>
      <w:sdtEndPr>
        <w:rPr>
          <w:noProof/>
        </w:rPr>
      </w:sdtEndPr>
      <w:sdtContent>
        <w:p w14:paraId="17C33D5E" w14:textId="77777777" w:rsidR="00082868" w:rsidRDefault="00082868">
          <w:pPr>
            <w:pStyle w:val="TOCHeading"/>
          </w:pPr>
          <w:r>
            <w:t>Table of Contents</w:t>
          </w:r>
        </w:p>
        <w:p w14:paraId="66FC717E" w14:textId="5BDA79B0" w:rsidR="007541F2" w:rsidRDefault="00082868">
          <w:pPr>
            <w:pStyle w:val="TOC1"/>
            <w:rPr>
              <w:rFonts w:asciiTheme="minorHAnsi" w:eastAsiaTheme="minorEastAsia" w:hAnsiTheme="minorHAnsi" w:cstheme="minorBidi"/>
              <w:bCs w:val="0"/>
              <w:caps w:val="0"/>
              <w:sz w:val="22"/>
              <w:szCs w:val="22"/>
            </w:rPr>
          </w:pPr>
          <w:r>
            <w:fldChar w:fldCharType="begin"/>
          </w:r>
          <w:r>
            <w:instrText xml:space="preserve"> TOC \o "1-3" \h \z \u </w:instrText>
          </w:r>
          <w:r>
            <w:fldChar w:fldCharType="separate"/>
          </w:r>
          <w:hyperlink w:anchor="_Toc535495609" w:history="1">
            <w:r w:rsidR="007541F2" w:rsidRPr="00D27B65">
              <w:rPr>
                <w:rStyle w:val="Hyperlink"/>
                <w:b/>
              </w:rPr>
              <w:t>1.0</w:t>
            </w:r>
            <w:r w:rsidR="007541F2">
              <w:rPr>
                <w:rFonts w:asciiTheme="minorHAnsi" w:eastAsiaTheme="minorEastAsia" w:hAnsiTheme="minorHAnsi" w:cstheme="minorBidi"/>
                <w:bCs w:val="0"/>
                <w:caps w:val="0"/>
                <w:sz w:val="22"/>
                <w:szCs w:val="22"/>
              </w:rPr>
              <w:tab/>
            </w:r>
            <w:r w:rsidR="007541F2" w:rsidRPr="00D27B65">
              <w:rPr>
                <w:rStyle w:val="Hyperlink"/>
                <w:b/>
              </w:rPr>
              <w:t>EXECUTIVE SUMMARY OVERVIEW</w:t>
            </w:r>
            <w:r w:rsidR="007541F2">
              <w:rPr>
                <w:webHidden/>
              </w:rPr>
              <w:tab/>
            </w:r>
            <w:r w:rsidR="007541F2">
              <w:rPr>
                <w:webHidden/>
              </w:rPr>
              <w:fldChar w:fldCharType="begin"/>
            </w:r>
            <w:r w:rsidR="007541F2">
              <w:rPr>
                <w:webHidden/>
              </w:rPr>
              <w:instrText xml:space="preserve"> PAGEREF _Toc535495609 \h </w:instrText>
            </w:r>
            <w:r w:rsidR="007541F2">
              <w:rPr>
                <w:webHidden/>
              </w:rPr>
            </w:r>
            <w:r w:rsidR="007541F2">
              <w:rPr>
                <w:webHidden/>
              </w:rPr>
              <w:fldChar w:fldCharType="separate"/>
            </w:r>
            <w:r w:rsidR="007541F2">
              <w:rPr>
                <w:webHidden/>
              </w:rPr>
              <w:t>1</w:t>
            </w:r>
            <w:r w:rsidR="007541F2">
              <w:rPr>
                <w:webHidden/>
              </w:rPr>
              <w:fldChar w:fldCharType="end"/>
            </w:r>
          </w:hyperlink>
        </w:p>
        <w:p w14:paraId="7D9AE8E7" w14:textId="11DD9DA5" w:rsidR="007541F2" w:rsidRDefault="00017DFD">
          <w:pPr>
            <w:pStyle w:val="TOC1"/>
            <w:rPr>
              <w:rFonts w:asciiTheme="minorHAnsi" w:eastAsiaTheme="minorEastAsia" w:hAnsiTheme="minorHAnsi" w:cstheme="minorBidi"/>
              <w:bCs w:val="0"/>
              <w:caps w:val="0"/>
              <w:sz w:val="22"/>
              <w:szCs w:val="22"/>
            </w:rPr>
          </w:pPr>
          <w:hyperlink w:anchor="_Toc535495610" w:history="1">
            <w:r w:rsidR="007541F2" w:rsidRPr="00D27B65">
              <w:rPr>
                <w:rStyle w:val="Hyperlink"/>
                <w:b/>
              </w:rPr>
              <w:t>1.1</w:t>
            </w:r>
            <w:r w:rsidR="007541F2">
              <w:rPr>
                <w:rFonts w:asciiTheme="minorHAnsi" w:eastAsiaTheme="minorEastAsia" w:hAnsiTheme="minorHAnsi" w:cstheme="minorBidi"/>
                <w:bCs w:val="0"/>
                <w:caps w:val="0"/>
                <w:sz w:val="22"/>
                <w:szCs w:val="22"/>
              </w:rPr>
              <w:tab/>
            </w:r>
            <w:r w:rsidR="007541F2" w:rsidRPr="00D27B65">
              <w:rPr>
                <w:rStyle w:val="Hyperlink"/>
                <w:b/>
              </w:rPr>
              <w:t>PEAK DEMAND, TERRITORIAL SUPPLY, AND TERRITORIAL REQUIREMENTS</w:t>
            </w:r>
            <w:r w:rsidR="007541F2">
              <w:rPr>
                <w:webHidden/>
              </w:rPr>
              <w:tab/>
            </w:r>
            <w:r w:rsidR="007541F2">
              <w:rPr>
                <w:webHidden/>
              </w:rPr>
              <w:fldChar w:fldCharType="begin"/>
            </w:r>
            <w:r w:rsidR="007541F2">
              <w:rPr>
                <w:webHidden/>
              </w:rPr>
              <w:instrText xml:space="preserve"> PAGEREF _Toc535495610 \h </w:instrText>
            </w:r>
            <w:r w:rsidR="007541F2">
              <w:rPr>
                <w:webHidden/>
              </w:rPr>
            </w:r>
            <w:r w:rsidR="007541F2">
              <w:rPr>
                <w:webHidden/>
              </w:rPr>
              <w:fldChar w:fldCharType="separate"/>
            </w:r>
            <w:r w:rsidR="007541F2">
              <w:rPr>
                <w:webHidden/>
              </w:rPr>
              <w:t>3</w:t>
            </w:r>
            <w:r w:rsidR="007541F2">
              <w:rPr>
                <w:webHidden/>
              </w:rPr>
              <w:fldChar w:fldCharType="end"/>
            </w:r>
          </w:hyperlink>
        </w:p>
        <w:p w14:paraId="3AE5E8F8" w14:textId="16AA3614" w:rsidR="007541F2" w:rsidRDefault="00017DFD">
          <w:pPr>
            <w:pStyle w:val="TOC1"/>
            <w:rPr>
              <w:rFonts w:asciiTheme="minorHAnsi" w:eastAsiaTheme="minorEastAsia" w:hAnsiTheme="minorHAnsi" w:cstheme="minorBidi"/>
              <w:bCs w:val="0"/>
              <w:caps w:val="0"/>
              <w:sz w:val="22"/>
              <w:szCs w:val="22"/>
            </w:rPr>
          </w:pPr>
          <w:hyperlink w:anchor="_Toc535495611" w:history="1">
            <w:r w:rsidR="007541F2" w:rsidRPr="00D27B65">
              <w:rPr>
                <w:rStyle w:val="Hyperlink"/>
                <w:b/>
              </w:rPr>
              <w:t>1.2</w:t>
            </w:r>
            <w:r w:rsidR="007541F2">
              <w:rPr>
                <w:rFonts w:asciiTheme="minorHAnsi" w:eastAsiaTheme="minorEastAsia" w:hAnsiTheme="minorHAnsi" w:cstheme="minorBidi"/>
                <w:bCs w:val="0"/>
                <w:caps w:val="0"/>
                <w:sz w:val="22"/>
                <w:szCs w:val="22"/>
              </w:rPr>
              <w:tab/>
            </w:r>
            <w:r w:rsidR="007541F2" w:rsidRPr="00D27B65">
              <w:rPr>
                <w:rStyle w:val="Hyperlink"/>
                <w:b/>
              </w:rPr>
              <w:t>RETAIL ENERGY SALES</w:t>
            </w:r>
            <w:r w:rsidR="007541F2">
              <w:rPr>
                <w:webHidden/>
              </w:rPr>
              <w:tab/>
            </w:r>
            <w:r w:rsidR="007541F2">
              <w:rPr>
                <w:webHidden/>
              </w:rPr>
              <w:fldChar w:fldCharType="begin"/>
            </w:r>
            <w:r w:rsidR="007541F2">
              <w:rPr>
                <w:webHidden/>
              </w:rPr>
              <w:instrText xml:space="preserve"> PAGEREF _Toc535495611 \h </w:instrText>
            </w:r>
            <w:r w:rsidR="007541F2">
              <w:rPr>
                <w:webHidden/>
              </w:rPr>
            </w:r>
            <w:r w:rsidR="007541F2">
              <w:rPr>
                <w:webHidden/>
              </w:rPr>
              <w:fldChar w:fldCharType="separate"/>
            </w:r>
            <w:r w:rsidR="007541F2">
              <w:rPr>
                <w:webHidden/>
              </w:rPr>
              <w:t>5</w:t>
            </w:r>
            <w:r w:rsidR="007541F2">
              <w:rPr>
                <w:webHidden/>
              </w:rPr>
              <w:fldChar w:fldCharType="end"/>
            </w:r>
          </w:hyperlink>
        </w:p>
        <w:p w14:paraId="21274019" w14:textId="22E915C1" w:rsidR="007541F2" w:rsidRDefault="00017DFD">
          <w:pPr>
            <w:pStyle w:val="TOC2"/>
            <w:tabs>
              <w:tab w:val="right" w:leader="dot" w:pos="9163"/>
            </w:tabs>
            <w:rPr>
              <w:rFonts w:asciiTheme="minorHAnsi" w:eastAsiaTheme="minorEastAsia" w:hAnsiTheme="minorHAnsi" w:cstheme="minorBidi"/>
              <w:b w:val="0"/>
              <w:noProof/>
              <w:sz w:val="22"/>
              <w:szCs w:val="22"/>
            </w:rPr>
          </w:pPr>
          <w:hyperlink w:anchor="_Toc535495612" w:history="1">
            <w:r w:rsidR="007541F2" w:rsidRPr="00D27B65">
              <w:rPr>
                <w:rStyle w:val="Hyperlink"/>
                <w:noProof/>
              </w:rPr>
              <w:t>1.2.1 Residential</w:t>
            </w:r>
            <w:r w:rsidR="007541F2">
              <w:rPr>
                <w:noProof/>
                <w:webHidden/>
              </w:rPr>
              <w:tab/>
            </w:r>
            <w:r w:rsidR="007541F2">
              <w:rPr>
                <w:noProof/>
                <w:webHidden/>
              </w:rPr>
              <w:fldChar w:fldCharType="begin"/>
            </w:r>
            <w:r w:rsidR="007541F2">
              <w:rPr>
                <w:noProof/>
                <w:webHidden/>
              </w:rPr>
              <w:instrText xml:space="preserve"> PAGEREF _Toc535495612 \h </w:instrText>
            </w:r>
            <w:r w:rsidR="007541F2">
              <w:rPr>
                <w:noProof/>
                <w:webHidden/>
              </w:rPr>
            </w:r>
            <w:r w:rsidR="007541F2">
              <w:rPr>
                <w:noProof/>
                <w:webHidden/>
              </w:rPr>
              <w:fldChar w:fldCharType="separate"/>
            </w:r>
            <w:r w:rsidR="007541F2">
              <w:rPr>
                <w:noProof/>
                <w:webHidden/>
              </w:rPr>
              <w:t>5</w:t>
            </w:r>
            <w:r w:rsidR="007541F2">
              <w:rPr>
                <w:noProof/>
                <w:webHidden/>
              </w:rPr>
              <w:fldChar w:fldCharType="end"/>
            </w:r>
          </w:hyperlink>
        </w:p>
        <w:p w14:paraId="79D2B5ED" w14:textId="6852E027" w:rsidR="007541F2" w:rsidRDefault="00017DFD">
          <w:pPr>
            <w:pStyle w:val="TOC2"/>
            <w:tabs>
              <w:tab w:val="right" w:leader="dot" w:pos="9163"/>
            </w:tabs>
            <w:rPr>
              <w:rFonts w:asciiTheme="minorHAnsi" w:eastAsiaTheme="minorEastAsia" w:hAnsiTheme="minorHAnsi" w:cstheme="minorBidi"/>
              <w:b w:val="0"/>
              <w:noProof/>
              <w:sz w:val="22"/>
              <w:szCs w:val="22"/>
            </w:rPr>
          </w:pPr>
          <w:hyperlink w:anchor="_Toc535495613" w:history="1">
            <w:r w:rsidR="007541F2" w:rsidRPr="00D27B65">
              <w:rPr>
                <w:rStyle w:val="Hyperlink"/>
                <w:noProof/>
              </w:rPr>
              <w:t>1.2.2 Commercial</w:t>
            </w:r>
            <w:r w:rsidR="007541F2">
              <w:rPr>
                <w:noProof/>
                <w:webHidden/>
              </w:rPr>
              <w:tab/>
            </w:r>
            <w:r w:rsidR="007541F2">
              <w:rPr>
                <w:noProof/>
                <w:webHidden/>
              </w:rPr>
              <w:fldChar w:fldCharType="begin"/>
            </w:r>
            <w:r w:rsidR="007541F2">
              <w:rPr>
                <w:noProof/>
                <w:webHidden/>
              </w:rPr>
              <w:instrText xml:space="preserve"> PAGEREF _Toc535495613 \h </w:instrText>
            </w:r>
            <w:r w:rsidR="007541F2">
              <w:rPr>
                <w:noProof/>
                <w:webHidden/>
              </w:rPr>
            </w:r>
            <w:r w:rsidR="007541F2">
              <w:rPr>
                <w:noProof/>
                <w:webHidden/>
              </w:rPr>
              <w:fldChar w:fldCharType="separate"/>
            </w:r>
            <w:r w:rsidR="007541F2">
              <w:rPr>
                <w:noProof/>
                <w:webHidden/>
              </w:rPr>
              <w:t>6</w:t>
            </w:r>
            <w:r w:rsidR="007541F2">
              <w:rPr>
                <w:noProof/>
                <w:webHidden/>
              </w:rPr>
              <w:fldChar w:fldCharType="end"/>
            </w:r>
          </w:hyperlink>
        </w:p>
        <w:p w14:paraId="239A43CE" w14:textId="2D5C3F00" w:rsidR="007541F2" w:rsidRDefault="00017DFD">
          <w:pPr>
            <w:pStyle w:val="TOC2"/>
            <w:tabs>
              <w:tab w:val="right" w:leader="dot" w:pos="9163"/>
            </w:tabs>
            <w:rPr>
              <w:rFonts w:asciiTheme="minorHAnsi" w:eastAsiaTheme="minorEastAsia" w:hAnsiTheme="minorHAnsi" w:cstheme="minorBidi"/>
              <w:b w:val="0"/>
              <w:noProof/>
              <w:sz w:val="22"/>
              <w:szCs w:val="22"/>
            </w:rPr>
          </w:pPr>
          <w:hyperlink w:anchor="_Toc535495614" w:history="1">
            <w:r w:rsidR="007541F2" w:rsidRPr="00D27B65">
              <w:rPr>
                <w:rStyle w:val="Hyperlink"/>
                <w:noProof/>
              </w:rPr>
              <w:t>1.2.3 Industrial</w:t>
            </w:r>
            <w:r w:rsidR="007541F2">
              <w:rPr>
                <w:noProof/>
                <w:webHidden/>
              </w:rPr>
              <w:tab/>
            </w:r>
            <w:r w:rsidR="007541F2">
              <w:rPr>
                <w:noProof/>
                <w:webHidden/>
              </w:rPr>
              <w:fldChar w:fldCharType="begin"/>
            </w:r>
            <w:r w:rsidR="007541F2">
              <w:rPr>
                <w:noProof/>
                <w:webHidden/>
              </w:rPr>
              <w:instrText xml:space="preserve"> PAGEREF _Toc535495614 \h </w:instrText>
            </w:r>
            <w:r w:rsidR="007541F2">
              <w:rPr>
                <w:noProof/>
                <w:webHidden/>
              </w:rPr>
            </w:r>
            <w:r w:rsidR="007541F2">
              <w:rPr>
                <w:noProof/>
                <w:webHidden/>
              </w:rPr>
              <w:fldChar w:fldCharType="separate"/>
            </w:r>
            <w:r w:rsidR="007541F2">
              <w:rPr>
                <w:noProof/>
                <w:webHidden/>
              </w:rPr>
              <w:t>7</w:t>
            </w:r>
            <w:r w:rsidR="007541F2">
              <w:rPr>
                <w:noProof/>
                <w:webHidden/>
              </w:rPr>
              <w:fldChar w:fldCharType="end"/>
            </w:r>
          </w:hyperlink>
        </w:p>
        <w:p w14:paraId="7027EF4E" w14:textId="250915EB" w:rsidR="007541F2" w:rsidRDefault="00017DFD">
          <w:pPr>
            <w:pStyle w:val="TOC2"/>
            <w:tabs>
              <w:tab w:val="right" w:leader="dot" w:pos="9163"/>
            </w:tabs>
            <w:rPr>
              <w:rFonts w:asciiTheme="minorHAnsi" w:eastAsiaTheme="minorEastAsia" w:hAnsiTheme="minorHAnsi" w:cstheme="minorBidi"/>
              <w:b w:val="0"/>
              <w:noProof/>
              <w:sz w:val="22"/>
              <w:szCs w:val="22"/>
            </w:rPr>
          </w:pPr>
          <w:hyperlink w:anchor="_Toc535495615" w:history="1">
            <w:r w:rsidR="007541F2" w:rsidRPr="00D27B65">
              <w:rPr>
                <w:rStyle w:val="Hyperlink"/>
                <w:noProof/>
              </w:rPr>
              <w:t>1.2.4 Other Retail: Governmental Lighting, MARTA</w:t>
            </w:r>
            <w:r w:rsidR="007541F2">
              <w:rPr>
                <w:noProof/>
                <w:webHidden/>
              </w:rPr>
              <w:tab/>
            </w:r>
            <w:r w:rsidR="007541F2">
              <w:rPr>
                <w:noProof/>
                <w:webHidden/>
              </w:rPr>
              <w:fldChar w:fldCharType="begin"/>
            </w:r>
            <w:r w:rsidR="007541F2">
              <w:rPr>
                <w:noProof/>
                <w:webHidden/>
              </w:rPr>
              <w:instrText xml:space="preserve"> PAGEREF _Toc535495615 \h </w:instrText>
            </w:r>
            <w:r w:rsidR="007541F2">
              <w:rPr>
                <w:noProof/>
                <w:webHidden/>
              </w:rPr>
            </w:r>
            <w:r w:rsidR="007541F2">
              <w:rPr>
                <w:noProof/>
                <w:webHidden/>
              </w:rPr>
              <w:fldChar w:fldCharType="separate"/>
            </w:r>
            <w:r w:rsidR="007541F2">
              <w:rPr>
                <w:noProof/>
                <w:webHidden/>
              </w:rPr>
              <w:t>8</w:t>
            </w:r>
            <w:r w:rsidR="007541F2">
              <w:rPr>
                <w:noProof/>
                <w:webHidden/>
              </w:rPr>
              <w:fldChar w:fldCharType="end"/>
            </w:r>
          </w:hyperlink>
        </w:p>
        <w:p w14:paraId="47146963" w14:textId="73365CAB" w:rsidR="007541F2" w:rsidRDefault="00017DFD">
          <w:pPr>
            <w:pStyle w:val="TOC1"/>
            <w:rPr>
              <w:rFonts w:asciiTheme="minorHAnsi" w:eastAsiaTheme="minorEastAsia" w:hAnsiTheme="minorHAnsi" w:cstheme="minorBidi"/>
              <w:bCs w:val="0"/>
              <w:caps w:val="0"/>
              <w:sz w:val="22"/>
              <w:szCs w:val="22"/>
            </w:rPr>
          </w:pPr>
          <w:hyperlink w:anchor="_Toc535495616" w:history="1">
            <w:r w:rsidR="007541F2" w:rsidRPr="00D27B65">
              <w:rPr>
                <w:rStyle w:val="Hyperlink"/>
                <w:b/>
              </w:rPr>
              <w:t>1.3</w:t>
            </w:r>
            <w:r w:rsidR="007541F2">
              <w:rPr>
                <w:rFonts w:asciiTheme="minorHAnsi" w:eastAsiaTheme="minorEastAsia" w:hAnsiTheme="minorHAnsi" w:cstheme="minorBidi"/>
                <w:bCs w:val="0"/>
                <w:caps w:val="0"/>
                <w:sz w:val="22"/>
                <w:szCs w:val="22"/>
              </w:rPr>
              <w:tab/>
            </w:r>
            <w:r w:rsidR="007541F2" w:rsidRPr="00D27B65">
              <w:rPr>
                <w:rStyle w:val="Hyperlink"/>
                <w:b/>
              </w:rPr>
              <w:t>ECONOMICS</w:t>
            </w:r>
            <w:r w:rsidR="007541F2">
              <w:rPr>
                <w:webHidden/>
              </w:rPr>
              <w:tab/>
            </w:r>
            <w:r w:rsidR="007541F2">
              <w:rPr>
                <w:webHidden/>
              </w:rPr>
              <w:fldChar w:fldCharType="begin"/>
            </w:r>
            <w:r w:rsidR="007541F2">
              <w:rPr>
                <w:webHidden/>
              </w:rPr>
              <w:instrText xml:space="preserve"> PAGEREF _Toc535495616 \h </w:instrText>
            </w:r>
            <w:r w:rsidR="007541F2">
              <w:rPr>
                <w:webHidden/>
              </w:rPr>
            </w:r>
            <w:r w:rsidR="007541F2">
              <w:rPr>
                <w:webHidden/>
              </w:rPr>
              <w:fldChar w:fldCharType="separate"/>
            </w:r>
            <w:r w:rsidR="007541F2">
              <w:rPr>
                <w:webHidden/>
              </w:rPr>
              <w:t>9</w:t>
            </w:r>
            <w:r w:rsidR="007541F2">
              <w:rPr>
                <w:webHidden/>
              </w:rPr>
              <w:fldChar w:fldCharType="end"/>
            </w:r>
          </w:hyperlink>
        </w:p>
        <w:p w14:paraId="751BE416" w14:textId="26E59A05" w:rsidR="007541F2" w:rsidRDefault="00017DFD">
          <w:pPr>
            <w:pStyle w:val="TOC1"/>
            <w:rPr>
              <w:rFonts w:asciiTheme="minorHAnsi" w:eastAsiaTheme="minorEastAsia" w:hAnsiTheme="minorHAnsi" w:cstheme="minorBidi"/>
              <w:bCs w:val="0"/>
              <w:caps w:val="0"/>
              <w:sz w:val="22"/>
              <w:szCs w:val="22"/>
            </w:rPr>
          </w:pPr>
          <w:hyperlink w:anchor="_Toc535495617" w:history="1">
            <w:r w:rsidR="007541F2" w:rsidRPr="00D27B65">
              <w:rPr>
                <w:rStyle w:val="Hyperlink"/>
                <w:b/>
              </w:rPr>
              <w:t>1.4</w:t>
            </w:r>
            <w:r w:rsidR="007541F2">
              <w:rPr>
                <w:rFonts w:asciiTheme="minorHAnsi" w:eastAsiaTheme="minorEastAsia" w:hAnsiTheme="minorHAnsi" w:cstheme="minorBidi"/>
                <w:bCs w:val="0"/>
                <w:caps w:val="0"/>
                <w:sz w:val="22"/>
                <w:szCs w:val="22"/>
              </w:rPr>
              <w:tab/>
            </w:r>
            <w:r w:rsidR="007541F2" w:rsidRPr="00D27B65">
              <w:rPr>
                <w:rStyle w:val="Hyperlink"/>
                <w:b/>
              </w:rPr>
              <w:t>FORECAST ASSUMPTIONS AND METHODS</w:t>
            </w:r>
            <w:r w:rsidR="007541F2">
              <w:rPr>
                <w:webHidden/>
              </w:rPr>
              <w:tab/>
            </w:r>
            <w:r w:rsidR="007541F2">
              <w:rPr>
                <w:webHidden/>
              </w:rPr>
              <w:fldChar w:fldCharType="begin"/>
            </w:r>
            <w:r w:rsidR="007541F2">
              <w:rPr>
                <w:webHidden/>
              </w:rPr>
              <w:instrText xml:space="preserve"> PAGEREF _Toc535495617 \h </w:instrText>
            </w:r>
            <w:r w:rsidR="007541F2">
              <w:rPr>
                <w:webHidden/>
              </w:rPr>
            </w:r>
            <w:r w:rsidR="007541F2">
              <w:rPr>
                <w:webHidden/>
              </w:rPr>
              <w:fldChar w:fldCharType="separate"/>
            </w:r>
            <w:r w:rsidR="007541F2">
              <w:rPr>
                <w:webHidden/>
              </w:rPr>
              <w:t>10</w:t>
            </w:r>
            <w:r w:rsidR="007541F2">
              <w:rPr>
                <w:webHidden/>
              </w:rPr>
              <w:fldChar w:fldCharType="end"/>
            </w:r>
          </w:hyperlink>
        </w:p>
        <w:p w14:paraId="4A0A1A20" w14:textId="4DA43E61" w:rsidR="007541F2" w:rsidRDefault="00017DFD">
          <w:pPr>
            <w:pStyle w:val="TOC1"/>
            <w:rPr>
              <w:rFonts w:asciiTheme="minorHAnsi" w:eastAsiaTheme="minorEastAsia" w:hAnsiTheme="minorHAnsi" w:cstheme="minorBidi"/>
              <w:bCs w:val="0"/>
              <w:caps w:val="0"/>
              <w:sz w:val="22"/>
              <w:szCs w:val="22"/>
            </w:rPr>
          </w:pPr>
          <w:hyperlink w:anchor="_Toc535495618" w:history="1">
            <w:r w:rsidR="007541F2" w:rsidRPr="00D27B65">
              <w:rPr>
                <w:rStyle w:val="Hyperlink"/>
                <w:b/>
              </w:rPr>
              <w:t>1.5</w:t>
            </w:r>
            <w:r w:rsidR="007541F2">
              <w:rPr>
                <w:rFonts w:asciiTheme="minorHAnsi" w:eastAsiaTheme="minorEastAsia" w:hAnsiTheme="minorHAnsi" w:cstheme="minorBidi"/>
                <w:bCs w:val="0"/>
                <w:caps w:val="0"/>
                <w:sz w:val="22"/>
                <w:szCs w:val="22"/>
              </w:rPr>
              <w:tab/>
            </w:r>
            <w:r w:rsidR="007541F2" w:rsidRPr="00D27B65">
              <w:rPr>
                <w:rStyle w:val="Hyperlink"/>
                <w:b/>
              </w:rPr>
              <w:t>DEMAND SIDE PROGRAMS</w:t>
            </w:r>
            <w:r w:rsidR="007541F2">
              <w:rPr>
                <w:webHidden/>
              </w:rPr>
              <w:tab/>
            </w:r>
            <w:r w:rsidR="007541F2">
              <w:rPr>
                <w:webHidden/>
              </w:rPr>
              <w:fldChar w:fldCharType="begin"/>
            </w:r>
            <w:r w:rsidR="007541F2">
              <w:rPr>
                <w:webHidden/>
              </w:rPr>
              <w:instrText xml:space="preserve"> PAGEREF _Toc535495618 \h </w:instrText>
            </w:r>
            <w:r w:rsidR="007541F2">
              <w:rPr>
                <w:webHidden/>
              </w:rPr>
            </w:r>
            <w:r w:rsidR="007541F2">
              <w:rPr>
                <w:webHidden/>
              </w:rPr>
              <w:fldChar w:fldCharType="separate"/>
            </w:r>
            <w:r w:rsidR="007541F2">
              <w:rPr>
                <w:webHidden/>
              </w:rPr>
              <w:t>11</w:t>
            </w:r>
            <w:r w:rsidR="007541F2">
              <w:rPr>
                <w:webHidden/>
              </w:rPr>
              <w:fldChar w:fldCharType="end"/>
            </w:r>
          </w:hyperlink>
        </w:p>
        <w:p w14:paraId="00991A77" w14:textId="5C88F94E" w:rsidR="007541F2" w:rsidRDefault="00017DFD">
          <w:pPr>
            <w:pStyle w:val="TOC1"/>
            <w:rPr>
              <w:rFonts w:asciiTheme="minorHAnsi" w:eastAsiaTheme="minorEastAsia" w:hAnsiTheme="minorHAnsi" w:cstheme="minorBidi"/>
              <w:bCs w:val="0"/>
              <w:caps w:val="0"/>
              <w:sz w:val="22"/>
              <w:szCs w:val="22"/>
            </w:rPr>
          </w:pPr>
          <w:hyperlink w:anchor="_Toc535495619" w:history="1">
            <w:r w:rsidR="007541F2" w:rsidRPr="00D27B65">
              <w:rPr>
                <w:rStyle w:val="Hyperlink"/>
                <w:b/>
              </w:rPr>
              <w:t>1.6</w:t>
            </w:r>
            <w:r w:rsidR="007541F2">
              <w:rPr>
                <w:rFonts w:asciiTheme="minorHAnsi" w:eastAsiaTheme="minorEastAsia" w:hAnsiTheme="minorHAnsi" w:cstheme="minorBidi"/>
                <w:bCs w:val="0"/>
                <w:caps w:val="0"/>
                <w:sz w:val="22"/>
                <w:szCs w:val="22"/>
              </w:rPr>
              <w:tab/>
            </w:r>
            <w:r w:rsidR="007541F2" w:rsidRPr="00D27B65">
              <w:rPr>
                <w:rStyle w:val="Hyperlink"/>
                <w:b/>
              </w:rPr>
              <w:t>SENSITIVITIES AND SCENARIOS</w:t>
            </w:r>
            <w:r w:rsidR="007541F2">
              <w:rPr>
                <w:webHidden/>
              </w:rPr>
              <w:tab/>
            </w:r>
            <w:r w:rsidR="007541F2">
              <w:rPr>
                <w:webHidden/>
              </w:rPr>
              <w:fldChar w:fldCharType="begin"/>
            </w:r>
            <w:r w:rsidR="007541F2">
              <w:rPr>
                <w:webHidden/>
              </w:rPr>
              <w:instrText xml:space="preserve"> PAGEREF _Toc535495619 \h </w:instrText>
            </w:r>
            <w:r w:rsidR="007541F2">
              <w:rPr>
                <w:webHidden/>
              </w:rPr>
            </w:r>
            <w:r w:rsidR="007541F2">
              <w:rPr>
                <w:webHidden/>
              </w:rPr>
              <w:fldChar w:fldCharType="separate"/>
            </w:r>
            <w:r w:rsidR="007541F2">
              <w:rPr>
                <w:webHidden/>
              </w:rPr>
              <w:t>12</w:t>
            </w:r>
            <w:r w:rsidR="007541F2">
              <w:rPr>
                <w:webHidden/>
              </w:rPr>
              <w:fldChar w:fldCharType="end"/>
            </w:r>
          </w:hyperlink>
        </w:p>
        <w:p w14:paraId="0C98FCBC" w14:textId="5407E74D" w:rsidR="007541F2" w:rsidRDefault="00017DFD">
          <w:pPr>
            <w:pStyle w:val="TOC1"/>
            <w:rPr>
              <w:rFonts w:asciiTheme="minorHAnsi" w:eastAsiaTheme="minorEastAsia" w:hAnsiTheme="minorHAnsi" w:cstheme="minorBidi"/>
              <w:bCs w:val="0"/>
              <w:caps w:val="0"/>
              <w:sz w:val="22"/>
              <w:szCs w:val="22"/>
            </w:rPr>
          </w:pPr>
          <w:hyperlink w:anchor="_Toc535495620" w:history="1">
            <w:r w:rsidR="007541F2" w:rsidRPr="00D27B65">
              <w:rPr>
                <w:rStyle w:val="Hyperlink"/>
                <w:b/>
              </w:rPr>
              <w:t>2.0</w:t>
            </w:r>
            <w:r w:rsidR="007541F2">
              <w:rPr>
                <w:rFonts w:asciiTheme="minorHAnsi" w:eastAsiaTheme="minorEastAsia" w:hAnsiTheme="minorHAnsi" w:cstheme="minorBidi"/>
                <w:bCs w:val="0"/>
                <w:caps w:val="0"/>
                <w:sz w:val="22"/>
                <w:szCs w:val="22"/>
              </w:rPr>
              <w:tab/>
            </w:r>
            <w:r w:rsidR="007541F2" w:rsidRPr="00D27B65">
              <w:rPr>
                <w:rStyle w:val="Hyperlink"/>
                <w:b/>
              </w:rPr>
              <w:t>ANNUAL SUMMARY</w:t>
            </w:r>
            <w:r w:rsidR="007541F2">
              <w:rPr>
                <w:webHidden/>
              </w:rPr>
              <w:tab/>
            </w:r>
            <w:r w:rsidR="007541F2">
              <w:rPr>
                <w:webHidden/>
              </w:rPr>
              <w:fldChar w:fldCharType="begin"/>
            </w:r>
            <w:r w:rsidR="007541F2">
              <w:rPr>
                <w:webHidden/>
              </w:rPr>
              <w:instrText xml:space="preserve"> PAGEREF _Toc535495620 \h </w:instrText>
            </w:r>
            <w:r w:rsidR="007541F2">
              <w:rPr>
                <w:webHidden/>
              </w:rPr>
            </w:r>
            <w:r w:rsidR="007541F2">
              <w:rPr>
                <w:webHidden/>
              </w:rPr>
              <w:fldChar w:fldCharType="separate"/>
            </w:r>
            <w:r w:rsidR="007541F2">
              <w:rPr>
                <w:webHidden/>
              </w:rPr>
              <w:t>13</w:t>
            </w:r>
            <w:r w:rsidR="007541F2">
              <w:rPr>
                <w:webHidden/>
              </w:rPr>
              <w:fldChar w:fldCharType="end"/>
            </w:r>
          </w:hyperlink>
        </w:p>
        <w:p w14:paraId="64245FEF" w14:textId="54162A62" w:rsidR="007541F2" w:rsidRDefault="00017DFD">
          <w:pPr>
            <w:pStyle w:val="TOC1"/>
            <w:rPr>
              <w:rFonts w:asciiTheme="minorHAnsi" w:eastAsiaTheme="minorEastAsia" w:hAnsiTheme="minorHAnsi" w:cstheme="minorBidi"/>
              <w:bCs w:val="0"/>
              <w:caps w:val="0"/>
              <w:sz w:val="22"/>
              <w:szCs w:val="22"/>
            </w:rPr>
          </w:pPr>
          <w:hyperlink w:anchor="_Toc535495621" w:history="1">
            <w:r w:rsidR="007541F2" w:rsidRPr="00D27B65">
              <w:rPr>
                <w:rStyle w:val="Hyperlink"/>
                <w:b/>
              </w:rPr>
              <w:t>2.1</w:t>
            </w:r>
            <w:r w:rsidR="007541F2">
              <w:rPr>
                <w:rFonts w:asciiTheme="minorHAnsi" w:eastAsiaTheme="minorEastAsia" w:hAnsiTheme="minorHAnsi" w:cstheme="minorBidi"/>
                <w:bCs w:val="0"/>
                <w:caps w:val="0"/>
                <w:sz w:val="22"/>
                <w:szCs w:val="22"/>
              </w:rPr>
              <w:tab/>
            </w:r>
            <w:r w:rsidR="007541F2" w:rsidRPr="00D27B65">
              <w:rPr>
                <w:rStyle w:val="Hyperlink"/>
                <w:b/>
              </w:rPr>
              <w:t>MONTHLY ENERGY REQUIREMENTS</w:t>
            </w:r>
            <w:r w:rsidR="007541F2">
              <w:rPr>
                <w:webHidden/>
              </w:rPr>
              <w:tab/>
            </w:r>
            <w:r w:rsidR="007541F2">
              <w:rPr>
                <w:webHidden/>
              </w:rPr>
              <w:fldChar w:fldCharType="begin"/>
            </w:r>
            <w:r w:rsidR="007541F2">
              <w:rPr>
                <w:webHidden/>
              </w:rPr>
              <w:instrText xml:space="preserve"> PAGEREF _Toc535495621 \h </w:instrText>
            </w:r>
            <w:r w:rsidR="007541F2">
              <w:rPr>
                <w:webHidden/>
              </w:rPr>
            </w:r>
            <w:r w:rsidR="007541F2">
              <w:rPr>
                <w:webHidden/>
              </w:rPr>
              <w:fldChar w:fldCharType="separate"/>
            </w:r>
            <w:r w:rsidR="007541F2">
              <w:rPr>
                <w:webHidden/>
              </w:rPr>
              <w:t>14</w:t>
            </w:r>
            <w:r w:rsidR="007541F2">
              <w:rPr>
                <w:webHidden/>
              </w:rPr>
              <w:fldChar w:fldCharType="end"/>
            </w:r>
          </w:hyperlink>
        </w:p>
        <w:p w14:paraId="62813C89" w14:textId="73B8C504" w:rsidR="007541F2" w:rsidRDefault="00017DFD">
          <w:pPr>
            <w:pStyle w:val="TOC1"/>
            <w:rPr>
              <w:rFonts w:asciiTheme="minorHAnsi" w:eastAsiaTheme="minorEastAsia" w:hAnsiTheme="minorHAnsi" w:cstheme="minorBidi"/>
              <w:bCs w:val="0"/>
              <w:caps w:val="0"/>
              <w:sz w:val="22"/>
              <w:szCs w:val="22"/>
            </w:rPr>
          </w:pPr>
          <w:hyperlink w:anchor="_Toc535495622" w:history="1">
            <w:r w:rsidR="007541F2" w:rsidRPr="00D27B65">
              <w:rPr>
                <w:rStyle w:val="Hyperlink"/>
                <w:b/>
              </w:rPr>
              <w:t>2.2</w:t>
            </w:r>
            <w:r w:rsidR="007541F2">
              <w:rPr>
                <w:rFonts w:asciiTheme="minorHAnsi" w:eastAsiaTheme="minorEastAsia" w:hAnsiTheme="minorHAnsi" w:cstheme="minorBidi"/>
                <w:bCs w:val="0"/>
                <w:caps w:val="0"/>
                <w:sz w:val="22"/>
                <w:szCs w:val="22"/>
              </w:rPr>
              <w:tab/>
            </w:r>
            <w:r w:rsidR="007541F2" w:rsidRPr="00D27B65">
              <w:rPr>
                <w:rStyle w:val="Hyperlink"/>
                <w:b/>
              </w:rPr>
              <w:t>CUSTOMERS</w:t>
            </w:r>
            <w:r w:rsidR="007541F2">
              <w:rPr>
                <w:webHidden/>
              </w:rPr>
              <w:tab/>
            </w:r>
            <w:r w:rsidR="007541F2">
              <w:rPr>
                <w:webHidden/>
              </w:rPr>
              <w:fldChar w:fldCharType="begin"/>
            </w:r>
            <w:r w:rsidR="007541F2">
              <w:rPr>
                <w:webHidden/>
              </w:rPr>
              <w:instrText xml:space="preserve"> PAGEREF _Toc535495622 \h </w:instrText>
            </w:r>
            <w:r w:rsidR="007541F2">
              <w:rPr>
                <w:webHidden/>
              </w:rPr>
            </w:r>
            <w:r w:rsidR="007541F2">
              <w:rPr>
                <w:webHidden/>
              </w:rPr>
              <w:fldChar w:fldCharType="separate"/>
            </w:r>
            <w:r w:rsidR="007541F2">
              <w:rPr>
                <w:webHidden/>
              </w:rPr>
              <w:t>17</w:t>
            </w:r>
            <w:r w:rsidR="007541F2">
              <w:rPr>
                <w:webHidden/>
              </w:rPr>
              <w:fldChar w:fldCharType="end"/>
            </w:r>
          </w:hyperlink>
        </w:p>
        <w:p w14:paraId="12FC3AB9" w14:textId="589CD10C" w:rsidR="007541F2" w:rsidRDefault="00017DFD">
          <w:pPr>
            <w:pStyle w:val="TOC1"/>
            <w:rPr>
              <w:rFonts w:asciiTheme="minorHAnsi" w:eastAsiaTheme="minorEastAsia" w:hAnsiTheme="minorHAnsi" w:cstheme="minorBidi"/>
              <w:bCs w:val="0"/>
              <w:caps w:val="0"/>
              <w:sz w:val="22"/>
              <w:szCs w:val="22"/>
            </w:rPr>
          </w:pPr>
          <w:hyperlink w:anchor="_Toc535495623" w:history="1">
            <w:r w:rsidR="007541F2" w:rsidRPr="00D27B65">
              <w:rPr>
                <w:rStyle w:val="Hyperlink"/>
                <w:b/>
              </w:rPr>
              <w:t>3.0</w:t>
            </w:r>
            <w:r w:rsidR="007541F2">
              <w:rPr>
                <w:rFonts w:asciiTheme="minorHAnsi" w:eastAsiaTheme="minorEastAsia" w:hAnsiTheme="minorHAnsi" w:cstheme="minorBidi"/>
                <w:bCs w:val="0"/>
                <w:caps w:val="0"/>
                <w:sz w:val="22"/>
                <w:szCs w:val="22"/>
              </w:rPr>
              <w:tab/>
            </w:r>
            <w:r w:rsidR="007541F2" w:rsidRPr="00D27B65">
              <w:rPr>
                <w:rStyle w:val="Hyperlink"/>
                <w:b/>
              </w:rPr>
              <w:t>GENERAL FORECASTING OVERVIEW</w:t>
            </w:r>
            <w:r w:rsidR="007541F2">
              <w:rPr>
                <w:webHidden/>
              </w:rPr>
              <w:tab/>
            </w:r>
            <w:r w:rsidR="007541F2">
              <w:rPr>
                <w:webHidden/>
              </w:rPr>
              <w:fldChar w:fldCharType="begin"/>
            </w:r>
            <w:r w:rsidR="007541F2">
              <w:rPr>
                <w:webHidden/>
              </w:rPr>
              <w:instrText xml:space="preserve"> PAGEREF _Toc535495623 \h </w:instrText>
            </w:r>
            <w:r w:rsidR="007541F2">
              <w:rPr>
                <w:webHidden/>
              </w:rPr>
            </w:r>
            <w:r w:rsidR="007541F2">
              <w:rPr>
                <w:webHidden/>
              </w:rPr>
              <w:fldChar w:fldCharType="separate"/>
            </w:r>
            <w:r w:rsidR="007541F2">
              <w:rPr>
                <w:webHidden/>
              </w:rPr>
              <w:t>18</w:t>
            </w:r>
            <w:r w:rsidR="007541F2">
              <w:rPr>
                <w:webHidden/>
              </w:rPr>
              <w:fldChar w:fldCharType="end"/>
            </w:r>
          </w:hyperlink>
        </w:p>
        <w:p w14:paraId="716594B6" w14:textId="52EE2FE6" w:rsidR="007541F2" w:rsidRDefault="00017DFD">
          <w:pPr>
            <w:pStyle w:val="TOC1"/>
            <w:rPr>
              <w:rFonts w:asciiTheme="minorHAnsi" w:eastAsiaTheme="minorEastAsia" w:hAnsiTheme="minorHAnsi" w:cstheme="minorBidi"/>
              <w:bCs w:val="0"/>
              <w:caps w:val="0"/>
              <w:sz w:val="22"/>
              <w:szCs w:val="22"/>
            </w:rPr>
          </w:pPr>
          <w:hyperlink w:anchor="_Toc535495624" w:history="1">
            <w:r w:rsidR="007541F2" w:rsidRPr="00D27B65">
              <w:rPr>
                <w:rStyle w:val="Hyperlink"/>
                <w:b/>
              </w:rPr>
              <w:t>3.1</w:t>
            </w:r>
            <w:r w:rsidR="007541F2">
              <w:rPr>
                <w:rFonts w:asciiTheme="minorHAnsi" w:eastAsiaTheme="minorEastAsia" w:hAnsiTheme="minorHAnsi" w:cstheme="minorBidi"/>
                <w:bCs w:val="0"/>
                <w:caps w:val="0"/>
                <w:sz w:val="22"/>
                <w:szCs w:val="22"/>
              </w:rPr>
              <w:tab/>
            </w:r>
            <w:r w:rsidR="007541F2" w:rsidRPr="00D27B65">
              <w:rPr>
                <w:rStyle w:val="Hyperlink"/>
                <w:b/>
              </w:rPr>
              <w:t>ECONOMETRIC REGRESSION</w:t>
            </w:r>
            <w:r w:rsidR="007541F2">
              <w:rPr>
                <w:webHidden/>
              </w:rPr>
              <w:tab/>
            </w:r>
            <w:r w:rsidR="007541F2">
              <w:rPr>
                <w:webHidden/>
              </w:rPr>
              <w:fldChar w:fldCharType="begin"/>
            </w:r>
            <w:r w:rsidR="007541F2">
              <w:rPr>
                <w:webHidden/>
              </w:rPr>
              <w:instrText xml:space="preserve"> PAGEREF _Toc535495624 \h </w:instrText>
            </w:r>
            <w:r w:rsidR="007541F2">
              <w:rPr>
                <w:webHidden/>
              </w:rPr>
            </w:r>
            <w:r w:rsidR="007541F2">
              <w:rPr>
                <w:webHidden/>
              </w:rPr>
              <w:fldChar w:fldCharType="separate"/>
            </w:r>
            <w:r w:rsidR="007541F2">
              <w:rPr>
                <w:webHidden/>
              </w:rPr>
              <w:t>18</w:t>
            </w:r>
            <w:r w:rsidR="007541F2">
              <w:rPr>
                <w:webHidden/>
              </w:rPr>
              <w:fldChar w:fldCharType="end"/>
            </w:r>
          </w:hyperlink>
        </w:p>
        <w:p w14:paraId="6106EB39" w14:textId="47DB97A2" w:rsidR="007541F2" w:rsidRDefault="00017DFD">
          <w:pPr>
            <w:pStyle w:val="TOC1"/>
            <w:rPr>
              <w:rFonts w:asciiTheme="minorHAnsi" w:eastAsiaTheme="minorEastAsia" w:hAnsiTheme="minorHAnsi" w:cstheme="minorBidi"/>
              <w:bCs w:val="0"/>
              <w:caps w:val="0"/>
              <w:sz w:val="22"/>
              <w:szCs w:val="22"/>
            </w:rPr>
          </w:pPr>
          <w:hyperlink w:anchor="_Toc535495625" w:history="1">
            <w:r w:rsidR="007541F2" w:rsidRPr="00D27B65">
              <w:rPr>
                <w:rStyle w:val="Hyperlink"/>
                <w:b/>
              </w:rPr>
              <w:t>3.2</w:t>
            </w:r>
            <w:r w:rsidR="007541F2">
              <w:rPr>
                <w:rFonts w:asciiTheme="minorHAnsi" w:eastAsiaTheme="minorEastAsia" w:hAnsiTheme="minorHAnsi" w:cstheme="minorBidi"/>
                <w:bCs w:val="0"/>
                <w:caps w:val="0"/>
                <w:sz w:val="22"/>
                <w:szCs w:val="22"/>
              </w:rPr>
              <w:tab/>
            </w:r>
            <w:r w:rsidR="007541F2" w:rsidRPr="00D27B65">
              <w:rPr>
                <w:rStyle w:val="Hyperlink"/>
                <w:b/>
              </w:rPr>
              <w:t>END-USE MODELS</w:t>
            </w:r>
            <w:r w:rsidR="007541F2">
              <w:rPr>
                <w:webHidden/>
              </w:rPr>
              <w:tab/>
            </w:r>
            <w:r w:rsidR="007541F2">
              <w:rPr>
                <w:webHidden/>
              </w:rPr>
              <w:fldChar w:fldCharType="begin"/>
            </w:r>
            <w:r w:rsidR="007541F2">
              <w:rPr>
                <w:webHidden/>
              </w:rPr>
              <w:instrText xml:space="preserve"> PAGEREF _Toc535495625 \h </w:instrText>
            </w:r>
            <w:r w:rsidR="007541F2">
              <w:rPr>
                <w:webHidden/>
              </w:rPr>
            </w:r>
            <w:r w:rsidR="007541F2">
              <w:rPr>
                <w:webHidden/>
              </w:rPr>
              <w:fldChar w:fldCharType="separate"/>
            </w:r>
            <w:r w:rsidR="007541F2">
              <w:rPr>
                <w:webHidden/>
              </w:rPr>
              <w:t>18</w:t>
            </w:r>
            <w:r w:rsidR="007541F2">
              <w:rPr>
                <w:webHidden/>
              </w:rPr>
              <w:fldChar w:fldCharType="end"/>
            </w:r>
          </w:hyperlink>
        </w:p>
        <w:p w14:paraId="617AD321" w14:textId="57EFE0CB" w:rsidR="007541F2" w:rsidRDefault="00017DFD">
          <w:pPr>
            <w:pStyle w:val="TOC1"/>
            <w:rPr>
              <w:rFonts w:asciiTheme="minorHAnsi" w:eastAsiaTheme="minorEastAsia" w:hAnsiTheme="minorHAnsi" w:cstheme="minorBidi"/>
              <w:bCs w:val="0"/>
              <w:caps w:val="0"/>
              <w:sz w:val="22"/>
              <w:szCs w:val="22"/>
            </w:rPr>
          </w:pPr>
          <w:hyperlink w:anchor="_Toc535495626" w:history="1">
            <w:r w:rsidR="007541F2" w:rsidRPr="00D27B65">
              <w:rPr>
                <w:rStyle w:val="Hyperlink"/>
                <w:b/>
              </w:rPr>
              <w:t>3.3</w:t>
            </w:r>
            <w:r w:rsidR="007541F2">
              <w:rPr>
                <w:rFonts w:asciiTheme="minorHAnsi" w:eastAsiaTheme="minorEastAsia" w:hAnsiTheme="minorHAnsi" w:cstheme="minorBidi"/>
                <w:bCs w:val="0"/>
                <w:caps w:val="0"/>
                <w:sz w:val="22"/>
                <w:szCs w:val="22"/>
              </w:rPr>
              <w:tab/>
            </w:r>
            <w:r w:rsidR="007541F2" w:rsidRPr="00D27B65">
              <w:rPr>
                <w:rStyle w:val="Hyperlink"/>
                <w:b/>
              </w:rPr>
              <w:t>JUDGMENT</w:t>
            </w:r>
            <w:r w:rsidR="007541F2">
              <w:rPr>
                <w:webHidden/>
              </w:rPr>
              <w:tab/>
            </w:r>
            <w:r w:rsidR="007541F2">
              <w:rPr>
                <w:webHidden/>
              </w:rPr>
              <w:fldChar w:fldCharType="begin"/>
            </w:r>
            <w:r w:rsidR="007541F2">
              <w:rPr>
                <w:webHidden/>
              </w:rPr>
              <w:instrText xml:space="preserve"> PAGEREF _Toc535495626 \h </w:instrText>
            </w:r>
            <w:r w:rsidR="007541F2">
              <w:rPr>
                <w:webHidden/>
              </w:rPr>
            </w:r>
            <w:r w:rsidR="007541F2">
              <w:rPr>
                <w:webHidden/>
              </w:rPr>
              <w:fldChar w:fldCharType="separate"/>
            </w:r>
            <w:r w:rsidR="007541F2">
              <w:rPr>
                <w:webHidden/>
              </w:rPr>
              <w:t>19</w:t>
            </w:r>
            <w:r w:rsidR="007541F2">
              <w:rPr>
                <w:webHidden/>
              </w:rPr>
              <w:fldChar w:fldCharType="end"/>
            </w:r>
          </w:hyperlink>
        </w:p>
        <w:p w14:paraId="400288A2" w14:textId="05BC1677" w:rsidR="007541F2" w:rsidRDefault="00017DFD">
          <w:pPr>
            <w:pStyle w:val="TOC1"/>
            <w:rPr>
              <w:rFonts w:asciiTheme="minorHAnsi" w:eastAsiaTheme="minorEastAsia" w:hAnsiTheme="minorHAnsi" w:cstheme="minorBidi"/>
              <w:bCs w:val="0"/>
              <w:caps w:val="0"/>
              <w:sz w:val="22"/>
              <w:szCs w:val="22"/>
            </w:rPr>
          </w:pPr>
          <w:hyperlink w:anchor="_Toc535495627" w:history="1">
            <w:r w:rsidR="007541F2" w:rsidRPr="00D27B65">
              <w:rPr>
                <w:rStyle w:val="Hyperlink"/>
                <w:b/>
              </w:rPr>
              <w:t>3.4</w:t>
            </w:r>
            <w:r w:rsidR="007541F2">
              <w:rPr>
                <w:rFonts w:asciiTheme="minorHAnsi" w:eastAsiaTheme="minorEastAsia" w:hAnsiTheme="minorHAnsi" w:cstheme="minorBidi"/>
                <w:bCs w:val="0"/>
                <w:caps w:val="0"/>
                <w:sz w:val="22"/>
                <w:szCs w:val="22"/>
              </w:rPr>
              <w:tab/>
            </w:r>
            <w:r w:rsidR="007541F2" w:rsidRPr="00D27B65">
              <w:rPr>
                <w:rStyle w:val="Hyperlink"/>
                <w:b/>
              </w:rPr>
              <w:t>TOOLS</w:t>
            </w:r>
            <w:r w:rsidR="007541F2">
              <w:rPr>
                <w:webHidden/>
              </w:rPr>
              <w:tab/>
            </w:r>
            <w:r w:rsidR="007541F2">
              <w:rPr>
                <w:webHidden/>
              </w:rPr>
              <w:fldChar w:fldCharType="begin"/>
            </w:r>
            <w:r w:rsidR="007541F2">
              <w:rPr>
                <w:webHidden/>
              </w:rPr>
              <w:instrText xml:space="preserve"> PAGEREF _Toc535495627 \h </w:instrText>
            </w:r>
            <w:r w:rsidR="007541F2">
              <w:rPr>
                <w:webHidden/>
              </w:rPr>
            </w:r>
            <w:r w:rsidR="007541F2">
              <w:rPr>
                <w:webHidden/>
              </w:rPr>
              <w:fldChar w:fldCharType="separate"/>
            </w:r>
            <w:r w:rsidR="007541F2">
              <w:rPr>
                <w:webHidden/>
              </w:rPr>
              <w:t>19</w:t>
            </w:r>
            <w:r w:rsidR="007541F2">
              <w:rPr>
                <w:webHidden/>
              </w:rPr>
              <w:fldChar w:fldCharType="end"/>
            </w:r>
          </w:hyperlink>
        </w:p>
        <w:p w14:paraId="3C407B0E" w14:textId="4DBBCEEF" w:rsidR="007541F2" w:rsidRDefault="00017DFD">
          <w:pPr>
            <w:pStyle w:val="TOC1"/>
            <w:rPr>
              <w:rFonts w:asciiTheme="minorHAnsi" w:eastAsiaTheme="minorEastAsia" w:hAnsiTheme="minorHAnsi" w:cstheme="minorBidi"/>
              <w:bCs w:val="0"/>
              <w:caps w:val="0"/>
              <w:sz w:val="22"/>
              <w:szCs w:val="22"/>
            </w:rPr>
          </w:pPr>
          <w:hyperlink w:anchor="_Toc535495628" w:history="1">
            <w:r w:rsidR="007541F2" w:rsidRPr="00D27B65">
              <w:rPr>
                <w:rStyle w:val="Hyperlink"/>
                <w:b/>
              </w:rPr>
              <w:t>4.0</w:t>
            </w:r>
            <w:r w:rsidR="007541F2">
              <w:rPr>
                <w:rFonts w:asciiTheme="minorHAnsi" w:eastAsiaTheme="minorEastAsia" w:hAnsiTheme="minorHAnsi" w:cstheme="minorBidi"/>
                <w:bCs w:val="0"/>
                <w:caps w:val="0"/>
                <w:sz w:val="22"/>
                <w:szCs w:val="22"/>
              </w:rPr>
              <w:tab/>
            </w:r>
            <w:r w:rsidR="007541F2" w:rsidRPr="00D27B65">
              <w:rPr>
                <w:rStyle w:val="Hyperlink"/>
                <w:b/>
              </w:rPr>
              <w:t>SHORT-TERM MODEL DESIGN OVERVIEW</w:t>
            </w:r>
            <w:r w:rsidR="007541F2">
              <w:rPr>
                <w:webHidden/>
              </w:rPr>
              <w:tab/>
            </w:r>
            <w:r w:rsidR="007541F2">
              <w:rPr>
                <w:webHidden/>
              </w:rPr>
              <w:fldChar w:fldCharType="begin"/>
            </w:r>
            <w:r w:rsidR="007541F2">
              <w:rPr>
                <w:webHidden/>
              </w:rPr>
              <w:instrText xml:space="preserve"> PAGEREF _Toc535495628 \h </w:instrText>
            </w:r>
            <w:r w:rsidR="007541F2">
              <w:rPr>
                <w:webHidden/>
              </w:rPr>
            </w:r>
            <w:r w:rsidR="007541F2">
              <w:rPr>
                <w:webHidden/>
              </w:rPr>
              <w:fldChar w:fldCharType="separate"/>
            </w:r>
            <w:r w:rsidR="007541F2">
              <w:rPr>
                <w:webHidden/>
              </w:rPr>
              <w:t>20</w:t>
            </w:r>
            <w:r w:rsidR="007541F2">
              <w:rPr>
                <w:webHidden/>
              </w:rPr>
              <w:fldChar w:fldCharType="end"/>
            </w:r>
          </w:hyperlink>
        </w:p>
        <w:p w14:paraId="10BD9783" w14:textId="4C6DF4D3" w:rsidR="007541F2" w:rsidRDefault="00017DFD">
          <w:pPr>
            <w:pStyle w:val="TOC1"/>
            <w:rPr>
              <w:rFonts w:asciiTheme="minorHAnsi" w:eastAsiaTheme="minorEastAsia" w:hAnsiTheme="minorHAnsi" w:cstheme="minorBidi"/>
              <w:bCs w:val="0"/>
              <w:caps w:val="0"/>
              <w:sz w:val="22"/>
              <w:szCs w:val="22"/>
            </w:rPr>
          </w:pPr>
          <w:hyperlink w:anchor="_Toc535495629" w:history="1">
            <w:r w:rsidR="007541F2" w:rsidRPr="00D27B65">
              <w:rPr>
                <w:rStyle w:val="Hyperlink"/>
                <w:b/>
              </w:rPr>
              <w:t>4.1</w:t>
            </w:r>
            <w:r w:rsidR="007541F2">
              <w:rPr>
                <w:rFonts w:asciiTheme="minorHAnsi" w:eastAsiaTheme="minorEastAsia" w:hAnsiTheme="minorHAnsi" w:cstheme="minorBidi"/>
                <w:bCs w:val="0"/>
                <w:caps w:val="0"/>
                <w:sz w:val="22"/>
                <w:szCs w:val="22"/>
              </w:rPr>
              <w:tab/>
            </w:r>
            <w:r w:rsidR="007541F2" w:rsidRPr="00D27B65">
              <w:rPr>
                <w:rStyle w:val="Hyperlink"/>
                <w:b/>
              </w:rPr>
              <w:t>RETAIL SALES SECTORS</w:t>
            </w:r>
            <w:r w:rsidR="007541F2">
              <w:rPr>
                <w:webHidden/>
              </w:rPr>
              <w:tab/>
            </w:r>
            <w:r w:rsidR="007541F2">
              <w:rPr>
                <w:webHidden/>
              </w:rPr>
              <w:fldChar w:fldCharType="begin"/>
            </w:r>
            <w:r w:rsidR="007541F2">
              <w:rPr>
                <w:webHidden/>
              </w:rPr>
              <w:instrText xml:space="preserve"> PAGEREF _Toc535495629 \h </w:instrText>
            </w:r>
            <w:r w:rsidR="007541F2">
              <w:rPr>
                <w:webHidden/>
              </w:rPr>
            </w:r>
            <w:r w:rsidR="007541F2">
              <w:rPr>
                <w:webHidden/>
              </w:rPr>
              <w:fldChar w:fldCharType="separate"/>
            </w:r>
            <w:r w:rsidR="007541F2">
              <w:rPr>
                <w:webHidden/>
              </w:rPr>
              <w:t>20</w:t>
            </w:r>
            <w:r w:rsidR="007541F2">
              <w:rPr>
                <w:webHidden/>
              </w:rPr>
              <w:fldChar w:fldCharType="end"/>
            </w:r>
          </w:hyperlink>
        </w:p>
        <w:p w14:paraId="546A44BF" w14:textId="665168B3"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30" w:history="1">
            <w:r w:rsidR="007541F2" w:rsidRPr="00D27B65">
              <w:rPr>
                <w:rStyle w:val="Hyperlink"/>
                <w:noProof/>
              </w:rPr>
              <w:t>4.1.1</w:t>
            </w:r>
            <w:r w:rsidR="007541F2">
              <w:rPr>
                <w:rFonts w:asciiTheme="minorHAnsi" w:eastAsiaTheme="minorEastAsia" w:hAnsiTheme="minorHAnsi" w:cstheme="minorBidi"/>
                <w:b w:val="0"/>
                <w:noProof/>
                <w:sz w:val="22"/>
                <w:szCs w:val="22"/>
              </w:rPr>
              <w:tab/>
            </w:r>
            <w:r w:rsidR="007541F2" w:rsidRPr="00D27B65">
              <w:rPr>
                <w:rStyle w:val="Hyperlink"/>
                <w:noProof/>
              </w:rPr>
              <w:t>Residential Sales</w:t>
            </w:r>
            <w:r w:rsidR="007541F2">
              <w:rPr>
                <w:noProof/>
                <w:webHidden/>
              </w:rPr>
              <w:tab/>
            </w:r>
            <w:r w:rsidR="007541F2">
              <w:rPr>
                <w:noProof/>
                <w:webHidden/>
              </w:rPr>
              <w:fldChar w:fldCharType="begin"/>
            </w:r>
            <w:r w:rsidR="007541F2">
              <w:rPr>
                <w:noProof/>
                <w:webHidden/>
              </w:rPr>
              <w:instrText xml:space="preserve"> PAGEREF _Toc535495630 \h </w:instrText>
            </w:r>
            <w:r w:rsidR="007541F2">
              <w:rPr>
                <w:noProof/>
                <w:webHidden/>
              </w:rPr>
            </w:r>
            <w:r w:rsidR="007541F2">
              <w:rPr>
                <w:noProof/>
                <w:webHidden/>
              </w:rPr>
              <w:fldChar w:fldCharType="separate"/>
            </w:r>
            <w:r w:rsidR="007541F2">
              <w:rPr>
                <w:noProof/>
                <w:webHidden/>
              </w:rPr>
              <w:t>20</w:t>
            </w:r>
            <w:r w:rsidR="007541F2">
              <w:rPr>
                <w:noProof/>
                <w:webHidden/>
              </w:rPr>
              <w:fldChar w:fldCharType="end"/>
            </w:r>
          </w:hyperlink>
        </w:p>
        <w:p w14:paraId="0BDC2A28" w14:textId="37A212A9"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31" w:history="1">
            <w:r w:rsidR="007541F2" w:rsidRPr="00D27B65">
              <w:rPr>
                <w:rStyle w:val="Hyperlink"/>
                <w:noProof/>
              </w:rPr>
              <w:t>4.1.2</w:t>
            </w:r>
            <w:r w:rsidR="007541F2">
              <w:rPr>
                <w:rFonts w:asciiTheme="minorHAnsi" w:eastAsiaTheme="minorEastAsia" w:hAnsiTheme="minorHAnsi" w:cstheme="minorBidi"/>
                <w:b w:val="0"/>
                <w:noProof/>
                <w:sz w:val="22"/>
                <w:szCs w:val="22"/>
              </w:rPr>
              <w:tab/>
            </w:r>
            <w:r w:rsidR="007541F2" w:rsidRPr="00D27B65">
              <w:rPr>
                <w:rStyle w:val="Hyperlink"/>
                <w:noProof/>
              </w:rPr>
              <w:t>Commercial Sales</w:t>
            </w:r>
            <w:r w:rsidR="007541F2">
              <w:rPr>
                <w:noProof/>
                <w:webHidden/>
              </w:rPr>
              <w:tab/>
            </w:r>
            <w:r w:rsidR="007541F2">
              <w:rPr>
                <w:noProof/>
                <w:webHidden/>
              </w:rPr>
              <w:fldChar w:fldCharType="begin"/>
            </w:r>
            <w:r w:rsidR="007541F2">
              <w:rPr>
                <w:noProof/>
                <w:webHidden/>
              </w:rPr>
              <w:instrText xml:space="preserve"> PAGEREF _Toc535495631 \h </w:instrText>
            </w:r>
            <w:r w:rsidR="007541F2">
              <w:rPr>
                <w:noProof/>
                <w:webHidden/>
              </w:rPr>
            </w:r>
            <w:r w:rsidR="007541F2">
              <w:rPr>
                <w:noProof/>
                <w:webHidden/>
              </w:rPr>
              <w:fldChar w:fldCharType="separate"/>
            </w:r>
            <w:r w:rsidR="007541F2">
              <w:rPr>
                <w:noProof/>
                <w:webHidden/>
              </w:rPr>
              <w:t>23</w:t>
            </w:r>
            <w:r w:rsidR="007541F2">
              <w:rPr>
                <w:noProof/>
                <w:webHidden/>
              </w:rPr>
              <w:fldChar w:fldCharType="end"/>
            </w:r>
          </w:hyperlink>
        </w:p>
        <w:p w14:paraId="184A010C" w14:textId="322E7F9A"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32" w:history="1">
            <w:r w:rsidR="007541F2" w:rsidRPr="00D27B65">
              <w:rPr>
                <w:rStyle w:val="Hyperlink"/>
                <w:noProof/>
              </w:rPr>
              <w:t>4.1.3</w:t>
            </w:r>
            <w:r w:rsidR="007541F2">
              <w:rPr>
                <w:rFonts w:asciiTheme="minorHAnsi" w:eastAsiaTheme="minorEastAsia" w:hAnsiTheme="minorHAnsi" w:cstheme="minorBidi"/>
                <w:b w:val="0"/>
                <w:noProof/>
                <w:sz w:val="22"/>
                <w:szCs w:val="22"/>
              </w:rPr>
              <w:tab/>
            </w:r>
            <w:r w:rsidR="007541F2" w:rsidRPr="00D27B65">
              <w:rPr>
                <w:rStyle w:val="Hyperlink"/>
                <w:noProof/>
              </w:rPr>
              <w:t>Industrial Sales</w:t>
            </w:r>
            <w:r w:rsidR="007541F2">
              <w:rPr>
                <w:noProof/>
                <w:webHidden/>
              </w:rPr>
              <w:tab/>
            </w:r>
            <w:r w:rsidR="007541F2">
              <w:rPr>
                <w:noProof/>
                <w:webHidden/>
              </w:rPr>
              <w:fldChar w:fldCharType="begin"/>
            </w:r>
            <w:r w:rsidR="007541F2">
              <w:rPr>
                <w:noProof/>
                <w:webHidden/>
              </w:rPr>
              <w:instrText xml:space="preserve"> PAGEREF _Toc535495632 \h </w:instrText>
            </w:r>
            <w:r w:rsidR="007541F2">
              <w:rPr>
                <w:noProof/>
                <w:webHidden/>
              </w:rPr>
            </w:r>
            <w:r w:rsidR="007541F2">
              <w:rPr>
                <w:noProof/>
                <w:webHidden/>
              </w:rPr>
              <w:fldChar w:fldCharType="separate"/>
            </w:r>
            <w:r w:rsidR="007541F2">
              <w:rPr>
                <w:noProof/>
                <w:webHidden/>
              </w:rPr>
              <w:t>26</w:t>
            </w:r>
            <w:r w:rsidR="007541F2">
              <w:rPr>
                <w:noProof/>
                <w:webHidden/>
              </w:rPr>
              <w:fldChar w:fldCharType="end"/>
            </w:r>
          </w:hyperlink>
        </w:p>
        <w:p w14:paraId="6A16EBE5" w14:textId="1F20ECC7"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33" w:history="1">
            <w:r w:rsidR="007541F2" w:rsidRPr="00D27B65">
              <w:rPr>
                <w:rStyle w:val="Hyperlink"/>
                <w:noProof/>
              </w:rPr>
              <w:t>4.1.4</w:t>
            </w:r>
            <w:r w:rsidR="007541F2">
              <w:rPr>
                <w:rFonts w:asciiTheme="minorHAnsi" w:eastAsiaTheme="minorEastAsia" w:hAnsiTheme="minorHAnsi" w:cstheme="minorBidi"/>
                <w:b w:val="0"/>
                <w:noProof/>
                <w:sz w:val="22"/>
                <w:szCs w:val="22"/>
              </w:rPr>
              <w:tab/>
            </w:r>
            <w:r w:rsidR="007541F2" w:rsidRPr="00D27B65">
              <w:rPr>
                <w:rStyle w:val="Hyperlink"/>
                <w:noProof/>
              </w:rPr>
              <w:t>MARTA Sales</w:t>
            </w:r>
            <w:r w:rsidR="007541F2">
              <w:rPr>
                <w:noProof/>
                <w:webHidden/>
              </w:rPr>
              <w:tab/>
            </w:r>
            <w:r w:rsidR="007541F2">
              <w:rPr>
                <w:noProof/>
                <w:webHidden/>
              </w:rPr>
              <w:fldChar w:fldCharType="begin"/>
            </w:r>
            <w:r w:rsidR="007541F2">
              <w:rPr>
                <w:noProof/>
                <w:webHidden/>
              </w:rPr>
              <w:instrText xml:space="preserve"> PAGEREF _Toc535495633 \h </w:instrText>
            </w:r>
            <w:r w:rsidR="007541F2">
              <w:rPr>
                <w:noProof/>
                <w:webHidden/>
              </w:rPr>
            </w:r>
            <w:r w:rsidR="007541F2">
              <w:rPr>
                <w:noProof/>
                <w:webHidden/>
              </w:rPr>
              <w:fldChar w:fldCharType="separate"/>
            </w:r>
            <w:r w:rsidR="007541F2">
              <w:rPr>
                <w:noProof/>
                <w:webHidden/>
              </w:rPr>
              <w:t>28</w:t>
            </w:r>
            <w:r w:rsidR="007541F2">
              <w:rPr>
                <w:noProof/>
                <w:webHidden/>
              </w:rPr>
              <w:fldChar w:fldCharType="end"/>
            </w:r>
          </w:hyperlink>
        </w:p>
        <w:p w14:paraId="0C64956C" w14:textId="6A8D0FEB"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34" w:history="1">
            <w:r w:rsidR="007541F2" w:rsidRPr="00D27B65">
              <w:rPr>
                <w:rStyle w:val="Hyperlink"/>
                <w:noProof/>
              </w:rPr>
              <w:t>4.1.5</w:t>
            </w:r>
            <w:r w:rsidR="007541F2">
              <w:rPr>
                <w:rFonts w:asciiTheme="minorHAnsi" w:eastAsiaTheme="minorEastAsia" w:hAnsiTheme="minorHAnsi" w:cstheme="minorBidi"/>
                <w:b w:val="0"/>
                <w:noProof/>
                <w:sz w:val="22"/>
                <w:szCs w:val="22"/>
              </w:rPr>
              <w:tab/>
            </w:r>
            <w:r w:rsidR="007541F2" w:rsidRPr="00D27B65">
              <w:rPr>
                <w:rStyle w:val="Hyperlink"/>
                <w:noProof/>
              </w:rPr>
              <w:t>Governmental Lighting Sales</w:t>
            </w:r>
            <w:r w:rsidR="007541F2">
              <w:rPr>
                <w:noProof/>
                <w:webHidden/>
              </w:rPr>
              <w:tab/>
            </w:r>
            <w:r w:rsidR="007541F2">
              <w:rPr>
                <w:noProof/>
                <w:webHidden/>
              </w:rPr>
              <w:fldChar w:fldCharType="begin"/>
            </w:r>
            <w:r w:rsidR="007541F2">
              <w:rPr>
                <w:noProof/>
                <w:webHidden/>
              </w:rPr>
              <w:instrText xml:space="preserve"> PAGEREF _Toc535495634 \h </w:instrText>
            </w:r>
            <w:r w:rsidR="007541F2">
              <w:rPr>
                <w:noProof/>
                <w:webHidden/>
              </w:rPr>
            </w:r>
            <w:r w:rsidR="007541F2">
              <w:rPr>
                <w:noProof/>
                <w:webHidden/>
              </w:rPr>
              <w:fldChar w:fldCharType="separate"/>
            </w:r>
            <w:r w:rsidR="007541F2">
              <w:rPr>
                <w:noProof/>
                <w:webHidden/>
              </w:rPr>
              <w:t>30</w:t>
            </w:r>
            <w:r w:rsidR="007541F2">
              <w:rPr>
                <w:noProof/>
                <w:webHidden/>
              </w:rPr>
              <w:fldChar w:fldCharType="end"/>
            </w:r>
          </w:hyperlink>
        </w:p>
        <w:p w14:paraId="09C512ED" w14:textId="32340552" w:rsidR="007541F2" w:rsidRDefault="00017DFD">
          <w:pPr>
            <w:pStyle w:val="TOC1"/>
            <w:rPr>
              <w:rFonts w:asciiTheme="minorHAnsi" w:eastAsiaTheme="minorEastAsia" w:hAnsiTheme="minorHAnsi" w:cstheme="minorBidi"/>
              <w:bCs w:val="0"/>
              <w:caps w:val="0"/>
              <w:sz w:val="22"/>
              <w:szCs w:val="22"/>
            </w:rPr>
          </w:pPr>
          <w:hyperlink w:anchor="_Toc535495635" w:history="1">
            <w:r w:rsidR="007541F2" w:rsidRPr="00D27B65">
              <w:rPr>
                <w:rStyle w:val="Hyperlink"/>
                <w:b/>
              </w:rPr>
              <w:t>4.2</w:t>
            </w:r>
            <w:r w:rsidR="007541F2">
              <w:rPr>
                <w:rFonts w:asciiTheme="minorHAnsi" w:eastAsiaTheme="minorEastAsia" w:hAnsiTheme="minorHAnsi" w:cstheme="minorBidi"/>
                <w:bCs w:val="0"/>
                <w:caps w:val="0"/>
                <w:sz w:val="22"/>
                <w:szCs w:val="22"/>
              </w:rPr>
              <w:tab/>
            </w:r>
            <w:r w:rsidR="007541F2" w:rsidRPr="00D27B65">
              <w:rPr>
                <w:rStyle w:val="Hyperlink"/>
                <w:b/>
              </w:rPr>
              <w:t>CUSTOMER FORECASTS</w:t>
            </w:r>
            <w:r w:rsidR="007541F2">
              <w:rPr>
                <w:webHidden/>
              </w:rPr>
              <w:tab/>
            </w:r>
            <w:r w:rsidR="007541F2">
              <w:rPr>
                <w:webHidden/>
              </w:rPr>
              <w:fldChar w:fldCharType="begin"/>
            </w:r>
            <w:r w:rsidR="007541F2">
              <w:rPr>
                <w:webHidden/>
              </w:rPr>
              <w:instrText xml:space="preserve"> PAGEREF _Toc535495635 \h </w:instrText>
            </w:r>
            <w:r w:rsidR="007541F2">
              <w:rPr>
                <w:webHidden/>
              </w:rPr>
            </w:r>
            <w:r w:rsidR="007541F2">
              <w:rPr>
                <w:webHidden/>
              </w:rPr>
              <w:fldChar w:fldCharType="separate"/>
            </w:r>
            <w:r w:rsidR="007541F2">
              <w:rPr>
                <w:webHidden/>
              </w:rPr>
              <w:t>30</w:t>
            </w:r>
            <w:r w:rsidR="007541F2">
              <w:rPr>
                <w:webHidden/>
              </w:rPr>
              <w:fldChar w:fldCharType="end"/>
            </w:r>
          </w:hyperlink>
        </w:p>
        <w:p w14:paraId="6873B489" w14:textId="1E5D52C1"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36" w:history="1">
            <w:r w:rsidR="007541F2" w:rsidRPr="00D27B65">
              <w:rPr>
                <w:rStyle w:val="Hyperlink"/>
                <w:noProof/>
              </w:rPr>
              <w:t>4.2.1</w:t>
            </w:r>
            <w:r w:rsidR="007541F2">
              <w:rPr>
                <w:rFonts w:asciiTheme="minorHAnsi" w:eastAsiaTheme="minorEastAsia" w:hAnsiTheme="minorHAnsi" w:cstheme="minorBidi"/>
                <w:b w:val="0"/>
                <w:noProof/>
                <w:sz w:val="22"/>
                <w:szCs w:val="22"/>
              </w:rPr>
              <w:tab/>
            </w:r>
            <w:r w:rsidR="007541F2" w:rsidRPr="00D27B65">
              <w:rPr>
                <w:rStyle w:val="Hyperlink"/>
                <w:noProof/>
              </w:rPr>
              <w:t>Residential Customers</w:t>
            </w:r>
            <w:r w:rsidR="007541F2">
              <w:rPr>
                <w:noProof/>
                <w:webHidden/>
              </w:rPr>
              <w:tab/>
            </w:r>
            <w:r w:rsidR="007541F2">
              <w:rPr>
                <w:noProof/>
                <w:webHidden/>
              </w:rPr>
              <w:fldChar w:fldCharType="begin"/>
            </w:r>
            <w:r w:rsidR="007541F2">
              <w:rPr>
                <w:noProof/>
                <w:webHidden/>
              </w:rPr>
              <w:instrText xml:space="preserve"> PAGEREF _Toc535495636 \h </w:instrText>
            </w:r>
            <w:r w:rsidR="007541F2">
              <w:rPr>
                <w:noProof/>
                <w:webHidden/>
              </w:rPr>
            </w:r>
            <w:r w:rsidR="007541F2">
              <w:rPr>
                <w:noProof/>
                <w:webHidden/>
              </w:rPr>
              <w:fldChar w:fldCharType="separate"/>
            </w:r>
            <w:r w:rsidR="007541F2">
              <w:rPr>
                <w:noProof/>
                <w:webHidden/>
              </w:rPr>
              <w:t>30</w:t>
            </w:r>
            <w:r w:rsidR="007541F2">
              <w:rPr>
                <w:noProof/>
                <w:webHidden/>
              </w:rPr>
              <w:fldChar w:fldCharType="end"/>
            </w:r>
          </w:hyperlink>
        </w:p>
        <w:p w14:paraId="39E1CC94" w14:textId="023DF499"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37" w:history="1">
            <w:r w:rsidR="007541F2" w:rsidRPr="00D27B65">
              <w:rPr>
                <w:rStyle w:val="Hyperlink"/>
                <w:noProof/>
              </w:rPr>
              <w:t>4.2.2</w:t>
            </w:r>
            <w:r w:rsidR="007541F2">
              <w:rPr>
                <w:rFonts w:asciiTheme="minorHAnsi" w:eastAsiaTheme="minorEastAsia" w:hAnsiTheme="minorHAnsi" w:cstheme="minorBidi"/>
                <w:b w:val="0"/>
                <w:noProof/>
                <w:sz w:val="22"/>
                <w:szCs w:val="22"/>
              </w:rPr>
              <w:tab/>
            </w:r>
            <w:r w:rsidR="007541F2" w:rsidRPr="00D27B65">
              <w:rPr>
                <w:rStyle w:val="Hyperlink"/>
                <w:noProof/>
              </w:rPr>
              <w:t>Commercial Customers</w:t>
            </w:r>
            <w:r w:rsidR="007541F2">
              <w:rPr>
                <w:noProof/>
                <w:webHidden/>
              </w:rPr>
              <w:tab/>
            </w:r>
            <w:r w:rsidR="007541F2">
              <w:rPr>
                <w:noProof/>
                <w:webHidden/>
              </w:rPr>
              <w:fldChar w:fldCharType="begin"/>
            </w:r>
            <w:r w:rsidR="007541F2">
              <w:rPr>
                <w:noProof/>
                <w:webHidden/>
              </w:rPr>
              <w:instrText xml:space="preserve"> PAGEREF _Toc535495637 \h </w:instrText>
            </w:r>
            <w:r w:rsidR="007541F2">
              <w:rPr>
                <w:noProof/>
                <w:webHidden/>
              </w:rPr>
            </w:r>
            <w:r w:rsidR="007541F2">
              <w:rPr>
                <w:noProof/>
                <w:webHidden/>
              </w:rPr>
              <w:fldChar w:fldCharType="separate"/>
            </w:r>
            <w:r w:rsidR="007541F2">
              <w:rPr>
                <w:noProof/>
                <w:webHidden/>
              </w:rPr>
              <w:t>31</w:t>
            </w:r>
            <w:r w:rsidR="007541F2">
              <w:rPr>
                <w:noProof/>
                <w:webHidden/>
              </w:rPr>
              <w:fldChar w:fldCharType="end"/>
            </w:r>
          </w:hyperlink>
        </w:p>
        <w:p w14:paraId="26721751" w14:textId="4EB46CD5"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38" w:history="1">
            <w:r w:rsidR="007541F2" w:rsidRPr="00D27B65">
              <w:rPr>
                <w:rStyle w:val="Hyperlink"/>
                <w:noProof/>
              </w:rPr>
              <w:t>4.2.3</w:t>
            </w:r>
            <w:r w:rsidR="007541F2">
              <w:rPr>
                <w:rFonts w:asciiTheme="minorHAnsi" w:eastAsiaTheme="minorEastAsia" w:hAnsiTheme="minorHAnsi" w:cstheme="minorBidi"/>
                <w:b w:val="0"/>
                <w:noProof/>
                <w:sz w:val="22"/>
                <w:szCs w:val="22"/>
              </w:rPr>
              <w:tab/>
            </w:r>
            <w:r w:rsidR="007541F2" w:rsidRPr="00D27B65">
              <w:rPr>
                <w:rStyle w:val="Hyperlink"/>
                <w:noProof/>
              </w:rPr>
              <w:t>Industrial Customers</w:t>
            </w:r>
            <w:r w:rsidR="007541F2">
              <w:rPr>
                <w:noProof/>
                <w:webHidden/>
              </w:rPr>
              <w:tab/>
            </w:r>
            <w:r w:rsidR="007541F2">
              <w:rPr>
                <w:noProof/>
                <w:webHidden/>
              </w:rPr>
              <w:fldChar w:fldCharType="begin"/>
            </w:r>
            <w:r w:rsidR="007541F2">
              <w:rPr>
                <w:noProof/>
                <w:webHidden/>
              </w:rPr>
              <w:instrText xml:space="preserve"> PAGEREF _Toc535495638 \h </w:instrText>
            </w:r>
            <w:r w:rsidR="007541F2">
              <w:rPr>
                <w:noProof/>
                <w:webHidden/>
              </w:rPr>
            </w:r>
            <w:r w:rsidR="007541F2">
              <w:rPr>
                <w:noProof/>
                <w:webHidden/>
              </w:rPr>
              <w:fldChar w:fldCharType="separate"/>
            </w:r>
            <w:r w:rsidR="007541F2">
              <w:rPr>
                <w:noProof/>
                <w:webHidden/>
              </w:rPr>
              <w:t>32</w:t>
            </w:r>
            <w:r w:rsidR="007541F2">
              <w:rPr>
                <w:noProof/>
                <w:webHidden/>
              </w:rPr>
              <w:fldChar w:fldCharType="end"/>
            </w:r>
          </w:hyperlink>
        </w:p>
        <w:p w14:paraId="01F55832" w14:textId="1E7EF306"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39" w:history="1">
            <w:r w:rsidR="007541F2" w:rsidRPr="00D27B65">
              <w:rPr>
                <w:rStyle w:val="Hyperlink"/>
                <w:noProof/>
              </w:rPr>
              <w:t>4.2.4</w:t>
            </w:r>
            <w:r w:rsidR="007541F2">
              <w:rPr>
                <w:rFonts w:asciiTheme="minorHAnsi" w:eastAsiaTheme="minorEastAsia" w:hAnsiTheme="minorHAnsi" w:cstheme="minorBidi"/>
                <w:b w:val="0"/>
                <w:noProof/>
                <w:sz w:val="22"/>
                <w:szCs w:val="22"/>
              </w:rPr>
              <w:tab/>
            </w:r>
            <w:r w:rsidR="007541F2" w:rsidRPr="00D27B65">
              <w:rPr>
                <w:rStyle w:val="Hyperlink"/>
                <w:noProof/>
              </w:rPr>
              <w:t>Governmental Lighting Customers</w:t>
            </w:r>
            <w:r w:rsidR="007541F2">
              <w:rPr>
                <w:noProof/>
                <w:webHidden/>
              </w:rPr>
              <w:tab/>
            </w:r>
            <w:r w:rsidR="007541F2">
              <w:rPr>
                <w:noProof/>
                <w:webHidden/>
              </w:rPr>
              <w:fldChar w:fldCharType="begin"/>
            </w:r>
            <w:r w:rsidR="007541F2">
              <w:rPr>
                <w:noProof/>
                <w:webHidden/>
              </w:rPr>
              <w:instrText xml:space="preserve"> PAGEREF _Toc535495639 \h </w:instrText>
            </w:r>
            <w:r w:rsidR="007541F2">
              <w:rPr>
                <w:noProof/>
                <w:webHidden/>
              </w:rPr>
            </w:r>
            <w:r w:rsidR="007541F2">
              <w:rPr>
                <w:noProof/>
                <w:webHidden/>
              </w:rPr>
              <w:fldChar w:fldCharType="separate"/>
            </w:r>
            <w:r w:rsidR="007541F2">
              <w:rPr>
                <w:noProof/>
                <w:webHidden/>
              </w:rPr>
              <w:t>32</w:t>
            </w:r>
            <w:r w:rsidR="007541F2">
              <w:rPr>
                <w:noProof/>
                <w:webHidden/>
              </w:rPr>
              <w:fldChar w:fldCharType="end"/>
            </w:r>
          </w:hyperlink>
        </w:p>
        <w:p w14:paraId="3C451A81" w14:textId="43D48DBD" w:rsidR="007541F2" w:rsidRDefault="00017DFD">
          <w:pPr>
            <w:pStyle w:val="TOC1"/>
            <w:rPr>
              <w:rFonts w:asciiTheme="minorHAnsi" w:eastAsiaTheme="minorEastAsia" w:hAnsiTheme="minorHAnsi" w:cstheme="minorBidi"/>
              <w:bCs w:val="0"/>
              <w:caps w:val="0"/>
              <w:sz w:val="22"/>
              <w:szCs w:val="22"/>
            </w:rPr>
          </w:pPr>
          <w:hyperlink w:anchor="_Toc535495640" w:history="1">
            <w:r w:rsidR="007541F2" w:rsidRPr="00D27B65">
              <w:rPr>
                <w:rStyle w:val="Hyperlink"/>
                <w:b/>
              </w:rPr>
              <w:t>4.3</w:t>
            </w:r>
            <w:r w:rsidR="007541F2">
              <w:rPr>
                <w:rFonts w:asciiTheme="minorHAnsi" w:eastAsiaTheme="minorEastAsia" w:hAnsiTheme="minorHAnsi" w:cstheme="minorBidi"/>
                <w:bCs w:val="0"/>
                <w:caps w:val="0"/>
                <w:sz w:val="22"/>
                <w:szCs w:val="22"/>
              </w:rPr>
              <w:tab/>
            </w:r>
            <w:r w:rsidR="007541F2" w:rsidRPr="00D27B65">
              <w:rPr>
                <w:rStyle w:val="Hyperlink"/>
                <w:b/>
              </w:rPr>
              <w:t>CALENDAR MONTH FORECAST</w:t>
            </w:r>
            <w:r w:rsidR="007541F2">
              <w:rPr>
                <w:webHidden/>
              </w:rPr>
              <w:tab/>
            </w:r>
            <w:r w:rsidR="007541F2">
              <w:rPr>
                <w:webHidden/>
              </w:rPr>
              <w:fldChar w:fldCharType="begin"/>
            </w:r>
            <w:r w:rsidR="007541F2">
              <w:rPr>
                <w:webHidden/>
              </w:rPr>
              <w:instrText xml:space="preserve"> PAGEREF _Toc535495640 \h </w:instrText>
            </w:r>
            <w:r w:rsidR="007541F2">
              <w:rPr>
                <w:webHidden/>
              </w:rPr>
            </w:r>
            <w:r w:rsidR="007541F2">
              <w:rPr>
                <w:webHidden/>
              </w:rPr>
              <w:fldChar w:fldCharType="separate"/>
            </w:r>
            <w:r w:rsidR="007541F2">
              <w:rPr>
                <w:webHidden/>
              </w:rPr>
              <w:t>33</w:t>
            </w:r>
            <w:r w:rsidR="007541F2">
              <w:rPr>
                <w:webHidden/>
              </w:rPr>
              <w:fldChar w:fldCharType="end"/>
            </w:r>
          </w:hyperlink>
        </w:p>
        <w:p w14:paraId="4216A460" w14:textId="775EF5BA" w:rsidR="007541F2" w:rsidRDefault="00017DFD">
          <w:pPr>
            <w:pStyle w:val="TOC1"/>
            <w:rPr>
              <w:rFonts w:asciiTheme="minorHAnsi" w:eastAsiaTheme="minorEastAsia" w:hAnsiTheme="minorHAnsi" w:cstheme="minorBidi"/>
              <w:bCs w:val="0"/>
              <w:caps w:val="0"/>
              <w:sz w:val="22"/>
              <w:szCs w:val="22"/>
            </w:rPr>
          </w:pPr>
          <w:hyperlink w:anchor="_Toc535495641" w:history="1">
            <w:r w:rsidR="007541F2" w:rsidRPr="00D27B65">
              <w:rPr>
                <w:rStyle w:val="Hyperlink"/>
                <w:b/>
              </w:rPr>
              <w:t>5.0</w:t>
            </w:r>
            <w:r w:rsidR="007541F2">
              <w:rPr>
                <w:rFonts w:asciiTheme="minorHAnsi" w:eastAsiaTheme="minorEastAsia" w:hAnsiTheme="minorHAnsi" w:cstheme="minorBidi"/>
                <w:bCs w:val="0"/>
                <w:caps w:val="0"/>
                <w:sz w:val="22"/>
                <w:szCs w:val="22"/>
              </w:rPr>
              <w:tab/>
            </w:r>
            <w:r w:rsidR="007541F2" w:rsidRPr="00D27B65">
              <w:rPr>
                <w:rStyle w:val="Hyperlink"/>
                <w:b/>
              </w:rPr>
              <w:t>LONG-TERM MODEL DESIGN</w:t>
            </w:r>
            <w:r w:rsidR="007541F2">
              <w:rPr>
                <w:webHidden/>
              </w:rPr>
              <w:tab/>
            </w:r>
            <w:r w:rsidR="007541F2">
              <w:rPr>
                <w:webHidden/>
              </w:rPr>
              <w:fldChar w:fldCharType="begin"/>
            </w:r>
            <w:r w:rsidR="007541F2">
              <w:rPr>
                <w:webHidden/>
              </w:rPr>
              <w:instrText xml:space="preserve"> PAGEREF _Toc535495641 \h </w:instrText>
            </w:r>
            <w:r w:rsidR="007541F2">
              <w:rPr>
                <w:webHidden/>
              </w:rPr>
            </w:r>
            <w:r w:rsidR="007541F2">
              <w:rPr>
                <w:webHidden/>
              </w:rPr>
              <w:fldChar w:fldCharType="separate"/>
            </w:r>
            <w:r w:rsidR="007541F2">
              <w:rPr>
                <w:webHidden/>
              </w:rPr>
              <w:t>35</w:t>
            </w:r>
            <w:r w:rsidR="007541F2">
              <w:rPr>
                <w:webHidden/>
              </w:rPr>
              <w:fldChar w:fldCharType="end"/>
            </w:r>
          </w:hyperlink>
        </w:p>
        <w:p w14:paraId="79ACDBBA" w14:textId="34F0D699" w:rsidR="007541F2" w:rsidRDefault="00017DFD">
          <w:pPr>
            <w:pStyle w:val="TOC1"/>
            <w:rPr>
              <w:rFonts w:asciiTheme="minorHAnsi" w:eastAsiaTheme="minorEastAsia" w:hAnsiTheme="minorHAnsi" w:cstheme="minorBidi"/>
              <w:bCs w:val="0"/>
              <w:caps w:val="0"/>
              <w:sz w:val="22"/>
              <w:szCs w:val="22"/>
            </w:rPr>
          </w:pPr>
          <w:hyperlink w:anchor="_Toc535495642" w:history="1">
            <w:r w:rsidR="007541F2" w:rsidRPr="00D27B65">
              <w:rPr>
                <w:rStyle w:val="Hyperlink"/>
                <w:b/>
              </w:rPr>
              <w:t>5.1</w:t>
            </w:r>
            <w:r w:rsidR="007541F2">
              <w:rPr>
                <w:rFonts w:asciiTheme="minorHAnsi" w:eastAsiaTheme="minorEastAsia" w:hAnsiTheme="minorHAnsi" w:cstheme="minorBidi"/>
                <w:bCs w:val="0"/>
                <w:caps w:val="0"/>
                <w:sz w:val="22"/>
                <w:szCs w:val="22"/>
              </w:rPr>
              <w:tab/>
            </w:r>
            <w:r w:rsidR="007541F2" w:rsidRPr="00D27B65">
              <w:rPr>
                <w:rStyle w:val="Hyperlink"/>
                <w:b/>
              </w:rPr>
              <w:t>LONG-TERM ENERGY SALES</w:t>
            </w:r>
            <w:r w:rsidR="007541F2">
              <w:rPr>
                <w:webHidden/>
              </w:rPr>
              <w:tab/>
            </w:r>
            <w:r w:rsidR="007541F2">
              <w:rPr>
                <w:webHidden/>
              </w:rPr>
              <w:fldChar w:fldCharType="begin"/>
            </w:r>
            <w:r w:rsidR="007541F2">
              <w:rPr>
                <w:webHidden/>
              </w:rPr>
              <w:instrText xml:space="preserve"> PAGEREF _Toc535495642 \h </w:instrText>
            </w:r>
            <w:r w:rsidR="007541F2">
              <w:rPr>
                <w:webHidden/>
              </w:rPr>
            </w:r>
            <w:r w:rsidR="007541F2">
              <w:rPr>
                <w:webHidden/>
              </w:rPr>
              <w:fldChar w:fldCharType="separate"/>
            </w:r>
            <w:r w:rsidR="007541F2">
              <w:rPr>
                <w:webHidden/>
              </w:rPr>
              <w:t>35</w:t>
            </w:r>
            <w:r w:rsidR="007541F2">
              <w:rPr>
                <w:webHidden/>
              </w:rPr>
              <w:fldChar w:fldCharType="end"/>
            </w:r>
          </w:hyperlink>
        </w:p>
        <w:p w14:paraId="77765B23" w14:textId="79543617"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43" w:history="1">
            <w:r w:rsidR="007541F2" w:rsidRPr="00D27B65">
              <w:rPr>
                <w:rStyle w:val="Hyperlink"/>
                <w:noProof/>
              </w:rPr>
              <w:t>5.1.1</w:t>
            </w:r>
            <w:r w:rsidR="007541F2">
              <w:rPr>
                <w:rFonts w:asciiTheme="minorHAnsi" w:eastAsiaTheme="minorEastAsia" w:hAnsiTheme="minorHAnsi" w:cstheme="minorBidi"/>
                <w:b w:val="0"/>
                <w:noProof/>
                <w:sz w:val="22"/>
                <w:szCs w:val="22"/>
              </w:rPr>
              <w:tab/>
            </w:r>
            <w:r w:rsidR="007541F2" w:rsidRPr="00D27B65">
              <w:rPr>
                <w:rStyle w:val="Hyperlink"/>
                <w:noProof/>
              </w:rPr>
              <w:t>Residential Long-Term Energy Sales</w:t>
            </w:r>
            <w:r w:rsidR="007541F2">
              <w:rPr>
                <w:noProof/>
                <w:webHidden/>
              </w:rPr>
              <w:tab/>
            </w:r>
            <w:r w:rsidR="007541F2">
              <w:rPr>
                <w:noProof/>
                <w:webHidden/>
              </w:rPr>
              <w:fldChar w:fldCharType="begin"/>
            </w:r>
            <w:r w:rsidR="007541F2">
              <w:rPr>
                <w:noProof/>
                <w:webHidden/>
              </w:rPr>
              <w:instrText xml:space="preserve"> PAGEREF _Toc535495643 \h </w:instrText>
            </w:r>
            <w:r w:rsidR="007541F2">
              <w:rPr>
                <w:noProof/>
                <w:webHidden/>
              </w:rPr>
            </w:r>
            <w:r w:rsidR="007541F2">
              <w:rPr>
                <w:noProof/>
                <w:webHidden/>
              </w:rPr>
              <w:fldChar w:fldCharType="separate"/>
            </w:r>
            <w:r w:rsidR="007541F2">
              <w:rPr>
                <w:noProof/>
                <w:webHidden/>
              </w:rPr>
              <w:t>35</w:t>
            </w:r>
            <w:r w:rsidR="007541F2">
              <w:rPr>
                <w:noProof/>
                <w:webHidden/>
              </w:rPr>
              <w:fldChar w:fldCharType="end"/>
            </w:r>
          </w:hyperlink>
        </w:p>
        <w:p w14:paraId="12935590" w14:textId="65272A09"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44" w:history="1">
            <w:r w:rsidR="007541F2" w:rsidRPr="00D27B65">
              <w:rPr>
                <w:rStyle w:val="Hyperlink"/>
                <w:noProof/>
              </w:rPr>
              <w:t>5.1.2</w:t>
            </w:r>
            <w:r w:rsidR="007541F2">
              <w:rPr>
                <w:rFonts w:asciiTheme="minorHAnsi" w:eastAsiaTheme="minorEastAsia" w:hAnsiTheme="minorHAnsi" w:cstheme="minorBidi"/>
                <w:b w:val="0"/>
                <w:noProof/>
                <w:sz w:val="22"/>
                <w:szCs w:val="22"/>
              </w:rPr>
              <w:tab/>
            </w:r>
            <w:r w:rsidR="007541F2" w:rsidRPr="00D27B65">
              <w:rPr>
                <w:rStyle w:val="Hyperlink"/>
                <w:noProof/>
              </w:rPr>
              <w:t>Commercial Long-Term Energy Sales</w:t>
            </w:r>
            <w:r w:rsidR="007541F2">
              <w:rPr>
                <w:noProof/>
                <w:webHidden/>
              </w:rPr>
              <w:tab/>
            </w:r>
            <w:r w:rsidR="007541F2">
              <w:rPr>
                <w:noProof/>
                <w:webHidden/>
              </w:rPr>
              <w:fldChar w:fldCharType="begin"/>
            </w:r>
            <w:r w:rsidR="007541F2">
              <w:rPr>
                <w:noProof/>
                <w:webHidden/>
              </w:rPr>
              <w:instrText xml:space="preserve"> PAGEREF _Toc535495644 \h </w:instrText>
            </w:r>
            <w:r w:rsidR="007541F2">
              <w:rPr>
                <w:noProof/>
                <w:webHidden/>
              </w:rPr>
            </w:r>
            <w:r w:rsidR="007541F2">
              <w:rPr>
                <w:noProof/>
                <w:webHidden/>
              </w:rPr>
              <w:fldChar w:fldCharType="separate"/>
            </w:r>
            <w:r w:rsidR="007541F2">
              <w:rPr>
                <w:noProof/>
                <w:webHidden/>
              </w:rPr>
              <w:t>59</w:t>
            </w:r>
            <w:r w:rsidR="007541F2">
              <w:rPr>
                <w:noProof/>
                <w:webHidden/>
              </w:rPr>
              <w:fldChar w:fldCharType="end"/>
            </w:r>
          </w:hyperlink>
        </w:p>
        <w:p w14:paraId="394634ED" w14:textId="77A701EF"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45" w:history="1">
            <w:r w:rsidR="007541F2" w:rsidRPr="00D27B65">
              <w:rPr>
                <w:rStyle w:val="Hyperlink"/>
                <w:noProof/>
              </w:rPr>
              <w:t>5.1.3</w:t>
            </w:r>
            <w:r w:rsidR="007541F2">
              <w:rPr>
                <w:rFonts w:asciiTheme="minorHAnsi" w:eastAsiaTheme="minorEastAsia" w:hAnsiTheme="minorHAnsi" w:cstheme="minorBidi"/>
                <w:b w:val="0"/>
                <w:noProof/>
                <w:sz w:val="22"/>
                <w:szCs w:val="22"/>
              </w:rPr>
              <w:tab/>
            </w:r>
            <w:r w:rsidR="007541F2" w:rsidRPr="00D27B65">
              <w:rPr>
                <w:rStyle w:val="Hyperlink"/>
                <w:noProof/>
              </w:rPr>
              <w:t>Industrial Long-Term Energy Sales</w:t>
            </w:r>
            <w:r w:rsidR="007541F2">
              <w:rPr>
                <w:noProof/>
                <w:webHidden/>
              </w:rPr>
              <w:tab/>
            </w:r>
            <w:r w:rsidR="007541F2">
              <w:rPr>
                <w:noProof/>
                <w:webHidden/>
              </w:rPr>
              <w:fldChar w:fldCharType="begin"/>
            </w:r>
            <w:r w:rsidR="007541F2">
              <w:rPr>
                <w:noProof/>
                <w:webHidden/>
              </w:rPr>
              <w:instrText xml:space="preserve"> PAGEREF _Toc535495645 \h </w:instrText>
            </w:r>
            <w:r w:rsidR="007541F2">
              <w:rPr>
                <w:noProof/>
                <w:webHidden/>
              </w:rPr>
            </w:r>
            <w:r w:rsidR="007541F2">
              <w:rPr>
                <w:noProof/>
                <w:webHidden/>
              </w:rPr>
              <w:fldChar w:fldCharType="separate"/>
            </w:r>
            <w:r w:rsidR="007541F2">
              <w:rPr>
                <w:noProof/>
                <w:webHidden/>
              </w:rPr>
              <w:t>69</w:t>
            </w:r>
            <w:r w:rsidR="007541F2">
              <w:rPr>
                <w:noProof/>
                <w:webHidden/>
              </w:rPr>
              <w:fldChar w:fldCharType="end"/>
            </w:r>
          </w:hyperlink>
        </w:p>
        <w:p w14:paraId="55694A1A" w14:textId="034CBD44" w:rsidR="007541F2" w:rsidRDefault="00017DFD">
          <w:pPr>
            <w:pStyle w:val="TOC1"/>
            <w:rPr>
              <w:rFonts w:asciiTheme="minorHAnsi" w:eastAsiaTheme="minorEastAsia" w:hAnsiTheme="minorHAnsi" w:cstheme="minorBidi"/>
              <w:bCs w:val="0"/>
              <w:caps w:val="0"/>
              <w:sz w:val="22"/>
              <w:szCs w:val="22"/>
            </w:rPr>
          </w:pPr>
          <w:hyperlink w:anchor="_Toc535495646" w:history="1">
            <w:r w:rsidR="007541F2" w:rsidRPr="00D27B65">
              <w:rPr>
                <w:rStyle w:val="Hyperlink"/>
                <w:b/>
              </w:rPr>
              <w:t>5.2</w:t>
            </w:r>
            <w:r w:rsidR="007541F2">
              <w:rPr>
                <w:rFonts w:asciiTheme="minorHAnsi" w:eastAsiaTheme="minorEastAsia" w:hAnsiTheme="minorHAnsi" w:cstheme="minorBidi"/>
                <w:bCs w:val="0"/>
                <w:caps w:val="0"/>
                <w:sz w:val="22"/>
                <w:szCs w:val="22"/>
              </w:rPr>
              <w:tab/>
            </w:r>
            <w:r w:rsidR="007541F2" w:rsidRPr="00D27B65">
              <w:rPr>
                <w:rStyle w:val="Hyperlink"/>
                <w:b/>
              </w:rPr>
              <w:t>ANNUAL TO MONTHLY BASED ENERGY FORECASTS</w:t>
            </w:r>
            <w:r w:rsidR="007541F2">
              <w:rPr>
                <w:webHidden/>
              </w:rPr>
              <w:tab/>
            </w:r>
            <w:r w:rsidR="007541F2">
              <w:rPr>
                <w:webHidden/>
              </w:rPr>
              <w:fldChar w:fldCharType="begin"/>
            </w:r>
            <w:r w:rsidR="007541F2">
              <w:rPr>
                <w:webHidden/>
              </w:rPr>
              <w:instrText xml:space="preserve"> PAGEREF _Toc535495646 \h </w:instrText>
            </w:r>
            <w:r w:rsidR="007541F2">
              <w:rPr>
                <w:webHidden/>
              </w:rPr>
            </w:r>
            <w:r w:rsidR="007541F2">
              <w:rPr>
                <w:webHidden/>
              </w:rPr>
              <w:fldChar w:fldCharType="separate"/>
            </w:r>
            <w:r w:rsidR="007541F2">
              <w:rPr>
                <w:webHidden/>
              </w:rPr>
              <w:t>78</w:t>
            </w:r>
            <w:r w:rsidR="007541F2">
              <w:rPr>
                <w:webHidden/>
              </w:rPr>
              <w:fldChar w:fldCharType="end"/>
            </w:r>
          </w:hyperlink>
        </w:p>
        <w:p w14:paraId="434CB7C3" w14:textId="74B968EC" w:rsidR="007541F2" w:rsidRDefault="00017DFD">
          <w:pPr>
            <w:pStyle w:val="TOC1"/>
            <w:rPr>
              <w:rFonts w:asciiTheme="minorHAnsi" w:eastAsiaTheme="minorEastAsia" w:hAnsiTheme="minorHAnsi" w:cstheme="minorBidi"/>
              <w:bCs w:val="0"/>
              <w:caps w:val="0"/>
              <w:sz w:val="22"/>
              <w:szCs w:val="22"/>
            </w:rPr>
          </w:pPr>
          <w:hyperlink w:anchor="_Toc535495647" w:history="1">
            <w:r w:rsidR="007541F2" w:rsidRPr="00D27B65">
              <w:rPr>
                <w:rStyle w:val="Hyperlink"/>
                <w:b/>
              </w:rPr>
              <w:t>5.3</w:t>
            </w:r>
            <w:r w:rsidR="007541F2">
              <w:rPr>
                <w:rFonts w:asciiTheme="minorHAnsi" w:eastAsiaTheme="minorEastAsia" w:hAnsiTheme="minorHAnsi" w:cstheme="minorBidi"/>
                <w:bCs w:val="0"/>
                <w:caps w:val="0"/>
                <w:sz w:val="22"/>
                <w:szCs w:val="22"/>
              </w:rPr>
              <w:tab/>
            </w:r>
            <w:r w:rsidR="007541F2" w:rsidRPr="00D27B65">
              <w:rPr>
                <w:rStyle w:val="Hyperlink"/>
                <w:b/>
              </w:rPr>
              <w:t>INTEGRATION OF SHORT- AND LONG-TERM ENERGY FORECASTS</w:t>
            </w:r>
            <w:r w:rsidR="007541F2">
              <w:rPr>
                <w:webHidden/>
              </w:rPr>
              <w:tab/>
            </w:r>
            <w:r w:rsidR="007541F2">
              <w:rPr>
                <w:webHidden/>
              </w:rPr>
              <w:fldChar w:fldCharType="begin"/>
            </w:r>
            <w:r w:rsidR="007541F2">
              <w:rPr>
                <w:webHidden/>
              </w:rPr>
              <w:instrText xml:space="preserve"> PAGEREF _Toc535495647 \h </w:instrText>
            </w:r>
            <w:r w:rsidR="007541F2">
              <w:rPr>
                <w:webHidden/>
              </w:rPr>
            </w:r>
            <w:r w:rsidR="007541F2">
              <w:rPr>
                <w:webHidden/>
              </w:rPr>
              <w:fldChar w:fldCharType="separate"/>
            </w:r>
            <w:r w:rsidR="007541F2">
              <w:rPr>
                <w:webHidden/>
              </w:rPr>
              <w:t>79</w:t>
            </w:r>
            <w:r w:rsidR="007541F2">
              <w:rPr>
                <w:webHidden/>
              </w:rPr>
              <w:fldChar w:fldCharType="end"/>
            </w:r>
          </w:hyperlink>
        </w:p>
        <w:p w14:paraId="71329864" w14:textId="04E250B8" w:rsidR="007541F2" w:rsidRDefault="00017DFD">
          <w:pPr>
            <w:pStyle w:val="TOC1"/>
            <w:rPr>
              <w:rFonts w:asciiTheme="minorHAnsi" w:eastAsiaTheme="minorEastAsia" w:hAnsiTheme="minorHAnsi" w:cstheme="minorBidi"/>
              <w:bCs w:val="0"/>
              <w:caps w:val="0"/>
              <w:sz w:val="22"/>
              <w:szCs w:val="22"/>
            </w:rPr>
          </w:pPr>
          <w:hyperlink w:anchor="_Toc535495648" w:history="1">
            <w:r w:rsidR="007541F2" w:rsidRPr="00D27B65">
              <w:rPr>
                <w:rStyle w:val="Hyperlink"/>
                <w:b/>
              </w:rPr>
              <w:t>6.0</w:t>
            </w:r>
            <w:r w:rsidR="007541F2">
              <w:rPr>
                <w:rFonts w:asciiTheme="minorHAnsi" w:eastAsiaTheme="minorEastAsia" w:hAnsiTheme="minorHAnsi" w:cstheme="minorBidi"/>
                <w:bCs w:val="0"/>
                <w:caps w:val="0"/>
                <w:sz w:val="22"/>
                <w:szCs w:val="22"/>
              </w:rPr>
              <w:tab/>
            </w:r>
            <w:r w:rsidR="007541F2" w:rsidRPr="00D27B65">
              <w:rPr>
                <w:rStyle w:val="Hyperlink"/>
                <w:b/>
              </w:rPr>
              <w:t>PEAK DEMAND FORECAST</w:t>
            </w:r>
            <w:r w:rsidR="007541F2">
              <w:rPr>
                <w:webHidden/>
              </w:rPr>
              <w:tab/>
            </w:r>
            <w:r w:rsidR="007541F2">
              <w:rPr>
                <w:webHidden/>
              </w:rPr>
              <w:fldChar w:fldCharType="begin"/>
            </w:r>
            <w:r w:rsidR="007541F2">
              <w:rPr>
                <w:webHidden/>
              </w:rPr>
              <w:instrText xml:space="preserve"> PAGEREF _Toc535495648 \h </w:instrText>
            </w:r>
            <w:r w:rsidR="007541F2">
              <w:rPr>
                <w:webHidden/>
              </w:rPr>
            </w:r>
            <w:r w:rsidR="007541F2">
              <w:rPr>
                <w:webHidden/>
              </w:rPr>
              <w:fldChar w:fldCharType="separate"/>
            </w:r>
            <w:r w:rsidR="007541F2">
              <w:rPr>
                <w:webHidden/>
              </w:rPr>
              <w:t>80</w:t>
            </w:r>
            <w:r w:rsidR="007541F2">
              <w:rPr>
                <w:webHidden/>
              </w:rPr>
              <w:fldChar w:fldCharType="end"/>
            </w:r>
          </w:hyperlink>
        </w:p>
        <w:p w14:paraId="3D0D2B64" w14:textId="68FD48CE" w:rsidR="007541F2" w:rsidRDefault="00017DFD">
          <w:pPr>
            <w:pStyle w:val="TOC1"/>
            <w:rPr>
              <w:rFonts w:asciiTheme="minorHAnsi" w:eastAsiaTheme="minorEastAsia" w:hAnsiTheme="minorHAnsi" w:cstheme="minorBidi"/>
              <w:bCs w:val="0"/>
              <w:caps w:val="0"/>
              <w:sz w:val="22"/>
              <w:szCs w:val="22"/>
            </w:rPr>
          </w:pPr>
          <w:hyperlink w:anchor="_Toc535495649" w:history="1">
            <w:r w:rsidR="007541F2" w:rsidRPr="00D27B65">
              <w:rPr>
                <w:rStyle w:val="Hyperlink"/>
                <w:b/>
              </w:rPr>
              <w:t>7.0</w:t>
            </w:r>
            <w:r w:rsidR="007541F2">
              <w:rPr>
                <w:rFonts w:asciiTheme="minorHAnsi" w:eastAsiaTheme="minorEastAsia" w:hAnsiTheme="minorHAnsi" w:cstheme="minorBidi"/>
                <w:bCs w:val="0"/>
                <w:caps w:val="0"/>
                <w:sz w:val="22"/>
                <w:szCs w:val="22"/>
              </w:rPr>
              <w:tab/>
            </w:r>
            <w:r w:rsidR="007541F2" w:rsidRPr="00D27B65">
              <w:rPr>
                <w:rStyle w:val="Hyperlink"/>
                <w:b/>
              </w:rPr>
              <w:t>SENSITIVITY AND SCENARIO DEVELOPMENT OVERVIEW</w:t>
            </w:r>
            <w:r w:rsidR="007541F2">
              <w:rPr>
                <w:webHidden/>
              </w:rPr>
              <w:tab/>
            </w:r>
            <w:r w:rsidR="007541F2">
              <w:rPr>
                <w:webHidden/>
              </w:rPr>
              <w:fldChar w:fldCharType="begin"/>
            </w:r>
            <w:r w:rsidR="007541F2">
              <w:rPr>
                <w:webHidden/>
              </w:rPr>
              <w:instrText xml:space="preserve"> PAGEREF _Toc535495649 \h </w:instrText>
            </w:r>
            <w:r w:rsidR="007541F2">
              <w:rPr>
                <w:webHidden/>
              </w:rPr>
            </w:r>
            <w:r w:rsidR="007541F2">
              <w:rPr>
                <w:webHidden/>
              </w:rPr>
              <w:fldChar w:fldCharType="separate"/>
            </w:r>
            <w:r w:rsidR="007541F2">
              <w:rPr>
                <w:webHidden/>
              </w:rPr>
              <w:t>94</w:t>
            </w:r>
            <w:r w:rsidR="007541F2">
              <w:rPr>
                <w:webHidden/>
              </w:rPr>
              <w:fldChar w:fldCharType="end"/>
            </w:r>
          </w:hyperlink>
        </w:p>
        <w:p w14:paraId="3D4666EE" w14:textId="4724473A" w:rsidR="007541F2" w:rsidRDefault="00017DFD">
          <w:pPr>
            <w:pStyle w:val="TOC1"/>
            <w:rPr>
              <w:rFonts w:asciiTheme="minorHAnsi" w:eastAsiaTheme="minorEastAsia" w:hAnsiTheme="minorHAnsi" w:cstheme="minorBidi"/>
              <w:bCs w:val="0"/>
              <w:caps w:val="0"/>
              <w:sz w:val="22"/>
              <w:szCs w:val="22"/>
            </w:rPr>
          </w:pPr>
          <w:hyperlink w:anchor="_Toc535495650" w:history="1">
            <w:r w:rsidR="007541F2" w:rsidRPr="00D27B65">
              <w:rPr>
                <w:rStyle w:val="Hyperlink"/>
                <w:b/>
              </w:rPr>
              <w:t>7.1</w:t>
            </w:r>
            <w:r w:rsidR="007541F2">
              <w:rPr>
                <w:rFonts w:asciiTheme="minorHAnsi" w:eastAsiaTheme="minorEastAsia" w:hAnsiTheme="minorHAnsi" w:cstheme="minorBidi"/>
                <w:bCs w:val="0"/>
                <w:caps w:val="0"/>
                <w:sz w:val="22"/>
                <w:szCs w:val="22"/>
              </w:rPr>
              <w:tab/>
            </w:r>
            <w:r w:rsidR="007541F2" w:rsidRPr="00D27B65">
              <w:rPr>
                <w:rStyle w:val="Hyperlink"/>
                <w:b/>
              </w:rPr>
              <w:t>SENSITIVITIES</w:t>
            </w:r>
            <w:r w:rsidR="007541F2">
              <w:rPr>
                <w:webHidden/>
              </w:rPr>
              <w:tab/>
            </w:r>
            <w:r w:rsidR="007541F2">
              <w:rPr>
                <w:webHidden/>
              </w:rPr>
              <w:fldChar w:fldCharType="begin"/>
            </w:r>
            <w:r w:rsidR="007541F2">
              <w:rPr>
                <w:webHidden/>
              </w:rPr>
              <w:instrText xml:space="preserve"> PAGEREF _Toc535495650 \h </w:instrText>
            </w:r>
            <w:r w:rsidR="007541F2">
              <w:rPr>
                <w:webHidden/>
              </w:rPr>
            </w:r>
            <w:r w:rsidR="007541F2">
              <w:rPr>
                <w:webHidden/>
              </w:rPr>
              <w:fldChar w:fldCharType="separate"/>
            </w:r>
            <w:r w:rsidR="007541F2">
              <w:rPr>
                <w:webHidden/>
              </w:rPr>
              <w:t>94</w:t>
            </w:r>
            <w:r w:rsidR="007541F2">
              <w:rPr>
                <w:webHidden/>
              </w:rPr>
              <w:fldChar w:fldCharType="end"/>
            </w:r>
          </w:hyperlink>
        </w:p>
        <w:p w14:paraId="50E79CDD" w14:textId="11DFC73C" w:rsidR="007541F2" w:rsidRDefault="00017DFD">
          <w:pPr>
            <w:pStyle w:val="TOC1"/>
            <w:rPr>
              <w:rFonts w:asciiTheme="minorHAnsi" w:eastAsiaTheme="minorEastAsia" w:hAnsiTheme="minorHAnsi" w:cstheme="minorBidi"/>
              <w:bCs w:val="0"/>
              <w:caps w:val="0"/>
              <w:sz w:val="22"/>
              <w:szCs w:val="22"/>
            </w:rPr>
          </w:pPr>
          <w:hyperlink w:anchor="_Toc535495651" w:history="1">
            <w:r w:rsidR="007541F2" w:rsidRPr="00D27B65">
              <w:rPr>
                <w:rStyle w:val="Hyperlink"/>
                <w:b/>
              </w:rPr>
              <w:t>7.2</w:t>
            </w:r>
            <w:r w:rsidR="007541F2">
              <w:rPr>
                <w:rFonts w:asciiTheme="minorHAnsi" w:eastAsiaTheme="minorEastAsia" w:hAnsiTheme="minorHAnsi" w:cstheme="minorBidi"/>
                <w:bCs w:val="0"/>
                <w:caps w:val="0"/>
                <w:sz w:val="22"/>
                <w:szCs w:val="22"/>
              </w:rPr>
              <w:tab/>
            </w:r>
            <w:r w:rsidR="007541F2" w:rsidRPr="00D27B65">
              <w:rPr>
                <w:rStyle w:val="Hyperlink"/>
                <w:b/>
              </w:rPr>
              <w:t>SCENARIOS</w:t>
            </w:r>
            <w:r w:rsidR="007541F2">
              <w:rPr>
                <w:webHidden/>
              </w:rPr>
              <w:tab/>
            </w:r>
            <w:r w:rsidR="007541F2">
              <w:rPr>
                <w:webHidden/>
              </w:rPr>
              <w:fldChar w:fldCharType="begin"/>
            </w:r>
            <w:r w:rsidR="007541F2">
              <w:rPr>
                <w:webHidden/>
              </w:rPr>
              <w:instrText xml:space="preserve"> PAGEREF _Toc535495651 \h </w:instrText>
            </w:r>
            <w:r w:rsidR="007541F2">
              <w:rPr>
                <w:webHidden/>
              </w:rPr>
            </w:r>
            <w:r w:rsidR="007541F2">
              <w:rPr>
                <w:webHidden/>
              </w:rPr>
              <w:fldChar w:fldCharType="separate"/>
            </w:r>
            <w:r w:rsidR="007541F2">
              <w:rPr>
                <w:webHidden/>
              </w:rPr>
              <w:t>97</w:t>
            </w:r>
            <w:r w:rsidR="007541F2">
              <w:rPr>
                <w:webHidden/>
              </w:rPr>
              <w:fldChar w:fldCharType="end"/>
            </w:r>
          </w:hyperlink>
        </w:p>
        <w:p w14:paraId="6079B368" w14:textId="1890A2B2" w:rsidR="007541F2" w:rsidRDefault="00017DFD">
          <w:pPr>
            <w:pStyle w:val="TOC1"/>
            <w:rPr>
              <w:rFonts w:asciiTheme="minorHAnsi" w:eastAsiaTheme="minorEastAsia" w:hAnsiTheme="minorHAnsi" w:cstheme="minorBidi"/>
              <w:bCs w:val="0"/>
              <w:caps w:val="0"/>
              <w:sz w:val="22"/>
              <w:szCs w:val="22"/>
            </w:rPr>
          </w:pPr>
          <w:hyperlink w:anchor="_Toc535495652" w:history="1">
            <w:r w:rsidR="007541F2" w:rsidRPr="00D27B65">
              <w:rPr>
                <w:rStyle w:val="Hyperlink"/>
                <w:b/>
              </w:rPr>
              <w:t>8.0</w:t>
            </w:r>
            <w:r w:rsidR="007541F2">
              <w:rPr>
                <w:rFonts w:asciiTheme="minorHAnsi" w:eastAsiaTheme="minorEastAsia" w:hAnsiTheme="minorHAnsi" w:cstheme="minorBidi"/>
                <w:bCs w:val="0"/>
                <w:caps w:val="0"/>
                <w:sz w:val="22"/>
                <w:szCs w:val="22"/>
              </w:rPr>
              <w:tab/>
            </w:r>
            <w:r w:rsidR="007541F2" w:rsidRPr="00D27B65">
              <w:rPr>
                <w:rStyle w:val="Hyperlink"/>
                <w:b/>
              </w:rPr>
              <w:t>FORECAST ASSUMPTIONS OVERVIEW</w:t>
            </w:r>
            <w:r w:rsidR="007541F2">
              <w:rPr>
                <w:webHidden/>
              </w:rPr>
              <w:tab/>
            </w:r>
            <w:r w:rsidR="007541F2">
              <w:rPr>
                <w:webHidden/>
              </w:rPr>
              <w:fldChar w:fldCharType="begin"/>
            </w:r>
            <w:r w:rsidR="007541F2">
              <w:rPr>
                <w:webHidden/>
              </w:rPr>
              <w:instrText xml:space="preserve"> PAGEREF _Toc535495652 \h </w:instrText>
            </w:r>
            <w:r w:rsidR="007541F2">
              <w:rPr>
                <w:webHidden/>
              </w:rPr>
            </w:r>
            <w:r w:rsidR="007541F2">
              <w:rPr>
                <w:webHidden/>
              </w:rPr>
              <w:fldChar w:fldCharType="separate"/>
            </w:r>
            <w:r w:rsidR="007541F2">
              <w:rPr>
                <w:webHidden/>
              </w:rPr>
              <w:t>102</w:t>
            </w:r>
            <w:r w:rsidR="007541F2">
              <w:rPr>
                <w:webHidden/>
              </w:rPr>
              <w:fldChar w:fldCharType="end"/>
            </w:r>
          </w:hyperlink>
        </w:p>
        <w:p w14:paraId="37E496EA" w14:textId="67FEE503" w:rsidR="007541F2" w:rsidRDefault="00017DFD">
          <w:pPr>
            <w:pStyle w:val="TOC1"/>
            <w:rPr>
              <w:rFonts w:asciiTheme="minorHAnsi" w:eastAsiaTheme="minorEastAsia" w:hAnsiTheme="minorHAnsi" w:cstheme="minorBidi"/>
              <w:bCs w:val="0"/>
              <w:caps w:val="0"/>
              <w:sz w:val="22"/>
              <w:szCs w:val="22"/>
            </w:rPr>
          </w:pPr>
          <w:hyperlink w:anchor="_Toc535495653" w:history="1">
            <w:r w:rsidR="007541F2" w:rsidRPr="00D27B65">
              <w:rPr>
                <w:rStyle w:val="Hyperlink"/>
                <w:b/>
              </w:rPr>
              <w:t>8.1</w:t>
            </w:r>
            <w:r w:rsidR="007541F2">
              <w:rPr>
                <w:rFonts w:asciiTheme="minorHAnsi" w:eastAsiaTheme="minorEastAsia" w:hAnsiTheme="minorHAnsi" w:cstheme="minorBidi"/>
                <w:bCs w:val="0"/>
                <w:caps w:val="0"/>
                <w:sz w:val="22"/>
                <w:szCs w:val="22"/>
              </w:rPr>
              <w:tab/>
            </w:r>
            <w:r w:rsidR="007541F2" w:rsidRPr="00D27B65">
              <w:rPr>
                <w:rStyle w:val="Hyperlink"/>
                <w:b/>
              </w:rPr>
              <w:t>SHORT-TERM ENERGY MODEL ECONOMIC ASSUMPTIONS</w:t>
            </w:r>
            <w:r w:rsidR="007541F2">
              <w:rPr>
                <w:webHidden/>
              </w:rPr>
              <w:tab/>
            </w:r>
            <w:r w:rsidR="007541F2">
              <w:rPr>
                <w:webHidden/>
              </w:rPr>
              <w:fldChar w:fldCharType="begin"/>
            </w:r>
            <w:r w:rsidR="007541F2">
              <w:rPr>
                <w:webHidden/>
              </w:rPr>
              <w:instrText xml:space="preserve"> PAGEREF _Toc535495653 \h </w:instrText>
            </w:r>
            <w:r w:rsidR="007541F2">
              <w:rPr>
                <w:webHidden/>
              </w:rPr>
            </w:r>
            <w:r w:rsidR="007541F2">
              <w:rPr>
                <w:webHidden/>
              </w:rPr>
              <w:fldChar w:fldCharType="separate"/>
            </w:r>
            <w:r w:rsidR="007541F2">
              <w:rPr>
                <w:webHidden/>
              </w:rPr>
              <w:t>103</w:t>
            </w:r>
            <w:r w:rsidR="007541F2">
              <w:rPr>
                <w:webHidden/>
              </w:rPr>
              <w:fldChar w:fldCharType="end"/>
            </w:r>
          </w:hyperlink>
        </w:p>
        <w:p w14:paraId="577E6BB1" w14:textId="589646B0" w:rsidR="007541F2" w:rsidRDefault="00017DFD">
          <w:pPr>
            <w:pStyle w:val="TOC1"/>
            <w:rPr>
              <w:rFonts w:asciiTheme="minorHAnsi" w:eastAsiaTheme="minorEastAsia" w:hAnsiTheme="minorHAnsi" w:cstheme="minorBidi"/>
              <w:bCs w:val="0"/>
              <w:caps w:val="0"/>
              <w:sz w:val="22"/>
              <w:szCs w:val="22"/>
            </w:rPr>
          </w:pPr>
          <w:hyperlink w:anchor="_Toc535495654" w:history="1">
            <w:r w:rsidR="007541F2" w:rsidRPr="00D27B65">
              <w:rPr>
                <w:rStyle w:val="Hyperlink"/>
                <w:b/>
              </w:rPr>
              <w:t>8.2</w:t>
            </w:r>
            <w:r w:rsidR="007541F2">
              <w:rPr>
                <w:rFonts w:asciiTheme="minorHAnsi" w:eastAsiaTheme="minorEastAsia" w:hAnsiTheme="minorHAnsi" w:cstheme="minorBidi"/>
                <w:bCs w:val="0"/>
                <w:caps w:val="0"/>
                <w:sz w:val="22"/>
                <w:szCs w:val="22"/>
              </w:rPr>
              <w:tab/>
            </w:r>
            <w:r w:rsidR="007541F2" w:rsidRPr="00D27B65">
              <w:rPr>
                <w:rStyle w:val="Hyperlink"/>
                <w:b/>
              </w:rPr>
              <w:t>LONG-TERM ENERGY MODEL ECONOMIC ASSUMPTIONS</w:t>
            </w:r>
            <w:r w:rsidR="007541F2">
              <w:rPr>
                <w:webHidden/>
              </w:rPr>
              <w:tab/>
            </w:r>
            <w:r w:rsidR="007541F2">
              <w:rPr>
                <w:webHidden/>
              </w:rPr>
              <w:fldChar w:fldCharType="begin"/>
            </w:r>
            <w:r w:rsidR="007541F2">
              <w:rPr>
                <w:webHidden/>
              </w:rPr>
              <w:instrText xml:space="preserve"> PAGEREF _Toc535495654 \h </w:instrText>
            </w:r>
            <w:r w:rsidR="007541F2">
              <w:rPr>
                <w:webHidden/>
              </w:rPr>
            </w:r>
            <w:r w:rsidR="007541F2">
              <w:rPr>
                <w:webHidden/>
              </w:rPr>
              <w:fldChar w:fldCharType="separate"/>
            </w:r>
            <w:r w:rsidR="007541F2">
              <w:rPr>
                <w:webHidden/>
              </w:rPr>
              <w:t>103</w:t>
            </w:r>
            <w:r w:rsidR="007541F2">
              <w:rPr>
                <w:webHidden/>
              </w:rPr>
              <w:fldChar w:fldCharType="end"/>
            </w:r>
          </w:hyperlink>
        </w:p>
        <w:p w14:paraId="27F65997" w14:textId="3732937A"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55" w:history="1">
            <w:r w:rsidR="007541F2" w:rsidRPr="00D27B65">
              <w:rPr>
                <w:rStyle w:val="Hyperlink"/>
                <w:noProof/>
              </w:rPr>
              <w:t>8.2.1</w:t>
            </w:r>
            <w:r w:rsidR="007541F2">
              <w:rPr>
                <w:rFonts w:asciiTheme="minorHAnsi" w:eastAsiaTheme="minorEastAsia" w:hAnsiTheme="minorHAnsi" w:cstheme="minorBidi"/>
                <w:b w:val="0"/>
                <w:noProof/>
                <w:sz w:val="22"/>
                <w:szCs w:val="22"/>
              </w:rPr>
              <w:tab/>
            </w:r>
            <w:r w:rsidR="007541F2" w:rsidRPr="00D27B65">
              <w:rPr>
                <w:rStyle w:val="Hyperlink"/>
                <w:noProof/>
              </w:rPr>
              <w:t>Overview</w:t>
            </w:r>
            <w:r w:rsidR="007541F2">
              <w:rPr>
                <w:noProof/>
                <w:webHidden/>
              </w:rPr>
              <w:tab/>
            </w:r>
            <w:r w:rsidR="007541F2">
              <w:rPr>
                <w:noProof/>
                <w:webHidden/>
              </w:rPr>
              <w:fldChar w:fldCharType="begin"/>
            </w:r>
            <w:r w:rsidR="007541F2">
              <w:rPr>
                <w:noProof/>
                <w:webHidden/>
              </w:rPr>
              <w:instrText xml:space="preserve"> PAGEREF _Toc535495655 \h </w:instrText>
            </w:r>
            <w:r w:rsidR="007541F2">
              <w:rPr>
                <w:noProof/>
                <w:webHidden/>
              </w:rPr>
            </w:r>
            <w:r w:rsidR="007541F2">
              <w:rPr>
                <w:noProof/>
                <w:webHidden/>
              </w:rPr>
              <w:fldChar w:fldCharType="separate"/>
            </w:r>
            <w:r w:rsidR="007541F2">
              <w:rPr>
                <w:noProof/>
                <w:webHidden/>
              </w:rPr>
              <w:t>103</w:t>
            </w:r>
            <w:r w:rsidR="007541F2">
              <w:rPr>
                <w:noProof/>
                <w:webHidden/>
              </w:rPr>
              <w:fldChar w:fldCharType="end"/>
            </w:r>
          </w:hyperlink>
        </w:p>
        <w:p w14:paraId="30D7CC19" w14:textId="60FC25E4"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56" w:history="1">
            <w:r w:rsidR="007541F2" w:rsidRPr="00D27B65">
              <w:rPr>
                <w:rStyle w:val="Hyperlink"/>
                <w:noProof/>
              </w:rPr>
              <w:t>8.2.2</w:t>
            </w:r>
            <w:r w:rsidR="007541F2">
              <w:rPr>
                <w:rFonts w:asciiTheme="minorHAnsi" w:eastAsiaTheme="minorEastAsia" w:hAnsiTheme="minorHAnsi" w:cstheme="minorBidi"/>
                <w:b w:val="0"/>
                <w:noProof/>
                <w:sz w:val="22"/>
                <w:szCs w:val="22"/>
              </w:rPr>
              <w:tab/>
            </w:r>
            <w:r w:rsidR="007541F2" w:rsidRPr="00D27B65">
              <w:rPr>
                <w:rStyle w:val="Hyperlink"/>
                <w:noProof/>
              </w:rPr>
              <w:t>Income per Household</w:t>
            </w:r>
            <w:r w:rsidR="007541F2">
              <w:rPr>
                <w:noProof/>
                <w:webHidden/>
              </w:rPr>
              <w:tab/>
            </w:r>
            <w:r w:rsidR="007541F2">
              <w:rPr>
                <w:noProof/>
                <w:webHidden/>
              </w:rPr>
              <w:fldChar w:fldCharType="begin"/>
            </w:r>
            <w:r w:rsidR="007541F2">
              <w:rPr>
                <w:noProof/>
                <w:webHidden/>
              </w:rPr>
              <w:instrText xml:space="preserve"> PAGEREF _Toc535495656 \h </w:instrText>
            </w:r>
            <w:r w:rsidR="007541F2">
              <w:rPr>
                <w:noProof/>
                <w:webHidden/>
              </w:rPr>
            </w:r>
            <w:r w:rsidR="007541F2">
              <w:rPr>
                <w:noProof/>
                <w:webHidden/>
              </w:rPr>
              <w:fldChar w:fldCharType="separate"/>
            </w:r>
            <w:r w:rsidR="007541F2">
              <w:rPr>
                <w:noProof/>
                <w:webHidden/>
              </w:rPr>
              <w:t>103</w:t>
            </w:r>
            <w:r w:rsidR="007541F2">
              <w:rPr>
                <w:noProof/>
                <w:webHidden/>
              </w:rPr>
              <w:fldChar w:fldCharType="end"/>
            </w:r>
          </w:hyperlink>
        </w:p>
        <w:p w14:paraId="61BDB78B" w14:textId="6FEB29B2"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57" w:history="1">
            <w:r w:rsidR="007541F2" w:rsidRPr="00D27B65">
              <w:rPr>
                <w:rStyle w:val="Hyperlink"/>
                <w:noProof/>
              </w:rPr>
              <w:t>8.2.3</w:t>
            </w:r>
            <w:r w:rsidR="007541F2">
              <w:rPr>
                <w:rFonts w:asciiTheme="minorHAnsi" w:eastAsiaTheme="minorEastAsia" w:hAnsiTheme="minorHAnsi" w:cstheme="minorBidi"/>
                <w:b w:val="0"/>
                <w:noProof/>
                <w:sz w:val="22"/>
                <w:szCs w:val="22"/>
              </w:rPr>
              <w:tab/>
            </w:r>
            <w:r w:rsidR="007541F2" w:rsidRPr="00D27B65">
              <w:rPr>
                <w:rStyle w:val="Hyperlink"/>
                <w:noProof/>
              </w:rPr>
              <w:t>Floor Space (Commercial Activity)</w:t>
            </w:r>
            <w:r w:rsidR="007541F2">
              <w:rPr>
                <w:noProof/>
                <w:webHidden/>
              </w:rPr>
              <w:tab/>
            </w:r>
            <w:r w:rsidR="007541F2">
              <w:rPr>
                <w:noProof/>
                <w:webHidden/>
              </w:rPr>
              <w:fldChar w:fldCharType="begin"/>
            </w:r>
            <w:r w:rsidR="007541F2">
              <w:rPr>
                <w:noProof/>
                <w:webHidden/>
              </w:rPr>
              <w:instrText xml:space="preserve"> PAGEREF _Toc535495657 \h </w:instrText>
            </w:r>
            <w:r w:rsidR="007541F2">
              <w:rPr>
                <w:noProof/>
                <w:webHidden/>
              </w:rPr>
            </w:r>
            <w:r w:rsidR="007541F2">
              <w:rPr>
                <w:noProof/>
                <w:webHidden/>
              </w:rPr>
              <w:fldChar w:fldCharType="separate"/>
            </w:r>
            <w:r w:rsidR="007541F2">
              <w:rPr>
                <w:noProof/>
                <w:webHidden/>
              </w:rPr>
              <w:t>104</w:t>
            </w:r>
            <w:r w:rsidR="007541F2">
              <w:rPr>
                <w:noProof/>
                <w:webHidden/>
              </w:rPr>
              <w:fldChar w:fldCharType="end"/>
            </w:r>
          </w:hyperlink>
        </w:p>
        <w:p w14:paraId="46372EE1" w14:textId="1C2BFDEC"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58" w:history="1">
            <w:r w:rsidR="007541F2" w:rsidRPr="00D27B65">
              <w:rPr>
                <w:rStyle w:val="Hyperlink"/>
                <w:noProof/>
              </w:rPr>
              <w:t>8.2.4</w:t>
            </w:r>
            <w:r w:rsidR="007541F2">
              <w:rPr>
                <w:rFonts w:asciiTheme="minorHAnsi" w:eastAsiaTheme="minorEastAsia" w:hAnsiTheme="minorHAnsi" w:cstheme="minorBidi"/>
                <w:b w:val="0"/>
                <w:noProof/>
                <w:sz w:val="22"/>
                <w:szCs w:val="22"/>
              </w:rPr>
              <w:tab/>
            </w:r>
            <w:r w:rsidR="007541F2" w:rsidRPr="00D27B65">
              <w:rPr>
                <w:rStyle w:val="Hyperlink"/>
                <w:noProof/>
              </w:rPr>
              <w:t>Industrial Production (Industrial Activity)</w:t>
            </w:r>
            <w:r w:rsidR="007541F2">
              <w:rPr>
                <w:noProof/>
                <w:webHidden/>
              </w:rPr>
              <w:tab/>
            </w:r>
            <w:r w:rsidR="007541F2">
              <w:rPr>
                <w:noProof/>
                <w:webHidden/>
              </w:rPr>
              <w:fldChar w:fldCharType="begin"/>
            </w:r>
            <w:r w:rsidR="007541F2">
              <w:rPr>
                <w:noProof/>
                <w:webHidden/>
              </w:rPr>
              <w:instrText xml:space="preserve"> PAGEREF _Toc535495658 \h </w:instrText>
            </w:r>
            <w:r w:rsidR="007541F2">
              <w:rPr>
                <w:noProof/>
                <w:webHidden/>
              </w:rPr>
            </w:r>
            <w:r w:rsidR="007541F2">
              <w:rPr>
                <w:noProof/>
                <w:webHidden/>
              </w:rPr>
              <w:fldChar w:fldCharType="separate"/>
            </w:r>
            <w:r w:rsidR="007541F2">
              <w:rPr>
                <w:noProof/>
                <w:webHidden/>
              </w:rPr>
              <w:t>104</w:t>
            </w:r>
            <w:r w:rsidR="007541F2">
              <w:rPr>
                <w:noProof/>
                <w:webHidden/>
              </w:rPr>
              <w:fldChar w:fldCharType="end"/>
            </w:r>
          </w:hyperlink>
        </w:p>
        <w:p w14:paraId="4E0E5058" w14:textId="77DCFE5D"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59" w:history="1">
            <w:r w:rsidR="007541F2" w:rsidRPr="00D27B65">
              <w:rPr>
                <w:rStyle w:val="Hyperlink"/>
                <w:noProof/>
              </w:rPr>
              <w:t>8.2.5</w:t>
            </w:r>
            <w:r w:rsidR="007541F2">
              <w:rPr>
                <w:rFonts w:asciiTheme="minorHAnsi" w:eastAsiaTheme="minorEastAsia" w:hAnsiTheme="minorHAnsi" w:cstheme="minorBidi"/>
                <w:b w:val="0"/>
                <w:noProof/>
                <w:sz w:val="22"/>
                <w:szCs w:val="22"/>
              </w:rPr>
              <w:tab/>
            </w:r>
            <w:r w:rsidR="007541F2" w:rsidRPr="00D27B65">
              <w:rPr>
                <w:rStyle w:val="Hyperlink"/>
                <w:noProof/>
              </w:rPr>
              <w:t>Demographics</w:t>
            </w:r>
            <w:r w:rsidR="007541F2">
              <w:rPr>
                <w:noProof/>
                <w:webHidden/>
              </w:rPr>
              <w:tab/>
            </w:r>
            <w:r w:rsidR="007541F2">
              <w:rPr>
                <w:noProof/>
                <w:webHidden/>
              </w:rPr>
              <w:fldChar w:fldCharType="begin"/>
            </w:r>
            <w:r w:rsidR="007541F2">
              <w:rPr>
                <w:noProof/>
                <w:webHidden/>
              </w:rPr>
              <w:instrText xml:space="preserve"> PAGEREF _Toc535495659 \h </w:instrText>
            </w:r>
            <w:r w:rsidR="007541F2">
              <w:rPr>
                <w:noProof/>
                <w:webHidden/>
              </w:rPr>
            </w:r>
            <w:r w:rsidR="007541F2">
              <w:rPr>
                <w:noProof/>
                <w:webHidden/>
              </w:rPr>
              <w:fldChar w:fldCharType="separate"/>
            </w:r>
            <w:r w:rsidR="007541F2">
              <w:rPr>
                <w:noProof/>
                <w:webHidden/>
              </w:rPr>
              <w:t>104</w:t>
            </w:r>
            <w:r w:rsidR="007541F2">
              <w:rPr>
                <w:noProof/>
                <w:webHidden/>
              </w:rPr>
              <w:fldChar w:fldCharType="end"/>
            </w:r>
          </w:hyperlink>
        </w:p>
        <w:p w14:paraId="162D1B4F" w14:textId="33C016E5" w:rsidR="007541F2" w:rsidRDefault="00017DFD">
          <w:pPr>
            <w:pStyle w:val="TOC3"/>
            <w:tabs>
              <w:tab w:val="right" w:leader="dot" w:pos="9163"/>
            </w:tabs>
            <w:rPr>
              <w:rFonts w:asciiTheme="minorHAnsi" w:eastAsiaTheme="minorEastAsia" w:hAnsiTheme="minorHAnsi" w:cstheme="minorBidi"/>
              <w:b w:val="0"/>
              <w:noProof/>
              <w:sz w:val="22"/>
              <w:szCs w:val="22"/>
            </w:rPr>
          </w:pPr>
          <w:hyperlink w:anchor="_Toc535495660" w:history="1">
            <w:r w:rsidR="007541F2" w:rsidRPr="00D27B65">
              <w:rPr>
                <w:rStyle w:val="Hyperlink"/>
                <w:noProof/>
              </w:rPr>
              <w:t>8.2.5.1 Persons per Household</w:t>
            </w:r>
            <w:r w:rsidR="007541F2">
              <w:rPr>
                <w:noProof/>
                <w:webHidden/>
              </w:rPr>
              <w:tab/>
            </w:r>
            <w:r w:rsidR="007541F2">
              <w:rPr>
                <w:noProof/>
                <w:webHidden/>
              </w:rPr>
              <w:fldChar w:fldCharType="begin"/>
            </w:r>
            <w:r w:rsidR="007541F2">
              <w:rPr>
                <w:noProof/>
                <w:webHidden/>
              </w:rPr>
              <w:instrText xml:space="preserve"> PAGEREF _Toc535495660 \h </w:instrText>
            </w:r>
            <w:r w:rsidR="007541F2">
              <w:rPr>
                <w:noProof/>
                <w:webHidden/>
              </w:rPr>
            </w:r>
            <w:r w:rsidR="007541F2">
              <w:rPr>
                <w:noProof/>
                <w:webHidden/>
              </w:rPr>
              <w:fldChar w:fldCharType="separate"/>
            </w:r>
            <w:r w:rsidR="007541F2">
              <w:rPr>
                <w:noProof/>
                <w:webHidden/>
              </w:rPr>
              <w:t>104</w:t>
            </w:r>
            <w:r w:rsidR="007541F2">
              <w:rPr>
                <w:noProof/>
                <w:webHidden/>
              </w:rPr>
              <w:fldChar w:fldCharType="end"/>
            </w:r>
          </w:hyperlink>
        </w:p>
        <w:p w14:paraId="5B7D6948" w14:textId="1DC6AB83" w:rsidR="007541F2" w:rsidRDefault="00017DFD">
          <w:pPr>
            <w:pStyle w:val="TOC3"/>
            <w:tabs>
              <w:tab w:val="right" w:leader="dot" w:pos="9163"/>
            </w:tabs>
            <w:rPr>
              <w:rFonts w:asciiTheme="minorHAnsi" w:eastAsiaTheme="minorEastAsia" w:hAnsiTheme="minorHAnsi" w:cstheme="minorBidi"/>
              <w:b w:val="0"/>
              <w:noProof/>
              <w:sz w:val="22"/>
              <w:szCs w:val="22"/>
            </w:rPr>
          </w:pPr>
          <w:hyperlink w:anchor="_Toc535495661" w:history="1">
            <w:r w:rsidR="007541F2" w:rsidRPr="00D27B65">
              <w:rPr>
                <w:rStyle w:val="Hyperlink"/>
                <w:noProof/>
              </w:rPr>
              <w:t>8.2.5.2 Housing Type Distribution</w:t>
            </w:r>
            <w:r w:rsidR="007541F2">
              <w:rPr>
                <w:noProof/>
                <w:webHidden/>
              </w:rPr>
              <w:tab/>
            </w:r>
            <w:r w:rsidR="007541F2">
              <w:rPr>
                <w:noProof/>
                <w:webHidden/>
              </w:rPr>
              <w:fldChar w:fldCharType="begin"/>
            </w:r>
            <w:r w:rsidR="007541F2">
              <w:rPr>
                <w:noProof/>
                <w:webHidden/>
              </w:rPr>
              <w:instrText xml:space="preserve"> PAGEREF _Toc535495661 \h </w:instrText>
            </w:r>
            <w:r w:rsidR="007541F2">
              <w:rPr>
                <w:noProof/>
                <w:webHidden/>
              </w:rPr>
            </w:r>
            <w:r w:rsidR="007541F2">
              <w:rPr>
                <w:noProof/>
                <w:webHidden/>
              </w:rPr>
              <w:fldChar w:fldCharType="separate"/>
            </w:r>
            <w:r w:rsidR="007541F2">
              <w:rPr>
                <w:noProof/>
                <w:webHidden/>
              </w:rPr>
              <w:t>104</w:t>
            </w:r>
            <w:r w:rsidR="007541F2">
              <w:rPr>
                <w:noProof/>
                <w:webHidden/>
              </w:rPr>
              <w:fldChar w:fldCharType="end"/>
            </w:r>
          </w:hyperlink>
        </w:p>
        <w:p w14:paraId="753CE936" w14:textId="2A22FC44" w:rsidR="007541F2" w:rsidRDefault="00017DFD">
          <w:pPr>
            <w:pStyle w:val="TOC3"/>
            <w:tabs>
              <w:tab w:val="right" w:leader="dot" w:pos="9163"/>
            </w:tabs>
            <w:rPr>
              <w:rFonts w:asciiTheme="minorHAnsi" w:eastAsiaTheme="minorEastAsia" w:hAnsiTheme="minorHAnsi" w:cstheme="minorBidi"/>
              <w:b w:val="0"/>
              <w:noProof/>
              <w:sz w:val="22"/>
              <w:szCs w:val="22"/>
            </w:rPr>
          </w:pPr>
          <w:hyperlink w:anchor="_Toc535495662" w:history="1">
            <w:r w:rsidR="007541F2" w:rsidRPr="00D27B65">
              <w:rPr>
                <w:rStyle w:val="Hyperlink"/>
                <w:noProof/>
              </w:rPr>
              <w:t>8.2.5.3 Commercial Employment Rate (Commercial Activity)</w:t>
            </w:r>
            <w:r w:rsidR="007541F2">
              <w:rPr>
                <w:noProof/>
                <w:webHidden/>
              </w:rPr>
              <w:tab/>
            </w:r>
            <w:r w:rsidR="007541F2">
              <w:rPr>
                <w:noProof/>
                <w:webHidden/>
              </w:rPr>
              <w:fldChar w:fldCharType="begin"/>
            </w:r>
            <w:r w:rsidR="007541F2">
              <w:rPr>
                <w:noProof/>
                <w:webHidden/>
              </w:rPr>
              <w:instrText xml:space="preserve"> PAGEREF _Toc535495662 \h </w:instrText>
            </w:r>
            <w:r w:rsidR="007541F2">
              <w:rPr>
                <w:noProof/>
                <w:webHidden/>
              </w:rPr>
            </w:r>
            <w:r w:rsidR="007541F2">
              <w:rPr>
                <w:noProof/>
                <w:webHidden/>
              </w:rPr>
              <w:fldChar w:fldCharType="separate"/>
            </w:r>
            <w:r w:rsidR="007541F2">
              <w:rPr>
                <w:noProof/>
                <w:webHidden/>
              </w:rPr>
              <w:t>105</w:t>
            </w:r>
            <w:r w:rsidR="007541F2">
              <w:rPr>
                <w:noProof/>
                <w:webHidden/>
              </w:rPr>
              <w:fldChar w:fldCharType="end"/>
            </w:r>
          </w:hyperlink>
        </w:p>
        <w:p w14:paraId="3CCBB8B3" w14:textId="5A672DAA" w:rsidR="007541F2" w:rsidRDefault="00017DFD">
          <w:pPr>
            <w:pStyle w:val="TOC1"/>
            <w:rPr>
              <w:rFonts w:asciiTheme="minorHAnsi" w:eastAsiaTheme="minorEastAsia" w:hAnsiTheme="minorHAnsi" w:cstheme="minorBidi"/>
              <w:bCs w:val="0"/>
              <w:caps w:val="0"/>
              <w:sz w:val="22"/>
              <w:szCs w:val="22"/>
            </w:rPr>
          </w:pPr>
          <w:hyperlink w:anchor="_Toc535495663" w:history="1">
            <w:r w:rsidR="007541F2" w:rsidRPr="00D27B65">
              <w:rPr>
                <w:rStyle w:val="Hyperlink"/>
                <w:b/>
              </w:rPr>
              <w:t>8.3</w:t>
            </w:r>
            <w:r w:rsidR="007541F2">
              <w:rPr>
                <w:rFonts w:asciiTheme="minorHAnsi" w:eastAsiaTheme="minorEastAsia" w:hAnsiTheme="minorHAnsi" w:cstheme="minorBidi"/>
                <w:bCs w:val="0"/>
                <w:caps w:val="0"/>
                <w:sz w:val="22"/>
                <w:szCs w:val="22"/>
              </w:rPr>
              <w:tab/>
            </w:r>
            <w:r w:rsidR="007541F2" w:rsidRPr="00D27B65">
              <w:rPr>
                <w:rStyle w:val="Hyperlink"/>
                <w:b/>
              </w:rPr>
              <w:t>FUEL PRICE ASSUMPTIONS</w:t>
            </w:r>
            <w:r w:rsidR="007541F2">
              <w:rPr>
                <w:webHidden/>
              </w:rPr>
              <w:tab/>
            </w:r>
            <w:r w:rsidR="007541F2">
              <w:rPr>
                <w:webHidden/>
              </w:rPr>
              <w:fldChar w:fldCharType="begin"/>
            </w:r>
            <w:r w:rsidR="007541F2">
              <w:rPr>
                <w:webHidden/>
              </w:rPr>
              <w:instrText xml:space="preserve"> PAGEREF _Toc535495663 \h </w:instrText>
            </w:r>
            <w:r w:rsidR="007541F2">
              <w:rPr>
                <w:webHidden/>
              </w:rPr>
            </w:r>
            <w:r w:rsidR="007541F2">
              <w:rPr>
                <w:webHidden/>
              </w:rPr>
              <w:fldChar w:fldCharType="separate"/>
            </w:r>
            <w:r w:rsidR="007541F2">
              <w:rPr>
                <w:webHidden/>
              </w:rPr>
              <w:t>105</w:t>
            </w:r>
            <w:r w:rsidR="007541F2">
              <w:rPr>
                <w:webHidden/>
              </w:rPr>
              <w:fldChar w:fldCharType="end"/>
            </w:r>
          </w:hyperlink>
        </w:p>
        <w:p w14:paraId="6E797D12" w14:textId="14EAEBBF"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64" w:history="1">
            <w:r w:rsidR="007541F2" w:rsidRPr="00D27B65">
              <w:rPr>
                <w:rStyle w:val="Hyperlink"/>
                <w:noProof/>
              </w:rPr>
              <w:t>8.3.1</w:t>
            </w:r>
            <w:r w:rsidR="007541F2">
              <w:rPr>
                <w:rFonts w:asciiTheme="minorHAnsi" w:eastAsiaTheme="minorEastAsia" w:hAnsiTheme="minorHAnsi" w:cstheme="minorBidi"/>
                <w:b w:val="0"/>
                <w:noProof/>
                <w:sz w:val="22"/>
                <w:szCs w:val="22"/>
              </w:rPr>
              <w:tab/>
            </w:r>
            <w:r w:rsidR="007541F2" w:rsidRPr="00D27B65">
              <w:rPr>
                <w:rStyle w:val="Hyperlink"/>
                <w:noProof/>
              </w:rPr>
              <w:t>Forecasts by Fuel Type: Electricity and Natural Gas</w:t>
            </w:r>
            <w:r w:rsidR="007541F2">
              <w:rPr>
                <w:noProof/>
                <w:webHidden/>
              </w:rPr>
              <w:tab/>
            </w:r>
            <w:r w:rsidR="007541F2">
              <w:rPr>
                <w:noProof/>
                <w:webHidden/>
              </w:rPr>
              <w:fldChar w:fldCharType="begin"/>
            </w:r>
            <w:r w:rsidR="007541F2">
              <w:rPr>
                <w:noProof/>
                <w:webHidden/>
              </w:rPr>
              <w:instrText xml:space="preserve"> PAGEREF _Toc535495664 \h </w:instrText>
            </w:r>
            <w:r w:rsidR="007541F2">
              <w:rPr>
                <w:noProof/>
                <w:webHidden/>
              </w:rPr>
            </w:r>
            <w:r w:rsidR="007541F2">
              <w:rPr>
                <w:noProof/>
                <w:webHidden/>
              </w:rPr>
              <w:fldChar w:fldCharType="separate"/>
            </w:r>
            <w:r w:rsidR="007541F2">
              <w:rPr>
                <w:noProof/>
                <w:webHidden/>
              </w:rPr>
              <w:t>105</w:t>
            </w:r>
            <w:r w:rsidR="007541F2">
              <w:rPr>
                <w:noProof/>
                <w:webHidden/>
              </w:rPr>
              <w:fldChar w:fldCharType="end"/>
            </w:r>
          </w:hyperlink>
        </w:p>
        <w:p w14:paraId="45C017C5" w14:textId="747677EA"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65" w:history="1">
            <w:r w:rsidR="007541F2" w:rsidRPr="00D27B65">
              <w:rPr>
                <w:rStyle w:val="Hyperlink"/>
                <w:noProof/>
              </w:rPr>
              <w:t>8.3.2</w:t>
            </w:r>
            <w:r w:rsidR="007541F2">
              <w:rPr>
                <w:rFonts w:asciiTheme="minorHAnsi" w:eastAsiaTheme="minorEastAsia" w:hAnsiTheme="minorHAnsi" w:cstheme="minorBidi"/>
                <w:b w:val="0"/>
                <w:noProof/>
                <w:sz w:val="22"/>
                <w:szCs w:val="22"/>
              </w:rPr>
              <w:tab/>
            </w:r>
            <w:r w:rsidR="007541F2" w:rsidRPr="00D27B65">
              <w:rPr>
                <w:rStyle w:val="Hyperlink"/>
                <w:noProof/>
              </w:rPr>
              <w:t>Substitution of Electricity with Competing Fuels</w:t>
            </w:r>
            <w:r w:rsidR="007541F2">
              <w:rPr>
                <w:noProof/>
                <w:webHidden/>
              </w:rPr>
              <w:tab/>
            </w:r>
            <w:r w:rsidR="007541F2">
              <w:rPr>
                <w:noProof/>
                <w:webHidden/>
              </w:rPr>
              <w:fldChar w:fldCharType="begin"/>
            </w:r>
            <w:r w:rsidR="007541F2">
              <w:rPr>
                <w:noProof/>
                <w:webHidden/>
              </w:rPr>
              <w:instrText xml:space="preserve"> PAGEREF _Toc535495665 \h </w:instrText>
            </w:r>
            <w:r w:rsidR="007541F2">
              <w:rPr>
                <w:noProof/>
                <w:webHidden/>
              </w:rPr>
            </w:r>
            <w:r w:rsidR="007541F2">
              <w:rPr>
                <w:noProof/>
                <w:webHidden/>
              </w:rPr>
              <w:fldChar w:fldCharType="separate"/>
            </w:r>
            <w:r w:rsidR="007541F2">
              <w:rPr>
                <w:noProof/>
                <w:webHidden/>
              </w:rPr>
              <w:t>105</w:t>
            </w:r>
            <w:r w:rsidR="007541F2">
              <w:rPr>
                <w:noProof/>
                <w:webHidden/>
              </w:rPr>
              <w:fldChar w:fldCharType="end"/>
            </w:r>
          </w:hyperlink>
        </w:p>
        <w:p w14:paraId="755CC0B2" w14:textId="62144E93" w:rsidR="007541F2" w:rsidRDefault="00017DFD">
          <w:pPr>
            <w:pStyle w:val="TOC1"/>
            <w:rPr>
              <w:rFonts w:asciiTheme="minorHAnsi" w:eastAsiaTheme="minorEastAsia" w:hAnsiTheme="minorHAnsi" w:cstheme="minorBidi"/>
              <w:bCs w:val="0"/>
              <w:caps w:val="0"/>
              <w:sz w:val="22"/>
              <w:szCs w:val="22"/>
            </w:rPr>
          </w:pPr>
          <w:hyperlink w:anchor="_Toc535495666" w:history="1">
            <w:r w:rsidR="007541F2" w:rsidRPr="00D27B65">
              <w:rPr>
                <w:rStyle w:val="Hyperlink"/>
                <w:b/>
              </w:rPr>
              <w:t>8.4</w:t>
            </w:r>
            <w:r w:rsidR="007541F2">
              <w:rPr>
                <w:rFonts w:asciiTheme="minorHAnsi" w:eastAsiaTheme="minorEastAsia" w:hAnsiTheme="minorHAnsi" w:cstheme="minorBidi"/>
                <w:bCs w:val="0"/>
                <w:caps w:val="0"/>
                <w:sz w:val="22"/>
                <w:szCs w:val="22"/>
              </w:rPr>
              <w:tab/>
            </w:r>
            <w:r w:rsidR="007541F2" w:rsidRPr="00D27B65">
              <w:rPr>
                <w:rStyle w:val="Hyperlink"/>
                <w:b/>
              </w:rPr>
              <w:t>FORECAST ADJUSTMENTS</w:t>
            </w:r>
            <w:r w:rsidR="007541F2">
              <w:rPr>
                <w:webHidden/>
              </w:rPr>
              <w:tab/>
            </w:r>
            <w:r w:rsidR="007541F2">
              <w:rPr>
                <w:webHidden/>
              </w:rPr>
              <w:fldChar w:fldCharType="begin"/>
            </w:r>
            <w:r w:rsidR="007541F2">
              <w:rPr>
                <w:webHidden/>
              </w:rPr>
              <w:instrText xml:space="preserve"> PAGEREF _Toc535495666 \h </w:instrText>
            </w:r>
            <w:r w:rsidR="007541F2">
              <w:rPr>
                <w:webHidden/>
              </w:rPr>
            </w:r>
            <w:r w:rsidR="007541F2">
              <w:rPr>
                <w:webHidden/>
              </w:rPr>
              <w:fldChar w:fldCharType="separate"/>
            </w:r>
            <w:r w:rsidR="007541F2">
              <w:rPr>
                <w:webHidden/>
              </w:rPr>
              <w:t>106</w:t>
            </w:r>
            <w:r w:rsidR="007541F2">
              <w:rPr>
                <w:webHidden/>
              </w:rPr>
              <w:fldChar w:fldCharType="end"/>
            </w:r>
          </w:hyperlink>
        </w:p>
        <w:p w14:paraId="02596E98" w14:textId="295988E9"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67" w:history="1">
            <w:r w:rsidR="007541F2" w:rsidRPr="00D27B65">
              <w:rPr>
                <w:rStyle w:val="Hyperlink"/>
                <w:noProof/>
              </w:rPr>
              <w:t>8.4.1</w:t>
            </w:r>
            <w:r w:rsidR="007541F2">
              <w:rPr>
                <w:rFonts w:asciiTheme="minorHAnsi" w:eastAsiaTheme="minorEastAsia" w:hAnsiTheme="minorHAnsi" w:cstheme="minorBidi"/>
                <w:b w:val="0"/>
                <w:noProof/>
                <w:sz w:val="22"/>
                <w:szCs w:val="22"/>
              </w:rPr>
              <w:tab/>
            </w:r>
            <w:r w:rsidR="007541F2" w:rsidRPr="00D27B65">
              <w:rPr>
                <w:rStyle w:val="Hyperlink"/>
                <w:noProof/>
              </w:rPr>
              <w:t>Demand Side Strategies and Customer Actions</w:t>
            </w:r>
            <w:r w:rsidR="007541F2">
              <w:rPr>
                <w:noProof/>
                <w:webHidden/>
              </w:rPr>
              <w:tab/>
            </w:r>
            <w:r w:rsidR="007541F2">
              <w:rPr>
                <w:noProof/>
                <w:webHidden/>
              </w:rPr>
              <w:fldChar w:fldCharType="begin"/>
            </w:r>
            <w:r w:rsidR="007541F2">
              <w:rPr>
                <w:noProof/>
                <w:webHidden/>
              </w:rPr>
              <w:instrText xml:space="preserve"> PAGEREF _Toc535495667 \h </w:instrText>
            </w:r>
            <w:r w:rsidR="007541F2">
              <w:rPr>
                <w:noProof/>
                <w:webHidden/>
              </w:rPr>
            </w:r>
            <w:r w:rsidR="007541F2">
              <w:rPr>
                <w:noProof/>
                <w:webHidden/>
              </w:rPr>
              <w:fldChar w:fldCharType="separate"/>
            </w:r>
            <w:r w:rsidR="007541F2">
              <w:rPr>
                <w:noProof/>
                <w:webHidden/>
              </w:rPr>
              <w:t>106</w:t>
            </w:r>
            <w:r w:rsidR="007541F2">
              <w:rPr>
                <w:noProof/>
                <w:webHidden/>
              </w:rPr>
              <w:fldChar w:fldCharType="end"/>
            </w:r>
          </w:hyperlink>
        </w:p>
        <w:p w14:paraId="3BF46F7F" w14:textId="18401DF1"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68" w:history="1">
            <w:r w:rsidR="007541F2" w:rsidRPr="00D27B65">
              <w:rPr>
                <w:rStyle w:val="Hyperlink"/>
                <w:noProof/>
              </w:rPr>
              <w:t>8.4.2</w:t>
            </w:r>
            <w:r w:rsidR="007541F2">
              <w:rPr>
                <w:rFonts w:asciiTheme="minorHAnsi" w:eastAsiaTheme="minorEastAsia" w:hAnsiTheme="minorHAnsi" w:cstheme="minorBidi"/>
                <w:b w:val="0"/>
                <w:noProof/>
                <w:sz w:val="22"/>
                <w:szCs w:val="22"/>
              </w:rPr>
              <w:tab/>
            </w:r>
            <w:r w:rsidR="007541F2" w:rsidRPr="00D27B65">
              <w:rPr>
                <w:rStyle w:val="Hyperlink"/>
                <w:noProof/>
              </w:rPr>
              <w:t>Cogeneration</w:t>
            </w:r>
            <w:r w:rsidR="007541F2">
              <w:rPr>
                <w:noProof/>
                <w:webHidden/>
              </w:rPr>
              <w:tab/>
            </w:r>
            <w:r w:rsidR="007541F2">
              <w:rPr>
                <w:noProof/>
                <w:webHidden/>
              </w:rPr>
              <w:fldChar w:fldCharType="begin"/>
            </w:r>
            <w:r w:rsidR="007541F2">
              <w:rPr>
                <w:noProof/>
                <w:webHidden/>
              </w:rPr>
              <w:instrText xml:space="preserve"> PAGEREF _Toc535495668 \h </w:instrText>
            </w:r>
            <w:r w:rsidR="007541F2">
              <w:rPr>
                <w:noProof/>
                <w:webHidden/>
              </w:rPr>
            </w:r>
            <w:r w:rsidR="007541F2">
              <w:rPr>
                <w:noProof/>
                <w:webHidden/>
              </w:rPr>
              <w:fldChar w:fldCharType="separate"/>
            </w:r>
            <w:r w:rsidR="007541F2">
              <w:rPr>
                <w:noProof/>
                <w:webHidden/>
              </w:rPr>
              <w:t>107</w:t>
            </w:r>
            <w:r w:rsidR="007541F2">
              <w:rPr>
                <w:noProof/>
                <w:webHidden/>
              </w:rPr>
              <w:fldChar w:fldCharType="end"/>
            </w:r>
          </w:hyperlink>
        </w:p>
        <w:p w14:paraId="2B663069" w14:textId="09EAF999"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69" w:history="1">
            <w:r w:rsidR="007541F2" w:rsidRPr="00D27B65">
              <w:rPr>
                <w:rStyle w:val="Hyperlink"/>
                <w:noProof/>
              </w:rPr>
              <w:t>8.4.3</w:t>
            </w:r>
            <w:r w:rsidR="007541F2">
              <w:rPr>
                <w:rFonts w:asciiTheme="minorHAnsi" w:eastAsiaTheme="minorEastAsia" w:hAnsiTheme="minorHAnsi" w:cstheme="minorBidi"/>
                <w:b w:val="0"/>
                <w:noProof/>
                <w:sz w:val="22"/>
                <w:szCs w:val="22"/>
              </w:rPr>
              <w:tab/>
            </w:r>
            <w:r w:rsidR="007541F2" w:rsidRPr="00D27B65">
              <w:rPr>
                <w:rStyle w:val="Hyperlink"/>
                <w:noProof/>
              </w:rPr>
              <w:t>Real Time Pricing and Time of Use</w:t>
            </w:r>
            <w:r w:rsidR="007541F2">
              <w:rPr>
                <w:noProof/>
                <w:webHidden/>
              </w:rPr>
              <w:tab/>
            </w:r>
            <w:r w:rsidR="007541F2">
              <w:rPr>
                <w:noProof/>
                <w:webHidden/>
              </w:rPr>
              <w:fldChar w:fldCharType="begin"/>
            </w:r>
            <w:r w:rsidR="007541F2">
              <w:rPr>
                <w:noProof/>
                <w:webHidden/>
              </w:rPr>
              <w:instrText xml:space="preserve"> PAGEREF _Toc535495669 \h </w:instrText>
            </w:r>
            <w:r w:rsidR="007541F2">
              <w:rPr>
                <w:noProof/>
                <w:webHidden/>
              </w:rPr>
            </w:r>
            <w:r w:rsidR="007541F2">
              <w:rPr>
                <w:noProof/>
                <w:webHidden/>
              </w:rPr>
              <w:fldChar w:fldCharType="separate"/>
            </w:r>
            <w:r w:rsidR="007541F2">
              <w:rPr>
                <w:noProof/>
                <w:webHidden/>
              </w:rPr>
              <w:t>107</w:t>
            </w:r>
            <w:r w:rsidR="007541F2">
              <w:rPr>
                <w:noProof/>
                <w:webHidden/>
              </w:rPr>
              <w:fldChar w:fldCharType="end"/>
            </w:r>
          </w:hyperlink>
        </w:p>
        <w:p w14:paraId="0A5BEB63" w14:textId="09D8251A"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70" w:history="1">
            <w:r w:rsidR="007541F2" w:rsidRPr="00D27B65">
              <w:rPr>
                <w:rStyle w:val="Hyperlink"/>
                <w:noProof/>
              </w:rPr>
              <w:t>8.4.4</w:t>
            </w:r>
            <w:r w:rsidR="007541F2">
              <w:rPr>
                <w:rFonts w:asciiTheme="minorHAnsi" w:eastAsiaTheme="minorEastAsia" w:hAnsiTheme="minorHAnsi" w:cstheme="minorBidi"/>
                <w:b w:val="0"/>
                <w:noProof/>
                <w:sz w:val="22"/>
                <w:szCs w:val="22"/>
              </w:rPr>
              <w:tab/>
            </w:r>
            <w:r w:rsidR="007541F2" w:rsidRPr="00D27B65">
              <w:rPr>
                <w:rStyle w:val="Hyperlink"/>
                <w:noProof/>
              </w:rPr>
              <w:t>Electric Vehicles</w:t>
            </w:r>
            <w:r w:rsidR="007541F2">
              <w:rPr>
                <w:noProof/>
                <w:webHidden/>
              </w:rPr>
              <w:tab/>
            </w:r>
            <w:r w:rsidR="007541F2">
              <w:rPr>
                <w:noProof/>
                <w:webHidden/>
              </w:rPr>
              <w:fldChar w:fldCharType="begin"/>
            </w:r>
            <w:r w:rsidR="007541F2">
              <w:rPr>
                <w:noProof/>
                <w:webHidden/>
              </w:rPr>
              <w:instrText xml:space="preserve"> PAGEREF _Toc535495670 \h </w:instrText>
            </w:r>
            <w:r w:rsidR="007541F2">
              <w:rPr>
                <w:noProof/>
                <w:webHidden/>
              </w:rPr>
            </w:r>
            <w:r w:rsidR="007541F2">
              <w:rPr>
                <w:noProof/>
                <w:webHidden/>
              </w:rPr>
              <w:fldChar w:fldCharType="separate"/>
            </w:r>
            <w:r w:rsidR="007541F2">
              <w:rPr>
                <w:noProof/>
                <w:webHidden/>
              </w:rPr>
              <w:t>108</w:t>
            </w:r>
            <w:r w:rsidR="007541F2">
              <w:rPr>
                <w:noProof/>
                <w:webHidden/>
              </w:rPr>
              <w:fldChar w:fldCharType="end"/>
            </w:r>
          </w:hyperlink>
        </w:p>
        <w:p w14:paraId="0361F422" w14:textId="647A039F"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71" w:history="1">
            <w:r w:rsidR="007541F2" w:rsidRPr="00D27B65">
              <w:rPr>
                <w:rStyle w:val="Hyperlink"/>
                <w:noProof/>
              </w:rPr>
              <w:t>8.4.5</w:t>
            </w:r>
            <w:r w:rsidR="007541F2">
              <w:rPr>
                <w:rFonts w:asciiTheme="minorHAnsi" w:eastAsiaTheme="minorEastAsia" w:hAnsiTheme="minorHAnsi" w:cstheme="minorBidi"/>
                <w:b w:val="0"/>
                <w:noProof/>
                <w:sz w:val="22"/>
                <w:szCs w:val="22"/>
              </w:rPr>
              <w:tab/>
            </w:r>
            <w:r w:rsidR="007541F2" w:rsidRPr="00D27B65">
              <w:rPr>
                <w:rStyle w:val="Hyperlink"/>
                <w:noProof/>
              </w:rPr>
              <w:t>Behind-The-Meter Solar</w:t>
            </w:r>
            <w:r w:rsidR="007541F2">
              <w:rPr>
                <w:noProof/>
                <w:webHidden/>
              </w:rPr>
              <w:tab/>
            </w:r>
            <w:r w:rsidR="007541F2">
              <w:rPr>
                <w:noProof/>
                <w:webHidden/>
              </w:rPr>
              <w:fldChar w:fldCharType="begin"/>
            </w:r>
            <w:r w:rsidR="007541F2">
              <w:rPr>
                <w:noProof/>
                <w:webHidden/>
              </w:rPr>
              <w:instrText xml:space="preserve"> PAGEREF _Toc535495671 \h </w:instrText>
            </w:r>
            <w:r w:rsidR="007541F2">
              <w:rPr>
                <w:noProof/>
                <w:webHidden/>
              </w:rPr>
            </w:r>
            <w:r w:rsidR="007541F2">
              <w:rPr>
                <w:noProof/>
                <w:webHidden/>
              </w:rPr>
              <w:fldChar w:fldCharType="separate"/>
            </w:r>
            <w:r w:rsidR="007541F2">
              <w:rPr>
                <w:noProof/>
                <w:webHidden/>
              </w:rPr>
              <w:t>108</w:t>
            </w:r>
            <w:r w:rsidR="007541F2">
              <w:rPr>
                <w:noProof/>
                <w:webHidden/>
              </w:rPr>
              <w:fldChar w:fldCharType="end"/>
            </w:r>
          </w:hyperlink>
        </w:p>
        <w:p w14:paraId="5FDF748C" w14:textId="7C75E3D3" w:rsidR="007541F2" w:rsidRDefault="00017DFD">
          <w:pPr>
            <w:pStyle w:val="TOC1"/>
            <w:rPr>
              <w:rFonts w:asciiTheme="minorHAnsi" w:eastAsiaTheme="minorEastAsia" w:hAnsiTheme="minorHAnsi" w:cstheme="minorBidi"/>
              <w:bCs w:val="0"/>
              <w:caps w:val="0"/>
              <w:sz w:val="22"/>
              <w:szCs w:val="22"/>
            </w:rPr>
          </w:pPr>
          <w:hyperlink w:anchor="_Toc535495672" w:history="1">
            <w:r w:rsidR="007541F2" w:rsidRPr="00D27B65">
              <w:rPr>
                <w:rStyle w:val="Hyperlink"/>
                <w:b/>
              </w:rPr>
              <w:t>8.5</w:t>
            </w:r>
            <w:r w:rsidR="007541F2">
              <w:rPr>
                <w:rFonts w:asciiTheme="minorHAnsi" w:eastAsiaTheme="minorEastAsia" w:hAnsiTheme="minorHAnsi" w:cstheme="minorBidi"/>
                <w:bCs w:val="0"/>
                <w:caps w:val="0"/>
                <w:sz w:val="22"/>
                <w:szCs w:val="22"/>
              </w:rPr>
              <w:tab/>
            </w:r>
            <w:r w:rsidR="007541F2" w:rsidRPr="00D27B65">
              <w:rPr>
                <w:rStyle w:val="Hyperlink"/>
                <w:b/>
              </w:rPr>
              <w:t>IMPACTS OF APPLIANCE EFFICIENCY STANDARDS</w:t>
            </w:r>
            <w:r w:rsidR="007541F2">
              <w:rPr>
                <w:webHidden/>
              </w:rPr>
              <w:tab/>
            </w:r>
            <w:r w:rsidR="007541F2">
              <w:rPr>
                <w:webHidden/>
              </w:rPr>
              <w:fldChar w:fldCharType="begin"/>
            </w:r>
            <w:r w:rsidR="007541F2">
              <w:rPr>
                <w:webHidden/>
              </w:rPr>
              <w:instrText xml:space="preserve"> PAGEREF _Toc535495672 \h </w:instrText>
            </w:r>
            <w:r w:rsidR="007541F2">
              <w:rPr>
                <w:webHidden/>
              </w:rPr>
            </w:r>
            <w:r w:rsidR="007541F2">
              <w:rPr>
                <w:webHidden/>
              </w:rPr>
              <w:fldChar w:fldCharType="separate"/>
            </w:r>
            <w:r w:rsidR="007541F2">
              <w:rPr>
                <w:webHidden/>
              </w:rPr>
              <w:t>108</w:t>
            </w:r>
            <w:r w:rsidR="007541F2">
              <w:rPr>
                <w:webHidden/>
              </w:rPr>
              <w:fldChar w:fldCharType="end"/>
            </w:r>
          </w:hyperlink>
        </w:p>
        <w:p w14:paraId="1A87018B" w14:textId="4CC3C48D" w:rsidR="007541F2" w:rsidRDefault="00017DFD">
          <w:pPr>
            <w:pStyle w:val="TOC1"/>
            <w:rPr>
              <w:rFonts w:asciiTheme="minorHAnsi" w:eastAsiaTheme="minorEastAsia" w:hAnsiTheme="minorHAnsi" w:cstheme="minorBidi"/>
              <w:bCs w:val="0"/>
              <w:caps w:val="0"/>
              <w:sz w:val="22"/>
              <w:szCs w:val="22"/>
            </w:rPr>
          </w:pPr>
          <w:hyperlink w:anchor="_Toc535495673" w:history="1">
            <w:r w:rsidR="007541F2" w:rsidRPr="00D27B65">
              <w:rPr>
                <w:rStyle w:val="Hyperlink"/>
                <w:b/>
              </w:rPr>
              <w:t>8.6</w:t>
            </w:r>
            <w:r w:rsidR="007541F2">
              <w:rPr>
                <w:rFonts w:asciiTheme="minorHAnsi" w:eastAsiaTheme="minorEastAsia" w:hAnsiTheme="minorHAnsi" w:cstheme="minorBidi"/>
                <w:bCs w:val="0"/>
                <w:caps w:val="0"/>
                <w:sz w:val="22"/>
                <w:szCs w:val="22"/>
              </w:rPr>
              <w:tab/>
            </w:r>
            <w:r w:rsidR="007541F2" w:rsidRPr="00D27B65">
              <w:rPr>
                <w:rStyle w:val="Hyperlink"/>
                <w:b/>
              </w:rPr>
              <w:t>Budget 2019 Energy Prices and Forecast Adjustments</w:t>
            </w:r>
            <w:r w:rsidR="007541F2">
              <w:rPr>
                <w:webHidden/>
              </w:rPr>
              <w:tab/>
            </w:r>
            <w:r w:rsidR="007541F2">
              <w:rPr>
                <w:webHidden/>
              </w:rPr>
              <w:fldChar w:fldCharType="begin"/>
            </w:r>
            <w:r w:rsidR="007541F2">
              <w:rPr>
                <w:webHidden/>
              </w:rPr>
              <w:instrText xml:space="preserve"> PAGEREF _Toc535495673 \h </w:instrText>
            </w:r>
            <w:r w:rsidR="007541F2">
              <w:rPr>
                <w:webHidden/>
              </w:rPr>
            </w:r>
            <w:r w:rsidR="007541F2">
              <w:rPr>
                <w:webHidden/>
              </w:rPr>
              <w:fldChar w:fldCharType="separate"/>
            </w:r>
            <w:r w:rsidR="007541F2">
              <w:rPr>
                <w:webHidden/>
              </w:rPr>
              <w:t>110</w:t>
            </w:r>
            <w:r w:rsidR="007541F2">
              <w:rPr>
                <w:webHidden/>
              </w:rPr>
              <w:fldChar w:fldCharType="end"/>
            </w:r>
          </w:hyperlink>
        </w:p>
        <w:p w14:paraId="4852ED70" w14:textId="5BAE19D1" w:rsidR="007541F2" w:rsidRDefault="00017DFD">
          <w:pPr>
            <w:pStyle w:val="TOC1"/>
            <w:rPr>
              <w:rFonts w:asciiTheme="minorHAnsi" w:eastAsiaTheme="minorEastAsia" w:hAnsiTheme="minorHAnsi" w:cstheme="minorBidi"/>
              <w:bCs w:val="0"/>
              <w:caps w:val="0"/>
              <w:sz w:val="22"/>
              <w:szCs w:val="22"/>
            </w:rPr>
          </w:pPr>
          <w:hyperlink w:anchor="_Toc535495674" w:history="1">
            <w:r w:rsidR="007541F2" w:rsidRPr="00D27B65">
              <w:rPr>
                <w:rStyle w:val="Hyperlink"/>
                <w:b/>
              </w:rPr>
              <w:t>8.7</w:t>
            </w:r>
            <w:r w:rsidR="007541F2">
              <w:rPr>
                <w:rFonts w:asciiTheme="minorHAnsi" w:eastAsiaTheme="minorEastAsia" w:hAnsiTheme="minorHAnsi" w:cstheme="minorBidi"/>
                <w:bCs w:val="0"/>
                <w:caps w:val="0"/>
                <w:sz w:val="22"/>
                <w:szCs w:val="22"/>
              </w:rPr>
              <w:tab/>
            </w:r>
            <w:r w:rsidR="007541F2" w:rsidRPr="00D27B65">
              <w:rPr>
                <w:rStyle w:val="Hyperlink"/>
                <w:b/>
              </w:rPr>
              <w:t>RESOURCE SIDE DEMAND SIDE OPTIONS</w:t>
            </w:r>
            <w:r w:rsidR="007541F2">
              <w:rPr>
                <w:webHidden/>
              </w:rPr>
              <w:tab/>
            </w:r>
            <w:r w:rsidR="007541F2">
              <w:rPr>
                <w:webHidden/>
              </w:rPr>
              <w:fldChar w:fldCharType="begin"/>
            </w:r>
            <w:r w:rsidR="007541F2">
              <w:rPr>
                <w:webHidden/>
              </w:rPr>
              <w:instrText xml:space="preserve"> PAGEREF _Toc535495674 \h </w:instrText>
            </w:r>
            <w:r w:rsidR="007541F2">
              <w:rPr>
                <w:webHidden/>
              </w:rPr>
            </w:r>
            <w:r w:rsidR="007541F2">
              <w:rPr>
                <w:webHidden/>
              </w:rPr>
              <w:fldChar w:fldCharType="separate"/>
            </w:r>
            <w:r w:rsidR="007541F2">
              <w:rPr>
                <w:webHidden/>
              </w:rPr>
              <w:t>115</w:t>
            </w:r>
            <w:r w:rsidR="007541F2">
              <w:rPr>
                <w:webHidden/>
              </w:rPr>
              <w:fldChar w:fldCharType="end"/>
            </w:r>
          </w:hyperlink>
        </w:p>
        <w:p w14:paraId="306BC784" w14:textId="48B23BD1" w:rsidR="007541F2" w:rsidRDefault="00017DFD">
          <w:pPr>
            <w:pStyle w:val="TOC1"/>
            <w:rPr>
              <w:rFonts w:asciiTheme="minorHAnsi" w:eastAsiaTheme="minorEastAsia" w:hAnsiTheme="minorHAnsi" w:cstheme="minorBidi"/>
              <w:bCs w:val="0"/>
              <w:caps w:val="0"/>
              <w:sz w:val="22"/>
              <w:szCs w:val="22"/>
            </w:rPr>
          </w:pPr>
          <w:hyperlink w:anchor="_Toc535495675" w:history="1">
            <w:r w:rsidR="007541F2" w:rsidRPr="00D27B65">
              <w:rPr>
                <w:rStyle w:val="Hyperlink"/>
                <w:b/>
              </w:rPr>
              <w:t>9.0</w:t>
            </w:r>
            <w:r w:rsidR="007541F2">
              <w:rPr>
                <w:rFonts w:asciiTheme="minorHAnsi" w:eastAsiaTheme="minorEastAsia" w:hAnsiTheme="minorHAnsi" w:cstheme="minorBidi"/>
                <w:bCs w:val="0"/>
                <w:caps w:val="0"/>
                <w:sz w:val="22"/>
                <w:szCs w:val="22"/>
              </w:rPr>
              <w:tab/>
            </w:r>
            <w:r w:rsidR="007541F2" w:rsidRPr="00D27B65">
              <w:rPr>
                <w:rStyle w:val="Hyperlink"/>
                <w:b/>
              </w:rPr>
              <w:t>FINAL IRP REQUIREMENT OVERVIEW</w:t>
            </w:r>
            <w:r w:rsidR="007541F2">
              <w:rPr>
                <w:webHidden/>
              </w:rPr>
              <w:tab/>
            </w:r>
            <w:r w:rsidR="007541F2">
              <w:rPr>
                <w:webHidden/>
              </w:rPr>
              <w:fldChar w:fldCharType="begin"/>
            </w:r>
            <w:r w:rsidR="007541F2">
              <w:rPr>
                <w:webHidden/>
              </w:rPr>
              <w:instrText xml:space="preserve"> PAGEREF _Toc535495675 \h </w:instrText>
            </w:r>
            <w:r w:rsidR="007541F2">
              <w:rPr>
                <w:webHidden/>
              </w:rPr>
            </w:r>
            <w:r w:rsidR="007541F2">
              <w:rPr>
                <w:webHidden/>
              </w:rPr>
              <w:fldChar w:fldCharType="separate"/>
            </w:r>
            <w:r w:rsidR="007541F2">
              <w:rPr>
                <w:webHidden/>
              </w:rPr>
              <w:t>116</w:t>
            </w:r>
            <w:r w:rsidR="007541F2">
              <w:rPr>
                <w:webHidden/>
              </w:rPr>
              <w:fldChar w:fldCharType="end"/>
            </w:r>
          </w:hyperlink>
        </w:p>
        <w:p w14:paraId="31D1E706" w14:textId="68EDD1BD" w:rsidR="007541F2" w:rsidRDefault="00017DFD">
          <w:pPr>
            <w:pStyle w:val="TOC1"/>
            <w:rPr>
              <w:rFonts w:asciiTheme="minorHAnsi" w:eastAsiaTheme="minorEastAsia" w:hAnsiTheme="minorHAnsi" w:cstheme="minorBidi"/>
              <w:bCs w:val="0"/>
              <w:caps w:val="0"/>
              <w:sz w:val="22"/>
              <w:szCs w:val="22"/>
            </w:rPr>
          </w:pPr>
          <w:hyperlink w:anchor="_Toc535495676" w:history="1">
            <w:r w:rsidR="007541F2" w:rsidRPr="00D27B65">
              <w:rPr>
                <w:rStyle w:val="Hyperlink"/>
                <w:b/>
              </w:rPr>
              <w:t>9.1</w:t>
            </w:r>
            <w:r w:rsidR="007541F2">
              <w:rPr>
                <w:rFonts w:asciiTheme="minorHAnsi" w:eastAsiaTheme="minorEastAsia" w:hAnsiTheme="minorHAnsi" w:cstheme="minorBidi"/>
                <w:bCs w:val="0"/>
                <w:caps w:val="0"/>
                <w:sz w:val="22"/>
                <w:szCs w:val="22"/>
              </w:rPr>
              <w:tab/>
            </w:r>
            <w:r w:rsidR="007541F2" w:rsidRPr="00D27B65">
              <w:rPr>
                <w:rStyle w:val="Hyperlink"/>
                <w:b/>
              </w:rPr>
              <w:t>DESCRIPTION OF WEATHER NORMALIZATION</w:t>
            </w:r>
            <w:r w:rsidR="007541F2">
              <w:rPr>
                <w:webHidden/>
              </w:rPr>
              <w:tab/>
            </w:r>
            <w:r w:rsidR="007541F2">
              <w:rPr>
                <w:webHidden/>
              </w:rPr>
              <w:fldChar w:fldCharType="begin"/>
            </w:r>
            <w:r w:rsidR="007541F2">
              <w:rPr>
                <w:webHidden/>
              </w:rPr>
              <w:instrText xml:space="preserve"> PAGEREF _Toc535495676 \h </w:instrText>
            </w:r>
            <w:r w:rsidR="007541F2">
              <w:rPr>
                <w:webHidden/>
              </w:rPr>
            </w:r>
            <w:r w:rsidR="007541F2">
              <w:rPr>
                <w:webHidden/>
              </w:rPr>
              <w:fldChar w:fldCharType="separate"/>
            </w:r>
            <w:r w:rsidR="007541F2">
              <w:rPr>
                <w:webHidden/>
              </w:rPr>
              <w:t>116</w:t>
            </w:r>
            <w:r w:rsidR="007541F2">
              <w:rPr>
                <w:webHidden/>
              </w:rPr>
              <w:fldChar w:fldCharType="end"/>
            </w:r>
          </w:hyperlink>
        </w:p>
        <w:p w14:paraId="5C98A360" w14:textId="21583FC0" w:rsidR="007541F2" w:rsidRDefault="00017DFD">
          <w:pPr>
            <w:pStyle w:val="TOC1"/>
            <w:rPr>
              <w:rFonts w:asciiTheme="minorHAnsi" w:eastAsiaTheme="minorEastAsia" w:hAnsiTheme="minorHAnsi" w:cstheme="minorBidi"/>
              <w:bCs w:val="0"/>
              <w:caps w:val="0"/>
              <w:sz w:val="22"/>
              <w:szCs w:val="22"/>
            </w:rPr>
          </w:pPr>
          <w:hyperlink w:anchor="_Toc535495677" w:history="1">
            <w:r w:rsidR="007541F2" w:rsidRPr="00D27B65">
              <w:rPr>
                <w:rStyle w:val="Hyperlink"/>
                <w:b/>
              </w:rPr>
              <w:t>9.2</w:t>
            </w:r>
            <w:r w:rsidR="007541F2">
              <w:rPr>
                <w:rFonts w:asciiTheme="minorHAnsi" w:eastAsiaTheme="minorEastAsia" w:hAnsiTheme="minorHAnsi" w:cstheme="minorBidi"/>
                <w:bCs w:val="0"/>
                <w:caps w:val="0"/>
                <w:sz w:val="22"/>
                <w:szCs w:val="22"/>
              </w:rPr>
              <w:tab/>
            </w:r>
            <w:r w:rsidR="007541F2" w:rsidRPr="00D27B65">
              <w:rPr>
                <w:rStyle w:val="Hyperlink"/>
                <w:b/>
              </w:rPr>
              <w:t>REVIEW OF ECONOMIC INPUT AND LOAD PROFILES</w:t>
            </w:r>
            <w:r w:rsidR="007541F2">
              <w:rPr>
                <w:webHidden/>
              </w:rPr>
              <w:tab/>
            </w:r>
            <w:r w:rsidR="007541F2">
              <w:rPr>
                <w:webHidden/>
              </w:rPr>
              <w:fldChar w:fldCharType="begin"/>
            </w:r>
            <w:r w:rsidR="007541F2">
              <w:rPr>
                <w:webHidden/>
              </w:rPr>
              <w:instrText xml:space="preserve"> PAGEREF _Toc535495677 \h </w:instrText>
            </w:r>
            <w:r w:rsidR="007541F2">
              <w:rPr>
                <w:webHidden/>
              </w:rPr>
            </w:r>
            <w:r w:rsidR="007541F2">
              <w:rPr>
                <w:webHidden/>
              </w:rPr>
              <w:fldChar w:fldCharType="separate"/>
            </w:r>
            <w:r w:rsidR="007541F2">
              <w:rPr>
                <w:webHidden/>
              </w:rPr>
              <w:t>117</w:t>
            </w:r>
            <w:r w:rsidR="007541F2">
              <w:rPr>
                <w:webHidden/>
              </w:rPr>
              <w:fldChar w:fldCharType="end"/>
            </w:r>
          </w:hyperlink>
        </w:p>
        <w:p w14:paraId="66C07DAD" w14:textId="034043A4" w:rsidR="007541F2" w:rsidRDefault="00017DFD">
          <w:pPr>
            <w:pStyle w:val="TOC1"/>
            <w:rPr>
              <w:rFonts w:asciiTheme="minorHAnsi" w:eastAsiaTheme="minorEastAsia" w:hAnsiTheme="minorHAnsi" w:cstheme="minorBidi"/>
              <w:bCs w:val="0"/>
              <w:caps w:val="0"/>
              <w:sz w:val="22"/>
              <w:szCs w:val="22"/>
            </w:rPr>
          </w:pPr>
          <w:hyperlink w:anchor="_Toc535495678" w:history="1">
            <w:r w:rsidR="007541F2" w:rsidRPr="00D27B65">
              <w:rPr>
                <w:rStyle w:val="Hyperlink"/>
                <w:b/>
              </w:rPr>
              <w:t>9.3</w:t>
            </w:r>
            <w:r w:rsidR="007541F2">
              <w:rPr>
                <w:rFonts w:asciiTheme="minorHAnsi" w:eastAsiaTheme="minorEastAsia" w:hAnsiTheme="minorHAnsi" w:cstheme="minorBidi"/>
                <w:bCs w:val="0"/>
                <w:caps w:val="0"/>
                <w:sz w:val="22"/>
                <w:szCs w:val="22"/>
              </w:rPr>
              <w:tab/>
            </w:r>
            <w:r w:rsidR="007541F2" w:rsidRPr="00D27B65">
              <w:rPr>
                <w:rStyle w:val="Hyperlink"/>
                <w:b/>
              </w:rPr>
              <w:t>ACTUAL &amp; EXPECTED INTERRUPTIBLE DEMAND</w:t>
            </w:r>
            <w:r w:rsidR="007541F2">
              <w:rPr>
                <w:webHidden/>
              </w:rPr>
              <w:tab/>
            </w:r>
            <w:r w:rsidR="007541F2">
              <w:rPr>
                <w:webHidden/>
              </w:rPr>
              <w:fldChar w:fldCharType="begin"/>
            </w:r>
            <w:r w:rsidR="007541F2">
              <w:rPr>
                <w:webHidden/>
              </w:rPr>
              <w:instrText xml:space="preserve"> PAGEREF _Toc535495678 \h </w:instrText>
            </w:r>
            <w:r w:rsidR="007541F2">
              <w:rPr>
                <w:webHidden/>
              </w:rPr>
            </w:r>
            <w:r w:rsidR="007541F2">
              <w:rPr>
                <w:webHidden/>
              </w:rPr>
              <w:fldChar w:fldCharType="separate"/>
            </w:r>
            <w:r w:rsidR="007541F2">
              <w:rPr>
                <w:webHidden/>
              </w:rPr>
              <w:t>155</w:t>
            </w:r>
            <w:r w:rsidR="007541F2">
              <w:rPr>
                <w:webHidden/>
              </w:rPr>
              <w:fldChar w:fldCharType="end"/>
            </w:r>
          </w:hyperlink>
        </w:p>
        <w:p w14:paraId="01A253F5" w14:textId="23F4DEA9" w:rsidR="007541F2" w:rsidRDefault="00017DFD">
          <w:pPr>
            <w:pStyle w:val="TOC1"/>
            <w:rPr>
              <w:rFonts w:asciiTheme="minorHAnsi" w:eastAsiaTheme="minorEastAsia" w:hAnsiTheme="minorHAnsi" w:cstheme="minorBidi"/>
              <w:bCs w:val="0"/>
              <w:caps w:val="0"/>
              <w:sz w:val="22"/>
              <w:szCs w:val="22"/>
            </w:rPr>
          </w:pPr>
          <w:hyperlink w:anchor="_Toc535495679" w:history="1">
            <w:r w:rsidR="007541F2" w:rsidRPr="00D27B65">
              <w:rPr>
                <w:rStyle w:val="Hyperlink"/>
                <w:b/>
              </w:rPr>
              <w:t>9.4</w:t>
            </w:r>
            <w:r w:rsidR="007541F2">
              <w:rPr>
                <w:rFonts w:asciiTheme="minorHAnsi" w:eastAsiaTheme="minorEastAsia" w:hAnsiTheme="minorHAnsi" w:cstheme="minorBidi"/>
                <w:bCs w:val="0"/>
                <w:caps w:val="0"/>
                <w:sz w:val="22"/>
                <w:szCs w:val="22"/>
              </w:rPr>
              <w:tab/>
            </w:r>
            <w:r w:rsidR="007541F2" w:rsidRPr="00D27B65">
              <w:rPr>
                <w:rStyle w:val="Hyperlink"/>
                <w:b/>
              </w:rPr>
              <w:t>EVALUATION OF PREVIOUS FORECASTS</w:t>
            </w:r>
            <w:r w:rsidR="007541F2">
              <w:rPr>
                <w:webHidden/>
              </w:rPr>
              <w:tab/>
            </w:r>
            <w:r w:rsidR="007541F2">
              <w:rPr>
                <w:webHidden/>
              </w:rPr>
              <w:fldChar w:fldCharType="begin"/>
            </w:r>
            <w:r w:rsidR="007541F2">
              <w:rPr>
                <w:webHidden/>
              </w:rPr>
              <w:instrText xml:space="preserve"> PAGEREF _Toc535495679 \h </w:instrText>
            </w:r>
            <w:r w:rsidR="007541F2">
              <w:rPr>
                <w:webHidden/>
              </w:rPr>
            </w:r>
            <w:r w:rsidR="007541F2">
              <w:rPr>
                <w:webHidden/>
              </w:rPr>
              <w:fldChar w:fldCharType="separate"/>
            </w:r>
            <w:r w:rsidR="007541F2">
              <w:rPr>
                <w:webHidden/>
              </w:rPr>
              <w:t>155</w:t>
            </w:r>
            <w:r w:rsidR="007541F2">
              <w:rPr>
                <w:webHidden/>
              </w:rPr>
              <w:fldChar w:fldCharType="end"/>
            </w:r>
          </w:hyperlink>
        </w:p>
        <w:p w14:paraId="4B7B8604" w14:textId="23E8E8F2"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80" w:history="1">
            <w:r w:rsidR="007541F2" w:rsidRPr="00D27B65">
              <w:rPr>
                <w:rStyle w:val="Hyperlink"/>
                <w:noProof/>
              </w:rPr>
              <w:t>9.4.1</w:t>
            </w:r>
            <w:r w:rsidR="007541F2">
              <w:rPr>
                <w:rFonts w:asciiTheme="minorHAnsi" w:eastAsiaTheme="minorEastAsia" w:hAnsiTheme="minorHAnsi" w:cstheme="minorBidi"/>
                <w:b w:val="0"/>
                <w:noProof/>
                <w:sz w:val="22"/>
                <w:szCs w:val="22"/>
              </w:rPr>
              <w:tab/>
            </w:r>
            <w:r w:rsidR="007541F2" w:rsidRPr="00D27B65">
              <w:rPr>
                <w:rStyle w:val="Hyperlink"/>
                <w:noProof/>
              </w:rPr>
              <w:t>General Enhancements</w:t>
            </w:r>
            <w:r w:rsidR="007541F2">
              <w:rPr>
                <w:noProof/>
                <w:webHidden/>
              </w:rPr>
              <w:tab/>
            </w:r>
            <w:r w:rsidR="007541F2">
              <w:rPr>
                <w:noProof/>
                <w:webHidden/>
              </w:rPr>
              <w:fldChar w:fldCharType="begin"/>
            </w:r>
            <w:r w:rsidR="007541F2">
              <w:rPr>
                <w:noProof/>
                <w:webHidden/>
              </w:rPr>
              <w:instrText xml:space="preserve"> PAGEREF _Toc535495680 \h </w:instrText>
            </w:r>
            <w:r w:rsidR="007541F2">
              <w:rPr>
                <w:noProof/>
                <w:webHidden/>
              </w:rPr>
            </w:r>
            <w:r w:rsidR="007541F2">
              <w:rPr>
                <w:noProof/>
                <w:webHidden/>
              </w:rPr>
              <w:fldChar w:fldCharType="separate"/>
            </w:r>
            <w:r w:rsidR="007541F2">
              <w:rPr>
                <w:noProof/>
                <w:webHidden/>
              </w:rPr>
              <w:t>161</w:t>
            </w:r>
            <w:r w:rsidR="007541F2">
              <w:rPr>
                <w:noProof/>
                <w:webHidden/>
              </w:rPr>
              <w:fldChar w:fldCharType="end"/>
            </w:r>
          </w:hyperlink>
        </w:p>
        <w:p w14:paraId="5CD12124" w14:textId="6B089CA5"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81" w:history="1">
            <w:r w:rsidR="007541F2" w:rsidRPr="00D27B65">
              <w:rPr>
                <w:rStyle w:val="Hyperlink"/>
                <w:noProof/>
              </w:rPr>
              <w:t>9.4.2</w:t>
            </w:r>
            <w:r w:rsidR="007541F2">
              <w:rPr>
                <w:rFonts w:asciiTheme="minorHAnsi" w:eastAsiaTheme="minorEastAsia" w:hAnsiTheme="minorHAnsi" w:cstheme="minorBidi"/>
                <w:b w:val="0"/>
                <w:noProof/>
                <w:sz w:val="22"/>
                <w:szCs w:val="22"/>
              </w:rPr>
              <w:tab/>
            </w:r>
            <w:r w:rsidR="007541F2" w:rsidRPr="00D27B65">
              <w:rPr>
                <w:rStyle w:val="Hyperlink"/>
                <w:noProof/>
              </w:rPr>
              <w:t>Specific Enhancements</w:t>
            </w:r>
            <w:r w:rsidR="007541F2">
              <w:rPr>
                <w:noProof/>
                <w:webHidden/>
              </w:rPr>
              <w:tab/>
            </w:r>
            <w:r w:rsidR="007541F2">
              <w:rPr>
                <w:noProof/>
                <w:webHidden/>
              </w:rPr>
              <w:fldChar w:fldCharType="begin"/>
            </w:r>
            <w:r w:rsidR="007541F2">
              <w:rPr>
                <w:noProof/>
                <w:webHidden/>
              </w:rPr>
              <w:instrText xml:space="preserve"> PAGEREF _Toc535495681 \h </w:instrText>
            </w:r>
            <w:r w:rsidR="007541F2">
              <w:rPr>
                <w:noProof/>
                <w:webHidden/>
              </w:rPr>
            </w:r>
            <w:r w:rsidR="007541F2">
              <w:rPr>
                <w:noProof/>
                <w:webHidden/>
              </w:rPr>
              <w:fldChar w:fldCharType="separate"/>
            </w:r>
            <w:r w:rsidR="007541F2">
              <w:rPr>
                <w:noProof/>
                <w:webHidden/>
              </w:rPr>
              <w:t>162</w:t>
            </w:r>
            <w:r w:rsidR="007541F2">
              <w:rPr>
                <w:noProof/>
                <w:webHidden/>
              </w:rPr>
              <w:fldChar w:fldCharType="end"/>
            </w:r>
          </w:hyperlink>
        </w:p>
        <w:p w14:paraId="5DF157A4" w14:textId="1B2387A6" w:rsidR="007541F2" w:rsidRDefault="00017DFD">
          <w:pPr>
            <w:pStyle w:val="TOC1"/>
            <w:rPr>
              <w:rFonts w:asciiTheme="minorHAnsi" w:eastAsiaTheme="minorEastAsia" w:hAnsiTheme="minorHAnsi" w:cstheme="minorBidi"/>
              <w:bCs w:val="0"/>
              <w:caps w:val="0"/>
              <w:sz w:val="22"/>
              <w:szCs w:val="22"/>
            </w:rPr>
          </w:pPr>
          <w:hyperlink w:anchor="_Toc535495682" w:history="1">
            <w:r w:rsidR="007541F2" w:rsidRPr="00D27B65">
              <w:rPr>
                <w:rStyle w:val="Hyperlink"/>
                <w:b/>
              </w:rPr>
              <w:t>9.5</w:t>
            </w:r>
            <w:r w:rsidR="007541F2">
              <w:rPr>
                <w:rFonts w:asciiTheme="minorHAnsi" w:eastAsiaTheme="minorEastAsia" w:hAnsiTheme="minorHAnsi" w:cstheme="minorBidi"/>
                <w:bCs w:val="0"/>
                <w:caps w:val="0"/>
                <w:sz w:val="22"/>
                <w:szCs w:val="22"/>
              </w:rPr>
              <w:tab/>
            </w:r>
            <w:r w:rsidR="007541F2" w:rsidRPr="00D27B65">
              <w:rPr>
                <w:rStyle w:val="Hyperlink"/>
                <w:b/>
              </w:rPr>
              <w:t>ENERGY RESEARCH PLAN</w:t>
            </w:r>
            <w:r w:rsidR="007541F2">
              <w:rPr>
                <w:webHidden/>
              </w:rPr>
              <w:tab/>
            </w:r>
            <w:r w:rsidR="007541F2">
              <w:rPr>
                <w:webHidden/>
              </w:rPr>
              <w:fldChar w:fldCharType="begin"/>
            </w:r>
            <w:r w:rsidR="007541F2">
              <w:rPr>
                <w:webHidden/>
              </w:rPr>
              <w:instrText xml:space="preserve"> PAGEREF _Toc535495682 \h </w:instrText>
            </w:r>
            <w:r w:rsidR="007541F2">
              <w:rPr>
                <w:webHidden/>
              </w:rPr>
            </w:r>
            <w:r w:rsidR="007541F2">
              <w:rPr>
                <w:webHidden/>
              </w:rPr>
              <w:fldChar w:fldCharType="separate"/>
            </w:r>
            <w:r w:rsidR="007541F2">
              <w:rPr>
                <w:webHidden/>
              </w:rPr>
              <w:t>168</w:t>
            </w:r>
            <w:r w:rsidR="007541F2">
              <w:rPr>
                <w:webHidden/>
              </w:rPr>
              <w:fldChar w:fldCharType="end"/>
            </w:r>
          </w:hyperlink>
        </w:p>
        <w:p w14:paraId="0EBC0832" w14:textId="1D9398D6"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83" w:history="1">
            <w:r w:rsidR="007541F2" w:rsidRPr="00D27B65">
              <w:rPr>
                <w:rStyle w:val="Hyperlink"/>
                <w:noProof/>
              </w:rPr>
              <w:t>9.5.1</w:t>
            </w:r>
            <w:r w:rsidR="007541F2">
              <w:rPr>
                <w:rFonts w:asciiTheme="minorHAnsi" w:eastAsiaTheme="minorEastAsia" w:hAnsiTheme="minorHAnsi" w:cstheme="minorBidi"/>
                <w:b w:val="0"/>
                <w:noProof/>
                <w:sz w:val="22"/>
                <w:szCs w:val="22"/>
              </w:rPr>
              <w:tab/>
            </w:r>
            <w:r w:rsidR="007541F2" w:rsidRPr="00D27B65">
              <w:rPr>
                <w:rStyle w:val="Hyperlink"/>
                <w:noProof/>
              </w:rPr>
              <w:t>Introduction</w:t>
            </w:r>
            <w:r w:rsidR="007541F2">
              <w:rPr>
                <w:noProof/>
                <w:webHidden/>
              </w:rPr>
              <w:tab/>
            </w:r>
            <w:r w:rsidR="007541F2">
              <w:rPr>
                <w:noProof/>
                <w:webHidden/>
              </w:rPr>
              <w:fldChar w:fldCharType="begin"/>
            </w:r>
            <w:r w:rsidR="007541F2">
              <w:rPr>
                <w:noProof/>
                <w:webHidden/>
              </w:rPr>
              <w:instrText xml:space="preserve"> PAGEREF _Toc535495683 \h </w:instrText>
            </w:r>
            <w:r w:rsidR="007541F2">
              <w:rPr>
                <w:noProof/>
                <w:webHidden/>
              </w:rPr>
            </w:r>
            <w:r w:rsidR="007541F2">
              <w:rPr>
                <w:noProof/>
                <w:webHidden/>
              </w:rPr>
              <w:fldChar w:fldCharType="separate"/>
            </w:r>
            <w:r w:rsidR="007541F2">
              <w:rPr>
                <w:noProof/>
                <w:webHidden/>
              </w:rPr>
              <w:t>168</w:t>
            </w:r>
            <w:r w:rsidR="007541F2">
              <w:rPr>
                <w:noProof/>
                <w:webHidden/>
              </w:rPr>
              <w:fldChar w:fldCharType="end"/>
            </w:r>
          </w:hyperlink>
        </w:p>
        <w:p w14:paraId="5E9322EE" w14:textId="5620C7BE"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84" w:history="1">
            <w:r w:rsidR="007541F2" w:rsidRPr="00D27B65">
              <w:rPr>
                <w:rStyle w:val="Hyperlink"/>
                <w:noProof/>
              </w:rPr>
              <w:t>9.5.2</w:t>
            </w:r>
            <w:r w:rsidR="007541F2">
              <w:rPr>
                <w:rFonts w:asciiTheme="minorHAnsi" w:eastAsiaTheme="minorEastAsia" w:hAnsiTheme="minorHAnsi" w:cstheme="minorBidi"/>
                <w:b w:val="0"/>
                <w:noProof/>
                <w:sz w:val="22"/>
                <w:szCs w:val="22"/>
              </w:rPr>
              <w:tab/>
            </w:r>
            <w:r w:rsidR="007541F2" w:rsidRPr="00D27B65">
              <w:rPr>
                <w:rStyle w:val="Hyperlink"/>
                <w:noProof/>
              </w:rPr>
              <w:t>Survey Research</w:t>
            </w:r>
            <w:r w:rsidR="007541F2">
              <w:rPr>
                <w:noProof/>
                <w:webHidden/>
              </w:rPr>
              <w:tab/>
            </w:r>
            <w:r w:rsidR="007541F2">
              <w:rPr>
                <w:noProof/>
                <w:webHidden/>
              </w:rPr>
              <w:fldChar w:fldCharType="begin"/>
            </w:r>
            <w:r w:rsidR="007541F2">
              <w:rPr>
                <w:noProof/>
                <w:webHidden/>
              </w:rPr>
              <w:instrText xml:space="preserve"> PAGEREF _Toc535495684 \h </w:instrText>
            </w:r>
            <w:r w:rsidR="007541F2">
              <w:rPr>
                <w:noProof/>
                <w:webHidden/>
              </w:rPr>
            </w:r>
            <w:r w:rsidR="007541F2">
              <w:rPr>
                <w:noProof/>
                <w:webHidden/>
              </w:rPr>
              <w:fldChar w:fldCharType="separate"/>
            </w:r>
            <w:r w:rsidR="007541F2">
              <w:rPr>
                <w:noProof/>
                <w:webHidden/>
              </w:rPr>
              <w:t>170</w:t>
            </w:r>
            <w:r w:rsidR="007541F2">
              <w:rPr>
                <w:noProof/>
                <w:webHidden/>
              </w:rPr>
              <w:fldChar w:fldCharType="end"/>
            </w:r>
          </w:hyperlink>
        </w:p>
        <w:p w14:paraId="4DAFEA37" w14:textId="1165D1D8" w:rsidR="007541F2" w:rsidRDefault="00017DFD">
          <w:pPr>
            <w:pStyle w:val="TOC3"/>
            <w:tabs>
              <w:tab w:val="right" w:leader="dot" w:pos="9163"/>
            </w:tabs>
            <w:rPr>
              <w:rFonts w:asciiTheme="minorHAnsi" w:eastAsiaTheme="minorEastAsia" w:hAnsiTheme="minorHAnsi" w:cstheme="minorBidi"/>
              <w:b w:val="0"/>
              <w:noProof/>
              <w:sz w:val="22"/>
              <w:szCs w:val="22"/>
            </w:rPr>
          </w:pPr>
          <w:hyperlink w:anchor="_Toc535495685" w:history="1">
            <w:r w:rsidR="007541F2" w:rsidRPr="00D27B65">
              <w:rPr>
                <w:rStyle w:val="Hyperlink"/>
                <w:noProof/>
              </w:rPr>
              <w:t>9.5.2.1  Regulatory Requirements</w:t>
            </w:r>
            <w:r w:rsidR="007541F2">
              <w:rPr>
                <w:noProof/>
                <w:webHidden/>
              </w:rPr>
              <w:tab/>
            </w:r>
            <w:r w:rsidR="007541F2">
              <w:rPr>
                <w:noProof/>
                <w:webHidden/>
              </w:rPr>
              <w:fldChar w:fldCharType="begin"/>
            </w:r>
            <w:r w:rsidR="007541F2">
              <w:rPr>
                <w:noProof/>
                <w:webHidden/>
              </w:rPr>
              <w:instrText xml:space="preserve"> PAGEREF _Toc535495685 \h </w:instrText>
            </w:r>
            <w:r w:rsidR="007541F2">
              <w:rPr>
                <w:noProof/>
                <w:webHidden/>
              </w:rPr>
            </w:r>
            <w:r w:rsidR="007541F2">
              <w:rPr>
                <w:noProof/>
                <w:webHidden/>
              </w:rPr>
              <w:fldChar w:fldCharType="separate"/>
            </w:r>
            <w:r w:rsidR="007541F2">
              <w:rPr>
                <w:noProof/>
                <w:webHidden/>
              </w:rPr>
              <w:t>170</w:t>
            </w:r>
            <w:r w:rsidR="007541F2">
              <w:rPr>
                <w:noProof/>
                <w:webHidden/>
              </w:rPr>
              <w:fldChar w:fldCharType="end"/>
            </w:r>
          </w:hyperlink>
        </w:p>
        <w:p w14:paraId="70B90D14" w14:textId="722BE078" w:rsidR="007541F2" w:rsidRDefault="00017DFD">
          <w:pPr>
            <w:pStyle w:val="TOC3"/>
            <w:tabs>
              <w:tab w:val="right" w:leader="dot" w:pos="9163"/>
            </w:tabs>
            <w:rPr>
              <w:rFonts w:asciiTheme="minorHAnsi" w:eastAsiaTheme="minorEastAsia" w:hAnsiTheme="minorHAnsi" w:cstheme="minorBidi"/>
              <w:b w:val="0"/>
              <w:noProof/>
              <w:sz w:val="22"/>
              <w:szCs w:val="22"/>
            </w:rPr>
          </w:pPr>
          <w:hyperlink w:anchor="_Toc535495686" w:history="1">
            <w:r w:rsidR="007541F2" w:rsidRPr="00D27B65">
              <w:rPr>
                <w:rStyle w:val="Hyperlink"/>
                <w:noProof/>
              </w:rPr>
              <w:t>9.5.2.2  Data Collection and Utilization Plan</w:t>
            </w:r>
            <w:r w:rsidR="007541F2">
              <w:rPr>
                <w:noProof/>
                <w:webHidden/>
              </w:rPr>
              <w:tab/>
            </w:r>
            <w:r w:rsidR="007541F2">
              <w:rPr>
                <w:noProof/>
                <w:webHidden/>
              </w:rPr>
              <w:fldChar w:fldCharType="begin"/>
            </w:r>
            <w:r w:rsidR="007541F2">
              <w:rPr>
                <w:noProof/>
                <w:webHidden/>
              </w:rPr>
              <w:instrText xml:space="preserve"> PAGEREF _Toc535495686 \h </w:instrText>
            </w:r>
            <w:r w:rsidR="007541F2">
              <w:rPr>
                <w:noProof/>
                <w:webHidden/>
              </w:rPr>
            </w:r>
            <w:r w:rsidR="007541F2">
              <w:rPr>
                <w:noProof/>
                <w:webHidden/>
              </w:rPr>
              <w:fldChar w:fldCharType="separate"/>
            </w:r>
            <w:r w:rsidR="007541F2">
              <w:rPr>
                <w:noProof/>
                <w:webHidden/>
              </w:rPr>
              <w:t>170</w:t>
            </w:r>
            <w:r w:rsidR="007541F2">
              <w:rPr>
                <w:noProof/>
                <w:webHidden/>
              </w:rPr>
              <w:fldChar w:fldCharType="end"/>
            </w:r>
          </w:hyperlink>
        </w:p>
        <w:p w14:paraId="0637B4F3" w14:textId="63F66EDC"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87" w:history="1">
            <w:r w:rsidR="007541F2" w:rsidRPr="00D27B65">
              <w:rPr>
                <w:rStyle w:val="Hyperlink"/>
                <w:noProof/>
              </w:rPr>
              <w:t>9.5.3</w:t>
            </w:r>
            <w:r w:rsidR="007541F2">
              <w:rPr>
                <w:rFonts w:asciiTheme="minorHAnsi" w:eastAsiaTheme="minorEastAsia" w:hAnsiTheme="minorHAnsi" w:cstheme="minorBidi"/>
                <w:b w:val="0"/>
                <w:noProof/>
                <w:sz w:val="22"/>
                <w:szCs w:val="22"/>
              </w:rPr>
              <w:tab/>
            </w:r>
            <w:r w:rsidR="007541F2" w:rsidRPr="00D27B65">
              <w:rPr>
                <w:rStyle w:val="Hyperlink"/>
                <w:noProof/>
              </w:rPr>
              <w:t>Load Research</w:t>
            </w:r>
            <w:r w:rsidR="007541F2">
              <w:rPr>
                <w:noProof/>
                <w:webHidden/>
              </w:rPr>
              <w:tab/>
            </w:r>
            <w:r w:rsidR="007541F2">
              <w:rPr>
                <w:noProof/>
                <w:webHidden/>
              </w:rPr>
              <w:fldChar w:fldCharType="begin"/>
            </w:r>
            <w:r w:rsidR="007541F2">
              <w:rPr>
                <w:noProof/>
                <w:webHidden/>
              </w:rPr>
              <w:instrText xml:space="preserve"> PAGEREF _Toc535495687 \h </w:instrText>
            </w:r>
            <w:r w:rsidR="007541F2">
              <w:rPr>
                <w:noProof/>
                <w:webHidden/>
              </w:rPr>
            </w:r>
            <w:r w:rsidR="007541F2">
              <w:rPr>
                <w:noProof/>
                <w:webHidden/>
              </w:rPr>
              <w:fldChar w:fldCharType="separate"/>
            </w:r>
            <w:r w:rsidR="007541F2">
              <w:rPr>
                <w:noProof/>
                <w:webHidden/>
              </w:rPr>
              <w:t>170</w:t>
            </w:r>
            <w:r w:rsidR="007541F2">
              <w:rPr>
                <w:noProof/>
                <w:webHidden/>
              </w:rPr>
              <w:fldChar w:fldCharType="end"/>
            </w:r>
          </w:hyperlink>
        </w:p>
        <w:p w14:paraId="22258B59" w14:textId="5D3C100D" w:rsidR="007541F2" w:rsidRDefault="00017DFD">
          <w:pPr>
            <w:pStyle w:val="TOC3"/>
            <w:tabs>
              <w:tab w:val="right" w:leader="dot" w:pos="9163"/>
            </w:tabs>
            <w:rPr>
              <w:rFonts w:asciiTheme="minorHAnsi" w:eastAsiaTheme="minorEastAsia" w:hAnsiTheme="minorHAnsi" w:cstheme="minorBidi"/>
              <w:b w:val="0"/>
              <w:noProof/>
              <w:sz w:val="22"/>
              <w:szCs w:val="22"/>
            </w:rPr>
          </w:pPr>
          <w:hyperlink w:anchor="_Toc535495688" w:history="1">
            <w:r w:rsidR="007541F2" w:rsidRPr="00D27B65">
              <w:rPr>
                <w:rStyle w:val="Hyperlink"/>
                <w:noProof/>
              </w:rPr>
              <w:t>9.5.3.1  Regulatory Requirements</w:t>
            </w:r>
            <w:r w:rsidR="007541F2">
              <w:rPr>
                <w:noProof/>
                <w:webHidden/>
              </w:rPr>
              <w:tab/>
            </w:r>
            <w:r w:rsidR="007541F2">
              <w:rPr>
                <w:noProof/>
                <w:webHidden/>
              </w:rPr>
              <w:fldChar w:fldCharType="begin"/>
            </w:r>
            <w:r w:rsidR="007541F2">
              <w:rPr>
                <w:noProof/>
                <w:webHidden/>
              </w:rPr>
              <w:instrText xml:space="preserve"> PAGEREF _Toc535495688 \h </w:instrText>
            </w:r>
            <w:r w:rsidR="007541F2">
              <w:rPr>
                <w:noProof/>
                <w:webHidden/>
              </w:rPr>
            </w:r>
            <w:r w:rsidR="007541F2">
              <w:rPr>
                <w:noProof/>
                <w:webHidden/>
              </w:rPr>
              <w:fldChar w:fldCharType="separate"/>
            </w:r>
            <w:r w:rsidR="007541F2">
              <w:rPr>
                <w:noProof/>
                <w:webHidden/>
              </w:rPr>
              <w:t>170</w:t>
            </w:r>
            <w:r w:rsidR="007541F2">
              <w:rPr>
                <w:noProof/>
                <w:webHidden/>
              </w:rPr>
              <w:fldChar w:fldCharType="end"/>
            </w:r>
          </w:hyperlink>
        </w:p>
        <w:p w14:paraId="155F8A3C" w14:textId="6D9AF98F" w:rsidR="007541F2" w:rsidRDefault="00017DFD">
          <w:pPr>
            <w:pStyle w:val="TOC3"/>
            <w:tabs>
              <w:tab w:val="right" w:leader="dot" w:pos="9163"/>
            </w:tabs>
            <w:rPr>
              <w:rFonts w:asciiTheme="minorHAnsi" w:eastAsiaTheme="minorEastAsia" w:hAnsiTheme="minorHAnsi" w:cstheme="minorBidi"/>
              <w:b w:val="0"/>
              <w:noProof/>
              <w:sz w:val="22"/>
              <w:szCs w:val="22"/>
            </w:rPr>
          </w:pPr>
          <w:hyperlink w:anchor="_Toc535495689" w:history="1">
            <w:r w:rsidR="007541F2" w:rsidRPr="00D27B65">
              <w:rPr>
                <w:rStyle w:val="Hyperlink"/>
                <w:noProof/>
              </w:rPr>
              <w:t>9.5.3.2  Class Load Research Project</w:t>
            </w:r>
            <w:r w:rsidR="007541F2">
              <w:rPr>
                <w:noProof/>
                <w:webHidden/>
              </w:rPr>
              <w:tab/>
            </w:r>
            <w:r w:rsidR="007541F2">
              <w:rPr>
                <w:noProof/>
                <w:webHidden/>
              </w:rPr>
              <w:fldChar w:fldCharType="begin"/>
            </w:r>
            <w:r w:rsidR="007541F2">
              <w:rPr>
                <w:noProof/>
                <w:webHidden/>
              </w:rPr>
              <w:instrText xml:space="preserve"> PAGEREF _Toc535495689 \h </w:instrText>
            </w:r>
            <w:r w:rsidR="007541F2">
              <w:rPr>
                <w:noProof/>
                <w:webHidden/>
              </w:rPr>
            </w:r>
            <w:r w:rsidR="007541F2">
              <w:rPr>
                <w:noProof/>
                <w:webHidden/>
              </w:rPr>
              <w:fldChar w:fldCharType="separate"/>
            </w:r>
            <w:r w:rsidR="007541F2">
              <w:rPr>
                <w:noProof/>
                <w:webHidden/>
              </w:rPr>
              <w:t>171</w:t>
            </w:r>
            <w:r w:rsidR="007541F2">
              <w:rPr>
                <w:noProof/>
                <w:webHidden/>
              </w:rPr>
              <w:fldChar w:fldCharType="end"/>
            </w:r>
          </w:hyperlink>
        </w:p>
        <w:p w14:paraId="0D46DC6B" w14:textId="3DB8A909" w:rsidR="007541F2" w:rsidRDefault="00017DFD">
          <w:pPr>
            <w:pStyle w:val="TOC2"/>
            <w:tabs>
              <w:tab w:val="left" w:pos="1100"/>
              <w:tab w:val="right" w:leader="dot" w:pos="9163"/>
            </w:tabs>
            <w:rPr>
              <w:rFonts w:asciiTheme="minorHAnsi" w:eastAsiaTheme="minorEastAsia" w:hAnsiTheme="minorHAnsi" w:cstheme="minorBidi"/>
              <w:b w:val="0"/>
              <w:noProof/>
              <w:sz w:val="22"/>
              <w:szCs w:val="22"/>
            </w:rPr>
          </w:pPr>
          <w:hyperlink w:anchor="_Toc535495690" w:history="1">
            <w:r w:rsidR="007541F2" w:rsidRPr="00D27B65">
              <w:rPr>
                <w:rStyle w:val="Hyperlink"/>
                <w:noProof/>
              </w:rPr>
              <w:t>9.5.4</w:t>
            </w:r>
            <w:r w:rsidR="007541F2">
              <w:rPr>
                <w:rFonts w:asciiTheme="minorHAnsi" w:eastAsiaTheme="minorEastAsia" w:hAnsiTheme="minorHAnsi" w:cstheme="minorBidi"/>
                <w:b w:val="0"/>
                <w:noProof/>
                <w:sz w:val="22"/>
                <w:szCs w:val="22"/>
              </w:rPr>
              <w:tab/>
            </w:r>
            <w:r w:rsidR="007541F2" w:rsidRPr="00D27B65">
              <w:rPr>
                <w:rStyle w:val="Hyperlink"/>
                <w:noProof/>
              </w:rPr>
              <w:t>Analysis</w:t>
            </w:r>
            <w:r w:rsidR="007541F2">
              <w:rPr>
                <w:noProof/>
                <w:webHidden/>
              </w:rPr>
              <w:tab/>
            </w:r>
            <w:r w:rsidR="007541F2">
              <w:rPr>
                <w:noProof/>
                <w:webHidden/>
              </w:rPr>
              <w:fldChar w:fldCharType="begin"/>
            </w:r>
            <w:r w:rsidR="007541F2">
              <w:rPr>
                <w:noProof/>
                <w:webHidden/>
              </w:rPr>
              <w:instrText xml:space="preserve"> PAGEREF _Toc535495690 \h </w:instrText>
            </w:r>
            <w:r w:rsidR="007541F2">
              <w:rPr>
                <w:noProof/>
                <w:webHidden/>
              </w:rPr>
            </w:r>
            <w:r w:rsidR="007541F2">
              <w:rPr>
                <w:noProof/>
                <w:webHidden/>
              </w:rPr>
              <w:fldChar w:fldCharType="separate"/>
            </w:r>
            <w:r w:rsidR="007541F2">
              <w:rPr>
                <w:noProof/>
                <w:webHidden/>
              </w:rPr>
              <w:t>171</w:t>
            </w:r>
            <w:r w:rsidR="007541F2">
              <w:rPr>
                <w:noProof/>
                <w:webHidden/>
              </w:rPr>
              <w:fldChar w:fldCharType="end"/>
            </w:r>
          </w:hyperlink>
        </w:p>
        <w:p w14:paraId="7282A652" w14:textId="1870E52B" w:rsidR="007541F2" w:rsidRDefault="00017DFD">
          <w:pPr>
            <w:pStyle w:val="TOC3"/>
            <w:tabs>
              <w:tab w:val="right" w:leader="dot" w:pos="9163"/>
            </w:tabs>
            <w:rPr>
              <w:rFonts w:asciiTheme="minorHAnsi" w:eastAsiaTheme="minorEastAsia" w:hAnsiTheme="minorHAnsi" w:cstheme="minorBidi"/>
              <w:b w:val="0"/>
              <w:noProof/>
              <w:sz w:val="22"/>
              <w:szCs w:val="22"/>
            </w:rPr>
          </w:pPr>
          <w:hyperlink w:anchor="_Toc535495691" w:history="1">
            <w:r w:rsidR="007541F2" w:rsidRPr="00D27B65">
              <w:rPr>
                <w:rStyle w:val="Hyperlink"/>
                <w:noProof/>
              </w:rPr>
              <w:t>9.5.4.1  Regulatory Requirements</w:t>
            </w:r>
            <w:r w:rsidR="007541F2">
              <w:rPr>
                <w:noProof/>
                <w:webHidden/>
              </w:rPr>
              <w:tab/>
            </w:r>
            <w:r w:rsidR="007541F2">
              <w:rPr>
                <w:noProof/>
                <w:webHidden/>
              </w:rPr>
              <w:fldChar w:fldCharType="begin"/>
            </w:r>
            <w:r w:rsidR="007541F2">
              <w:rPr>
                <w:noProof/>
                <w:webHidden/>
              </w:rPr>
              <w:instrText xml:space="preserve"> PAGEREF _Toc535495691 \h </w:instrText>
            </w:r>
            <w:r w:rsidR="007541F2">
              <w:rPr>
                <w:noProof/>
                <w:webHidden/>
              </w:rPr>
            </w:r>
            <w:r w:rsidR="007541F2">
              <w:rPr>
                <w:noProof/>
                <w:webHidden/>
              </w:rPr>
              <w:fldChar w:fldCharType="separate"/>
            </w:r>
            <w:r w:rsidR="007541F2">
              <w:rPr>
                <w:noProof/>
                <w:webHidden/>
              </w:rPr>
              <w:t>171</w:t>
            </w:r>
            <w:r w:rsidR="007541F2">
              <w:rPr>
                <w:noProof/>
                <w:webHidden/>
              </w:rPr>
              <w:fldChar w:fldCharType="end"/>
            </w:r>
          </w:hyperlink>
        </w:p>
        <w:p w14:paraId="19339380" w14:textId="513BB152" w:rsidR="007541F2" w:rsidRDefault="00017DFD">
          <w:pPr>
            <w:pStyle w:val="TOC3"/>
            <w:tabs>
              <w:tab w:val="right" w:leader="dot" w:pos="9163"/>
            </w:tabs>
            <w:rPr>
              <w:rFonts w:asciiTheme="minorHAnsi" w:eastAsiaTheme="minorEastAsia" w:hAnsiTheme="minorHAnsi" w:cstheme="minorBidi"/>
              <w:b w:val="0"/>
              <w:noProof/>
              <w:sz w:val="22"/>
              <w:szCs w:val="22"/>
            </w:rPr>
          </w:pPr>
          <w:hyperlink w:anchor="_Toc535495692" w:history="1">
            <w:r w:rsidR="007541F2" w:rsidRPr="00D27B65">
              <w:rPr>
                <w:rStyle w:val="Hyperlink"/>
                <w:noProof/>
              </w:rPr>
              <w:t>9.5.4.2  Analysis Projects</w:t>
            </w:r>
            <w:r w:rsidR="007541F2">
              <w:rPr>
                <w:noProof/>
                <w:webHidden/>
              </w:rPr>
              <w:tab/>
            </w:r>
            <w:r w:rsidR="007541F2">
              <w:rPr>
                <w:noProof/>
                <w:webHidden/>
              </w:rPr>
              <w:fldChar w:fldCharType="begin"/>
            </w:r>
            <w:r w:rsidR="007541F2">
              <w:rPr>
                <w:noProof/>
                <w:webHidden/>
              </w:rPr>
              <w:instrText xml:space="preserve"> PAGEREF _Toc535495692 \h </w:instrText>
            </w:r>
            <w:r w:rsidR="007541F2">
              <w:rPr>
                <w:noProof/>
                <w:webHidden/>
              </w:rPr>
            </w:r>
            <w:r w:rsidR="007541F2">
              <w:rPr>
                <w:noProof/>
                <w:webHidden/>
              </w:rPr>
              <w:fldChar w:fldCharType="separate"/>
            </w:r>
            <w:r w:rsidR="007541F2">
              <w:rPr>
                <w:noProof/>
                <w:webHidden/>
              </w:rPr>
              <w:t>171</w:t>
            </w:r>
            <w:r w:rsidR="007541F2">
              <w:rPr>
                <w:noProof/>
                <w:webHidden/>
              </w:rPr>
              <w:fldChar w:fldCharType="end"/>
            </w:r>
          </w:hyperlink>
        </w:p>
        <w:p w14:paraId="6AAE44C7" w14:textId="115F4A82" w:rsidR="007541F2" w:rsidRDefault="00017DFD">
          <w:pPr>
            <w:pStyle w:val="TOC1"/>
            <w:rPr>
              <w:rFonts w:asciiTheme="minorHAnsi" w:eastAsiaTheme="minorEastAsia" w:hAnsiTheme="minorHAnsi" w:cstheme="minorBidi"/>
              <w:bCs w:val="0"/>
              <w:caps w:val="0"/>
              <w:sz w:val="22"/>
              <w:szCs w:val="22"/>
            </w:rPr>
          </w:pPr>
          <w:hyperlink w:anchor="_Toc535495693" w:history="1">
            <w:r w:rsidR="007541F2" w:rsidRPr="00D27B65">
              <w:rPr>
                <w:rStyle w:val="Hyperlink"/>
                <w:b/>
              </w:rPr>
              <w:t>10.0 ACRONYM &amp; ABBREVIATION GLOSSARY</w:t>
            </w:r>
            <w:r w:rsidR="007541F2">
              <w:rPr>
                <w:webHidden/>
              </w:rPr>
              <w:tab/>
            </w:r>
            <w:r w:rsidR="007541F2">
              <w:rPr>
                <w:webHidden/>
              </w:rPr>
              <w:fldChar w:fldCharType="begin"/>
            </w:r>
            <w:r w:rsidR="007541F2">
              <w:rPr>
                <w:webHidden/>
              </w:rPr>
              <w:instrText xml:space="preserve"> PAGEREF _Toc535495693 \h </w:instrText>
            </w:r>
            <w:r w:rsidR="007541F2">
              <w:rPr>
                <w:webHidden/>
              </w:rPr>
            </w:r>
            <w:r w:rsidR="007541F2">
              <w:rPr>
                <w:webHidden/>
              </w:rPr>
              <w:fldChar w:fldCharType="separate"/>
            </w:r>
            <w:r w:rsidR="007541F2">
              <w:rPr>
                <w:webHidden/>
              </w:rPr>
              <w:t>173</w:t>
            </w:r>
            <w:r w:rsidR="007541F2">
              <w:rPr>
                <w:webHidden/>
              </w:rPr>
              <w:fldChar w:fldCharType="end"/>
            </w:r>
          </w:hyperlink>
        </w:p>
        <w:p w14:paraId="5A30D237" w14:textId="1D7685EC" w:rsidR="00082868" w:rsidRDefault="00082868">
          <w:r>
            <w:rPr>
              <w:bCs/>
              <w:noProof/>
            </w:rPr>
            <w:fldChar w:fldCharType="end"/>
          </w:r>
        </w:p>
      </w:sdtContent>
    </w:sdt>
    <w:p w14:paraId="1DFD7467" w14:textId="77777777" w:rsidR="00A47EB3" w:rsidRDefault="00816787" w:rsidP="00BE43B1">
      <w:pPr>
        <w:spacing w:after="200" w:line="276" w:lineRule="auto"/>
        <w:jc w:val="left"/>
        <w:sectPr w:rsidR="00A47EB3" w:rsidSect="00A47EB3">
          <w:headerReference w:type="default" r:id="rId10"/>
          <w:footerReference w:type="default" r:id="rId11"/>
          <w:footnotePr>
            <w:numRestart w:val="eachSect"/>
          </w:footnotePr>
          <w:pgSz w:w="12240" w:h="15840"/>
          <w:pgMar w:top="1440" w:right="1800" w:bottom="1440" w:left="1267" w:header="720" w:footer="720" w:gutter="0"/>
          <w:pgNumType w:fmt="lowerRoman" w:start="1"/>
          <w:cols w:space="720"/>
        </w:sectPr>
      </w:pPr>
      <w:r>
        <w:br w:type="page"/>
      </w:r>
    </w:p>
    <w:p w14:paraId="1F6766E4" w14:textId="77777777" w:rsidR="00FF6B97" w:rsidRPr="00D5588E" w:rsidRDefault="00FF6B97" w:rsidP="00FF6B97">
      <w:pPr>
        <w:pStyle w:val="Heading1"/>
        <w:jc w:val="left"/>
        <w:rPr>
          <w:rFonts w:ascii="Arial" w:hAnsi="Arial" w:cs="Arial"/>
          <w:b/>
        </w:rPr>
      </w:pPr>
      <w:bookmarkStart w:id="121" w:name="_Toc347120349"/>
      <w:bookmarkStart w:id="122" w:name="_Toc535495609"/>
      <w:r w:rsidRPr="00D5588E">
        <w:rPr>
          <w:rFonts w:ascii="Arial" w:hAnsi="Arial" w:cs="Arial"/>
          <w:b/>
          <w:color w:val="auto"/>
        </w:rPr>
        <w:t>1.0</w:t>
      </w:r>
      <w:r w:rsidRPr="00D5588E">
        <w:rPr>
          <w:rFonts w:ascii="Arial" w:hAnsi="Arial" w:cs="Arial"/>
          <w:b/>
          <w:color w:val="auto"/>
        </w:rPr>
        <w:tab/>
        <w:t>EXECUTIVE SUMMARY OVERVIEW</w:t>
      </w:r>
      <w:bookmarkEnd w:id="121"/>
      <w:bookmarkEnd w:id="122"/>
    </w:p>
    <w:p w14:paraId="5CE2F9A4" w14:textId="77777777" w:rsidR="00FF6B97" w:rsidRDefault="00FF6B97" w:rsidP="00FF6B97">
      <w:pPr>
        <w:pStyle w:val="BodyText"/>
        <w:jc w:val="left"/>
        <w:rPr>
          <w:b w:val="0"/>
        </w:rPr>
      </w:pPr>
    </w:p>
    <w:p w14:paraId="0A8FE6FE" w14:textId="3E64BE19" w:rsidR="00FF6B97" w:rsidRPr="00FF6B97" w:rsidRDefault="00FF6B97" w:rsidP="00966D80">
      <w:pPr>
        <w:pStyle w:val="BodyText"/>
        <w:spacing w:line="360" w:lineRule="auto"/>
        <w:jc w:val="both"/>
        <w:rPr>
          <w:b w:val="0"/>
        </w:rPr>
      </w:pPr>
      <w:r w:rsidRPr="00FF6B97">
        <w:rPr>
          <w:b w:val="0"/>
        </w:rPr>
        <w:t xml:space="preserve">The purpose of this report is to summarize the Budget </w:t>
      </w:r>
      <w:r w:rsidR="00CA73DD" w:rsidRPr="00FF6B97">
        <w:rPr>
          <w:b w:val="0"/>
        </w:rPr>
        <w:t>20</w:t>
      </w:r>
      <w:r w:rsidR="00CA73DD">
        <w:rPr>
          <w:b w:val="0"/>
        </w:rPr>
        <w:t>19</w:t>
      </w:r>
      <w:r w:rsidR="00CA73DD" w:rsidRPr="00FF6B97">
        <w:rPr>
          <w:b w:val="0"/>
        </w:rPr>
        <w:t xml:space="preserve"> </w:t>
      </w:r>
      <w:r w:rsidRPr="00FF6B97">
        <w:rPr>
          <w:b w:val="0"/>
        </w:rPr>
        <w:t>Load and Energy Forecast</w:t>
      </w:r>
      <w:r w:rsidR="00BC7DFF">
        <w:rPr>
          <w:b w:val="0"/>
        </w:rPr>
        <w:t xml:space="preserve"> (“Budget </w:t>
      </w:r>
      <w:r w:rsidR="00CA73DD">
        <w:rPr>
          <w:b w:val="0"/>
        </w:rPr>
        <w:t>2019</w:t>
      </w:r>
      <w:r w:rsidR="00BC7DFF">
        <w:rPr>
          <w:b w:val="0"/>
        </w:rPr>
        <w:t>”)</w:t>
      </w:r>
      <w:r w:rsidRPr="00FF6B97">
        <w:rPr>
          <w:b w:val="0"/>
        </w:rPr>
        <w:t xml:space="preserve">. </w:t>
      </w:r>
    </w:p>
    <w:p w14:paraId="4D9D4CA7" w14:textId="77777777" w:rsidR="00FF6B97" w:rsidRPr="00FF6B97" w:rsidRDefault="00FF6B97" w:rsidP="00966D80">
      <w:pPr>
        <w:pStyle w:val="BodyText"/>
        <w:spacing w:line="360" w:lineRule="auto"/>
        <w:jc w:val="both"/>
        <w:rPr>
          <w:b w:val="0"/>
        </w:rPr>
      </w:pPr>
      <w:r w:rsidRPr="00FF6B97">
        <w:rPr>
          <w:b w:val="0"/>
        </w:rPr>
        <w:t xml:space="preserve"> </w:t>
      </w:r>
    </w:p>
    <w:p w14:paraId="26928D38" w14:textId="007371DD" w:rsidR="00FF6B97" w:rsidRPr="00FF6B97" w:rsidRDefault="00FF6B97" w:rsidP="00966D80">
      <w:pPr>
        <w:pStyle w:val="BodyText"/>
        <w:spacing w:line="360" w:lineRule="auto"/>
        <w:jc w:val="both"/>
        <w:rPr>
          <w:b w:val="0"/>
        </w:rPr>
      </w:pPr>
      <w:r w:rsidRPr="00FF6B97">
        <w:rPr>
          <w:b w:val="0"/>
        </w:rPr>
        <w:t xml:space="preserve">A twenty-year forecast of energy sales and peak demand was developed to meet the </w:t>
      </w:r>
      <w:r w:rsidR="00BC7DFF">
        <w:rPr>
          <w:b w:val="0"/>
        </w:rPr>
        <w:t>planning needs of Georgia Power</w:t>
      </w:r>
      <w:r w:rsidR="00B6445B">
        <w:rPr>
          <w:b w:val="0"/>
        </w:rPr>
        <w:t xml:space="preserve"> Company (“Georgia Power”</w:t>
      </w:r>
      <w:r w:rsidR="007166D3">
        <w:rPr>
          <w:b w:val="0"/>
        </w:rPr>
        <w:t xml:space="preserve"> or the “Company”</w:t>
      </w:r>
      <w:r w:rsidR="00B6445B">
        <w:rPr>
          <w:b w:val="0"/>
        </w:rPr>
        <w:t>)</w:t>
      </w:r>
      <w:r w:rsidRPr="00FF6B97">
        <w:rPr>
          <w:b w:val="0"/>
        </w:rPr>
        <w:t xml:space="preserve">. Budget </w:t>
      </w:r>
      <w:r w:rsidR="00CA73DD" w:rsidRPr="00FF6B97">
        <w:rPr>
          <w:b w:val="0"/>
        </w:rPr>
        <w:t>20</w:t>
      </w:r>
      <w:r w:rsidR="00CA73DD">
        <w:rPr>
          <w:b w:val="0"/>
        </w:rPr>
        <w:t>19</w:t>
      </w:r>
      <w:r w:rsidR="00CA73DD" w:rsidRPr="00FF6B97">
        <w:rPr>
          <w:b w:val="0"/>
        </w:rPr>
        <w:t xml:space="preserve"> </w:t>
      </w:r>
      <w:r w:rsidRPr="00FF6B97">
        <w:rPr>
          <w:b w:val="0"/>
        </w:rPr>
        <w:t xml:space="preserve">includes the </w:t>
      </w:r>
      <w:r w:rsidR="00860603">
        <w:rPr>
          <w:b w:val="0"/>
        </w:rPr>
        <w:t xml:space="preserve">following </w:t>
      </w:r>
      <w:r w:rsidRPr="00FF6B97">
        <w:rPr>
          <w:b w:val="0"/>
        </w:rPr>
        <w:t>retail classes</w:t>
      </w:r>
      <w:r w:rsidR="00860603">
        <w:rPr>
          <w:b w:val="0"/>
        </w:rPr>
        <w:t xml:space="preserve">: </w:t>
      </w:r>
      <w:r w:rsidRPr="00FF6B97">
        <w:rPr>
          <w:b w:val="0"/>
        </w:rPr>
        <w:t>residential</w:t>
      </w:r>
      <w:r w:rsidR="003A38D8">
        <w:rPr>
          <w:b w:val="0"/>
        </w:rPr>
        <w:t>;</w:t>
      </w:r>
      <w:r w:rsidRPr="00FF6B97">
        <w:rPr>
          <w:b w:val="0"/>
        </w:rPr>
        <w:t xml:space="preserve"> commercial</w:t>
      </w:r>
      <w:r w:rsidR="003A38D8">
        <w:rPr>
          <w:b w:val="0"/>
        </w:rPr>
        <w:t>;</w:t>
      </w:r>
      <w:r w:rsidRPr="00FF6B97">
        <w:rPr>
          <w:b w:val="0"/>
        </w:rPr>
        <w:t xml:space="preserve"> industrial</w:t>
      </w:r>
      <w:r w:rsidR="003A38D8">
        <w:rPr>
          <w:b w:val="0"/>
        </w:rPr>
        <w:t>;</w:t>
      </w:r>
      <w:r w:rsidRPr="00FF6B97">
        <w:rPr>
          <w:b w:val="0"/>
        </w:rPr>
        <w:t xml:space="preserve"> </w:t>
      </w:r>
      <w:r w:rsidR="009D4059">
        <w:rPr>
          <w:b w:val="0"/>
        </w:rPr>
        <w:t>Metropolitan Atlanta Rapid Transit Authority (“</w:t>
      </w:r>
      <w:r w:rsidRPr="00FF6B97">
        <w:rPr>
          <w:b w:val="0"/>
        </w:rPr>
        <w:t>MARTA</w:t>
      </w:r>
      <w:r w:rsidR="009D4059">
        <w:rPr>
          <w:b w:val="0"/>
        </w:rPr>
        <w:t>”)</w:t>
      </w:r>
      <w:r w:rsidR="003A38D8">
        <w:rPr>
          <w:b w:val="0"/>
        </w:rPr>
        <w:t>;</w:t>
      </w:r>
      <w:r w:rsidRPr="00FF6B97">
        <w:rPr>
          <w:b w:val="0"/>
        </w:rPr>
        <w:t xml:space="preserve"> and governmental lighting. The baseline forecast was started in the spring of </w:t>
      </w:r>
      <w:r w:rsidR="00CA73DD" w:rsidRPr="00FF6B97">
        <w:rPr>
          <w:b w:val="0"/>
        </w:rPr>
        <w:t>20</w:t>
      </w:r>
      <w:r w:rsidR="00CA73DD">
        <w:rPr>
          <w:b w:val="0"/>
        </w:rPr>
        <w:t>18</w:t>
      </w:r>
      <w:r w:rsidR="00CA73DD" w:rsidRPr="00FF6B97">
        <w:rPr>
          <w:b w:val="0"/>
        </w:rPr>
        <w:t xml:space="preserve"> </w:t>
      </w:r>
      <w:r w:rsidRPr="00FF6B97">
        <w:rPr>
          <w:b w:val="0"/>
        </w:rPr>
        <w:t xml:space="preserve">and completed in the fall of </w:t>
      </w:r>
      <w:r w:rsidR="00CA73DD" w:rsidRPr="00FF6B97">
        <w:rPr>
          <w:b w:val="0"/>
        </w:rPr>
        <w:t>20</w:t>
      </w:r>
      <w:r w:rsidR="00CA73DD">
        <w:rPr>
          <w:b w:val="0"/>
        </w:rPr>
        <w:t>18</w:t>
      </w:r>
      <w:r w:rsidRPr="00FF6B97">
        <w:rPr>
          <w:b w:val="0"/>
        </w:rPr>
        <w:t>.</w:t>
      </w:r>
    </w:p>
    <w:p w14:paraId="5F405C0F" w14:textId="77777777" w:rsidR="00FF6B97" w:rsidRPr="00FF6B97" w:rsidRDefault="00FF6B97" w:rsidP="00966D80">
      <w:pPr>
        <w:pStyle w:val="BodyText"/>
        <w:spacing w:line="360" w:lineRule="auto"/>
        <w:jc w:val="both"/>
        <w:rPr>
          <w:b w:val="0"/>
        </w:rPr>
      </w:pPr>
    </w:p>
    <w:p w14:paraId="43188690" w14:textId="4C4142A0" w:rsidR="00061E94" w:rsidRDefault="00061E94" w:rsidP="00061E94">
      <w:pPr>
        <w:pStyle w:val="BodyText"/>
        <w:spacing w:line="360" w:lineRule="auto"/>
        <w:jc w:val="both"/>
        <w:rPr>
          <w:b w:val="0"/>
        </w:rPr>
      </w:pPr>
      <w:r w:rsidRPr="00061E94">
        <w:rPr>
          <w:b w:val="0"/>
        </w:rPr>
        <w:t>Both U.S. and Georgia experienced solid economic growth from 2013-2017. Over this period, U.S. G</w:t>
      </w:r>
      <w:r w:rsidR="001434CD">
        <w:rPr>
          <w:b w:val="0"/>
        </w:rPr>
        <w:t xml:space="preserve">ross </w:t>
      </w:r>
      <w:r w:rsidRPr="00061E94">
        <w:rPr>
          <w:b w:val="0"/>
        </w:rPr>
        <w:t>D</w:t>
      </w:r>
      <w:r w:rsidR="001434CD">
        <w:rPr>
          <w:b w:val="0"/>
        </w:rPr>
        <w:t xml:space="preserve">omestic </w:t>
      </w:r>
      <w:r w:rsidRPr="00061E94">
        <w:rPr>
          <w:b w:val="0"/>
        </w:rPr>
        <w:t>P</w:t>
      </w:r>
      <w:r w:rsidR="001434CD">
        <w:rPr>
          <w:b w:val="0"/>
        </w:rPr>
        <w:t>roduct (“GDP”)</w:t>
      </w:r>
      <w:r w:rsidRPr="00061E94">
        <w:rPr>
          <w:b w:val="0"/>
        </w:rPr>
        <w:t xml:space="preserve"> growth averaged 2.3% per year, while Georgia</w:t>
      </w:r>
      <w:r w:rsidR="00682A18">
        <w:rPr>
          <w:b w:val="0"/>
        </w:rPr>
        <w:t>’s economy</w:t>
      </w:r>
      <w:r w:rsidRPr="00061E94">
        <w:rPr>
          <w:b w:val="0"/>
        </w:rPr>
        <w:t xml:space="preserve"> experienced growth of 3.1% per year. </w:t>
      </w:r>
      <w:r w:rsidR="003A38D8">
        <w:rPr>
          <w:b w:val="0"/>
        </w:rPr>
        <w:t>Also d</w:t>
      </w:r>
      <w:r w:rsidRPr="00061E94">
        <w:rPr>
          <w:b w:val="0"/>
        </w:rPr>
        <w:t xml:space="preserve">uring this period, U.S. employment grew by an average rate of 1.8% per year and </w:t>
      </w:r>
      <w:r w:rsidR="00682A18">
        <w:rPr>
          <w:b w:val="0"/>
        </w:rPr>
        <w:t xml:space="preserve">the </w:t>
      </w:r>
      <w:r w:rsidRPr="00061E94">
        <w:rPr>
          <w:b w:val="0"/>
        </w:rPr>
        <w:t>unemployment</w:t>
      </w:r>
      <w:r w:rsidR="00682A18">
        <w:rPr>
          <w:b w:val="0"/>
        </w:rPr>
        <w:t xml:space="preserve"> rate</w:t>
      </w:r>
      <w:r w:rsidRPr="00061E94">
        <w:rPr>
          <w:b w:val="0"/>
        </w:rPr>
        <w:t xml:space="preserve"> fell from 8.0% to 4.1%. In Georgia, employment growth averaged 2.5% per year and the state’s unemployment </w:t>
      </w:r>
      <w:r w:rsidR="00E25364">
        <w:rPr>
          <w:b w:val="0"/>
        </w:rPr>
        <w:t xml:space="preserve">rate </w:t>
      </w:r>
      <w:r w:rsidRPr="00061E94">
        <w:rPr>
          <w:b w:val="0"/>
        </w:rPr>
        <w:t xml:space="preserve">fell from 8.7% to 4.5%. In 2018, the unemployment rate fell below 4% for both the U.S. and Georgia.   </w:t>
      </w:r>
    </w:p>
    <w:p w14:paraId="1EEF175C" w14:textId="77777777" w:rsidR="00061E94" w:rsidRPr="00061E94" w:rsidRDefault="00061E94" w:rsidP="00061E94">
      <w:pPr>
        <w:pStyle w:val="BodyText"/>
        <w:spacing w:line="360" w:lineRule="auto"/>
        <w:jc w:val="both"/>
        <w:rPr>
          <w:b w:val="0"/>
        </w:rPr>
      </w:pPr>
    </w:p>
    <w:p w14:paraId="555FDE1E" w14:textId="1F00108A" w:rsidR="00061E94" w:rsidRPr="009843A5" w:rsidRDefault="00061E94" w:rsidP="00061E94">
      <w:pPr>
        <w:pStyle w:val="BodyText"/>
        <w:spacing w:line="360" w:lineRule="auto"/>
        <w:jc w:val="both"/>
        <w:rPr>
          <w:b w:val="0"/>
        </w:rPr>
      </w:pPr>
      <w:bookmarkStart w:id="123" w:name="_Hlk535307565"/>
      <w:r w:rsidRPr="00061E94">
        <w:rPr>
          <w:b w:val="0"/>
        </w:rPr>
        <w:t xml:space="preserve">Despite solid economic growth in Georgia, Georgia Power’s total retail energy sales have flattened since 2007. Over the 2007-2017 period, weather normalized total energy sales fell at an average annual rate of -0.2% and remain below 2007 levels. The commercial and industrial classes declined over this same period, down an average of -0.2% and -0.8% per year, respectively. The residential class is the only one that experienced modest growth, up an average of 0.2% per year over the past ten years. </w:t>
      </w:r>
      <w:r w:rsidR="009843A5" w:rsidRPr="009843A5">
        <w:rPr>
          <w:b w:val="0"/>
          <w:color w:val="000000"/>
        </w:rPr>
        <w:t xml:space="preserve">In more recent years, </w:t>
      </w:r>
      <w:r w:rsidR="003A38D8">
        <w:rPr>
          <w:b w:val="0"/>
          <w:color w:val="000000"/>
        </w:rPr>
        <w:t xml:space="preserve">total </w:t>
      </w:r>
      <w:r w:rsidR="009843A5" w:rsidRPr="009843A5">
        <w:rPr>
          <w:b w:val="0"/>
          <w:color w:val="000000"/>
        </w:rPr>
        <w:t>retail sales began to grow due to the strength of the economy in Georgia</w:t>
      </w:r>
      <w:r w:rsidR="001F6656">
        <w:rPr>
          <w:b w:val="0"/>
          <w:color w:val="000000"/>
        </w:rPr>
        <w:t>, as</w:t>
      </w:r>
      <w:r w:rsidR="009843A5" w:rsidRPr="009843A5">
        <w:rPr>
          <w:b w:val="0"/>
          <w:color w:val="000000"/>
        </w:rPr>
        <w:t xml:space="preserve"> evidenced by strong growth in the number of </w:t>
      </w:r>
      <w:r w:rsidR="003A38D8">
        <w:rPr>
          <w:b w:val="0"/>
          <w:color w:val="000000"/>
        </w:rPr>
        <w:t xml:space="preserve">total </w:t>
      </w:r>
      <w:r w:rsidR="009843A5" w:rsidRPr="009843A5">
        <w:rPr>
          <w:b w:val="0"/>
          <w:color w:val="000000"/>
        </w:rPr>
        <w:t>customers. Between 2013 and 2018, total retail energy sales grew at an average</w:t>
      </w:r>
      <w:r w:rsidR="0047536F">
        <w:rPr>
          <w:b w:val="0"/>
          <w:color w:val="000000"/>
        </w:rPr>
        <w:t xml:space="preserve"> annual rate</w:t>
      </w:r>
      <w:r w:rsidR="009843A5" w:rsidRPr="009843A5">
        <w:rPr>
          <w:b w:val="0"/>
          <w:color w:val="000000"/>
        </w:rPr>
        <w:t xml:space="preserve"> of 0.</w:t>
      </w:r>
      <w:r w:rsidR="00D85C9D">
        <w:rPr>
          <w:b w:val="0"/>
          <w:color w:val="000000"/>
        </w:rPr>
        <w:t>5</w:t>
      </w:r>
      <w:r w:rsidR="009843A5" w:rsidRPr="009843A5">
        <w:rPr>
          <w:b w:val="0"/>
          <w:color w:val="000000"/>
        </w:rPr>
        <w:t>%</w:t>
      </w:r>
      <w:r w:rsidR="00D2032C">
        <w:rPr>
          <w:b w:val="0"/>
          <w:color w:val="000000"/>
        </w:rPr>
        <w:t>.</w:t>
      </w:r>
      <w:bookmarkEnd w:id="123"/>
      <w:r w:rsidRPr="009843A5">
        <w:rPr>
          <w:b w:val="0"/>
        </w:rPr>
        <w:t xml:space="preserve">  </w:t>
      </w:r>
    </w:p>
    <w:p w14:paraId="59D8F97E" w14:textId="77777777" w:rsidR="00061E94" w:rsidRPr="00061E94" w:rsidRDefault="00061E94" w:rsidP="00061E94">
      <w:pPr>
        <w:pStyle w:val="BodyText"/>
        <w:spacing w:line="360" w:lineRule="auto"/>
        <w:jc w:val="both"/>
        <w:rPr>
          <w:b w:val="0"/>
        </w:rPr>
      </w:pPr>
    </w:p>
    <w:p w14:paraId="73E83362" w14:textId="60C62B67" w:rsidR="00061E94" w:rsidRDefault="00061E94" w:rsidP="00061E94">
      <w:pPr>
        <w:pStyle w:val="BodyText"/>
        <w:spacing w:line="360" w:lineRule="auto"/>
        <w:jc w:val="both"/>
        <w:rPr>
          <w:b w:val="0"/>
        </w:rPr>
      </w:pPr>
      <w:r w:rsidRPr="00061E94">
        <w:rPr>
          <w:b w:val="0"/>
        </w:rPr>
        <w:t xml:space="preserve">Georgia’s economic growth is expected to continue over the next few years. One factor contributing to growth is that the state </w:t>
      </w:r>
      <w:r w:rsidR="00DD26B9">
        <w:rPr>
          <w:b w:val="0"/>
        </w:rPr>
        <w:t>i</w:t>
      </w:r>
      <w:r w:rsidRPr="00061E94">
        <w:rPr>
          <w:b w:val="0"/>
        </w:rPr>
        <w:t xml:space="preserve">s an attractive place to do business. Georgia’s low cost of doing business and low cost of living, </w:t>
      </w:r>
      <w:r w:rsidR="008E2E0C">
        <w:rPr>
          <w:b w:val="0"/>
        </w:rPr>
        <w:t>the</w:t>
      </w:r>
      <w:r w:rsidRPr="00061E94">
        <w:rPr>
          <w:b w:val="0"/>
        </w:rPr>
        <w:t xml:space="preserve"> deep pool of knowledge</w:t>
      </w:r>
      <w:r w:rsidR="003A38D8">
        <w:rPr>
          <w:b w:val="0"/>
        </w:rPr>
        <w:t xml:space="preserve"> and </w:t>
      </w:r>
      <w:r w:rsidRPr="00061E94">
        <w:rPr>
          <w:b w:val="0"/>
        </w:rPr>
        <w:t xml:space="preserve">technical workers </w:t>
      </w:r>
      <w:r w:rsidR="008E2E0C">
        <w:rPr>
          <w:b w:val="0"/>
        </w:rPr>
        <w:t xml:space="preserve">coming from </w:t>
      </w:r>
      <w:r w:rsidRPr="00061E94">
        <w:rPr>
          <w:b w:val="0"/>
        </w:rPr>
        <w:t>its university system, its globally connected airport and transportation infrastructure (e.g. ports, highways), and its business-friendly government policies</w:t>
      </w:r>
      <w:r w:rsidR="002B17DE">
        <w:rPr>
          <w:b w:val="0"/>
        </w:rPr>
        <w:t xml:space="preserve"> will continue to attract businesses</w:t>
      </w:r>
      <w:r w:rsidRPr="00061E94">
        <w:rPr>
          <w:b w:val="0"/>
        </w:rPr>
        <w:t xml:space="preserve">. Positive demographic trends are another factor driving growth in the state. As businesses continue to relocate and expand in Georgia, the state will experience solid employment growth, which will attract new residents. As a result, population growth will remain above the U.S. average.  </w:t>
      </w:r>
    </w:p>
    <w:p w14:paraId="2E0823EC" w14:textId="77777777" w:rsidR="00061E94" w:rsidRPr="00061E94" w:rsidRDefault="00061E94" w:rsidP="00061E94">
      <w:pPr>
        <w:pStyle w:val="BodyText"/>
        <w:spacing w:line="360" w:lineRule="auto"/>
        <w:jc w:val="both"/>
        <w:rPr>
          <w:b w:val="0"/>
        </w:rPr>
      </w:pPr>
    </w:p>
    <w:p w14:paraId="5330F4A9" w14:textId="0B193CFB" w:rsidR="00FF6B97" w:rsidRPr="00FF6B97" w:rsidRDefault="004345A9" w:rsidP="00966D80">
      <w:pPr>
        <w:pStyle w:val="BodyText"/>
        <w:spacing w:line="360" w:lineRule="auto"/>
        <w:jc w:val="both"/>
        <w:rPr>
          <w:b w:val="0"/>
        </w:rPr>
      </w:pPr>
      <w:r w:rsidRPr="00061E94">
        <w:rPr>
          <w:b w:val="0"/>
        </w:rPr>
        <w:t xml:space="preserve">Additional businesses and a growing population </w:t>
      </w:r>
      <w:r>
        <w:rPr>
          <w:b w:val="0"/>
        </w:rPr>
        <w:t>are</w:t>
      </w:r>
      <w:r w:rsidRPr="00061E94">
        <w:rPr>
          <w:b w:val="0"/>
        </w:rPr>
        <w:t xml:space="preserve"> expected to provide a boost to energy sales. From 20</w:t>
      </w:r>
      <w:r>
        <w:rPr>
          <w:b w:val="0"/>
        </w:rPr>
        <w:t>19</w:t>
      </w:r>
      <w:r w:rsidRPr="00061E94">
        <w:rPr>
          <w:b w:val="0"/>
        </w:rPr>
        <w:t>-20</w:t>
      </w:r>
      <w:r>
        <w:rPr>
          <w:b w:val="0"/>
        </w:rPr>
        <w:t>29</w:t>
      </w:r>
      <w:r w:rsidRPr="00061E94">
        <w:rPr>
          <w:b w:val="0"/>
        </w:rPr>
        <w:t>, total energy sales are projected to grow at an average annual rate of 0.</w:t>
      </w:r>
      <w:r>
        <w:rPr>
          <w:b w:val="0"/>
        </w:rPr>
        <w:t>7</w:t>
      </w:r>
      <w:r w:rsidRPr="00061E94">
        <w:rPr>
          <w:b w:val="0"/>
        </w:rPr>
        <w:t>%. Residential sales are expected to grow by an average of 1.</w:t>
      </w:r>
      <w:r>
        <w:rPr>
          <w:b w:val="0"/>
        </w:rPr>
        <w:t>2</w:t>
      </w:r>
      <w:r w:rsidRPr="00061E94">
        <w:rPr>
          <w:b w:val="0"/>
        </w:rPr>
        <w:t xml:space="preserve">% per year over this period as </w:t>
      </w:r>
      <w:r>
        <w:rPr>
          <w:b w:val="0"/>
        </w:rPr>
        <w:t xml:space="preserve">the increase in the number of customers </w:t>
      </w:r>
      <w:r w:rsidRPr="00061E94">
        <w:rPr>
          <w:b w:val="0"/>
        </w:rPr>
        <w:t>outpace</w:t>
      </w:r>
      <w:r>
        <w:rPr>
          <w:b w:val="0"/>
        </w:rPr>
        <w:t>s</w:t>
      </w:r>
      <w:r w:rsidRPr="00061E94">
        <w:rPr>
          <w:b w:val="0"/>
        </w:rPr>
        <w:t xml:space="preserve"> the reduction in use per customer resulting from energy efficiency. Industrial sales are expected to increase at an average annual rate of 1.</w:t>
      </w:r>
      <w:r>
        <w:rPr>
          <w:b w:val="0"/>
        </w:rPr>
        <w:t>0</w:t>
      </w:r>
      <w:r w:rsidRPr="00061E94">
        <w:rPr>
          <w:b w:val="0"/>
        </w:rPr>
        <w:t xml:space="preserve">% </w:t>
      </w:r>
      <w:r>
        <w:rPr>
          <w:b w:val="0"/>
        </w:rPr>
        <w:t xml:space="preserve">primarily due to </w:t>
      </w:r>
      <w:r w:rsidRPr="00061E94">
        <w:rPr>
          <w:b w:val="0"/>
        </w:rPr>
        <w:t xml:space="preserve">the addition of a very large customer. Sales to the commercial class are expected to </w:t>
      </w:r>
      <w:r>
        <w:rPr>
          <w:b w:val="0"/>
        </w:rPr>
        <w:t>remain nearly flat, declining by an average of −0.1% per year due in part to increased energy efficiency.</w:t>
      </w:r>
      <w:r w:rsidRPr="00061E94">
        <w:rPr>
          <w:b w:val="0"/>
        </w:rPr>
        <w:t xml:space="preserve"> Peak demand is expected to increase at an average rate of 0.5% per year.</w:t>
      </w:r>
    </w:p>
    <w:p w14:paraId="1826DE59" w14:textId="77777777" w:rsidR="00FF6B97" w:rsidRPr="00FF6B97" w:rsidRDefault="00FF6B97" w:rsidP="00966D80">
      <w:pPr>
        <w:pStyle w:val="BodyText"/>
        <w:spacing w:line="360" w:lineRule="auto"/>
        <w:jc w:val="both"/>
        <w:rPr>
          <w:b w:val="0"/>
        </w:rPr>
      </w:pPr>
    </w:p>
    <w:p w14:paraId="262CC5D7" w14:textId="77777777" w:rsidR="00FF6B97" w:rsidRPr="00FF6B97" w:rsidRDefault="00FF6B97" w:rsidP="00966D80">
      <w:pPr>
        <w:pStyle w:val="BodyText"/>
        <w:spacing w:line="360" w:lineRule="auto"/>
        <w:jc w:val="both"/>
        <w:rPr>
          <w:b w:val="0"/>
        </w:rPr>
      </w:pPr>
      <w:r w:rsidRPr="00FF6B97">
        <w:rPr>
          <w:b w:val="0"/>
        </w:rPr>
        <w:t xml:space="preserve">A more detailed discussion of customer class energy sales and forecast results is presented below. </w:t>
      </w:r>
    </w:p>
    <w:p w14:paraId="1EAE83DA" w14:textId="77777777" w:rsidR="00FF6B97" w:rsidRPr="00FF6B97" w:rsidRDefault="00FF6B97" w:rsidP="00FF6B97">
      <w:pPr>
        <w:pStyle w:val="BodyText"/>
        <w:jc w:val="left"/>
        <w:rPr>
          <w:b w:val="0"/>
        </w:rPr>
      </w:pPr>
    </w:p>
    <w:p w14:paraId="4BE7A523" w14:textId="77777777" w:rsidR="000641B0" w:rsidRDefault="000641B0">
      <w:pPr>
        <w:spacing w:after="200" w:line="276" w:lineRule="auto"/>
        <w:jc w:val="left"/>
        <w:rPr>
          <w:rFonts w:eastAsiaTheme="majorEastAsia"/>
          <w:bCs/>
          <w:sz w:val="28"/>
          <w:szCs w:val="28"/>
        </w:rPr>
      </w:pPr>
      <w:bookmarkStart w:id="124" w:name="_Toc497031855"/>
      <w:bookmarkStart w:id="125" w:name="_Toc499102652"/>
      <w:bookmarkStart w:id="126" w:name="_Toc503665675"/>
      <w:bookmarkStart w:id="127" w:name="_Toc111952977"/>
      <w:bookmarkStart w:id="128" w:name="_Toc347120350"/>
      <w:r>
        <w:rPr>
          <w:b w:val="0"/>
        </w:rPr>
        <w:br w:type="page"/>
      </w:r>
    </w:p>
    <w:p w14:paraId="28050542" w14:textId="3D74FBAB" w:rsidR="00FF6B97" w:rsidRPr="00B02E86" w:rsidRDefault="00FF6B97" w:rsidP="00FF6B97">
      <w:pPr>
        <w:pStyle w:val="Heading1"/>
        <w:jc w:val="left"/>
        <w:rPr>
          <w:rFonts w:ascii="Arial" w:hAnsi="Arial" w:cs="Arial"/>
          <w:b/>
          <w:color w:val="auto"/>
        </w:rPr>
      </w:pPr>
      <w:bookmarkStart w:id="129" w:name="_Toc535495610"/>
      <w:r w:rsidRPr="00B02E86">
        <w:rPr>
          <w:rFonts w:ascii="Arial" w:hAnsi="Arial" w:cs="Arial"/>
          <w:b/>
          <w:color w:val="auto"/>
        </w:rPr>
        <w:t>1.1</w:t>
      </w:r>
      <w:r w:rsidRPr="00B02E86">
        <w:rPr>
          <w:rFonts w:ascii="Arial" w:hAnsi="Arial" w:cs="Arial"/>
          <w:b/>
          <w:color w:val="auto"/>
        </w:rPr>
        <w:tab/>
        <w:t>PEAK DEMAND, TERRITORIAL SUPPLY, AND TERRITORIAL REQUIREMENTS</w:t>
      </w:r>
      <w:bookmarkEnd w:id="124"/>
      <w:bookmarkEnd w:id="125"/>
      <w:bookmarkEnd w:id="126"/>
      <w:bookmarkEnd w:id="127"/>
      <w:bookmarkEnd w:id="128"/>
      <w:bookmarkEnd w:id="129"/>
    </w:p>
    <w:p w14:paraId="63A77E41" w14:textId="77777777" w:rsidR="00FF6B97" w:rsidRDefault="00FF6B97" w:rsidP="00FF6B97">
      <w:pPr>
        <w:pStyle w:val="BodyText"/>
        <w:jc w:val="left"/>
        <w:rPr>
          <w:b w:val="0"/>
        </w:rPr>
      </w:pPr>
    </w:p>
    <w:p w14:paraId="2BA3762E" w14:textId="50BA936B" w:rsidR="00FF6B97" w:rsidRPr="00FF6B97" w:rsidRDefault="00FF6B97" w:rsidP="00966D80">
      <w:pPr>
        <w:pStyle w:val="BodyText"/>
        <w:spacing w:line="360" w:lineRule="auto"/>
        <w:jc w:val="both"/>
        <w:rPr>
          <w:b w:val="0"/>
        </w:rPr>
      </w:pPr>
      <w:r w:rsidRPr="00FF6B97">
        <w:rPr>
          <w:b w:val="0"/>
        </w:rPr>
        <w:t xml:space="preserve">A peak demand of </w:t>
      </w:r>
      <w:r w:rsidRPr="00F567E5">
        <w:rPr>
          <w:b w:val="0"/>
        </w:rPr>
        <w:t>17,98</w:t>
      </w:r>
      <w:r w:rsidR="007574EE" w:rsidRPr="00F567E5">
        <w:rPr>
          <w:b w:val="0"/>
        </w:rPr>
        <w:t>5</w:t>
      </w:r>
      <w:r w:rsidRPr="00FF6B97">
        <w:rPr>
          <w:b w:val="0"/>
        </w:rPr>
        <w:t xml:space="preserve"> MW was set on August 9, 2007 for the Georgia Power service territory. </w:t>
      </w:r>
      <w:r w:rsidR="00DC378F">
        <w:rPr>
          <w:b w:val="0"/>
        </w:rPr>
        <w:t xml:space="preserve">Over the past 10 years, Georgia Power’s </w:t>
      </w:r>
      <w:r w:rsidR="00014AC4">
        <w:rPr>
          <w:b w:val="0"/>
        </w:rPr>
        <w:t xml:space="preserve">total </w:t>
      </w:r>
      <w:r w:rsidR="00DC378F">
        <w:rPr>
          <w:b w:val="0"/>
        </w:rPr>
        <w:t xml:space="preserve">peak demand has not surpassed this level. </w:t>
      </w:r>
      <w:r w:rsidRPr="00FF6B97">
        <w:rPr>
          <w:b w:val="0"/>
        </w:rPr>
        <w:t xml:space="preserve">In </w:t>
      </w:r>
      <w:r w:rsidR="00014AC4" w:rsidRPr="00FF6B97">
        <w:rPr>
          <w:b w:val="0"/>
        </w:rPr>
        <w:t>20</w:t>
      </w:r>
      <w:r w:rsidR="00014AC4">
        <w:rPr>
          <w:b w:val="0"/>
        </w:rPr>
        <w:t>21</w:t>
      </w:r>
      <w:r w:rsidRPr="00FF6B97">
        <w:rPr>
          <w:b w:val="0"/>
        </w:rPr>
        <w:t xml:space="preserve">, weather normal peak demand is expected to be </w:t>
      </w:r>
      <w:r w:rsidR="00635093" w:rsidRPr="00F83152">
        <w:rPr>
          <w:sz w:val="12"/>
          <w:szCs w:val="14"/>
        </w:rPr>
        <w:t>REDACTED</w:t>
      </w:r>
      <w:r w:rsidRPr="00F83152">
        <w:rPr>
          <w:b w:val="0"/>
          <w:sz w:val="18"/>
        </w:rPr>
        <w:t xml:space="preserve"> </w:t>
      </w:r>
      <w:r w:rsidRPr="00FF6B97">
        <w:rPr>
          <w:b w:val="0"/>
        </w:rPr>
        <w:t xml:space="preserve">MW and then to grow to </w:t>
      </w:r>
      <w:r w:rsidR="00B02BF2" w:rsidRPr="00F83152">
        <w:rPr>
          <w:sz w:val="12"/>
          <w:szCs w:val="14"/>
        </w:rPr>
        <w:t>REDACTED</w:t>
      </w:r>
      <w:r w:rsidRPr="00FF6B97">
        <w:rPr>
          <w:b w:val="0"/>
        </w:rPr>
        <w:t xml:space="preserve"> MW in </w:t>
      </w:r>
      <w:r w:rsidR="00C14027" w:rsidRPr="00FF6B97">
        <w:rPr>
          <w:b w:val="0"/>
        </w:rPr>
        <w:t>20</w:t>
      </w:r>
      <w:r w:rsidR="00C14027">
        <w:rPr>
          <w:b w:val="0"/>
        </w:rPr>
        <w:t>2</w:t>
      </w:r>
      <w:r w:rsidR="00F83152">
        <w:rPr>
          <w:b w:val="0"/>
        </w:rPr>
        <w:t>9</w:t>
      </w:r>
      <w:r w:rsidRPr="00FF6B97">
        <w:rPr>
          <w:b w:val="0"/>
        </w:rPr>
        <w:t xml:space="preserve">. Figure 1.1-1 shows the comparison of the Budget </w:t>
      </w:r>
      <w:r w:rsidR="00014AC4" w:rsidRPr="00FF6B97">
        <w:rPr>
          <w:b w:val="0"/>
        </w:rPr>
        <w:t>20</w:t>
      </w:r>
      <w:r w:rsidR="00014AC4">
        <w:rPr>
          <w:b w:val="0"/>
        </w:rPr>
        <w:t>18</w:t>
      </w:r>
      <w:r w:rsidR="00014AC4" w:rsidRPr="00FF6B97">
        <w:rPr>
          <w:b w:val="0"/>
        </w:rPr>
        <w:t xml:space="preserve"> </w:t>
      </w:r>
      <w:r w:rsidRPr="00FF6B97">
        <w:rPr>
          <w:b w:val="0"/>
        </w:rPr>
        <w:t xml:space="preserve">and Budget </w:t>
      </w:r>
      <w:r w:rsidR="00014AC4" w:rsidRPr="00FF6B97">
        <w:rPr>
          <w:b w:val="0"/>
        </w:rPr>
        <w:t>20</w:t>
      </w:r>
      <w:r w:rsidR="00014AC4">
        <w:rPr>
          <w:b w:val="0"/>
        </w:rPr>
        <w:t>19</w:t>
      </w:r>
      <w:r w:rsidR="00014AC4" w:rsidRPr="00FF6B97">
        <w:rPr>
          <w:b w:val="0"/>
        </w:rPr>
        <w:t xml:space="preserve"> </w:t>
      </w:r>
      <w:r w:rsidRPr="00FF6B97">
        <w:rPr>
          <w:b w:val="0"/>
        </w:rPr>
        <w:t xml:space="preserve">peak demand forecasts. </w:t>
      </w:r>
      <w:r w:rsidR="00C14027">
        <w:rPr>
          <w:b w:val="0"/>
        </w:rPr>
        <w:t>In Budget 2019</w:t>
      </w:r>
      <w:r w:rsidR="00EA28EB">
        <w:rPr>
          <w:b w:val="0"/>
        </w:rPr>
        <w:t xml:space="preserve"> and Budget 2018</w:t>
      </w:r>
      <w:r w:rsidR="00C14027">
        <w:rPr>
          <w:b w:val="0"/>
        </w:rPr>
        <w:t>, p</w:t>
      </w:r>
      <w:r w:rsidRPr="00FF6B97">
        <w:rPr>
          <w:b w:val="0"/>
        </w:rPr>
        <w:t xml:space="preserve">eak demand is expected to grow at a compound average annual rate of </w:t>
      </w:r>
      <w:r w:rsidR="00F83152">
        <w:rPr>
          <w:b w:val="0"/>
          <w:szCs w:val="22"/>
        </w:rPr>
        <w:t>0.5</w:t>
      </w:r>
      <w:r w:rsidRPr="00FF6B97">
        <w:rPr>
          <w:b w:val="0"/>
        </w:rPr>
        <w:t xml:space="preserve">% from </w:t>
      </w:r>
      <w:r w:rsidR="00014AC4" w:rsidRPr="00FF6B97">
        <w:rPr>
          <w:b w:val="0"/>
        </w:rPr>
        <w:t>20</w:t>
      </w:r>
      <w:r w:rsidR="00014AC4">
        <w:rPr>
          <w:b w:val="0"/>
        </w:rPr>
        <w:t>1</w:t>
      </w:r>
      <w:r w:rsidR="00F83152">
        <w:rPr>
          <w:b w:val="0"/>
        </w:rPr>
        <w:t>9</w:t>
      </w:r>
      <w:r w:rsidR="00014AC4" w:rsidRPr="00FF6B97">
        <w:rPr>
          <w:b w:val="0"/>
        </w:rPr>
        <w:t xml:space="preserve"> </w:t>
      </w:r>
      <w:r w:rsidRPr="00FF6B97">
        <w:rPr>
          <w:b w:val="0"/>
        </w:rPr>
        <w:t xml:space="preserve">to </w:t>
      </w:r>
      <w:r w:rsidR="00014AC4" w:rsidRPr="00FF6B97">
        <w:rPr>
          <w:b w:val="0"/>
        </w:rPr>
        <w:t>20</w:t>
      </w:r>
      <w:r w:rsidR="00014AC4">
        <w:rPr>
          <w:b w:val="0"/>
        </w:rPr>
        <w:t>2</w:t>
      </w:r>
      <w:r w:rsidR="00F83152">
        <w:rPr>
          <w:b w:val="0"/>
        </w:rPr>
        <w:t>9</w:t>
      </w:r>
      <w:r w:rsidRPr="00FF6B97">
        <w:rPr>
          <w:b w:val="0"/>
        </w:rPr>
        <w:t xml:space="preserve">. </w:t>
      </w:r>
      <w:bookmarkStart w:id="130" w:name="_Hlk529538063"/>
      <w:r w:rsidR="00BB1953">
        <w:rPr>
          <w:b w:val="0"/>
        </w:rPr>
        <w:t xml:space="preserve">Over the forecast horizon, Georgia Power is expected to </w:t>
      </w:r>
      <w:r w:rsidR="0068736A">
        <w:rPr>
          <w:b w:val="0"/>
        </w:rPr>
        <w:t>be</w:t>
      </w:r>
      <w:r w:rsidR="00BB1953">
        <w:rPr>
          <w:b w:val="0"/>
        </w:rPr>
        <w:t xml:space="preserve"> a summer-peaking utility.</w:t>
      </w:r>
      <w:bookmarkEnd w:id="130"/>
      <w:r w:rsidRPr="00FF6B97">
        <w:rPr>
          <w:b w:val="0"/>
        </w:rPr>
        <w:t xml:space="preserve"> </w:t>
      </w:r>
      <w:r w:rsidR="009609E1">
        <w:rPr>
          <w:b w:val="0"/>
        </w:rPr>
        <w:t xml:space="preserve"> </w:t>
      </w:r>
    </w:p>
    <w:p w14:paraId="38F99223" w14:textId="77777777" w:rsidR="00F92700" w:rsidRDefault="00F92700" w:rsidP="00816787">
      <w:pPr>
        <w:pStyle w:val="BodyTextIndent"/>
        <w:jc w:val="left"/>
      </w:pPr>
    </w:p>
    <w:p w14:paraId="596810DF" w14:textId="4CFBA11A" w:rsidR="008B28DA" w:rsidRDefault="00B02E86" w:rsidP="008B28DA">
      <w:pPr>
        <w:pStyle w:val="BodyTextIndent"/>
        <w:keepNext/>
        <w:keepLines/>
        <w:ind w:left="0"/>
        <w:jc w:val="left"/>
        <w:rPr>
          <w:b/>
        </w:rPr>
      </w:pPr>
      <w:r w:rsidRPr="00B6445B">
        <w:rPr>
          <w:b/>
        </w:rPr>
        <w:t xml:space="preserve">Figure 1.1-1: </w:t>
      </w:r>
      <w:r w:rsidRPr="00962A18">
        <w:rPr>
          <w:b/>
        </w:rPr>
        <w:t>Peak Demand Forecast</w:t>
      </w:r>
    </w:p>
    <w:p w14:paraId="6C605216" w14:textId="77777777" w:rsidR="009F49E4" w:rsidRDefault="009F49E4" w:rsidP="008B28DA">
      <w:pPr>
        <w:pStyle w:val="BodyTextIndent"/>
        <w:keepNext/>
        <w:keepLines/>
        <w:ind w:left="0"/>
        <w:jc w:val="left"/>
        <w:rPr>
          <w:b/>
        </w:rPr>
      </w:pPr>
    </w:p>
    <w:p w14:paraId="450582F9" w14:textId="3C1119BF" w:rsidR="00786693" w:rsidRDefault="009F49E4" w:rsidP="008B28DA">
      <w:pPr>
        <w:pStyle w:val="BodyTextIndent"/>
        <w:keepNext/>
        <w:keepLines/>
        <w:ind w:left="0"/>
        <w:jc w:val="left"/>
        <w:rPr>
          <w:b/>
          <w:noProof/>
        </w:rPr>
      </w:pPr>
      <w:r w:rsidRPr="009F49E4">
        <w:rPr>
          <w:b/>
          <w:noProof/>
        </w:rPr>
        <w:drawing>
          <wp:inline distT="0" distB="0" distL="0" distR="0" wp14:anchorId="3E13A4B1" wp14:editId="37F4FF87">
            <wp:extent cx="5824855" cy="4462358"/>
            <wp:effectExtent l="0" t="0" r="444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24855" cy="4462358"/>
                    </a:xfrm>
                    <a:prstGeom prst="rect">
                      <a:avLst/>
                    </a:prstGeom>
                    <a:noFill/>
                    <a:ln>
                      <a:noFill/>
                    </a:ln>
                  </pic:spPr>
                </pic:pic>
              </a:graphicData>
            </a:graphic>
          </wp:inline>
        </w:drawing>
      </w:r>
    </w:p>
    <w:p w14:paraId="085C11C8" w14:textId="2CA87992" w:rsidR="00EA28EB" w:rsidRDefault="00EA28EB" w:rsidP="008B28DA">
      <w:pPr>
        <w:pStyle w:val="BodyTextIndent"/>
        <w:keepNext/>
        <w:keepLines/>
        <w:ind w:left="0"/>
        <w:jc w:val="left"/>
        <w:rPr>
          <w:b/>
          <w:noProof/>
        </w:rPr>
      </w:pPr>
    </w:p>
    <w:p w14:paraId="4F22E62B" w14:textId="77777777" w:rsidR="007D33B6" w:rsidRDefault="007D33B6" w:rsidP="008B28DA">
      <w:pPr>
        <w:pStyle w:val="BodyTextIndent"/>
        <w:keepNext/>
        <w:keepLines/>
        <w:ind w:left="0"/>
        <w:jc w:val="left"/>
        <w:rPr>
          <w:b/>
        </w:rPr>
      </w:pPr>
    </w:p>
    <w:p w14:paraId="50B91B8B" w14:textId="77777777" w:rsidR="00B02E86" w:rsidRDefault="00B02E86" w:rsidP="00B02E86">
      <w:pPr>
        <w:pStyle w:val="BodyTextIndent"/>
        <w:ind w:left="0"/>
        <w:jc w:val="left"/>
        <w:rPr>
          <w:b/>
        </w:rPr>
      </w:pPr>
    </w:p>
    <w:p w14:paraId="68628C8B" w14:textId="77777777" w:rsidR="00B02E86" w:rsidRDefault="00B02E86" w:rsidP="00B02E86">
      <w:pPr>
        <w:pStyle w:val="BodyTextIndent"/>
        <w:ind w:left="0"/>
        <w:jc w:val="left"/>
        <w:rPr>
          <w:b/>
        </w:rPr>
      </w:pPr>
    </w:p>
    <w:p w14:paraId="27B6A3AA" w14:textId="4BEA9350" w:rsidR="00B02E86" w:rsidRPr="00B02E86" w:rsidRDefault="00B02E86" w:rsidP="00966D80">
      <w:pPr>
        <w:pStyle w:val="BodyText"/>
        <w:spacing w:line="360" w:lineRule="auto"/>
        <w:jc w:val="both"/>
        <w:rPr>
          <w:b w:val="0"/>
        </w:rPr>
      </w:pPr>
      <w:r w:rsidRPr="00B02E86">
        <w:rPr>
          <w:b w:val="0"/>
        </w:rPr>
        <w:t xml:space="preserve">The peak demand forecast for Budget </w:t>
      </w:r>
      <w:r w:rsidR="00DC378F" w:rsidRPr="00B02E86">
        <w:rPr>
          <w:b w:val="0"/>
        </w:rPr>
        <w:t>20</w:t>
      </w:r>
      <w:r w:rsidR="00DC378F">
        <w:rPr>
          <w:b w:val="0"/>
        </w:rPr>
        <w:t>19</w:t>
      </w:r>
      <w:r w:rsidR="00DC378F" w:rsidRPr="00B02E86">
        <w:rPr>
          <w:b w:val="0"/>
        </w:rPr>
        <w:t xml:space="preserve"> </w:t>
      </w:r>
      <w:r w:rsidRPr="00B02E86">
        <w:rPr>
          <w:b w:val="0"/>
        </w:rPr>
        <w:t xml:space="preserve">shown here has been adjusted </w:t>
      </w:r>
      <w:r w:rsidR="00EE0DBC">
        <w:rPr>
          <w:b w:val="0"/>
        </w:rPr>
        <w:t xml:space="preserve">to reflect </w:t>
      </w:r>
      <w:r w:rsidRPr="00B02E86">
        <w:rPr>
          <w:b w:val="0"/>
        </w:rPr>
        <w:t>the effects of Real Time Pricing (“RTP”) customer response</w:t>
      </w:r>
      <w:r w:rsidR="00EE0DBC">
        <w:rPr>
          <w:b w:val="0"/>
        </w:rPr>
        <w:t xml:space="preserve"> to changes in </w:t>
      </w:r>
      <w:r w:rsidR="009609E1">
        <w:rPr>
          <w:b w:val="0"/>
        </w:rPr>
        <w:t>prices</w:t>
      </w:r>
      <w:r w:rsidRPr="00B02E86">
        <w:rPr>
          <w:b w:val="0"/>
        </w:rPr>
        <w:t xml:space="preserve">, expected cogeneration, and </w:t>
      </w:r>
      <w:r w:rsidR="009609E1">
        <w:rPr>
          <w:b w:val="0"/>
        </w:rPr>
        <w:t xml:space="preserve">the impacts of </w:t>
      </w:r>
      <w:r w:rsidR="003325CD" w:rsidRPr="00B02E86">
        <w:rPr>
          <w:b w:val="0"/>
        </w:rPr>
        <w:t>D</w:t>
      </w:r>
      <w:r w:rsidR="003325CD">
        <w:rPr>
          <w:b w:val="0"/>
        </w:rPr>
        <w:t>SM</w:t>
      </w:r>
      <w:r w:rsidR="00AC5858">
        <w:rPr>
          <w:b w:val="0"/>
        </w:rPr>
        <w:t xml:space="preserve"> </w:t>
      </w:r>
      <w:r w:rsidR="009609E1">
        <w:rPr>
          <w:b w:val="0"/>
        </w:rPr>
        <w:t>p</w:t>
      </w:r>
      <w:r w:rsidRPr="00B02E86">
        <w:rPr>
          <w:b w:val="0"/>
        </w:rPr>
        <w:t>rogram</w:t>
      </w:r>
      <w:r w:rsidR="00AC5858">
        <w:rPr>
          <w:b w:val="0"/>
        </w:rPr>
        <w:t>s</w:t>
      </w:r>
      <w:r w:rsidRPr="00B02E86">
        <w:rPr>
          <w:b w:val="0"/>
        </w:rPr>
        <w:t>.</w:t>
      </w:r>
    </w:p>
    <w:p w14:paraId="24B16B34" w14:textId="4D8827A4" w:rsidR="00B02E86" w:rsidRDefault="00B02E86" w:rsidP="00B02E86">
      <w:pPr>
        <w:pStyle w:val="BodyTextIndent"/>
        <w:ind w:left="0"/>
        <w:jc w:val="left"/>
        <w:rPr>
          <w:b/>
        </w:rPr>
      </w:pPr>
    </w:p>
    <w:p w14:paraId="7B65AAB2" w14:textId="3596187D" w:rsidR="00AA3BCE" w:rsidRDefault="00AA3BCE" w:rsidP="000E252A">
      <w:pPr>
        <w:pStyle w:val="BodyTextIndent"/>
        <w:spacing w:line="360" w:lineRule="auto"/>
        <w:ind w:left="0"/>
        <w:jc w:val="both"/>
      </w:pPr>
      <w:r w:rsidRPr="000E252A">
        <w:t xml:space="preserve">Figure 1.1-2 shows the expected growth in territorial energy sales over the forecast horizon. In absolute terms, the amount of GWh growth </w:t>
      </w:r>
      <w:r w:rsidR="00BE6104">
        <w:t xml:space="preserve">is indicated by </w:t>
      </w:r>
      <w:r w:rsidRPr="000E252A">
        <w:t xml:space="preserve">the average annual growth rate (“AAGR”). During the historical period from 2007 to 2017, which includes the Great Recession (2007-2009), average growth declined by 374 GWh per year. Budget 2019 anticipates an average growth of </w:t>
      </w:r>
      <w:r w:rsidR="00B02BF2" w:rsidRPr="00F6763A">
        <w:rPr>
          <w:b/>
          <w:sz w:val="8"/>
          <w:szCs w:val="14"/>
        </w:rPr>
        <w:t>REDACTED</w:t>
      </w:r>
      <w:r w:rsidRPr="00F6763A">
        <w:rPr>
          <w:sz w:val="14"/>
        </w:rPr>
        <w:t xml:space="preserve"> </w:t>
      </w:r>
      <w:r w:rsidRPr="000E252A">
        <w:t xml:space="preserve">GWh each year from 2018-2028, while Budget 2018 predicted growth of </w:t>
      </w:r>
      <w:r w:rsidR="00B02BF2" w:rsidRPr="00321196">
        <w:rPr>
          <w:b/>
          <w:sz w:val="14"/>
          <w:szCs w:val="14"/>
        </w:rPr>
        <w:t>REDACTED</w:t>
      </w:r>
      <w:r w:rsidRPr="000E252A">
        <w:t xml:space="preserve"> GWh per year.  </w:t>
      </w:r>
    </w:p>
    <w:p w14:paraId="1D4D2BF6" w14:textId="77777777" w:rsidR="000641B0" w:rsidRPr="000E252A" w:rsidRDefault="000641B0" w:rsidP="000E252A">
      <w:pPr>
        <w:pStyle w:val="BodyTextIndent"/>
        <w:spacing w:line="360" w:lineRule="auto"/>
        <w:ind w:left="0"/>
        <w:jc w:val="both"/>
      </w:pPr>
    </w:p>
    <w:p w14:paraId="456A7771" w14:textId="6FDC88F1" w:rsidR="00B02E86" w:rsidRDefault="00B02E86" w:rsidP="00C475A8">
      <w:pPr>
        <w:pStyle w:val="BodyTextIndent"/>
        <w:keepNext/>
        <w:ind w:left="0"/>
        <w:jc w:val="left"/>
        <w:rPr>
          <w:b/>
        </w:rPr>
      </w:pPr>
      <w:r w:rsidRPr="00B6445B">
        <w:rPr>
          <w:b/>
        </w:rPr>
        <w:t xml:space="preserve">Figure 1.1-2: </w:t>
      </w:r>
      <w:r w:rsidRPr="00962A18">
        <w:rPr>
          <w:b/>
        </w:rPr>
        <w:t>Territorial Energy Sales</w:t>
      </w:r>
    </w:p>
    <w:p w14:paraId="7A7E80CE" w14:textId="77777777" w:rsidR="00E64B47" w:rsidRDefault="00E64B47" w:rsidP="00C475A8">
      <w:pPr>
        <w:pStyle w:val="BodyTextIndent"/>
        <w:keepNext/>
        <w:ind w:left="0"/>
        <w:jc w:val="left"/>
        <w:rPr>
          <w:b/>
        </w:rPr>
      </w:pPr>
    </w:p>
    <w:p w14:paraId="207503D1" w14:textId="57878267" w:rsidR="00054999" w:rsidRDefault="009F49E4" w:rsidP="00C475A8">
      <w:pPr>
        <w:pStyle w:val="BodyTextIndent"/>
        <w:keepNext/>
        <w:ind w:left="0"/>
        <w:jc w:val="left"/>
      </w:pPr>
      <w:r w:rsidRPr="009F49E4">
        <w:rPr>
          <w:noProof/>
        </w:rPr>
        <w:drawing>
          <wp:inline distT="0" distB="0" distL="0" distR="0" wp14:anchorId="4F6DE3D0" wp14:editId="7CBFCC61">
            <wp:extent cx="5824855" cy="3509385"/>
            <wp:effectExtent l="19050" t="19050" r="23495" b="1524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24855" cy="3509385"/>
                    </a:xfrm>
                    <a:prstGeom prst="rect">
                      <a:avLst/>
                    </a:prstGeom>
                    <a:noFill/>
                    <a:ln>
                      <a:solidFill>
                        <a:schemeClr val="bg1">
                          <a:lumMod val="65000"/>
                        </a:schemeClr>
                      </a:solidFill>
                    </a:ln>
                  </pic:spPr>
                </pic:pic>
              </a:graphicData>
            </a:graphic>
          </wp:inline>
        </w:drawing>
      </w:r>
    </w:p>
    <w:p w14:paraId="442033A1" w14:textId="581A56E6" w:rsidR="00B02E86" w:rsidRDefault="00B02E86" w:rsidP="00C475A8">
      <w:pPr>
        <w:pStyle w:val="BodyTextIndent"/>
        <w:keepNext/>
        <w:ind w:left="0"/>
        <w:jc w:val="left"/>
      </w:pPr>
    </w:p>
    <w:p w14:paraId="22698500" w14:textId="77777777" w:rsidR="00B02E86" w:rsidRDefault="00B02E86" w:rsidP="00B02E86">
      <w:pPr>
        <w:pStyle w:val="BodyTextIndent"/>
        <w:ind w:left="0"/>
        <w:jc w:val="left"/>
      </w:pPr>
    </w:p>
    <w:p w14:paraId="191DBC2E" w14:textId="77777777" w:rsidR="00B02E86" w:rsidRPr="003A3426" w:rsidRDefault="00B02E86" w:rsidP="0075063F">
      <w:pPr>
        <w:pStyle w:val="BodyText"/>
        <w:spacing w:line="360" w:lineRule="auto"/>
        <w:jc w:val="both"/>
      </w:pPr>
    </w:p>
    <w:p w14:paraId="68E6CBFD" w14:textId="77777777" w:rsidR="000641B0" w:rsidRDefault="000641B0">
      <w:pPr>
        <w:spacing w:after="200" w:line="276" w:lineRule="auto"/>
        <w:jc w:val="left"/>
        <w:rPr>
          <w:rFonts w:eastAsiaTheme="majorEastAsia"/>
          <w:bCs/>
          <w:sz w:val="28"/>
          <w:szCs w:val="28"/>
        </w:rPr>
      </w:pPr>
      <w:bookmarkStart w:id="131" w:name="_Toc347120352"/>
      <w:r>
        <w:rPr>
          <w:b w:val="0"/>
        </w:rPr>
        <w:br w:type="page"/>
      </w:r>
    </w:p>
    <w:p w14:paraId="24C8E96F" w14:textId="349C3D42" w:rsidR="00B02E86" w:rsidRPr="00B02E86" w:rsidRDefault="00B02E86" w:rsidP="00B02E86">
      <w:pPr>
        <w:pStyle w:val="Heading1"/>
        <w:jc w:val="left"/>
        <w:rPr>
          <w:rFonts w:ascii="Arial" w:hAnsi="Arial" w:cs="Arial"/>
          <w:b/>
          <w:color w:val="auto"/>
        </w:rPr>
      </w:pPr>
      <w:bookmarkStart w:id="132" w:name="_Toc535495611"/>
      <w:r w:rsidRPr="00B02E86">
        <w:rPr>
          <w:rFonts w:ascii="Arial" w:hAnsi="Arial" w:cs="Arial"/>
          <w:b/>
          <w:color w:val="auto"/>
        </w:rPr>
        <w:t>1.2</w:t>
      </w:r>
      <w:r w:rsidRPr="00B02E86">
        <w:rPr>
          <w:rFonts w:ascii="Arial" w:hAnsi="Arial" w:cs="Arial"/>
          <w:b/>
          <w:color w:val="auto"/>
        </w:rPr>
        <w:tab/>
        <w:t>RETAIL ENERGY SALES</w:t>
      </w:r>
      <w:bookmarkEnd w:id="131"/>
      <w:bookmarkEnd w:id="132"/>
    </w:p>
    <w:p w14:paraId="4AB00E0E" w14:textId="77777777" w:rsidR="00B02E86" w:rsidRPr="003A3426" w:rsidRDefault="00B02E86" w:rsidP="00B02E86">
      <w:pPr>
        <w:jc w:val="left"/>
      </w:pPr>
    </w:p>
    <w:p w14:paraId="5F181AE8" w14:textId="77777777" w:rsidR="00B02E86" w:rsidRDefault="00B02E86" w:rsidP="00B02E86">
      <w:pPr>
        <w:pStyle w:val="Heading2"/>
        <w:jc w:val="left"/>
        <w:rPr>
          <w:rFonts w:ascii="Arial" w:hAnsi="Arial" w:cs="Arial"/>
          <w:b/>
          <w:color w:val="auto"/>
          <w:sz w:val="20"/>
          <w:szCs w:val="20"/>
        </w:rPr>
      </w:pPr>
      <w:bookmarkStart w:id="133" w:name="_Toc347120353"/>
      <w:bookmarkStart w:id="134" w:name="_Toc535495612"/>
      <w:r w:rsidRPr="00B02E86">
        <w:rPr>
          <w:rFonts w:ascii="Arial" w:hAnsi="Arial" w:cs="Arial"/>
          <w:b/>
          <w:color w:val="auto"/>
          <w:sz w:val="20"/>
          <w:szCs w:val="20"/>
        </w:rPr>
        <w:t>1.2.1 Residential</w:t>
      </w:r>
      <w:bookmarkEnd w:id="133"/>
      <w:bookmarkEnd w:id="134"/>
    </w:p>
    <w:p w14:paraId="3ACD1EBB" w14:textId="77777777" w:rsidR="00B02E86" w:rsidRPr="00B02E86" w:rsidRDefault="00B02E86" w:rsidP="00B02E86"/>
    <w:p w14:paraId="6A20CDB6" w14:textId="0A6F4544" w:rsidR="00B02E86" w:rsidRPr="00B02E86" w:rsidRDefault="00B02E86" w:rsidP="00966D80">
      <w:pPr>
        <w:pStyle w:val="BodyText"/>
        <w:spacing w:line="360" w:lineRule="auto"/>
        <w:jc w:val="both"/>
        <w:rPr>
          <w:b w:val="0"/>
        </w:rPr>
      </w:pPr>
      <w:r w:rsidRPr="00B02E86">
        <w:rPr>
          <w:b w:val="0"/>
        </w:rPr>
        <w:t xml:space="preserve">In the </w:t>
      </w:r>
      <w:r w:rsidR="00C145D8">
        <w:rPr>
          <w:b w:val="0"/>
        </w:rPr>
        <w:t>short</w:t>
      </w:r>
      <w:r w:rsidRPr="00B02E86">
        <w:rPr>
          <w:b w:val="0"/>
        </w:rPr>
        <w:t xml:space="preserve"> term, </w:t>
      </w:r>
      <w:r w:rsidR="003435C9" w:rsidRPr="00B02E86">
        <w:rPr>
          <w:b w:val="0"/>
        </w:rPr>
        <w:t>20</w:t>
      </w:r>
      <w:r w:rsidR="003435C9">
        <w:rPr>
          <w:b w:val="0"/>
        </w:rPr>
        <w:t>19</w:t>
      </w:r>
      <w:r w:rsidRPr="00B02E86">
        <w:rPr>
          <w:b w:val="0"/>
        </w:rPr>
        <w:t>-</w:t>
      </w:r>
      <w:r w:rsidR="003435C9" w:rsidRPr="00B02E86">
        <w:rPr>
          <w:b w:val="0"/>
        </w:rPr>
        <w:t>20</w:t>
      </w:r>
      <w:r w:rsidR="003435C9">
        <w:rPr>
          <w:b w:val="0"/>
        </w:rPr>
        <w:t>21</w:t>
      </w:r>
      <w:r w:rsidRPr="00B02E86">
        <w:rPr>
          <w:b w:val="0"/>
        </w:rPr>
        <w:t xml:space="preserve">, Budget </w:t>
      </w:r>
      <w:r w:rsidR="002D6262" w:rsidRPr="00B02E86">
        <w:rPr>
          <w:b w:val="0"/>
        </w:rPr>
        <w:t>20</w:t>
      </w:r>
      <w:r w:rsidR="002D6262">
        <w:rPr>
          <w:b w:val="0"/>
        </w:rPr>
        <w:t>19</w:t>
      </w:r>
      <w:r w:rsidR="002D6262" w:rsidRPr="00B02E86">
        <w:rPr>
          <w:b w:val="0"/>
        </w:rPr>
        <w:t xml:space="preserve"> </w:t>
      </w:r>
      <w:r w:rsidRPr="00B02E86">
        <w:rPr>
          <w:b w:val="0"/>
        </w:rPr>
        <w:t xml:space="preserve">residential energy sales projections are </w:t>
      </w:r>
      <w:r w:rsidR="003435C9">
        <w:rPr>
          <w:b w:val="0"/>
        </w:rPr>
        <w:t>similar to those in</w:t>
      </w:r>
      <w:r w:rsidRPr="00B02E86">
        <w:rPr>
          <w:b w:val="0"/>
        </w:rPr>
        <w:t xml:space="preserve"> Budget </w:t>
      </w:r>
      <w:r w:rsidR="002D6262" w:rsidRPr="00B02E86">
        <w:rPr>
          <w:b w:val="0"/>
        </w:rPr>
        <w:t>20</w:t>
      </w:r>
      <w:r w:rsidR="002D6262">
        <w:rPr>
          <w:b w:val="0"/>
        </w:rPr>
        <w:t>18</w:t>
      </w:r>
      <w:r w:rsidRPr="008F609F">
        <w:rPr>
          <w:b w:val="0"/>
        </w:rPr>
        <w:t>. In t</w:t>
      </w:r>
      <w:r w:rsidRPr="00B02E86">
        <w:rPr>
          <w:b w:val="0"/>
        </w:rPr>
        <w:t xml:space="preserve">he longer run, Budget </w:t>
      </w:r>
      <w:r w:rsidR="002D6262" w:rsidRPr="00B02E86">
        <w:rPr>
          <w:b w:val="0"/>
        </w:rPr>
        <w:t>20</w:t>
      </w:r>
      <w:r w:rsidR="002D6262">
        <w:rPr>
          <w:b w:val="0"/>
        </w:rPr>
        <w:t>19</w:t>
      </w:r>
      <w:r w:rsidR="002D6262" w:rsidRPr="00B02E86">
        <w:rPr>
          <w:b w:val="0"/>
        </w:rPr>
        <w:t xml:space="preserve"> </w:t>
      </w:r>
      <w:r w:rsidR="003F543A">
        <w:rPr>
          <w:b w:val="0"/>
        </w:rPr>
        <w:t xml:space="preserve">grows slightly slower and </w:t>
      </w:r>
      <w:r w:rsidRPr="00B02E86">
        <w:rPr>
          <w:b w:val="0"/>
        </w:rPr>
        <w:t xml:space="preserve">remains below Budget </w:t>
      </w:r>
      <w:r w:rsidR="002D6262" w:rsidRPr="00B02E86">
        <w:rPr>
          <w:b w:val="0"/>
        </w:rPr>
        <w:t>20</w:t>
      </w:r>
      <w:r w:rsidR="002D6262">
        <w:rPr>
          <w:b w:val="0"/>
        </w:rPr>
        <w:t>18</w:t>
      </w:r>
      <w:r w:rsidRPr="00B02E86">
        <w:rPr>
          <w:b w:val="0"/>
        </w:rPr>
        <w:t xml:space="preserve">.  Figure 1.2.1-1 shows the comparison of Budget </w:t>
      </w:r>
      <w:r w:rsidR="002D6262" w:rsidRPr="00B02E86">
        <w:rPr>
          <w:b w:val="0"/>
        </w:rPr>
        <w:t>20</w:t>
      </w:r>
      <w:r w:rsidR="002D6262">
        <w:rPr>
          <w:b w:val="0"/>
        </w:rPr>
        <w:t>19</w:t>
      </w:r>
      <w:r w:rsidR="002D6262" w:rsidRPr="00B02E86">
        <w:rPr>
          <w:b w:val="0"/>
        </w:rPr>
        <w:t xml:space="preserve"> </w:t>
      </w:r>
      <w:r w:rsidRPr="00B02E86">
        <w:rPr>
          <w:b w:val="0"/>
        </w:rPr>
        <w:t xml:space="preserve">with the Budget </w:t>
      </w:r>
      <w:r w:rsidR="002D6262" w:rsidRPr="00B02E86">
        <w:rPr>
          <w:b w:val="0"/>
        </w:rPr>
        <w:t>20</w:t>
      </w:r>
      <w:r w:rsidR="002D6262">
        <w:rPr>
          <w:b w:val="0"/>
        </w:rPr>
        <w:t>18</w:t>
      </w:r>
      <w:r w:rsidR="002D6262" w:rsidRPr="00B02E86">
        <w:rPr>
          <w:b w:val="0"/>
        </w:rPr>
        <w:t xml:space="preserve"> </w:t>
      </w:r>
      <w:r w:rsidRPr="00B02E86">
        <w:rPr>
          <w:b w:val="0"/>
        </w:rPr>
        <w:t xml:space="preserve">residential energy forecast. </w:t>
      </w:r>
      <w:r w:rsidR="00EE14EE">
        <w:rPr>
          <w:b w:val="0"/>
        </w:rPr>
        <w:t xml:space="preserve"> </w:t>
      </w:r>
      <w:r w:rsidR="00EE14EE" w:rsidRPr="00B02E86">
        <w:rPr>
          <w:b w:val="0"/>
        </w:rPr>
        <w:t xml:space="preserve">In </w:t>
      </w:r>
      <w:r w:rsidR="000658CB">
        <w:rPr>
          <w:b w:val="0"/>
        </w:rPr>
        <w:t xml:space="preserve">the </w:t>
      </w:r>
      <w:r w:rsidR="00EE14EE" w:rsidRPr="00B02E86">
        <w:rPr>
          <w:b w:val="0"/>
        </w:rPr>
        <w:t>later years</w:t>
      </w:r>
      <w:r w:rsidR="000658CB">
        <w:rPr>
          <w:b w:val="0"/>
        </w:rPr>
        <w:t xml:space="preserve"> of the forecast</w:t>
      </w:r>
      <w:r w:rsidR="00EE14EE" w:rsidRPr="00B02E86">
        <w:rPr>
          <w:b w:val="0"/>
        </w:rPr>
        <w:t xml:space="preserve">, </w:t>
      </w:r>
      <w:r w:rsidR="001C5F23">
        <w:rPr>
          <w:b w:val="0"/>
        </w:rPr>
        <w:t xml:space="preserve">Budget 2019 residential energy forecast falls below that of Budget 2018 largely due to </w:t>
      </w:r>
      <w:r w:rsidR="00123F75">
        <w:rPr>
          <w:b w:val="0"/>
        </w:rPr>
        <w:t>a lower forecast of electric vehicles</w:t>
      </w:r>
      <w:r w:rsidR="003A38D8">
        <w:rPr>
          <w:b w:val="0"/>
        </w:rPr>
        <w:t>.</w:t>
      </w:r>
      <w:r w:rsidR="00123F75">
        <w:rPr>
          <w:b w:val="0"/>
        </w:rPr>
        <w:t xml:space="preserve"> </w:t>
      </w:r>
    </w:p>
    <w:p w14:paraId="0780C0E6" w14:textId="77777777" w:rsidR="00B02E86" w:rsidRPr="00B02E86" w:rsidRDefault="00B02E86" w:rsidP="00966D80">
      <w:pPr>
        <w:pStyle w:val="BodyText"/>
        <w:spacing w:line="360" w:lineRule="auto"/>
        <w:jc w:val="both"/>
        <w:rPr>
          <w:b w:val="0"/>
        </w:rPr>
      </w:pPr>
    </w:p>
    <w:p w14:paraId="7174DBBE" w14:textId="5A363C9D" w:rsidR="00B02E86" w:rsidRPr="00B02E86" w:rsidRDefault="00B02E86" w:rsidP="00966D80">
      <w:pPr>
        <w:pStyle w:val="BodyText"/>
        <w:spacing w:line="360" w:lineRule="auto"/>
        <w:jc w:val="both"/>
        <w:rPr>
          <w:b w:val="0"/>
        </w:rPr>
      </w:pPr>
      <w:r w:rsidRPr="00B02E86">
        <w:rPr>
          <w:b w:val="0"/>
        </w:rPr>
        <w:t xml:space="preserve">The Budget </w:t>
      </w:r>
      <w:r w:rsidR="002D6262" w:rsidRPr="00B02E86">
        <w:rPr>
          <w:b w:val="0"/>
        </w:rPr>
        <w:t>20</w:t>
      </w:r>
      <w:r w:rsidR="002D6262">
        <w:rPr>
          <w:b w:val="0"/>
        </w:rPr>
        <w:t>19</w:t>
      </w:r>
      <w:r w:rsidR="002D6262" w:rsidRPr="00B02E86">
        <w:rPr>
          <w:b w:val="0"/>
        </w:rPr>
        <w:t xml:space="preserve"> </w:t>
      </w:r>
      <w:r w:rsidRPr="00B02E86">
        <w:rPr>
          <w:b w:val="0"/>
        </w:rPr>
        <w:t xml:space="preserve">residential </w:t>
      </w:r>
      <w:r w:rsidR="008F609F">
        <w:rPr>
          <w:b w:val="0"/>
        </w:rPr>
        <w:t xml:space="preserve">customer </w:t>
      </w:r>
      <w:r w:rsidRPr="00B02E86">
        <w:rPr>
          <w:b w:val="0"/>
        </w:rPr>
        <w:t xml:space="preserve">forecast </w:t>
      </w:r>
      <w:r w:rsidR="008F609F">
        <w:rPr>
          <w:b w:val="0"/>
        </w:rPr>
        <w:t xml:space="preserve">is not much different than Budget </w:t>
      </w:r>
      <w:r w:rsidR="002D6262">
        <w:rPr>
          <w:b w:val="0"/>
        </w:rPr>
        <w:t>2018</w:t>
      </w:r>
      <w:r w:rsidR="008F609F">
        <w:rPr>
          <w:b w:val="0"/>
        </w:rPr>
        <w:t xml:space="preserve">. </w:t>
      </w:r>
      <w:r w:rsidR="00460C15">
        <w:rPr>
          <w:b w:val="0"/>
        </w:rPr>
        <w:t xml:space="preserve">Both forecasts are </w:t>
      </w:r>
      <w:r w:rsidR="00E54C51">
        <w:rPr>
          <w:b w:val="0"/>
        </w:rPr>
        <w:t xml:space="preserve">driven by </w:t>
      </w:r>
      <w:r w:rsidR="00460C15">
        <w:rPr>
          <w:b w:val="0"/>
        </w:rPr>
        <w:t>recent strong growth in customer additions in the short-term and by household growth in the long-term.</w:t>
      </w:r>
      <w:r w:rsidRPr="00B02E86">
        <w:rPr>
          <w:b w:val="0"/>
        </w:rPr>
        <w:t xml:space="preserve"> </w:t>
      </w:r>
      <w:r w:rsidR="001013EC">
        <w:rPr>
          <w:b w:val="0"/>
        </w:rPr>
        <w:t xml:space="preserve"> </w:t>
      </w:r>
    </w:p>
    <w:p w14:paraId="2B1EFDF6" w14:textId="77777777" w:rsidR="00B02E86" w:rsidRDefault="00B02E86" w:rsidP="00D87072">
      <w:pPr>
        <w:pStyle w:val="BodyTextIndent"/>
        <w:spacing w:line="360" w:lineRule="auto"/>
        <w:ind w:left="0"/>
        <w:jc w:val="left"/>
        <w:rPr>
          <w:b/>
        </w:rPr>
      </w:pPr>
    </w:p>
    <w:p w14:paraId="5F019C9C" w14:textId="12D16D37" w:rsidR="00CA4BBD" w:rsidRDefault="00B02E86" w:rsidP="00CA4BBD">
      <w:pPr>
        <w:pStyle w:val="BodyTextIndent"/>
        <w:keepNext/>
        <w:ind w:left="0"/>
        <w:jc w:val="left"/>
        <w:rPr>
          <w:b/>
        </w:rPr>
      </w:pPr>
      <w:r w:rsidRPr="00B6445B">
        <w:rPr>
          <w:b/>
        </w:rPr>
        <w:t xml:space="preserve">Figure 1.2.1-1 </w:t>
      </w:r>
      <w:r w:rsidRPr="005B54E1">
        <w:rPr>
          <w:b/>
        </w:rPr>
        <w:t>Residential Energy Forecast</w:t>
      </w:r>
    </w:p>
    <w:p w14:paraId="07578331" w14:textId="77777777" w:rsidR="00E64B47" w:rsidRDefault="00E64B47" w:rsidP="00CA4BBD">
      <w:pPr>
        <w:pStyle w:val="BodyTextIndent"/>
        <w:keepNext/>
        <w:ind w:left="0"/>
        <w:jc w:val="left"/>
        <w:rPr>
          <w:b/>
        </w:rPr>
      </w:pPr>
    </w:p>
    <w:p w14:paraId="5BE1E922" w14:textId="4004F549" w:rsidR="00054999" w:rsidRDefault="009F49E4" w:rsidP="00CA4BBD">
      <w:pPr>
        <w:pStyle w:val="BodyTextIndent"/>
        <w:keepNext/>
        <w:ind w:left="0"/>
        <w:jc w:val="left"/>
        <w:rPr>
          <w:b/>
        </w:rPr>
      </w:pPr>
      <w:r w:rsidRPr="009F49E4">
        <w:rPr>
          <w:b/>
          <w:noProof/>
        </w:rPr>
        <w:drawing>
          <wp:inline distT="0" distB="0" distL="0" distR="0" wp14:anchorId="1F478CAD" wp14:editId="4C7C3CCB">
            <wp:extent cx="5824855" cy="3509385"/>
            <wp:effectExtent l="19050" t="19050" r="23495" b="1524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24855" cy="3509385"/>
                    </a:xfrm>
                    <a:prstGeom prst="rect">
                      <a:avLst/>
                    </a:prstGeom>
                    <a:noFill/>
                    <a:ln>
                      <a:solidFill>
                        <a:schemeClr val="bg1">
                          <a:lumMod val="65000"/>
                        </a:schemeClr>
                      </a:solidFill>
                    </a:ln>
                  </pic:spPr>
                </pic:pic>
              </a:graphicData>
            </a:graphic>
          </wp:inline>
        </w:drawing>
      </w:r>
    </w:p>
    <w:p w14:paraId="04B99CBD" w14:textId="6757CF34" w:rsidR="00B02E86" w:rsidRDefault="00B02E86" w:rsidP="00CA4BBD">
      <w:pPr>
        <w:pStyle w:val="BodyTextIndent"/>
        <w:keepNext/>
        <w:ind w:left="0"/>
        <w:jc w:val="left"/>
      </w:pPr>
    </w:p>
    <w:p w14:paraId="5FBEBAE7" w14:textId="77777777" w:rsidR="00BB1129" w:rsidRDefault="00BB1129" w:rsidP="00BB1129">
      <w:bookmarkStart w:id="135" w:name="_Toc503665678"/>
      <w:bookmarkStart w:id="136" w:name="_Toc111952980"/>
      <w:bookmarkStart w:id="137" w:name="_Toc347120355"/>
    </w:p>
    <w:p w14:paraId="33150B42" w14:textId="77777777" w:rsidR="006F1D2B" w:rsidRDefault="006F1D2B" w:rsidP="00BB1129"/>
    <w:p w14:paraId="3FFEFF1D" w14:textId="77777777" w:rsidR="000641B0" w:rsidRDefault="000641B0">
      <w:pPr>
        <w:spacing w:after="200" w:line="276" w:lineRule="auto"/>
        <w:jc w:val="left"/>
        <w:rPr>
          <w:rFonts w:eastAsiaTheme="majorEastAsia"/>
          <w:bCs/>
        </w:rPr>
      </w:pPr>
      <w:r>
        <w:rPr>
          <w:b w:val="0"/>
        </w:rPr>
        <w:br w:type="page"/>
      </w:r>
    </w:p>
    <w:p w14:paraId="495DA690" w14:textId="792C9FE5" w:rsidR="00B02E86" w:rsidRPr="00B02E86" w:rsidRDefault="00B02E86" w:rsidP="00BB1129">
      <w:pPr>
        <w:pStyle w:val="Heading2"/>
        <w:widowControl w:val="0"/>
        <w:jc w:val="left"/>
        <w:rPr>
          <w:rFonts w:ascii="Arial" w:hAnsi="Arial" w:cs="Arial"/>
          <w:b/>
          <w:color w:val="auto"/>
          <w:sz w:val="20"/>
          <w:szCs w:val="20"/>
        </w:rPr>
      </w:pPr>
      <w:bookmarkStart w:id="138" w:name="_Toc535495613"/>
      <w:r w:rsidRPr="00B02E86">
        <w:rPr>
          <w:rFonts w:ascii="Arial" w:hAnsi="Arial" w:cs="Arial"/>
          <w:b/>
          <w:color w:val="auto"/>
          <w:sz w:val="20"/>
          <w:szCs w:val="20"/>
        </w:rPr>
        <w:t>1.2.2 Commercial</w:t>
      </w:r>
      <w:bookmarkEnd w:id="135"/>
      <w:bookmarkEnd w:id="136"/>
      <w:bookmarkEnd w:id="137"/>
      <w:bookmarkEnd w:id="138"/>
    </w:p>
    <w:p w14:paraId="28CBB602" w14:textId="77777777" w:rsidR="00B02E86" w:rsidRDefault="00B02E86" w:rsidP="00BB1129">
      <w:pPr>
        <w:pStyle w:val="BodyText"/>
        <w:keepNext/>
        <w:widowControl w:val="0"/>
        <w:jc w:val="left"/>
        <w:rPr>
          <w:b w:val="0"/>
        </w:rPr>
      </w:pPr>
    </w:p>
    <w:p w14:paraId="2A124072" w14:textId="5AED48E8" w:rsidR="00B02E86" w:rsidRPr="00B02E86" w:rsidRDefault="00137A64" w:rsidP="00BB1129">
      <w:pPr>
        <w:pStyle w:val="BodyText"/>
        <w:keepNext/>
        <w:widowControl w:val="0"/>
        <w:spacing w:line="360" w:lineRule="auto"/>
        <w:jc w:val="both"/>
        <w:rPr>
          <w:b w:val="0"/>
        </w:rPr>
      </w:pPr>
      <w:r>
        <w:rPr>
          <w:b w:val="0"/>
        </w:rPr>
        <w:t>From</w:t>
      </w:r>
      <w:r w:rsidR="00984869">
        <w:rPr>
          <w:b w:val="0"/>
        </w:rPr>
        <w:t xml:space="preserve"> 2007</w:t>
      </w:r>
      <w:r>
        <w:rPr>
          <w:b w:val="0"/>
        </w:rPr>
        <w:t>-2017</w:t>
      </w:r>
      <w:r w:rsidR="00984869">
        <w:rPr>
          <w:b w:val="0"/>
        </w:rPr>
        <w:t xml:space="preserve">, </w:t>
      </w:r>
      <w:r>
        <w:rPr>
          <w:b w:val="0"/>
        </w:rPr>
        <w:t xml:space="preserve">average annual growth in </w:t>
      </w:r>
      <w:r w:rsidR="00984869">
        <w:rPr>
          <w:b w:val="0"/>
        </w:rPr>
        <w:t>commercial sales</w:t>
      </w:r>
      <w:r w:rsidR="003E7C4C">
        <w:rPr>
          <w:b w:val="0"/>
        </w:rPr>
        <w:t xml:space="preserve"> ha</w:t>
      </w:r>
      <w:r>
        <w:rPr>
          <w:b w:val="0"/>
        </w:rPr>
        <w:t>s</w:t>
      </w:r>
      <w:r w:rsidR="003E7C4C">
        <w:rPr>
          <w:b w:val="0"/>
        </w:rPr>
        <w:t xml:space="preserve"> been relatively flat</w:t>
      </w:r>
      <w:r>
        <w:rPr>
          <w:b w:val="0"/>
        </w:rPr>
        <w:t xml:space="preserve">, and sales </w:t>
      </w:r>
      <w:r w:rsidR="00A9773E">
        <w:rPr>
          <w:b w:val="0"/>
        </w:rPr>
        <w:t xml:space="preserve">remained below </w:t>
      </w:r>
      <w:r w:rsidR="003E7C4C">
        <w:rPr>
          <w:b w:val="0"/>
        </w:rPr>
        <w:t xml:space="preserve">their pre-recession </w:t>
      </w:r>
      <w:r w:rsidR="00485CDC">
        <w:rPr>
          <w:b w:val="0"/>
        </w:rPr>
        <w:t>level</w:t>
      </w:r>
      <w:r w:rsidR="00A9773E">
        <w:rPr>
          <w:b w:val="0"/>
        </w:rPr>
        <w:t>s</w:t>
      </w:r>
      <w:r w:rsidR="003E7C4C">
        <w:rPr>
          <w:b w:val="0"/>
        </w:rPr>
        <w:t xml:space="preserve">. Both </w:t>
      </w:r>
      <w:r w:rsidR="00B02E86" w:rsidRPr="00B02E86">
        <w:rPr>
          <w:b w:val="0"/>
        </w:rPr>
        <w:t xml:space="preserve">Budget </w:t>
      </w:r>
      <w:r w:rsidR="002D6262" w:rsidRPr="00B02E86">
        <w:rPr>
          <w:b w:val="0"/>
        </w:rPr>
        <w:t>20</w:t>
      </w:r>
      <w:r w:rsidR="002D6262">
        <w:rPr>
          <w:b w:val="0"/>
        </w:rPr>
        <w:t>19</w:t>
      </w:r>
      <w:r w:rsidR="002D6262" w:rsidRPr="00B02E86">
        <w:rPr>
          <w:b w:val="0"/>
        </w:rPr>
        <w:t xml:space="preserve"> </w:t>
      </w:r>
      <w:r w:rsidR="003E7C4C">
        <w:rPr>
          <w:b w:val="0"/>
        </w:rPr>
        <w:t>and</w:t>
      </w:r>
      <w:r w:rsidR="00B02E86" w:rsidRPr="00B02E86">
        <w:rPr>
          <w:b w:val="0"/>
        </w:rPr>
        <w:t xml:space="preserve"> Budget </w:t>
      </w:r>
      <w:r w:rsidR="002D6262" w:rsidRPr="00B02E86">
        <w:rPr>
          <w:b w:val="0"/>
        </w:rPr>
        <w:t>20</w:t>
      </w:r>
      <w:r w:rsidR="002D6262">
        <w:rPr>
          <w:b w:val="0"/>
        </w:rPr>
        <w:t>18</w:t>
      </w:r>
      <w:r w:rsidR="002D6262" w:rsidRPr="00B02E86">
        <w:rPr>
          <w:b w:val="0"/>
        </w:rPr>
        <w:t xml:space="preserve"> </w:t>
      </w:r>
      <w:r w:rsidR="003E7C4C">
        <w:rPr>
          <w:b w:val="0"/>
        </w:rPr>
        <w:t>project slight annual declines over the next several years before growth picks up in the outer years of the forecast</w:t>
      </w:r>
      <w:r w:rsidR="00B02E86" w:rsidRPr="00B02E86">
        <w:rPr>
          <w:b w:val="0"/>
        </w:rPr>
        <w:t>. This can be seen in figure 1.2.2-1 below.</w:t>
      </w:r>
    </w:p>
    <w:p w14:paraId="193F2777" w14:textId="77777777" w:rsidR="00B02E86" w:rsidRPr="00B02E86" w:rsidRDefault="00B02E86" w:rsidP="00966D80">
      <w:pPr>
        <w:pStyle w:val="BodyText"/>
        <w:spacing w:line="360" w:lineRule="auto"/>
        <w:jc w:val="both"/>
        <w:rPr>
          <w:b w:val="0"/>
          <w:highlight w:val="magenta"/>
        </w:rPr>
      </w:pPr>
    </w:p>
    <w:p w14:paraId="08379F49" w14:textId="69C0FB05" w:rsidR="00B02E86" w:rsidRDefault="00485CDC" w:rsidP="00321196">
      <w:pPr>
        <w:pStyle w:val="BodyTextIndent"/>
        <w:spacing w:line="360" w:lineRule="auto"/>
        <w:ind w:left="0"/>
        <w:jc w:val="both"/>
      </w:pPr>
      <w:r w:rsidRPr="00C636EA">
        <w:t>T</w:t>
      </w:r>
      <w:r w:rsidR="00C67BE5" w:rsidRPr="00C636EA">
        <w:t>he modest decline in sales t</w:t>
      </w:r>
      <w:r w:rsidRPr="00C636EA">
        <w:t xml:space="preserve">hrough 2027 </w:t>
      </w:r>
      <w:r w:rsidR="00C67BE5" w:rsidRPr="00C636EA">
        <w:t xml:space="preserve">is driven primarily by </w:t>
      </w:r>
      <w:r w:rsidRPr="00C636EA">
        <w:t>improvements in</w:t>
      </w:r>
      <w:r w:rsidR="001A0C0E">
        <w:t xml:space="preserve"> energy</w:t>
      </w:r>
      <w:r w:rsidRPr="00C636EA">
        <w:t xml:space="preserve"> efficienc</w:t>
      </w:r>
      <w:r w:rsidR="001A0C0E">
        <w:t>y</w:t>
      </w:r>
      <w:r w:rsidR="00C67BE5" w:rsidRPr="00C636EA">
        <w:t xml:space="preserve">. In the latter years of the forecast, growth picks up due to expected growth in commercial square footage and electric vehicles. Budget 2019 is lower than Budget 2018 due to </w:t>
      </w:r>
      <w:r w:rsidR="00CC5EA0">
        <w:t xml:space="preserve">efficient lighting and other technology updates </w:t>
      </w:r>
      <w:r w:rsidR="00C67BE5" w:rsidRPr="00C636EA">
        <w:t xml:space="preserve">in the commercial </w:t>
      </w:r>
      <w:r w:rsidR="00EE7284" w:rsidRPr="00C636EA">
        <w:t>long-term forecast</w:t>
      </w:r>
      <w:r w:rsidR="00C67BE5" w:rsidRPr="00C636EA">
        <w:t xml:space="preserve"> model and a lower electric vehicle forecast.</w:t>
      </w:r>
      <w:r w:rsidRPr="00C636EA">
        <w:t xml:space="preserve"> </w:t>
      </w:r>
    </w:p>
    <w:p w14:paraId="416A8819" w14:textId="77777777" w:rsidR="000641B0" w:rsidRPr="00C636EA" w:rsidRDefault="000641B0" w:rsidP="00C636EA">
      <w:pPr>
        <w:pStyle w:val="BodyTextIndent"/>
        <w:spacing w:line="360" w:lineRule="auto"/>
        <w:ind w:left="0"/>
        <w:jc w:val="left"/>
      </w:pPr>
    </w:p>
    <w:p w14:paraId="58E65AC8" w14:textId="0C304CDD" w:rsidR="00CA4BBD" w:rsidRDefault="00B02E86" w:rsidP="00CA4BBD">
      <w:pPr>
        <w:pStyle w:val="BodyTextIndent"/>
        <w:keepNext/>
        <w:ind w:left="0"/>
        <w:jc w:val="left"/>
        <w:rPr>
          <w:b/>
        </w:rPr>
      </w:pPr>
      <w:r w:rsidRPr="00B6445B">
        <w:rPr>
          <w:b/>
        </w:rPr>
        <w:t xml:space="preserve">Figure 1.2.2-1: </w:t>
      </w:r>
      <w:r w:rsidRPr="005B54E1">
        <w:rPr>
          <w:b/>
        </w:rPr>
        <w:t>Commercial Energy Forecast</w:t>
      </w:r>
    </w:p>
    <w:p w14:paraId="34017FAB" w14:textId="77777777" w:rsidR="00E64B47" w:rsidRDefault="00E64B47" w:rsidP="00CA4BBD">
      <w:pPr>
        <w:pStyle w:val="BodyTextIndent"/>
        <w:keepNext/>
        <w:ind w:left="0"/>
        <w:jc w:val="left"/>
        <w:rPr>
          <w:b/>
        </w:rPr>
      </w:pPr>
    </w:p>
    <w:p w14:paraId="593141E9" w14:textId="494E49C6" w:rsidR="00B02E86" w:rsidRDefault="009F49E4" w:rsidP="00CA4BBD">
      <w:pPr>
        <w:pStyle w:val="BodyTextIndent"/>
        <w:keepNext/>
        <w:ind w:left="0"/>
        <w:jc w:val="left"/>
      </w:pPr>
      <w:r w:rsidRPr="009F49E4">
        <w:rPr>
          <w:noProof/>
        </w:rPr>
        <w:drawing>
          <wp:inline distT="0" distB="0" distL="0" distR="0" wp14:anchorId="4D6BBC69" wp14:editId="6F07A3A3">
            <wp:extent cx="5824855" cy="3509385"/>
            <wp:effectExtent l="19050" t="19050" r="23495" b="1524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24855" cy="3509385"/>
                    </a:xfrm>
                    <a:prstGeom prst="rect">
                      <a:avLst/>
                    </a:prstGeom>
                    <a:noFill/>
                    <a:ln>
                      <a:solidFill>
                        <a:schemeClr val="bg1">
                          <a:lumMod val="65000"/>
                        </a:schemeClr>
                      </a:solidFill>
                    </a:ln>
                  </pic:spPr>
                </pic:pic>
              </a:graphicData>
            </a:graphic>
          </wp:inline>
        </w:drawing>
      </w:r>
    </w:p>
    <w:p w14:paraId="51BA6587" w14:textId="77777777" w:rsidR="00B02E86" w:rsidRDefault="00B02E86" w:rsidP="00B02E86">
      <w:pPr>
        <w:pStyle w:val="BodyTextIndent"/>
        <w:ind w:left="0"/>
        <w:jc w:val="left"/>
      </w:pPr>
    </w:p>
    <w:p w14:paraId="7E282D25" w14:textId="77777777" w:rsidR="000641B0" w:rsidRDefault="000641B0">
      <w:pPr>
        <w:spacing w:after="200" w:line="276" w:lineRule="auto"/>
        <w:jc w:val="left"/>
        <w:rPr>
          <w:rFonts w:eastAsiaTheme="majorEastAsia"/>
          <w:bCs/>
        </w:rPr>
      </w:pPr>
      <w:bookmarkStart w:id="139" w:name="_Toc347120357"/>
      <w:r>
        <w:rPr>
          <w:b w:val="0"/>
        </w:rPr>
        <w:br w:type="page"/>
      </w:r>
    </w:p>
    <w:p w14:paraId="76D5DCBB" w14:textId="2650A073" w:rsidR="00B02E86" w:rsidRPr="00082868" w:rsidRDefault="00B02E86" w:rsidP="00B02E86">
      <w:pPr>
        <w:pStyle w:val="Heading2"/>
        <w:jc w:val="left"/>
        <w:rPr>
          <w:rFonts w:ascii="Arial" w:hAnsi="Arial" w:cs="Arial"/>
          <w:b/>
          <w:color w:val="auto"/>
          <w:sz w:val="20"/>
          <w:szCs w:val="20"/>
        </w:rPr>
      </w:pPr>
      <w:bookmarkStart w:id="140" w:name="_Toc535495614"/>
      <w:r w:rsidRPr="00082868">
        <w:rPr>
          <w:rFonts w:ascii="Arial" w:hAnsi="Arial" w:cs="Arial"/>
          <w:b/>
          <w:color w:val="auto"/>
          <w:sz w:val="20"/>
          <w:szCs w:val="20"/>
        </w:rPr>
        <w:t>1.2.3</w:t>
      </w:r>
      <w:r w:rsidR="00082868">
        <w:rPr>
          <w:rFonts w:ascii="Arial" w:hAnsi="Arial" w:cs="Arial"/>
          <w:b/>
          <w:color w:val="auto"/>
          <w:sz w:val="20"/>
          <w:szCs w:val="20"/>
        </w:rPr>
        <w:t xml:space="preserve"> </w:t>
      </w:r>
      <w:r w:rsidRPr="00082868">
        <w:rPr>
          <w:rFonts w:ascii="Arial" w:hAnsi="Arial" w:cs="Arial"/>
          <w:b/>
          <w:color w:val="auto"/>
          <w:sz w:val="20"/>
          <w:szCs w:val="20"/>
        </w:rPr>
        <w:t>Industrial</w:t>
      </w:r>
      <w:bookmarkEnd w:id="139"/>
      <w:bookmarkEnd w:id="140"/>
    </w:p>
    <w:p w14:paraId="0581F955" w14:textId="77777777" w:rsidR="00082868" w:rsidRDefault="00082868" w:rsidP="00082868">
      <w:pPr>
        <w:pStyle w:val="BodyText"/>
        <w:jc w:val="left"/>
        <w:rPr>
          <w:b w:val="0"/>
        </w:rPr>
      </w:pPr>
    </w:p>
    <w:p w14:paraId="6646EE0B" w14:textId="66342C2E" w:rsidR="00B02E86" w:rsidRPr="00082868" w:rsidRDefault="00B02E86" w:rsidP="00966D80">
      <w:pPr>
        <w:pStyle w:val="BodyText"/>
        <w:spacing w:line="360" w:lineRule="auto"/>
        <w:jc w:val="both"/>
        <w:rPr>
          <w:b w:val="0"/>
        </w:rPr>
      </w:pPr>
      <w:r w:rsidRPr="00082868">
        <w:rPr>
          <w:b w:val="0"/>
        </w:rPr>
        <w:t>The</w:t>
      </w:r>
      <w:r w:rsidR="00E275DC">
        <w:rPr>
          <w:b w:val="0"/>
        </w:rPr>
        <w:t xml:space="preserve"> industrial sector</w:t>
      </w:r>
      <w:r w:rsidR="00C254C7">
        <w:rPr>
          <w:b w:val="0"/>
        </w:rPr>
        <w:t>s</w:t>
      </w:r>
      <w:r w:rsidR="00E275DC">
        <w:rPr>
          <w:b w:val="0"/>
        </w:rPr>
        <w:t xml:space="preserve"> </w:t>
      </w:r>
      <w:r w:rsidR="00473A25">
        <w:rPr>
          <w:b w:val="0"/>
        </w:rPr>
        <w:t>in</w:t>
      </w:r>
      <w:r w:rsidR="00E275DC">
        <w:rPr>
          <w:b w:val="0"/>
        </w:rPr>
        <w:t xml:space="preserve"> </w:t>
      </w:r>
      <w:r w:rsidR="00DD433F">
        <w:rPr>
          <w:b w:val="0"/>
        </w:rPr>
        <w:t>both the U.S. and Georgia</w:t>
      </w:r>
      <w:r w:rsidRPr="00082868">
        <w:rPr>
          <w:b w:val="0"/>
        </w:rPr>
        <w:t xml:space="preserve"> were hit especially hard during the 2007</w:t>
      </w:r>
      <w:r w:rsidR="003A38D8">
        <w:rPr>
          <w:b w:val="0"/>
        </w:rPr>
        <w:t>-</w:t>
      </w:r>
      <w:r w:rsidRPr="00082868">
        <w:rPr>
          <w:b w:val="0"/>
        </w:rPr>
        <w:t>2009 recession</w:t>
      </w:r>
      <w:r w:rsidR="008554F1">
        <w:rPr>
          <w:b w:val="0"/>
        </w:rPr>
        <w:t xml:space="preserve">. </w:t>
      </w:r>
      <w:r w:rsidR="007471A7">
        <w:rPr>
          <w:b w:val="0"/>
        </w:rPr>
        <w:t>Since 2007, Georgia Power’s industrial energy sales have fallen by an average of 0.8% per</w:t>
      </w:r>
      <w:r w:rsidR="00DD433F">
        <w:rPr>
          <w:b w:val="0"/>
        </w:rPr>
        <w:t xml:space="preserve"> </w:t>
      </w:r>
      <w:r w:rsidR="007471A7">
        <w:rPr>
          <w:b w:val="0"/>
        </w:rPr>
        <w:t>year</w:t>
      </w:r>
      <w:r w:rsidR="00AB31B7">
        <w:rPr>
          <w:b w:val="0"/>
        </w:rPr>
        <w:t xml:space="preserve"> </w:t>
      </w:r>
      <w:r w:rsidR="0020793E">
        <w:rPr>
          <w:b w:val="0"/>
        </w:rPr>
        <w:t xml:space="preserve">and </w:t>
      </w:r>
      <w:r w:rsidR="008554F1">
        <w:rPr>
          <w:b w:val="0"/>
        </w:rPr>
        <w:t>have still not returned to their pre-recession levels</w:t>
      </w:r>
      <w:r w:rsidRPr="00082868">
        <w:rPr>
          <w:b w:val="0"/>
        </w:rPr>
        <w:t xml:space="preserve">. Figure 1.2.3-1 shows a comparison of Budget </w:t>
      </w:r>
      <w:r w:rsidR="002D6262" w:rsidRPr="00082868">
        <w:rPr>
          <w:b w:val="0"/>
        </w:rPr>
        <w:t>20</w:t>
      </w:r>
      <w:r w:rsidR="002D6262">
        <w:rPr>
          <w:b w:val="0"/>
        </w:rPr>
        <w:t>19</w:t>
      </w:r>
      <w:r w:rsidR="002D6262" w:rsidRPr="00082868">
        <w:rPr>
          <w:b w:val="0"/>
        </w:rPr>
        <w:t xml:space="preserve"> </w:t>
      </w:r>
      <w:r w:rsidRPr="00082868">
        <w:rPr>
          <w:b w:val="0"/>
        </w:rPr>
        <w:t xml:space="preserve">and Budget </w:t>
      </w:r>
      <w:r w:rsidR="002D6262" w:rsidRPr="00082868">
        <w:rPr>
          <w:b w:val="0"/>
        </w:rPr>
        <w:t>20</w:t>
      </w:r>
      <w:r w:rsidR="002D6262">
        <w:rPr>
          <w:b w:val="0"/>
        </w:rPr>
        <w:t>18</w:t>
      </w:r>
      <w:r w:rsidRPr="00082868">
        <w:rPr>
          <w:b w:val="0"/>
        </w:rPr>
        <w:t>.</w:t>
      </w:r>
      <w:r w:rsidR="00C77353">
        <w:rPr>
          <w:b w:val="0"/>
        </w:rPr>
        <w:t xml:space="preserve"> Budget </w:t>
      </w:r>
      <w:r w:rsidR="002D6262">
        <w:rPr>
          <w:b w:val="0"/>
        </w:rPr>
        <w:t xml:space="preserve">2019 </w:t>
      </w:r>
      <w:r w:rsidR="00C77353">
        <w:rPr>
          <w:b w:val="0"/>
        </w:rPr>
        <w:t xml:space="preserve">is lower due primarily </w:t>
      </w:r>
      <w:r w:rsidR="00473A25">
        <w:rPr>
          <w:b w:val="0"/>
        </w:rPr>
        <w:t xml:space="preserve">to </w:t>
      </w:r>
      <w:r w:rsidR="001409CE">
        <w:rPr>
          <w:b w:val="0"/>
        </w:rPr>
        <w:t xml:space="preserve">a change in the timing of a large new customer coming on-line. In the longer term, </w:t>
      </w:r>
      <w:r w:rsidR="003A38D8">
        <w:rPr>
          <w:b w:val="0"/>
        </w:rPr>
        <w:t>i</w:t>
      </w:r>
      <w:r w:rsidR="00C77353">
        <w:rPr>
          <w:b w:val="0"/>
        </w:rPr>
        <w:t xml:space="preserve">ndustrial </w:t>
      </w:r>
      <w:r w:rsidR="003A38D8">
        <w:rPr>
          <w:b w:val="0"/>
        </w:rPr>
        <w:t>p</w:t>
      </w:r>
      <w:r w:rsidR="00C77353">
        <w:rPr>
          <w:b w:val="0"/>
        </w:rPr>
        <w:t xml:space="preserve">roduction </w:t>
      </w:r>
      <w:r w:rsidR="001409CE">
        <w:rPr>
          <w:b w:val="0"/>
        </w:rPr>
        <w:t>is expected to grow at a slightly faster pace than in Budget 2018</w:t>
      </w:r>
      <w:r w:rsidR="00C77353">
        <w:rPr>
          <w:b w:val="0"/>
        </w:rPr>
        <w:t xml:space="preserve">.  </w:t>
      </w:r>
    </w:p>
    <w:p w14:paraId="589FCBA4" w14:textId="77777777" w:rsidR="00082868" w:rsidRDefault="00082868" w:rsidP="00B02E86">
      <w:pPr>
        <w:pStyle w:val="BodyTextIndent"/>
        <w:ind w:left="0"/>
        <w:jc w:val="left"/>
      </w:pPr>
    </w:p>
    <w:p w14:paraId="055425E7" w14:textId="52514D84" w:rsidR="00082868" w:rsidRDefault="00082868" w:rsidP="00CA4BBD">
      <w:pPr>
        <w:pStyle w:val="BodyTextIndent"/>
        <w:keepNext/>
        <w:ind w:left="0"/>
        <w:jc w:val="left"/>
        <w:rPr>
          <w:b/>
        </w:rPr>
      </w:pPr>
      <w:r w:rsidRPr="00082868">
        <w:rPr>
          <w:b/>
        </w:rPr>
        <w:t xml:space="preserve">Figure 1.2.3-1: </w:t>
      </w:r>
      <w:r w:rsidRPr="005B54E1">
        <w:rPr>
          <w:b/>
        </w:rPr>
        <w:t>Industrial Energy Forecast</w:t>
      </w:r>
    </w:p>
    <w:p w14:paraId="1417A8A8" w14:textId="77777777" w:rsidR="00E64B47" w:rsidRDefault="00E64B47" w:rsidP="00CA4BBD">
      <w:pPr>
        <w:pStyle w:val="BodyTextIndent"/>
        <w:keepNext/>
        <w:ind w:left="0"/>
        <w:jc w:val="left"/>
        <w:rPr>
          <w:b/>
        </w:rPr>
      </w:pPr>
    </w:p>
    <w:p w14:paraId="083EC1CC" w14:textId="6C667CC0" w:rsidR="002D6262" w:rsidRDefault="009F49E4" w:rsidP="00CA4BBD">
      <w:pPr>
        <w:pStyle w:val="BodyTextIndent"/>
        <w:keepNext/>
        <w:ind w:left="0"/>
        <w:jc w:val="left"/>
        <w:rPr>
          <w:b/>
        </w:rPr>
      </w:pPr>
      <w:r w:rsidRPr="009F49E4">
        <w:rPr>
          <w:b/>
          <w:noProof/>
        </w:rPr>
        <w:drawing>
          <wp:inline distT="0" distB="0" distL="0" distR="0" wp14:anchorId="3DBE0F37" wp14:editId="4A1BE88C">
            <wp:extent cx="5824855" cy="3509385"/>
            <wp:effectExtent l="19050" t="19050" r="23495" b="1524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24855" cy="3509385"/>
                    </a:xfrm>
                    <a:prstGeom prst="rect">
                      <a:avLst/>
                    </a:prstGeom>
                    <a:noFill/>
                    <a:ln>
                      <a:solidFill>
                        <a:schemeClr val="bg1">
                          <a:lumMod val="65000"/>
                        </a:schemeClr>
                      </a:solidFill>
                    </a:ln>
                  </pic:spPr>
                </pic:pic>
              </a:graphicData>
            </a:graphic>
          </wp:inline>
        </w:drawing>
      </w:r>
    </w:p>
    <w:p w14:paraId="6A9D6F65" w14:textId="03A7F314" w:rsidR="00082868" w:rsidRDefault="00082868" w:rsidP="00CA4BBD">
      <w:pPr>
        <w:pStyle w:val="BodyTextIndent"/>
        <w:keepNext/>
        <w:ind w:left="0"/>
        <w:jc w:val="left"/>
        <w:rPr>
          <w:b/>
        </w:rPr>
      </w:pPr>
    </w:p>
    <w:p w14:paraId="34C7700D" w14:textId="77777777" w:rsidR="00082868" w:rsidRDefault="00082868" w:rsidP="00B02E86">
      <w:pPr>
        <w:pStyle w:val="BodyTextIndent"/>
        <w:ind w:left="0"/>
        <w:jc w:val="left"/>
        <w:rPr>
          <w:b/>
        </w:rPr>
      </w:pPr>
    </w:p>
    <w:p w14:paraId="62226DF3" w14:textId="77777777" w:rsidR="002E0BF0" w:rsidRDefault="002E0BF0" w:rsidP="00B02E86">
      <w:pPr>
        <w:pStyle w:val="BodyTextIndent"/>
        <w:ind w:left="0"/>
        <w:jc w:val="left"/>
        <w:rPr>
          <w:b/>
        </w:rPr>
      </w:pPr>
    </w:p>
    <w:p w14:paraId="7CC98E5B" w14:textId="77777777" w:rsidR="000641B0" w:rsidRDefault="000641B0">
      <w:pPr>
        <w:spacing w:after="200" w:line="276" w:lineRule="auto"/>
        <w:jc w:val="left"/>
        <w:rPr>
          <w:rFonts w:eastAsiaTheme="majorEastAsia"/>
          <w:bCs/>
        </w:rPr>
      </w:pPr>
      <w:bookmarkStart w:id="141" w:name="_Toc156382606"/>
      <w:bookmarkStart w:id="142" w:name="_Toc347120359"/>
      <w:r>
        <w:rPr>
          <w:b w:val="0"/>
        </w:rPr>
        <w:br w:type="page"/>
      </w:r>
    </w:p>
    <w:p w14:paraId="5DE0EB34" w14:textId="6658EEAF" w:rsidR="00082868" w:rsidRPr="00082868" w:rsidRDefault="00082868" w:rsidP="00082868">
      <w:pPr>
        <w:pStyle w:val="Heading2"/>
        <w:jc w:val="left"/>
        <w:rPr>
          <w:rFonts w:ascii="Arial" w:hAnsi="Arial" w:cs="Arial"/>
          <w:b/>
          <w:color w:val="auto"/>
          <w:sz w:val="20"/>
          <w:szCs w:val="20"/>
        </w:rPr>
      </w:pPr>
      <w:bookmarkStart w:id="143" w:name="_Toc535495615"/>
      <w:r>
        <w:rPr>
          <w:rFonts w:ascii="Arial" w:hAnsi="Arial" w:cs="Arial"/>
          <w:b/>
          <w:color w:val="auto"/>
          <w:sz w:val="20"/>
          <w:szCs w:val="20"/>
        </w:rPr>
        <w:t xml:space="preserve">1.2.4 </w:t>
      </w:r>
      <w:r w:rsidRPr="00082868">
        <w:rPr>
          <w:rFonts w:ascii="Arial" w:hAnsi="Arial" w:cs="Arial"/>
          <w:b/>
          <w:color w:val="auto"/>
          <w:sz w:val="20"/>
          <w:szCs w:val="20"/>
        </w:rPr>
        <w:t>Other Retail: Governmental Lighting, MARTA</w:t>
      </w:r>
      <w:bookmarkEnd w:id="141"/>
      <w:bookmarkEnd w:id="142"/>
      <w:bookmarkEnd w:id="143"/>
    </w:p>
    <w:p w14:paraId="18AC0142" w14:textId="77777777" w:rsidR="00082868" w:rsidRPr="003A3426" w:rsidRDefault="00082868" w:rsidP="00082868">
      <w:pPr>
        <w:jc w:val="left"/>
      </w:pPr>
    </w:p>
    <w:p w14:paraId="19B912E0" w14:textId="7AFE0D13" w:rsidR="00082868" w:rsidRPr="00082868" w:rsidRDefault="00082868" w:rsidP="00966D80">
      <w:pPr>
        <w:pStyle w:val="BodyText"/>
        <w:spacing w:line="360" w:lineRule="auto"/>
        <w:jc w:val="both"/>
        <w:rPr>
          <w:b w:val="0"/>
        </w:rPr>
      </w:pPr>
      <w:r w:rsidRPr="00082868">
        <w:rPr>
          <w:b w:val="0"/>
        </w:rPr>
        <w:t xml:space="preserve">The Budget </w:t>
      </w:r>
      <w:r w:rsidR="002D6262" w:rsidRPr="00082868">
        <w:rPr>
          <w:b w:val="0"/>
        </w:rPr>
        <w:t>20</w:t>
      </w:r>
      <w:r w:rsidR="002D6262">
        <w:rPr>
          <w:b w:val="0"/>
        </w:rPr>
        <w:t>19</w:t>
      </w:r>
      <w:r w:rsidR="002D6262" w:rsidRPr="00082868">
        <w:rPr>
          <w:b w:val="0"/>
        </w:rPr>
        <w:t xml:space="preserve"> </w:t>
      </w:r>
      <w:r w:rsidRPr="00082868">
        <w:rPr>
          <w:b w:val="0"/>
        </w:rPr>
        <w:t xml:space="preserve">governmental lighting forecast is somewhat lower than Budget </w:t>
      </w:r>
      <w:r w:rsidR="002D6262" w:rsidRPr="00082868">
        <w:rPr>
          <w:b w:val="0"/>
        </w:rPr>
        <w:t>20</w:t>
      </w:r>
      <w:r w:rsidR="002D6262">
        <w:rPr>
          <w:b w:val="0"/>
        </w:rPr>
        <w:t xml:space="preserve">18 </w:t>
      </w:r>
      <w:r w:rsidR="008A4120">
        <w:rPr>
          <w:b w:val="0"/>
        </w:rPr>
        <w:t>in the near term</w:t>
      </w:r>
      <w:r w:rsidRPr="00082868">
        <w:rPr>
          <w:b w:val="0"/>
        </w:rPr>
        <w:t>.</w:t>
      </w:r>
      <w:r w:rsidR="008A4120">
        <w:rPr>
          <w:b w:val="0"/>
        </w:rPr>
        <w:t xml:space="preserve"> </w:t>
      </w:r>
      <w:r w:rsidRPr="00082868">
        <w:rPr>
          <w:b w:val="0"/>
        </w:rPr>
        <w:t xml:space="preserve">Figure 1.2.4-1 shows a comparison of the two forecasts for governmental lighting. </w:t>
      </w:r>
      <w:r w:rsidR="008A4120">
        <w:rPr>
          <w:b w:val="0"/>
        </w:rPr>
        <w:t xml:space="preserve">Governmental lighting sales </w:t>
      </w:r>
      <w:r w:rsidR="004A20D8">
        <w:rPr>
          <w:b w:val="0"/>
        </w:rPr>
        <w:t>have</w:t>
      </w:r>
      <w:r w:rsidR="008A4120">
        <w:rPr>
          <w:b w:val="0"/>
        </w:rPr>
        <w:t xml:space="preserve"> decline</w:t>
      </w:r>
      <w:r w:rsidR="00D7397D">
        <w:rPr>
          <w:b w:val="0"/>
        </w:rPr>
        <w:t>d</w:t>
      </w:r>
      <w:r w:rsidR="008A4120">
        <w:rPr>
          <w:b w:val="0"/>
        </w:rPr>
        <w:t xml:space="preserve"> significantly </w:t>
      </w:r>
      <w:r w:rsidR="00D7397D">
        <w:rPr>
          <w:b w:val="0"/>
        </w:rPr>
        <w:t xml:space="preserve">since 2014 </w:t>
      </w:r>
      <w:r w:rsidR="008A4120">
        <w:rPr>
          <w:b w:val="0"/>
        </w:rPr>
        <w:t xml:space="preserve">as traditional </w:t>
      </w:r>
      <w:r w:rsidR="003759D3">
        <w:rPr>
          <w:b w:val="0"/>
        </w:rPr>
        <w:t>street</w:t>
      </w:r>
      <w:r w:rsidR="00BE7CAB">
        <w:rPr>
          <w:b w:val="0"/>
        </w:rPr>
        <w:t xml:space="preserve"> </w:t>
      </w:r>
      <w:r w:rsidR="008A4120">
        <w:rPr>
          <w:b w:val="0"/>
        </w:rPr>
        <w:t xml:space="preserve">lights are changed to LED lights, which use much less energy. </w:t>
      </w:r>
      <w:r w:rsidRPr="00082868">
        <w:rPr>
          <w:b w:val="0"/>
        </w:rPr>
        <w:t>B</w:t>
      </w:r>
      <w:r w:rsidR="008A4120">
        <w:rPr>
          <w:b w:val="0"/>
        </w:rPr>
        <w:t xml:space="preserve">udget </w:t>
      </w:r>
      <w:r w:rsidR="002D6262" w:rsidRPr="00082868">
        <w:rPr>
          <w:b w:val="0"/>
        </w:rPr>
        <w:t>20</w:t>
      </w:r>
      <w:r w:rsidR="002D6262">
        <w:rPr>
          <w:b w:val="0"/>
        </w:rPr>
        <w:t>19</w:t>
      </w:r>
      <w:r w:rsidR="002D6262" w:rsidRPr="00082868">
        <w:rPr>
          <w:b w:val="0"/>
        </w:rPr>
        <w:t xml:space="preserve"> </w:t>
      </w:r>
      <w:r w:rsidR="008A4120">
        <w:rPr>
          <w:b w:val="0"/>
        </w:rPr>
        <w:t>assume</w:t>
      </w:r>
      <w:r w:rsidR="00D7397D">
        <w:rPr>
          <w:b w:val="0"/>
        </w:rPr>
        <w:t xml:space="preserve">s that planned changeouts will be completed in 2021, compared to </w:t>
      </w:r>
      <w:r w:rsidR="00076F70">
        <w:rPr>
          <w:b w:val="0"/>
        </w:rPr>
        <w:t xml:space="preserve">the </w:t>
      </w:r>
      <w:r w:rsidR="00D7397D">
        <w:rPr>
          <w:b w:val="0"/>
        </w:rPr>
        <w:t xml:space="preserve">2020 </w:t>
      </w:r>
      <w:r w:rsidR="00076F70">
        <w:rPr>
          <w:b w:val="0"/>
        </w:rPr>
        <w:t xml:space="preserve">estimated completion in </w:t>
      </w:r>
      <w:r w:rsidR="00D7397D">
        <w:rPr>
          <w:b w:val="0"/>
        </w:rPr>
        <w:t>Budget 2018</w:t>
      </w:r>
      <w:r w:rsidR="00BE7CAB">
        <w:rPr>
          <w:b w:val="0"/>
        </w:rPr>
        <w:t xml:space="preserve">.  </w:t>
      </w:r>
    </w:p>
    <w:p w14:paraId="6C15E34E" w14:textId="77777777" w:rsidR="00082868" w:rsidRDefault="00082868" w:rsidP="00735896">
      <w:pPr>
        <w:pStyle w:val="BodyTextIndent"/>
        <w:spacing w:line="360" w:lineRule="auto"/>
        <w:ind w:left="0"/>
        <w:jc w:val="left"/>
        <w:rPr>
          <w:b/>
        </w:rPr>
      </w:pPr>
    </w:p>
    <w:p w14:paraId="1EBE0F90" w14:textId="73956F23" w:rsidR="00082868" w:rsidRDefault="00082868" w:rsidP="00CA4BBD">
      <w:pPr>
        <w:pStyle w:val="BodyTextIndent"/>
        <w:keepNext/>
        <w:ind w:left="0"/>
        <w:jc w:val="left"/>
        <w:rPr>
          <w:b/>
        </w:rPr>
      </w:pPr>
      <w:r>
        <w:rPr>
          <w:b/>
        </w:rPr>
        <w:t xml:space="preserve">Figure 1.2.4-1: </w:t>
      </w:r>
      <w:r w:rsidRPr="007E16E5">
        <w:rPr>
          <w:b/>
        </w:rPr>
        <w:t>Governmental Lighting Energy Forecast</w:t>
      </w:r>
    </w:p>
    <w:p w14:paraId="46D58242" w14:textId="77777777" w:rsidR="007E16E5" w:rsidRDefault="007E16E5" w:rsidP="00CA4BBD">
      <w:pPr>
        <w:pStyle w:val="BodyTextIndent"/>
        <w:keepNext/>
        <w:ind w:left="0"/>
        <w:jc w:val="left"/>
        <w:rPr>
          <w:b/>
        </w:rPr>
      </w:pPr>
    </w:p>
    <w:p w14:paraId="7C67D443" w14:textId="75ADA904" w:rsidR="009E541B" w:rsidRDefault="009F49E4" w:rsidP="00CA4BBD">
      <w:pPr>
        <w:pStyle w:val="BodyTextIndent"/>
        <w:keepNext/>
        <w:ind w:left="0"/>
        <w:jc w:val="left"/>
        <w:rPr>
          <w:b/>
        </w:rPr>
      </w:pPr>
      <w:r w:rsidRPr="009F49E4">
        <w:rPr>
          <w:b/>
          <w:noProof/>
        </w:rPr>
        <w:drawing>
          <wp:inline distT="0" distB="0" distL="0" distR="0" wp14:anchorId="693DFB7D" wp14:editId="5E430EE3">
            <wp:extent cx="5824855" cy="3503944"/>
            <wp:effectExtent l="19050" t="19050" r="23495" b="2032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24855" cy="3503944"/>
                    </a:xfrm>
                    <a:prstGeom prst="rect">
                      <a:avLst/>
                    </a:prstGeom>
                    <a:noFill/>
                    <a:ln>
                      <a:solidFill>
                        <a:schemeClr val="bg1">
                          <a:lumMod val="65000"/>
                        </a:schemeClr>
                      </a:solidFill>
                    </a:ln>
                  </pic:spPr>
                </pic:pic>
              </a:graphicData>
            </a:graphic>
          </wp:inline>
        </w:drawing>
      </w:r>
    </w:p>
    <w:p w14:paraId="3646FD16" w14:textId="55BC0B4F" w:rsidR="00082868" w:rsidRDefault="00082868" w:rsidP="00CA4BBD">
      <w:pPr>
        <w:pStyle w:val="BodyTextIndent"/>
        <w:keepNext/>
        <w:ind w:left="0"/>
        <w:jc w:val="left"/>
        <w:rPr>
          <w:b/>
        </w:rPr>
      </w:pPr>
    </w:p>
    <w:p w14:paraId="5C67FA73" w14:textId="77777777" w:rsidR="002E0BF0" w:rsidRDefault="002E0BF0" w:rsidP="00966D80">
      <w:pPr>
        <w:pStyle w:val="BodyText"/>
        <w:spacing w:line="360" w:lineRule="auto"/>
        <w:jc w:val="both"/>
        <w:rPr>
          <w:b w:val="0"/>
        </w:rPr>
      </w:pPr>
    </w:p>
    <w:p w14:paraId="1BFFF63B" w14:textId="6DC03EA1" w:rsidR="00082868" w:rsidRPr="00082868" w:rsidRDefault="00082868" w:rsidP="00966D80">
      <w:pPr>
        <w:pStyle w:val="BodyText"/>
        <w:spacing w:line="360" w:lineRule="auto"/>
        <w:jc w:val="both"/>
        <w:rPr>
          <w:b w:val="0"/>
        </w:rPr>
      </w:pPr>
      <w:r w:rsidRPr="00082868">
        <w:rPr>
          <w:b w:val="0"/>
        </w:rPr>
        <w:t xml:space="preserve">The Budget </w:t>
      </w:r>
      <w:r w:rsidR="002D6262" w:rsidRPr="00082868">
        <w:rPr>
          <w:b w:val="0"/>
        </w:rPr>
        <w:t>20</w:t>
      </w:r>
      <w:r w:rsidR="002D6262">
        <w:rPr>
          <w:b w:val="0"/>
        </w:rPr>
        <w:t>19</w:t>
      </w:r>
      <w:r w:rsidR="002D6262" w:rsidRPr="00082868">
        <w:rPr>
          <w:b w:val="0"/>
        </w:rPr>
        <w:t xml:space="preserve"> </w:t>
      </w:r>
      <w:r w:rsidRPr="00082868">
        <w:rPr>
          <w:b w:val="0"/>
        </w:rPr>
        <w:t xml:space="preserve">MARTA </w:t>
      </w:r>
      <w:r w:rsidR="002E0BF0">
        <w:rPr>
          <w:b w:val="0"/>
        </w:rPr>
        <w:t xml:space="preserve">energy sales </w:t>
      </w:r>
      <w:r w:rsidRPr="00082868">
        <w:rPr>
          <w:b w:val="0"/>
        </w:rPr>
        <w:t xml:space="preserve">forecast is </w:t>
      </w:r>
      <w:r w:rsidR="000F4D3D">
        <w:rPr>
          <w:b w:val="0"/>
        </w:rPr>
        <w:t>about the same as</w:t>
      </w:r>
      <w:r w:rsidRPr="00082868">
        <w:rPr>
          <w:b w:val="0"/>
        </w:rPr>
        <w:t xml:space="preserve"> Budget </w:t>
      </w:r>
      <w:r w:rsidR="004F74CA" w:rsidRPr="00082868">
        <w:rPr>
          <w:b w:val="0"/>
        </w:rPr>
        <w:t>20</w:t>
      </w:r>
      <w:r w:rsidR="004F74CA">
        <w:rPr>
          <w:b w:val="0"/>
        </w:rPr>
        <w:t>18</w:t>
      </w:r>
      <w:r w:rsidR="00A46CC1">
        <w:rPr>
          <w:b w:val="0"/>
        </w:rPr>
        <w:t xml:space="preserve">. Since </w:t>
      </w:r>
      <w:r w:rsidRPr="002E0BF0">
        <w:rPr>
          <w:b w:val="0"/>
        </w:rPr>
        <w:t xml:space="preserve">MARTA </w:t>
      </w:r>
      <w:r w:rsidR="002E0BF0">
        <w:rPr>
          <w:b w:val="0"/>
        </w:rPr>
        <w:t>creased the frequency of its trains</w:t>
      </w:r>
      <w:r w:rsidR="00474FB7">
        <w:rPr>
          <w:b w:val="0"/>
        </w:rPr>
        <w:t xml:space="preserve"> </w:t>
      </w:r>
      <w:r w:rsidR="002E0BF0">
        <w:rPr>
          <w:b w:val="0"/>
        </w:rPr>
        <w:t>in the second half of 2014</w:t>
      </w:r>
      <w:r w:rsidR="00A46CC1">
        <w:rPr>
          <w:b w:val="0"/>
        </w:rPr>
        <w:t>, annual</w:t>
      </w:r>
      <w:r w:rsidR="00DD433F">
        <w:rPr>
          <w:b w:val="0"/>
        </w:rPr>
        <w:t xml:space="preserve"> energy</w:t>
      </w:r>
      <w:r w:rsidR="00A46CC1">
        <w:rPr>
          <w:b w:val="0"/>
        </w:rPr>
        <w:t xml:space="preserve"> sales have been relatively flat</w:t>
      </w:r>
      <w:r w:rsidRPr="002E0BF0">
        <w:rPr>
          <w:b w:val="0"/>
        </w:rPr>
        <w:t>.</w:t>
      </w:r>
      <w:r w:rsidRPr="00082868">
        <w:rPr>
          <w:b w:val="0"/>
        </w:rPr>
        <w:t xml:space="preserve"> Figure 1.2.4-2 shows a comparison of the two forecasts for MARTA.</w:t>
      </w:r>
    </w:p>
    <w:p w14:paraId="2445B69C" w14:textId="06490699" w:rsidR="00082868" w:rsidRDefault="00082868" w:rsidP="00CA4BBD">
      <w:pPr>
        <w:pStyle w:val="BodyTextIndent"/>
        <w:keepNext/>
        <w:ind w:left="0"/>
        <w:jc w:val="left"/>
        <w:rPr>
          <w:b/>
        </w:rPr>
      </w:pPr>
      <w:r>
        <w:rPr>
          <w:b/>
        </w:rPr>
        <w:t xml:space="preserve">Figure 1.2.4-2: </w:t>
      </w:r>
      <w:r w:rsidRPr="007E16E5">
        <w:rPr>
          <w:b/>
        </w:rPr>
        <w:t>MARTA Energy Forecast</w:t>
      </w:r>
    </w:p>
    <w:p w14:paraId="3A8EC8D7" w14:textId="77777777" w:rsidR="007E16E5" w:rsidRDefault="007E16E5" w:rsidP="00CA4BBD">
      <w:pPr>
        <w:pStyle w:val="BodyTextIndent"/>
        <w:keepNext/>
        <w:ind w:left="0"/>
        <w:jc w:val="left"/>
        <w:rPr>
          <w:b/>
        </w:rPr>
      </w:pPr>
    </w:p>
    <w:p w14:paraId="217B493A" w14:textId="533A5AE0" w:rsidR="002D6262" w:rsidRDefault="009F49E4" w:rsidP="00CA4BBD">
      <w:pPr>
        <w:pStyle w:val="BodyTextIndent"/>
        <w:keepNext/>
        <w:ind w:left="0"/>
        <w:jc w:val="left"/>
        <w:rPr>
          <w:b/>
        </w:rPr>
      </w:pPr>
      <w:r w:rsidRPr="009F49E4">
        <w:rPr>
          <w:b/>
          <w:noProof/>
        </w:rPr>
        <w:drawing>
          <wp:inline distT="0" distB="0" distL="0" distR="0" wp14:anchorId="67BF285E" wp14:editId="68D805EF">
            <wp:extent cx="5824855" cy="3494913"/>
            <wp:effectExtent l="19050" t="19050" r="23495" b="1079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24855" cy="3494913"/>
                    </a:xfrm>
                    <a:prstGeom prst="rect">
                      <a:avLst/>
                    </a:prstGeom>
                    <a:noFill/>
                    <a:ln>
                      <a:solidFill>
                        <a:schemeClr val="bg1">
                          <a:lumMod val="65000"/>
                        </a:schemeClr>
                      </a:solidFill>
                    </a:ln>
                  </pic:spPr>
                </pic:pic>
              </a:graphicData>
            </a:graphic>
          </wp:inline>
        </w:drawing>
      </w:r>
    </w:p>
    <w:p w14:paraId="11B505A6" w14:textId="66EA9E5B" w:rsidR="00082868" w:rsidRDefault="00082868" w:rsidP="00CA4BBD">
      <w:pPr>
        <w:pStyle w:val="BodyTextIndent"/>
        <w:keepNext/>
        <w:ind w:left="0"/>
        <w:jc w:val="left"/>
        <w:rPr>
          <w:b/>
        </w:rPr>
      </w:pPr>
    </w:p>
    <w:p w14:paraId="51CA091C" w14:textId="77777777" w:rsidR="00636ECA" w:rsidRDefault="00636ECA" w:rsidP="00CA4BBD">
      <w:pPr>
        <w:pStyle w:val="BodyTextIndent"/>
        <w:keepNext/>
        <w:ind w:left="0"/>
        <w:jc w:val="left"/>
        <w:rPr>
          <w:b/>
        </w:rPr>
      </w:pPr>
    </w:p>
    <w:p w14:paraId="68A66108" w14:textId="77777777" w:rsidR="00082868" w:rsidRDefault="00082868" w:rsidP="00B02E86">
      <w:pPr>
        <w:pStyle w:val="BodyTextIndent"/>
        <w:ind w:left="0"/>
        <w:jc w:val="left"/>
        <w:rPr>
          <w:b/>
        </w:rPr>
      </w:pPr>
    </w:p>
    <w:p w14:paraId="51E564CB" w14:textId="77777777" w:rsidR="00082868" w:rsidRPr="00082868" w:rsidRDefault="00082868" w:rsidP="00082868">
      <w:pPr>
        <w:pStyle w:val="Heading1"/>
        <w:jc w:val="left"/>
        <w:rPr>
          <w:rFonts w:ascii="Arial" w:hAnsi="Arial" w:cs="Arial"/>
          <w:b/>
          <w:color w:val="auto"/>
        </w:rPr>
      </w:pPr>
      <w:bookmarkStart w:id="144" w:name="_Toc347120362"/>
      <w:bookmarkStart w:id="145" w:name="_Toc535495616"/>
      <w:r w:rsidRPr="00082868">
        <w:rPr>
          <w:rFonts w:ascii="Arial" w:hAnsi="Arial" w:cs="Arial"/>
          <w:b/>
          <w:color w:val="auto"/>
        </w:rPr>
        <w:t>1.3</w:t>
      </w:r>
      <w:r w:rsidRPr="00082868">
        <w:rPr>
          <w:rFonts w:ascii="Arial" w:hAnsi="Arial" w:cs="Arial"/>
          <w:b/>
          <w:color w:val="auto"/>
        </w:rPr>
        <w:tab/>
        <w:t>ECONOMICS</w:t>
      </w:r>
      <w:bookmarkEnd w:id="144"/>
      <w:bookmarkEnd w:id="145"/>
    </w:p>
    <w:p w14:paraId="6858A75F" w14:textId="77777777" w:rsidR="00082868" w:rsidRDefault="00082868" w:rsidP="00082868">
      <w:pPr>
        <w:pStyle w:val="BodyText"/>
        <w:jc w:val="left"/>
        <w:rPr>
          <w:b w:val="0"/>
        </w:rPr>
      </w:pPr>
    </w:p>
    <w:p w14:paraId="2C19C95F" w14:textId="728AB5E1" w:rsidR="00082868" w:rsidRPr="00082868" w:rsidRDefault="00082868" w:rsidP="00966D80">
      <w:pPr>
        <w:pStyle w:val="BodyText"/>
        <w:spacing w:line="360" w:lineRule="auto"/>
        <w:jc w:val="both"/>
        <w:rPr>
          <w:b w:val="0"/>
        </w:rPr>
      </w:pPr>
      <w:r w:rsidRPr="00082868">
        <w:rPr>
          <w:b w:val="0"/>
        </w:rPr>
        <w:t xml:space="preserve">Georgia’s </w:t>
      </w:r>
      <w:r w:rsidR="000A45A3">
        <w:rPr>
          <w:b w:val="0"/>
        </w:rPr>
        <w:t xml:space="preserve">economy is performing well. In 2018, the state set records for the total number of jobs, total number of people employed, and total labor force. </w:t>
      </w:r>
      <w:r w:rsidR="004E00A8">
        <w:rPr>
          <w:b w:val="0"/>
        </w:rPr>
        <w:t>E</w:t>
      </w:r>
      <w:r w:rsidRPr="00082868">
        <w:rPr>
          <w:b w:val="0"/>
        </w:rPr>
        <w:t xml:space="preserve">mployment statistics </w:t>
      </w:r>
      <w:r w:rsidR="004E00A8">
        <w:rPr>
          <w:b w:val="0"/>
        </w:rPr>
        <w:t xml:space="preserve">through </w:t>
      </w:r>
      <w:r w:rsidR="000A4839">
        <w:rPr>
          <w:b w:val="0"/>
        </w:rPr>
        <w:t xml:space="preserve">November </w:t>
      </w:r>
      <w:r w:rsidR="004E00A8">
        <w:rPr>
          <w:b w:val="0"/>
        </w:rPr>
        <w:t xml:space="preserve">2018 </w:t>
      </w:r>
      <w:r w:rsidRPr="00082868">
        <w:rPr>
          <w:b w:val="0"/>
        </w:rPr>
        <w:t xml:space="preserve">show that jobs in Georgia increased </w:t>
      </w:r>
      <w:r w:rsidR="002C268B">
        <w:rPr>
          <w:b w:val="0"/>
        </w:rPr>
        <w:t>2</w:t>
      </w:r>
      <w:r w:rsidRPr="00082868">
        <w:rPr>
          <w:b w:val="0"/>
        </w:rPr>
        <w:t>.</w:t>
      </w:r>
      <w:r w:rsidR="000A4839">
        <w:rPr>
          <w:b w:val="0"/>
        </w:rPr>
        <w:t>2</w:t>
      </w:r>
      <w:r w:rsidRPr="00082868">
        <w:rPr>
          <w:b w:val="0"/>
        </w:rPr>
        <w:t xml:space="preserve">% </w:t>
      </w:r>
      <w:r w:rsidR="004E00A8">
        <w:rPr>
          <w:b w:val="0"/>
        </w:rPr>
        <w:t>compared to 2017</w:t>
      </w:r>
      <w:r w:rsidRPr="00082868">
        <w:rPr>
          <w:b w:val="0"/>
        </w:rPr>
        <w:t xml:space="preserve">, a rate that </w:t>
      </w:r>
      <w:r w:rsidR="002C268B">
        <w:rPr>
          <w:b w:val="0"/>
        </w:rPr>
        <w:t xml:space="preserve">is </w:t>
      </w:r>
      <w:r w:rsidR="000F1C12">
        <w:rPr>
          <w:b w:val="0"/>
        </w:rPr>
        <w:t>ahead of</w:t>
      </w:r>
      <w:r w:rsidRPr="00082868">
        <w:rPr>
          <w:b w:val="0"/>
        </w:rPr>
        <w:t xml:space="preserve"> the nation’s </w:t>
      </w:r>
      <w:r w:rsidR="000F1C12">
        <w:rPr>
          <w:b w:val="0"/>
        </w:rPr>
        <w:t>1</w:t>
      </w:r>
      <w:r w:rsidRPr="00082868">
        <w:rPr>
          <w:b w:val="0"/>
        </w:rPr>
        <w:t>.</w:t>
      </w:r>
      <w:r w:rsidR="00296DFC">
        <w:rPr>
          <w:b w:val="0"/>
        </w:rPr>
        <w:t>7</w:t>
      </w:r>
      <w:r w:rsidRPr="00082868">
        <w:rPr>
          <w:b w:val="0"/>
        </w:rPr>
        <w:t>% rise</w:t>
      </w:r>
      <w:r w:rsidR="000F1C12">
        <w:rPr>
          <w:b w:val="0"/>
        </w:rPr>
        <w:t xml:space="preserve"> over the same period</w:t>
      </w:r>
      <w:r w:rsidRPr="00082868">
        <w:rPr>
          <w:b w:val="0"/>
        </w:rPr>
        <w:t xml:space="preserve">. </w:t>
      </w:r>
      <w:r w:rsidR="00296DFC">
        <w:rPr>
          <w:b w:val="0"/>
        </w:rPr>
        <w:t xml:space="preserve">In </w:t>
      </w:r>
      <w:r w:rsidR="000A4839">
        <w:rPr>
          <w:b w:val="0"/>
        </w:rPr>
        <w:t>November</w:t>
      </w:r>
      <w:r w:rsidR="00296DFC">
        <w:rPr>
          <w:b w:val="0"/>
        </w:rPr>
        <w:t xml:space="preserve">, </w:t>
      </w:r>
      <w:r w:rsidRPr="00082868">
        <w:rPr>
          <w:b w:val="0"/>
        </w:rPr>
        <w:t xml:space="preserve">Georgia’s </w:t>
      </w:r>
      <w:r w:rsidR="00296DFC">
        <w:rPr>
          <w:b w:val="0"/>
        </w:rPr>
        <w:t>3.</w:t>
      </w:r>
      <w:r w:rsidR="000A4839">
        <w:rPr>
          <w:b w:val="0"/>
        </w:rPr>
        <w:t>5</w:t>
      </w:r>
      <w:r w:rsidRPr="00082868">
        <w:rPr>
          <w:b w:val="0"/>
        </w:rPr>
        <w:t xml:space="preserve">% unemployment rate </w:t>
      </w:r>
      <w:r w:rsidR="000A4839">
        <w:rPr>
          <w:b w:val="0"/>
        </w:rPr>
        <w:t xml:space="preserve">was slightly below the 3.7% rate for </w:t>
      </w:r>
      <w:r w:rsidRPr="00082868">
        <w:rPr>
          <w:b w:val="0"/>
        </w:rPr>
        <w:t xml:space="preserve">the </w:t>
      </w:r>
      <w:r w:rsidR="00076F70">
        <w:rPr>
          <w:b w:val="0"/>
        </w:rPr>
        <w:t>country</w:t>
      </w:r>
      <w:r w:rsidR="00755920">
        <w:rPr>
          <w:b w:val="0"/>
        </w:rPr>
        <w:t>.</w:t>
      </w:r>
      <w:r w:rsidRPr="00082868">
        <w:rPr>
          <w:b w:val="0"/>
        </w:rPr>
        <w:t xml:space="preserve"> </w:t>
      </w:r>
      <w:r w:rsidR="00B95C1D">
        <w:rPr>
          <w:b w:val="0"/>
        </w:rPr>
        <w:t>Construction, p</w:t>
      </w:r>
      <w:r w:rsidRPr="00082868">
        <w:rPr>
          <w:b w:val="0"/>
        </w:rPr>
        <w:t xml:space="preserve">rofessional and business services, </w:t>
      </w:r>
      <w:r w:rsidR="00B95C1D">
        <w:rPr>
          <w:b w:val="0"/>
        </w:rPr>
        <w:t xml:space="preserve">education and </w:t>
      </w:r>
      <w:r w:rsidRPr="00082868">
        <w:rPr>
          <w:b w:val="0"/>
        </w:rPr>
        <w:t xml:space="preserve">health services, </w:t>
      </w:r>
      <w:r w:rsidR="002C268B">
        <w:rPr>
          <w:b w:val="0"/>
        </w:rPr>
        <w:t>t</w:t>
      </w:r>
      <w:r w:rsidRPr="00082868">
        <w:rPr>
          <w:b w:val="0"/>
        </w:rPr>
        <w:t>rade</w:t>
      </w:r>
      <w:r w:rsidR="002C268B">
        <w:rPr>
          <w:b w:val="0"/>
        </w:rPr>
        <w:t xml:space="preserve"> and transportation</w:t>
      </w:r>
      <w:r w:rsidRPr="00082868">
        <w:rPr>
          <w:b w:val="0"/>
        </w:rPr>
        <w:t xml:space="preserve">, and </w:t>
      </w:r>
      <w:r w:rsidR="002C268B">
        <w:rPr>
          <w:b w:val="0"/>
        </w:rPr>
        <w:t xml:space="preserve">leisure and hospitality </w:t>
      </w:r>
      <w:r w:rsidRPr="00082868">
        <w:rPr>
          <w:b w:val="0"/>
        </w:rPr>
        <w:t>are the sectors providing the majority of the state’s job</w:t>
      </w:r>
      <w:r w:rsidR="00033B83">
        <w:rPr>
          <w:b w:val="0"/>
        </w:rPr>
        <w:t xml:space="preserve"> growth</w:t>
      </w:r>
      <w:r w:rsidR="00B95C1D">
        <w:rPr>
          <w:b w:val="0"/>
        </w:rPr>
        <w:t xml:space="preserve"> in 2018</w:t>
      </w:r>
      <w:r w:rsidRPr="00082868">
        <w:rPr>
          <w:b w:val="0"/>
        </w:rPr>
        <w:t xml:space="preserve">.  </w:t>
      </w:r>
    </w:p>
    <w:p w14:paraId="744EFD87" w14:textId="77777777" w:rsidR="00082868" w:rsidRPr="00082868" w:rsidRDefault="00082868" w:rsidP="00966D80">
      <w:pPr>
        <w:pStyle w:val="BodyText"/>
        <w:spacing w:line="360" w:lineRule="auto"/>
        <w:jc w:val="both"/>
        <w:rPr>
          <w:b w:val="0"/>
        </w:rPr>
      </w:pPr>
    </w:p>
    <w:p w14:paraId="156110D7" w14:textId="6B86C430" w:rsidR="00082868" w:rsidRPr="00082868" w:rsidRDefault="00B95C1D" w:rsidP="00966D80">
      <w:pPr>
        <w:pStyle w:val="BodyText"/>
        <w:spacing w:line="360" w:lineRule="auto"/>
        <w:jc w:val="both"/>
        <w:rPr>
          <w:b w:val="0"/>
        </w:rPr>
      </w:pPr>
      <w:r>
        <w:rPr>
          <w:b w:val="0"/>
        </w:rPr>
        <w:t xml:space="preserve">Georgia remains an attractive place to do business. </w:t>
      </w:r>
      <w:r w:rsidR="003C49A0">
        <w:rPr>
          <w:b w:val="0"/>
        </w:rPr>
        <w:t>The state’s business climate has been ranked number one in the nation by Site Selection Magazine for six straight years</w:t>
      </w:r>
      <w:r w:rsidR="00C30EAF">
        <w:rPr>
          <w:b w:val="0"/>
        </w:rPr>
        <w:t xml:space="preserve">, while </w:t>
      </w:r>
      <w:r w:rsidR="003C49A0">
        <w:rPr>
          <w:b w:val="0"/>
        </w:rPr>
        <w:t>Area Development has ranked Georgia the top state for business for five consecutive years. As a result, c</w:t>
      </w:r>
      <w:r w:rsidR="00082868" w:rsidRPr="00082868">
        <w:rPr>
          <w:b w:val="0"/>
        </w:rPr>
        <w:t xml:space="preserve">ompanies, </w:t>
      </w:r>
      <w:r w:rsidR="003C49A0">
        <w:rPr>
          <w:b w:val="0"/>
        </w:rPr>
        <w:t xml:space="preserve">both </w:t>
      </w:r>
      <w:r w:rsidR="00082868" w:rsidRPr="00082868">
        <w:rPr>
          <w:b w:val="0"/>
        </w:rPr>
        <w:t xml:space="preserve">large and small, continue to </w:t>
      </w:r>
      <w:r w:rsidR="003C49A0">
        <w:rPr>
          <w:b w:val="0"/>
        </w:rPr>
        <w:t>relocate and expand operations in the state.</w:t>
      </w:r>
      <w:r w:rsidR="00082868" w:rsidRPr="00082868">
        <w:rPr>
          <w:b w:val="0"/>
        </w:rPr>
        <w:t xml:space="preserve"> </w:t>
      </w:r>
      <w:r w:rsidR="00AE558D">
        <w:rPr>
          <w:b w:val="0"/>
        </w:rPr>
        <w:t xml:space="preserve">Corporate relocations will help fuel growth in employment, population and </w:t>
      </w:r>
      <w:r w:rsidR="00082868" w:rsidRPr="00082868">
        <w:rPr>
          <w:b w:val="0"/>
        </w:rPr>
        <w:t>income</w:t>
      </w:r>
      <w:r w:rsidR="00AE558D">
        <w:rPr>
          <w:b w:val="0"/>
        </w:rPr>
        <w:t>s</w:t>
      </w:r>
      <w:r w:rsidR="00082868" w:rsidRPr="00082868">
        <w:rPr>
          <w:b w:val="0"/>
        </w:rPr>
        <w:t xml:space="preserve">. Over </w:t>
      </w:r>
      <w:r w:rsidR="002D67E3">
        <w:rPr>
          <w:b w:val="0"/>
        </w:rPr>
        <w:t xml:space="preserve">the next ten years, </w:t>
      </w:r>
      <w:r w:rsidR="00C30EAF">
        <w:rPr>
          <w:b w:val="0"/>
        </w:rPr>
        <w:t xml:space="preserve">total non-agricultural </w:t>
      </w:r>
      <w:r w:rsidR="00082868" w:rsidRPr="00082868">
        <w:rPr>
          <w:b w:val="0"/>
        </w:rPr>
        <w:t xml:space="preserve">employment gains are expected to average </w:t>
      </w:r>
      <w:r w:rsidR="00B02BF2" w:rsidRPr="00636ECA">
        <w:rPr>
          <w:sz w:val="8"/>
          <w:szCs w:val="16"/>
        </w:rPr>
        <w:t>REDACTED</w:t>
      </w:r>
      <w:r w:rsidR="00111E63">
        <w:rPr>
          <w:b w:val="0"/>
        </w:rPr>
        <w:t xml:space="preserve">% per year, </w:t>
      </w:r>
      <w:r w:rsidR="002D67E3">
        <w:rPr>
          <w:b w:val="0"/>
        </w:rPr>
        <w:t>compared</w:t>
      </w:r>
      <w:r w:rsidR="00082868" w:rsidRPr="00082868">
        <w:rPr>
          <w:b w:val="0"/>
        </w:rPr>
        <w:t xml:space="preserve"> to </w:t>
      </w:r>
      <w:r w:rsidR="00B02BF2" w:rsidRPr="00636ECA">
        <w:rPr>
          <w:sz w:val="8"/>
          <w:szCs w:val="16"/>
        </w:rPr>
        <w:t>REDACTED</w:t>
      </w:r>
      <w:r w:rsidR="00CB6616">
        <w:rPr>
          <w:b w:val="0"/>
        </w:rPr>
        <w:t xml:space="preserve">% </w:t>
      </w:r>
      <w:r w:rsidR="002D67E3">
        <w:rPr>
          <w:b w:val="0"/>
        </w:rPr>
        <w:t xml:space="preserve">growth </w:t>
      </w:r>
      <w:r w:rsidR="00CB6616">
        <w:rPr>
          <w:b w:val="0"/>
        </w:rPr>
        <w:t xml:space="preserve">for the </w:t>
      </w:r>
      <w:r w:rsidR="00FF2EA7">
        <w:rPr>
          <w:b w:val="0"/>
        </w:rPr>
        <w:t>U.S.</w:t>
      </w:r>
    </w:p>
    <w:p w14:paraId="47CFD80E" w14:textId="77777777" w:rsidR="00082868" w:rsidRPr="00082868" w:rsidRDefault="00082868" w:rsidP="00735896">
      <w:pPr>
        <w:pStyle w:val="BodyText"/>
        <w:spacing w:line="360" w:lineRule="auto"/>
        <w:jc w:val="left"/>
        <w:rPr>
          <w:b w:val="0"/>
        </w:rPr>
      </w:pPr>
    </w:p>
    <w:p w14:paraId="0BA063A9" w14:textId="70BC1BD2" w:rsidR="00082868" w:rsidRPr="00082868" w:rsidRDefault="000D1C54" w:rsidP="00966D80">
      <w:pPr>
        <w:pStyle w:val="BodyText"/>
        <w:spacing w:line="360" w:lineRule="auto"/>
        <w:jc w:val="both"/>
        <w:rPr>
          <w:b w:val="0"/>
        </w:rPr>
      </w:pPr>
      <w:r>
        <w:rPr>
          <w:b w:val="0"/>
        </w:rPr>
        <w:t>The state’s population growth outpac</w:t>
      </w:r>
      <w:r w:rsidR="00C30EAF">
        <w:rPr>
          <w:b w:val="0"/>
        </w:rPr>
        <w:t>ed</w:t>
      </w:r>
      <w:r>
        <w:rPr>
          <w:b w:val="0"/>
        </w:rPr>
        <w:t xml:space="preserve"> that of the U.S. In 2017, Georgia’s population grew 1.1%, compared to 0.7% for the nation as a whole. Since 2010, Georgia added 740,000 residents, and is now the 8</w:t>
      </w:r>
      <w:r w:rsidRPr="000E252A">
        <w:rPr>
          <w:b w:val="0"/>
          <w:vertAlign w:val="superscript"/>
        </w:rPr>
        <w:t>th</w:t>
      </w:r>
      <w:r>
        <w:rPr>
          <w:b w:val="0"/>
        </w:rPr>
        <w:t xml:space="preserve"> most populous state in the nation. </w:t>
      </w:r>
      <w:r w:rsidR="00082868" w:rsidRPr="00082868">
        <w:rPr>
          <w:b w:val="0"/>
        </w:rPr>
        <w:t xml:space="preserve">Georgia’s projected employment outlook and favorable living costs will support in-migration, which in turn drives </w:t>
      </w:r>
      <w:r w:rsidR="00FF2EA7">
        <w:rPr>
          <w:b w:val="0"/>
        </w:rPr>
        <w:t>population growth and household formation</w:t>
      </w:r>
      <w:r w:rsidR="00082868" w:rsidRPr="00082868">
        <w:rPr>
          <w:b w:val="0"/>
        </w:rPr>
        <w:t xml:space="preserve">. In the forecast, Georgia’s population is expected to increase </w:t>
      </w:r>
      <w:r w:rsidR="002D67E3">
        <w:rPr>
          <w:b w:val="0"/>
        </w:rPr>
        <w:t xml:space="preserve">an average of </w:t>
      </w:r>
      <w:r w:rsidR="00B02BF2" w:rsidRPr="00636ECA">
        <w:rPr>
          <w:sz w:val="8"/>
          <w:szCs w:val="14"/>
        </w:rPr>
        <w:t>REDACTED</w:t>
      </w:r>
      <w:r w:rsidR="00082868" w:rsidRPr="00082868">
        <w:rPr>
          <w:b w:val="0"/>
        </w:rPr>
        <w:t xml:space="preserve">% per year between </w:t>
      </w:r>
      <w:r w:rsidR="000A45A3" w:rsidRPr="00082868">
        <w:rPr>
          <w:b w:val="0"/>
        </w:rPr>
        <w:t>20</w:t>
      </w:r>
      <w:r w:rsidR="000A45A3">
        <w:rPr>
          <w:b w:val="0"/>
        </w:rPr>
        <w:t>18</w:t>
      </w:r>
      <w:r w:rsidR="000A45A3" w:rsidRPr="00082868">
        <w:rPr>
          <w:b w:val="0"/>
        </w:rPr>
        <w:t xml:space="preserve"> </w:t>
      </w:r>
      <w:r w:rsidR="00082868" w:rsidRPr="00082868">
        <w:rPr>
          <w:b w:val="0"/>
        </w:rPr>
        <w:t xml:space="preserve">and </w:t>
      </w:r>
      <w:r w:rsidR="000A45A3" w:rsidRPr="00082868">
        <w:rPr>
          <w:b w:val="0"/>
        </w:rPr>
        <w:t>20</w:t>
      </w:r>
      <w:r w:rsidR="000A45A3">
        <w:rPr>
          <w:b w:val="0"/>
        </w:rPr>
        <w:t>28</w:t>
      </w:r>
      <w:r w:rsidR="00082868" w:rsidRPr="00082868">
        <w:rPr>
          <w:b w:val="0"/>
        </w:rPr>
        <w:t>, while the nation’s population is expected to increase</w:t>
      </w:r>
      <w:r w:rsidR="00CB6616">
        <w:rPr>
          <w:b w:val="0"/>
        </w:rPr>
        <w:t xml:space="preserve"> </w:t>
      </w:r>
      <w:r w:rsidR="002D67E3">
        <w:rPr>
          <w:b w:val="0"/>
        </w:rPr>
        <w:t>by</w:t>
      </w:r>
      <w:r w:rsidR="002D67E3" w:rsidRPr="00082868">
        <w:rPr>
          <w:b w:val="0"/>
        </w:rPr>
        <w:t xml:space="preserve"> </w:t>
      </w:r>
      <w:r w:rsidR="00B02BF2" w:rsidRPr="00636ECA">
        <w:rPr>
          <w:sz w:val="8"/>
          <w:szCs w:val="14"/>
        </w:rPr>
        <w:t>REDACTED</w:t>
      </w:r>
      <w:r w:rsidR="00082868" w:rsidRPr="00082868">
        <w:rPr>
          <w:b w:val="0"/>
        </w:rPr>
        <w:t xml:space="preserve">% per year. From </w:t>
      </w:r>
      <w:r w:rsidR="002D67E3" w:rsidRPr="00082868">
        <w:rPr>
          <w:b w:val="0"/>
        </w:rPr>
        <w:t>20</w:t>
      </w:r>
      <w:r w:rsidR="002D67E3">
        <w:rPr>
          <w:b w:val="0"/>
        </w:rPr>
        <w:t>07</w:t>
      </w:r>
      <w:r w:rsidR="00082868" w:rsidRPr="00082868">
        <w:rPr>
          <w:b w:val="0"/>
        </w:rPr>
        <w:t>-</w:t>
      </w:r>
      <w:r w:rsidR="002D67E3" w:rsidRPr="00082868">
        <w:rPr>
          <w:b w:val="0"/>
        </w:rPr>
        <w:t>20</w:t>
      </w:r>
      <w:r w:rsidR="002D67E3">
        <w:rPr>
          <w:b w:val="0"/>
        </w:rPr>
        <w:t>17</w:t>
      </w:r>
      <w:r w:rsidR="00082868" w:rsidRPr="00082868">
        <w:rPr>
          <w:b w:val="0"/>
        </w:rPr>
        <w:t xml:space="preserve">, housing starts averaged </w:t>
      </w:r>
      <w:r w:rsidR="002D67E3">
        <w:rPr>
          <w:b w:val="0"/>
        </w:rPr>
        <w:t>37</w:t>
      </w:r>
      <w:r w:rsidR="00082868" w:rsidRPr="00F567E5">
        <w:rPr>
          <w:b w:val="0"/>
        </w:rPr>
        <w:t>,000</w:t>
      </w:r>
      <w:r w:rsidR="00082868" w:rsidRPr="00082868">
        <w:rPr>
          <w:b w:val="0"/>
        </w:rPr>
        <w:t xml:space="preserve"> per year</w:t>
      </w:r>
      <w:r w:rsidR="00F263E2">
        <w:rPr>
          <w:b w:val="0"/>
        </w:rPr>
        <w:t xml:space="preserve"> in Georgia</w:t>
      </w:r>
      <w:r w:rsidR="00082868" w:rsidRPr="00082868">
        <w:rPr>
          <w:b w:val="0"/>
        </w:rPr>
        <w:t xml:space="preserve">. </w:t>
      </w:r>
      <w:r w:rsidR="002D67E3">
        <w:rPr>
          <w:b w:val="0"/>
        </w:rPr>
        <w:t xml:space="preserve">Over the next 10 years, </w:t>
      </w:r>
      <w:r w:rsidR="00082868" w:rsidRPr="00082868">
        <w:rPr>
          <w:b w:val="0"/>
        </w:rPr>
        <w:t xml:space="preserve">new home construction is projected to increase </w:t>
      </w:r>
      <w:r w:rsidR="009642D7">
        <w:rPr>
          <w:b w:val="0"/>
        </w:rPr>
        <w:t>more strongly</w:t>
      </w:r>
      <w:r w:rsidR="00082868" w:rsidRPr="00082868">
        <w:rPr>
          <w:b w:val="0"/>
        </w:rPr>
        <w:t xml:space="preserve">, with housing starts averaging </w:t>
      </w:r>
      <w:r w:rsidR="002D67E3">
        <w:rPr>
          <w:b w:val="0"/>
        </w:rPr>
        <w:t xml:space="preserve">over </w:t>
      </w:r>
      <w:r w:rsidR="00B02BF2" w:rsidRPr="00042D0E">
        <w:rPr>
          <w:sz w:val="14"/>
          <w:szCs w:val="14"/>
        </w:rPr>
        <w:t>REDACTED</w:t>
      </w:r>
      <w:r w:rsidR="00082868" w:rsidRPr="00082868">
        <w:rPr>
          <w:b w:val="0"/>
        </w:rPr>
        <w:t xml:space="preserve">.  </w:t>
      </w:r>
    </w:p>
    <w:p w14:paraId="231C0451" w14:textId="77777777" w:rsidR="00082868" w:rsidRPr="00082868" w:rsidRDefault="00082868" w:rsidP="00966D80">
      <w:pPr>
        <w:pStyle w:val="BodyText"/>
        <w:spacing w:line="360" w:lineRule="auto"/>
        <w:jc w:val="both"/>
        <w:rPr>
          <w:b w:val="0"/>
        </w:rPr>
      </w:pPr>
    </w:p>
    <w:p w14:paraId="04DE5A91" w14:textId="57F5FB43" w:rsidR="00082868" w:rsidRPr="00082868" w:rsidRDefault="00FF2EA7" w:rsidP="00966D80">
      <w:pPr>
        <w:pStyle w:val="BodyText"/>
        <w:spacing w:line="360" w:lineRule="auto"/>
        <w:jc w:val="both"/>
        <w:rPr>
          <w:b w:val="0"/>
        </w:rPr>
      </w:pPr>
      <w:r>
        <w:rPr>
          <w:b w:val="0"/>
        </w:rPr>
        <w:t xml:space="preserve">Increases in </w:t>
      </w:r>
      <w:r w:rsidR="00082868" w:rsidRPr="00082868">
        <w:rPr>
          <w:b w:val="0"/>
        </w:rPr>
        <w:t>Georgia’s population</w:t>
      </w:r>
      <w:r w:rsidR="0014110A">
        <w:rPr>
          <w:b w:val="0"/>
        </w:rPr>
        <w:t xml:space="preserve">, </w:t>
      </w:r>
      <w:r w:rsidR="00082868" w:rsidRPr="00082868">
        <w:rPr>
          <w:b w:val="0"/>
        </w:rPr>
        <w:t>household</w:t>
      </w:r>
      <w:r>
        <w:rPr>
          <w:b w:val="0"/>
        </w:rPr>
        <w:t>s</w:t>
      </w:r>
      <w:r w:rsidR="00082868" w:rsidRPr="00082868">
        <w:rPr>
          <w:b w:val="0"/>
        </w:rPr>
        <w:t xml:space="preserve"> and business formation</w:t>
      </w:r>
      <w:r>
        <w:rPr>
          <w:b w:val="0"/>
        </w:rPr>
        <w:t>s</w:t>
      </w:r>
      <w:r w:rsidR="00082868" w:rsidRPr="00082868">
        <w:rPr>
          <w:b w:val="0"/>
        </w:rPr>
        <w:t xml:space="preserve"> are expected to provide a firm foundation for robust long-term economic growth in the state.</w:t>
      </w:r>
    </w:p>
    <w:p w14:paraId="6145168F" w14:textId="77777777" w:rsidR="00082868" w:rsidRPr="003A3426" w:rsidRDefault="00082868" w:rsidP="00082868">
      <w:pPr>
        <w:pStyle w:val="BodyText"/>
      </w:pPr>
    </w:p>
    <w:p w14:paraId="327F5A65" w14:textId="77777777" w:rsidR="00082868" w:rsidRPr="00082868" w:rsidRDefault="00082868" w:rsidP="00082868">
      <w:pPr>
        <w:pStyle w:val="Heading1"/>
        <w:jc w:val="left"/>
        <w:rPr>
          <w:rFonts w:ascii="Arial" w:hAnsi="Arial" w:cs="Arial"/>
          <w:b/>
          <w:color w:val="auto"/>
        </w:rPr>
      </w:pPr>
      <w:bookmarkStart w:id="146" w:name="_Toc497031859"/>
      <w:bookmarkStart w:id="147" w:name="_Toc503665683"/>
      <w:bookmarkStart w:id="148" w:name="_Toc111952985"/>
      <w:bookmarkStart w:id="149" w:name="_Toc347120363"/>
      <w:bookmarkStart w:id="150" w:name="_Toc535495617"/>
      <w:r w:rsidRPr="00082868">
        <w:rPr>
          <w:rFonts w:ascii="Arial" w:hAnsi="Arial" w:cs="Arial"/>
          <w:b/>
          <w:color w:val="auto"/>
        </w:rPr>
        <w:t>1.4</w:t>
      </w:r>
      <w:r w:rsidRPr="00082868">
        <w:rPr>
          <w:rFonts w:ascii="Arial" w:hAnsi="Arial" w:cs="Arial"/>
          <w:b/>
          <w:color w:val="auto"/>
        </w:rPr>
        <w:tab/>
        <w:t>FORECAST ASSUMPTIONS</w:t>
      </w:r>
      <w:bookmarkEnd w:id="146"/>
      <w:bookmarkEnd w:id="147"/>
      <w:r w:rsidRPr="00082868">
        <w:rPr>
          <w:rFonts w:ascii="Arial" w:hAnsi="Arial" w:cs="Arial"/>
          <w:b/>
          <w:color w:val="auto"/>
        </w:rPr>
        <w:t xml:space="preserve"> AND METHODS</w:t>
      </w:r>
      <w:bookmarkEnd w:id="148"/>
      <w:bookmarkEnd w:id="149"/>
      <w:bookmarkEnd w:id="150"/>
    </w:p>
    <w:p w14:paraId="5ABBA47D" w14:textId="77777777" w:rsidR="00082868" w:rsidRDefault="00082868" w:rsidP="00082868">
      <w:pPr>
        <w:pStyle w:val="BodyText"/>
        <w:jc w:val="left"/>
        <w:rPr>
          <w:b w:val="0"/>
        </w:rPr>
      </w:pPr>
    </w:p>
    <w:p w14:paraId="6BA23A68" w14:textId="5D022D50" w:rsidR="00082868" w:rsidRPr="00082868" w:rsidRDefault="00585ADA" w:rsidP="00966D80">
      <w:pPr>
        <w:pStyle w:val="BodyText"/>
        <w:spacing w:line="360" w:lineRule="auto"/>
        <w:jc w:val="both"/>
        <w:rPr>
          <w:b w:val="0"/>
        </w:rPr>
      </w:pPr>
      <w:r>
        <w:rPr>
          <w:b w:val="0"/>
        </w:rPr>
        <w:t xml:space="preserve">The assumptions underlying </w:t>
      </w:r>
      <w:r w:rsidR="00082868" w:rsidRPr="00082868">
        <w:rPr>
          <w:b w:val="0"/>
        </w:rPr>
        <w:t xml:space="preserve">Budget </w:t>
      </w:r>
      <w:r w:rsidR="00B230D8" w:rsidRPr="00082868">
        <w:rPr>
          <w:b w:val="0"/>
        </w:rPr>
        <w:t>20</w:t>
      </w:r>
      <w:r w:rsidR="00B230D8">
        <w:rPr>
          <w:b w:val="0"/>
        </w:rPr>
        <w:t>19</w:t>
      </w:r>
      <w:r w:rsidR="00B230D8" w:rsidRPr="00082868">
        <w:rPr>
          <w:b w:val="0"/>
        </w:rPr>
        <w:t xml:space="preserve"> </w:t>
      </w:r>
      <w:r w:rsidR="00082868" w:rsidRPr="00082868">
        <w:rPr>
          <w:b w:val="0"/>
        </w:rPr>
        <w:t xml:space="preserve">were developed through </w:t>
      </w:r>
      <w:r w:rsidR="004E24E4">
        <w:rPr>
          <w:b w:val="0"/>
        </w:rPr>
        <w:t>the</w:t>
      </w:r>
      <w:r w:rsidR="00082868" w:rsidRPr="00082868">
        <w:rPr>
          <w:b w:val="0"/>
        </w:rPr>
        <w:t xml:space="preserve"> joint effort of Georgia Power and Southern Company Services</w:t>
      </w:r>
      <w:r w:rsidR="00E07A1E">
        <w:rPr>
          <w:b w:val="0"/>
        </w:rPr>
        <w:t xml:space="preserve"> (“SCS”)</w:t>
      </w:r>
      <w:r w:rsidR="00082868" w:rsidRPr="00082868">
        <w:rPr>
          <w:b w:val="0"/>
        </w:rPr>
        <w:t xml:space="preserve">. </w:t>
      </w:r>
      <w:r w:rsidR="00B230D8" w:rsidRPr="00B230D8">
        <w:rPr>
          <w:b w:val="0"/>
        </w:rPr>
        <w:t>The forecast was developed through careful consideration and methodical examination of key demographic and economic variables that historically have been significant indicators of energy consumption. Major assumptions include the economic outlook for the U.S. and Georgia, energy prices, and market profiles for class end uses.</w:t>
      </w:r>
    </w:p>
    <w:p w14:paraId="49A7904E" w14:textId="77777777" w:rsidR="00082868" w:rsidRPr="00082868" w:rsidRDefault="00082868" w:rsidP="00966D80">
      <w:pPr>
        <w:pStyle w:val="BodyText"/>
        <w:spacing w:line="360" w:lineRule="auto"/>
        <w:jc w:val="both"/>
        <w:rPr>
          <w:b w:val="0"/>
        </w:rPr>
      </w:pPr>
    </w:p>
    <w:p w14:paraId="3C57E929" w14:textId="28D7C455" w:rsidR="00082868" w:rsidRPr="00082868" w:rsidRDefault="00B230D8" w:rsidP="00966D80">
      <w:pPr>
        <w:pStyle w:val="BodyText"/>
        <w:spacing w:line="360" w:lineRule="auto"/>
        <w:jc w:val="both"/>
        <w:rPr>
          <w:b w:val="0"/>
        </w:rPr>
      </w:pPr>
      <w:r w:rsidRPr="00B230D8">
        <w:rPr>
          <w:b w:val="0"/>
        </w:rPr>
        <w:t xml:space="preserve">The economic forecast </w:t>
      </w:r>
      <w:r w:rsidR="0067648F">
        <w:rPr>
          <w:b w:val="0"/>
        </w:rPr>
        <w:t>provid</w:t>
      </w:r>
      <w:r w:rsidRPr="00B230D8">
        <w:rPr>
          <w:b w:val="0"/>
        </w:rPr>
        <w:t>es a description of the economy for the next 20 years and includes many elements of the economy such as gross product, population, employment, commercial building square footage, and industrial production. The economic and demographic forecasts for Budget 2019 were obtained from IHS Markit, a national provider of economic data and forecasts.</w:t>
      </w:r>
      <w:r w:rsidR="00DA00AA">
        <w:rPr>
          <w:b w:val="0"/>
        </w:rPr>
        <w:t xml:space="preserve"> Budget 2019 is the first forecast using IHS Markit rather than Moody’s Analytics. </w:t>
      </w:r>
    </w:p>
    <w:p w14:paraId="1398A828" w14:textId="77777777" w:rsidR="00082868" w:rsidRPr="00082868" w:rsidRDefault="00082868" w:rsidP="00966D80">
      <w:pPr>
        <w:pStyle w:val="BodyText"/>
        <w:spacing w:line="360" w:lineRule="auto"/>
        <w:jc w:val="both"/>
        <w:rPr>
          <w:b w:val="0"/>
        </w:rPr>
      </w:pPr>
    </w:p>
    <w:p w14:paraId="7E9DCA3B" w14:textId="5073D7D6" w:rsidR="00082868" w:rsidRPr="00082868" w:rsidRDefault="00B230D8" w:rsidP="00966D80">
      <w:pPr>
        <w:pStyle w:val="BodyText"/>
        <w:spacing w:line="360" w:lineRule="auto"/>
        <w:jc w:val="both"/>
        <w:rPr>
          <w:b w:val="0"/>
        </w:rPr>
      </w:pPr>
      <w:r w:rsidRPr="00B230D8">
        <w:rPr>
          <w:b w:val="0"/>
        </w:rPr>
        <w:t>The models used to produce both the short- and long-term energy forecasts include a variety of economic and demographic variables as drivers of energy use. Weather, income, employment, historical load data, and industry standards for electrical equipment are</w:t>
      </w:r>
      <w:r w:rsidR="00FC7235">
        <w:rPr>
          <w:b w:val="0"/>
        </w:rPr>
        <w:t xml:space="preserve"> </w:t>
      </w:r>
      <w:r w:rsidRPr="00B230D8">
        <w:rPr>
          <w:b w:val="0"/>
        </w:rPr>
        <w:t xml:space="preserve">among the variables used in the forecasting models. </w:t>
      </w:r>
      <w:bookmarkStart w:id="151" w:name="_Hlk531090493"/>
      <w:r w:rsidRPr="00B230D8">
        <w:rPr>
          <w:b w:val="0"/>
        </w:rPr>
        <w:t>“Normal” weather is defined as the average of Cooling Degree Hours (“CDH”) and Heating Degree Hours (“HDH”) from 1980-2017.</w:t>
      </w:r>
      <w:bookmarkEnd w:id="151"/>
    </w:p>
    <w:p w14:paraId="066441F5" w14:textId="77777777" w:rsidR="00082868" w:rsidRPr="00082868" w:rsidRDefault="00082868" w:rsidP="00966D80">
      <w:pPr>
        <w:pStyle w:val="BodyText"/>
        <w:spacing w:line="360" w:lineRule="auto"/>
        <w:jc w:val="both"/>
        <w:rPr>
          <w:b w:val="0"/>
        </w:rPr>
      </w:pPr>
    </w:p>
    <w:p w14:paraId="4F4305AE" w14:textId="032FA067" w:rsidR="00082868" w:rsidRPr="00082868" w:rsidRDefault="00082868" w:rsidP="00966D80">
      <w:pPr>
        <w:pStyle w:val="BodyText"/>
        <w:spacing w:line="360" w:lineRule="auto"/>
        <w:jc w:val="both"/>
        <w:rPr>
          <w:b w:val="0"/>
        </w:rPr>
      </w:pPr>
      <w:r w:rsidRPr="00082868">
        <w:rPr>
          <w:b w:val="0"/>
        </w:rPr>
        <w:t>Short-term energy projections</w:t>
      </w:r>
      <w:r w:rsidR="00154B82">
        <w:rPr>
          <w:b w:val="0"/>
        </w:rPr>
        <w:t>, with the exception of governmental lighting,</w:t>
      </w:r>
      <w:r w:rsidRPr="00082868">
        <w:rPr>
          <w:b w:val="0"/>
        </w:rPr>
        <w:t xml:space="preserve"> are based on linear regression models developed for the various energy classes. </w:t>
      </w:r>
      <w:r w:rsidR="00D75C33">
        <w:rPr>
          <w:b w:val="0"/>
        </w:rPr>
        <w:t xml:space="preserve">The governmental lighting forecast is developed using information from Georgia Power field personnel. </w:t>
      </w:r>
      <w:r w:rsidRPr="00082868">
        <w:rPr>
          <w:b w:val="0"/>
        </w:rPr>
        <w:t>The details of these regression models can be found in Section 4.</w:t>
      </w:r>
    </w:p>
    <w:p w14:paraId="593DCE75" w14:textId="77777777" w:rsidR="00082868" w:rsidRPr="00082868" w:rsidRDefault="00082868" w:rsidP="00966D80">
      <w:pPr>
        <w:pStyle w:val="BodyText"/>
        <w:spacing w:line="360" w:lineRule="auto"/>
        <w:jc w:val="both"/>
        <w:rPr>
          <w:b w:val="0"/>
        </w:rPr>
      </w:pPr>
    </w:p>
    <w:p w14:paraId="33264E13" w14:textId="563A460D" w:rsidR="00082868" w:rsidRPr="00082868" w:rsidRDefault="00B230D8" w:rsidP="00966D80">
      <w:pPr>
        <w:pStyle w:val="BodyText"/>
        <w:spacing w:line="360" w:lineRule="auto"/>
        <w:jc w:val="both"/>
        <w:rPr>
          <w:b w:val="0"/>
        </w:rPr>
      </w:pPr>
      <w:r w:rsidRPr="00B230D8">
        <w:rPr>
          <w:b w:val="0"/>
        </w:rPr>
        <w:t>The long-term forecast models are end-use models. Budget 2019 uses the Load Management Analysis and Planning (“LoadMAP”) model to produce the long-term residential, commercial, and industrial forecasts. The LoadMAP tool is discussed in greater detail in Section 5</w:t>
      </w:r>
      <w:r w:rsidR="001C01E2">
        <w:rPr>
          <w:b w:val="0"/>
        </w:rPr>
        <w:t>.</w:t>
      </w:r>
      <w:r w:rsidRPr="00B230D8">
        <w:rPr>
          <w:b w:val="0"/>
        </w:rPr>
        <w:t xml:space="preserve">   </w:t>
      </w:r>
    </w:p>
    <w:p w14:paraId="5F8DF422" w14:textId="77777777" w:rsidR="00082868" w:rsidRPr="00082868" w:rsidRDefault="00082868" w:rsidP="00966D80">
      <w:pPr>
        <w:pStyle w:val="BodyText"/>
        <w:spacing w:line="360" w:lineRule="auto"/>
        <w:jc w:val="both"/>
        <w:rPr>
          <w:b w:val="0"/>
        </w:rPr>
      </w:pPr>
    </w:p>
    <w:p w14:paraId="63DBB642" w14:textId="5C626332" w:rsidR="00082868" w:rsidRPr="00082868" w:rsidRDefault="00B230D8" w:rsidP="00966D80">
      <w:pPr>
        <w:pStyle w:val="BodyText"/>
        <w:spacing w:line="360" w:lineRule="auto"/>
        <w:jc w:val="both"/>
        <w:rPr>
          <w:b w:val="0"/>
        </w:rPr>
      </w:pPr>
      <w:r>
        <w:rPr>
          <w:b w:val="0"/>
        </w:rPr>
        <w:t xml:space="preserve">The </w:t>
      </w:r>
      <w:r w:rsidR="001A0DD5">
        <w:rPr>
          <w:b w:val="0"/>
        </w:rPr>
        <w:t xml:space="preserve">long-term </w:t>
      </w:r>
      <w:r w:rsidR="006545A0">
        <w:rPr>
          <w:b w:val="0"/>
        </w:rPr>
        <w:t xml:space="preserve">MARTA </w:t>
      </w:r>
      <w:r w:rsidR="00D75C33">
        <w:rPr>
          <w:b w:val="0"/>
        </w:rPr>
        <w:t>and governmental lighting forecasts are not based on end</w:t>
      </w:r>
      <w:r w:rsidR="00076F70">
        <w:rPr>
          <w:b w:val="0"/>
        </w:rPr>
        <w:t>-</w:t>
      </w:r>
      <w:r w:rsidR="00D75C33">
        <w:rPr>
          <w:b w:val="0"/>
        </w:rPr>
        <w:t>use</w:t>
      </w:r>
      <w:r w:rsidR="00CC5EA0">
        <w:rPr>
          <w:b w:val="0"/>
        </w:rPr>
        <w:t xml:space="preserve"> model</w:t>
      </w:r>
      <w:r w:rsidR="00D75C33">
        <w:rPr>
          <w:b w:val="0"/>
        </w:rPr>
        <w:t xml:space="preserve">s. The MARTA </w:t>
      </w:r>
      <w:r w:rsidR="001A0DD5">
        <w:rPr>
          <w:b w:val="0"/>
        </w:rPr>
        <w:t xml:space="preserve">forecast </w:t>
      </w:r>
      <w:r w:rsidR="00CC5EA0">
        <w:rPr>
          <w:b w:val="0"/>
        </w:rPr>
        <w:t xml:space="preserve">uses the linear regression </w:t>
      </w:r>
      <w:r w:rsidR="001A0DD5">
        <w:rPr>
          <w:b w:val="0"/>
        </w:rPr>
        <w:t>model</w:t>
      </w:r>
      <w:r w:rsidR="00CC5EA0">
        <w:rPr>
          <w:b w:val="0"/>
        </w:rPr>
        <w:t xml:space="preserve"> developed for the short-term forecast</w:t>
      </w:r>
      <w:r w:rsidR="001A0DD5">
        <w:rPr>
          <w:b w:val="0"/>
        </w:rPr>
        <w:t xml:space="preserve">, while the </w:t>
      </w:r>
      <w:r w:rsidR="006545A0">
        <w:rPr>
          <w:b w:val="0"/>
        </w:rPr>
        <w:t>g</w:t>
      </w:r>
      <w:r w:rsidR="00082868" w:rsidRPr="00082868">
        <w:rPr>
          <w:b w:val="0"/>
        </w:rPr>
        <w:t xml:space="preserve">overnmental lighting forecast </w:t>
      </w:r>
      <w:r w:rsidR="00EE7284">
        <w:rPr>
          <w:b w:val="0"/>
        </w:rPr>
        <w:t>is</w:t>
      </w:r>
      <w:r w:rsidR="00082868" w:rsidRPr="00082868">
        <w:rPr>
          <w:b w:val="0"/>
        </w:rPr>
        <w:t xml:space="preserve"> based </w:t>
      </w:r>
      <w:r w:rsidR="00EE7284">
        <w:rPr>
          <w:b w:val="0"/>
        </w:rPr>
        <w:t xml:space="preserve">on </w:t>
      </w:r>
      <w:r w:rsidR="00896B58">
        <w:rPr>
          <w:b w:val="0"/>
        </w:rPr>
        <w:t>information from Georgia Power</w:t>
      </w:r>
      <w:r w:rsidR="00082868" w:rsidRPr="00082868">
        <w:rPr>
          <w:b w:val="0"/>
        </w:rPr>
        <w:t xml:space="preserve"> field personnel.</w:t>
      </w:r>
    </w:p>
    <w:p w14:paraId="7EEBF01E" w14:textId="77777777" w:rsidR="00082868" w:rsidRPr="00082868" w:rsidRDefault="00082868" w:rsidP="00966D80">
      <w:pPr>
        <w:pStyle w:val="BodyText"/>
        <w:spacing w:line="360" w:lineRule="auto"/>
        <w:jc w:val="both"/>
        <w:rPr>
          <w:b w:val="0"/>
        </w:rPr>
      </w:pPr>
    </w:p>
    <w:p w14:paraId="25BFF0C5" w14:textId="53B78FA3" w:rsidR="001F434C" w:rsidRDefault="001F434C" w:rsidP="00966D80">
      <w:pPr>
        <w:pStyle w:val="BodyText"/>
        <w:spacing w:line="360" w:lineRule="auto"/>
        <w:jc w:val="both"/>
        <w:rPr>
          <w:b w:val="0"/>
        </w:rPr>
      </w:pPr>
      <w:r w:rsidRPr="001F434C">
        <w:rPr>
          <w:b w:val="0"/>
        </w:rPr>
        <w:t>The results of the short-term and long-term models are integrated into a unified forecast. In Budget 2019, the short-term forecast results were used for the years 2019 through 2021 and the long-term results from 2022 to 2038. Additional information on methodology can be found in Section 3</w:t>
      </w:r>
      <w:r w:rsidR="00082868" w:rsidRPr="00082868">
        <w:rPr>
          <w:b w:val="0"/>
        </w:rPr>
        <w:t>.</w:t>
      </w:r>
    </w:p>
    <w:p w14:paraId="4F8E03CA" w14:textId="77777777" w:rsidR="00FC7235" w:rsidRDefault="00FC7235" w:rsidP="00966D80">
      <w:pPr>
        <w:pStyle w:val="BodyText"/>
        <w:spacing w:line="360" w:lineRule="auto"/>
        <w:jc w:val="both"/>
        <w:rPr>
          <w:b w:val="0"/>
        </w:rPr>
      </w:pPr>
    </w:p>
    <w:p w14:paraId="2A8445B5" w14:textId="40110764" w:rsidR="001F434C" w:rsidRPr="00082868" w:rsidRDefault="001F434C" w:rsidP="00966D80">
      <w:pPr>
        <w:pStyle w:val="BodyText"/>
        <w:spacing w:line="360" w:lineRule="auto"/>
        <w:jc w:val="both"/>
        <w:rPr>
          <w:b w:val="0"/>
        </w:rPr>
      </w:pPr>
      <w:r w:rsidRPr="001F434C">
        <w:rPr>
          <w:b w:val="0"/>
        </w:rPr>
        <w:t>Budget 2019 uses the Peak Demand Model (“PDM”) to predict Georgia Power’s weather-normal peak demands. The methodology and assumptions used in the PDM tool are discussed in greater detail in Section 6</w:t>
      </w:r>
      <w:r>
        <w:rPr>
          <w:b w:val="0"/>
        </w:rPr>
        <w:t>.</w:t>
      </w:r>
    </w:p>
    <w:p w14:paraId="70C6896A" w14:textId="77777777" w:rsidR="00082868" w:rsidRPr="003A3426" w:rsidRDefault="00082868" w:rsidP="00735896">
      <w:pPr>
        <w:pStyle w:val="BodyText"/>
        <w:spacing w:line="360" w:lineRule="auto"/>
      </w:pPr>
    </w:p>
    <w:p w14:paraId="0B929582" w14:textId="77777777" w:rsidR="00082868" w:rsidRPr="00082868" w:rsidRDefault="00082868" w:rsidP="00082868">
      <w:pPr>
        <w:pStyle w:val="Heading1"/>
        <w:jc w:val="left"/>
        <w:rPr>
          <w:rFonts w:ascii="Arial" w:hAnsi="Arial" w:cs="Arial"/>
          <w:b/>
          <w:color w:val="auto"/>
        </w:rPr>
      </w:pPr>
      <w:bookmarkStart w:id="152" w:name="_Toc497031862"/>
      <w:bookmarkStart w:id="153" w:name="_Toc499102663"/>
      <w:bookmarkStart w:id="154" w:name="_Toc503665686"/>
      <w:bookmarkStart w:id="155" w:name="_Toc111952986"/>
      <w:bookmarkStart w:id="156" w:name="_Toc347120364"/>
      <w:bookmarkStart w:id="157" w:name="_Toc535495618"/>
      <w:r w:rsidRPr="00082868">
        <w:rPr>
          <w:rFonts w:ascii="Arial" w:hAnsi="Arial" w:cs="Arial"/>
          <w:b/>
          <w:color w:val="auto"/>
        </w:rPr>
        <w:t>1.5</w:t>
      </w:r>
      <w:r w:rsidRPr="00082868">
        <w:rPr>
          <w:rFonts w:ascii="Arial" w:hAnsi="Arial" w:cs="Arial"/>
          <w:b/>
          <w:color w:val="auto"/>
        </w:rPr>
        <w:tab/>
        <w:t>DEMAND SIDE PROGRAMS</w:t>
      </w:r>
      <w:bookmarkEnd w:id="152"/>
      <w:bookmarkEnd w:id="153"/>
      <w:bookmarkEnd w:id="154"/>
      <w:bookmarkEnd w:id="155"/>
      <w:bookmarkEnd w:id="156"/>
      <w:bookmarkEnd w:id="157"/>
    </w:p>
    <w:p w14:paraId="117E4238" w14:textId="77777777" w:rsidR="00082868" w:rsidRDefault="00082868" w:rsidP="00082868">
      <w:pPr>
        <w:pStyle w:val="BodyText"/>
        <w:jc w:val="left"/>
        <w:rPr>
          <w:b w:val="0"/>
        </w:rPr>
      </w:pPr>
    </w:p>
    <w:p w14:paraId="33BF1558" w14:textId="01D19800" w:rsidR="00082868" w:rsidRPr="00082868" w:rsidRDefault="00082868" w:rsidP="00966D80">
      <w:pPr>
        <w:pStyle w:val="BodyText"/>
        <w:spacing w:line="360" w:lineRule="auto"/>
        <w:jc w:val="both"/>
        <w:rPr>
          <w:b w:val="0"/>
        </w:rPr>
      </w:pPr>
      <w:bookmarkStart w:id="158" w:name="_Hlk534287009"/>
      <w:r w:rsidRPr="00082868">
        <w:rPr>
          <w:b w:val="0"/>
        </w:rPr>
        <w:t xml:space="preserve">Georgia Power offers </w:t>
      </w:r>
      <w:r w:rsidR="00C862EE">
        <w:rPr>
          <w:b w:val="0"/>
        </w:rPr>
        <w:t>energy efficiency</w:t>
      </w:r>
      <w:r w:rsidR="00C862EE" w:rsidRPr="00082868">
        <w:rPr>
          <w:b w:val="0"/>
        </w:rPr>
        <w:t xml:space="preserve"> </w:t>
      </w:r>
      <w:r w:rsidRPr="00082868">
        <w:rPr>
          <w:b w:val="0"/>
        </w:rPr>
        <w:t xml:space="preserve">programs to promote energy savings to customers. </w:t>
      </w:r>
      <w:bookmarkEnd w:id="158"/>
      <w:r w:rsidRPr="00082868">
        <w:rPr>
          <w:b w:val="0"/>
        </w:rPr>
        <w:t xml:space="preserve">These programs have existed for </w:t>
      </w:r>
      <w:r w:rsidR="00DF667F">
        <w:rPr>
          <w:b w:val="0"/>
        </w:rPr>
        <w:t>several years</w:t>
      </w:r>
      <w:r w:rsidRPr="00082868">
        <w:rPr>
          <w:b w:val="0"/>
        </w:rPr>
        <w:t>, and the benefits from the</w:t>
      </w:r>
      <w:r w:rsidR="00DF667F">
        <w:rPr>
          <w:b w:val="0"/>
        </w:rPr>
        <w:t>se</w:t>
      </w:r>
      <w:r w:rsidRPr="00082868">
        <w:rPr>
          <w:b w:val="0"/>
        </w:rPr>
        <w:t xml:space="preserve"> programs are embedded in Georgia Power’s historical load</w:t>
      </w:r>
      <w:r w:rsidR="00FC7235">
        <w:rPr>
          <w:b w:val="0"/>
        </w:rPr>
        <w:t>s</w:t>
      </w:r>
      <w:r w:rsidRPr="00082868">
        <w:rPr>
          <w:b w:val="0"/>
        </w:rPr>
        <w:t xml:space="preserve"> and energy sales. The forecasts produced by using historical energy data, therefore, have an embedded effect propagated throughout the forecast. Other conservation measures undertaken by customers, whether explicitly induced by a marketing program or proactively undertaken by a customer for other reason</w:t>
      </w:r>
      <w:r w:rsidR="00342821">
        <w:rPr>
          <w:b w:val="0"/>
        </w:rPr>
        <w:t>s</w:t>
      </w:r>
      <w:r w:rsidRPr="00082868">
        <w:rPr>
          <w:b w:val="0"/>
        </w:rPr>
        <w:t xml:space="preserve">, will </w:t>
      </w:r>
      <w:r w:rsidR="00DF667F">
        <w:rPr>
          <w:b w:val="0"/>
        </w:rPr>
        <w:t xml:space="preserve">also </w:t>
      </w:r>
      <w:r w:rsidRPr="00082868">
        <w:rPr>
          <w:b w:val="0"/>
        </w:rPr>
        <w:t>become embedded in the historical energy data and will be implicitly propagated throughout the forecast.</w:t>
      </w:r>
      <w:r w:rsidR="007944C2">
        <w:rPr>
          <w:b w:val="0"/>
        </w:rPr>
        <w:t xml:space="preserve"> New or ongoing Georgia Power programs that are not fully reflected in historical data are incorporated into the forecast as external adjustments.</w:t>
      </w:r>
    </w:p>
    <w:p w14:paraId="44A290E2" w14:textId="77777777" w:rsidR="00082868" w:rsidRPr="00082868" w:rsidRDefault="00082868" w:rsidP="00735896">
      <w:pPr>
        <w:pStyle w:val="BodyText"/>
        <w:spacing w:line="360" w:lineRule="auto"/>
        <w:jc w:val="left"/>
        <w:rPr>
          <w:b w:val="0"/>
        </w:rPr>
      </w:pPr>
    </w:p>
    <w:p w14:paraId="2B9D059F" w14:textId="672BFCCD" w:rsidR="00082868" w:rsidRPr="00082868" w:rsidRDefault="00082868" w:rsidP="00966D80">
      <w:pPr>
        <w:pStyle w:val="BodyText"/>
        <w:spacing w:line="360" w:lineRule="auto"/>
        <w:jc w:val="both"/>
        <w:rPr>
          <w:b w:val="0"/>
        </w:rPr>
      </w:pPr>
      <w:bookmarkStart w:id="159" w:name="_Hlk529718985"/>
      <w:r w:rsidRPr="003D6CE1">
        <w:rPr>
          <w:b w:val="0"/>
        </w:rPr>
        <w:t>An additional type of demand</w:t>
      </w:r>
      <w:r w:rsidR="00A123A0" w:rsidRPr="003D6CE1">
        <w:rPr>
          <w:b w:val="0"/>
        </w:rPr>
        <w:t>-</w:t>
      </w:r>
      <w:r w:rsidRPr="003D6CE1">
        <w:rPr>
          <w:b w:val="0"/>
        </w:rPr>
        <w:t xml:space="preserve">side impact </w:t>
      </w:r>
      <w:r w:rsidR="009C47ED">
        <w:rPr>
          <w:b w:val="0"/>
        </w:rPr>
        <w:t xml:space="preserve">considered </w:t>
      </w:r>
      <w:r w:rsidRPr="003D6CE1">
        <w:rPr>
          <w:b w:val="0"/>
        </w:rPr>
        <w:t xml:space="preserve">in Budget </w:t>
      </w:r>
      <w:r w:rsidR="00DF667F" w:rsidRPr="003D6CE1">
        <w:rPr>
          <w:b w:val="0"/>
        </w:rPr>
        <w:t xml:space="preserve">2019 </w:t>
      </w:r>
      <w:r w:rsidRPr="003D6CE1">
        <w:rPr>
          <w:b w:val="0"/>
        </w:rPr>
        <w:t>is the adopted efficiency standards in the end-use models</w:t>
      </w:r>
      <w:r w:rsidR="004462EC">
        <w:rPr>
          <w:b w:val="0"/>
        </w:rPr>
        <w:t xml:space="preserve"> used </w:t>
      </w:r>
      <w:r w:rsidR="00EB56DC">
        <w:rPr>
          <w:b w:val="0"/>
        </w:rPr>
        <w:t>for</w:t>
      </w:r>
      <w:r w:rsidR="004462EC">
        <w:rPr>
          <w:b w:val="0"/>
        </w:rPr>
        <w:t xml:space="preserve"> the long-term forecast</w:t>
      </w:r>
      <w:r w:rsidRPr="003D6CE1">
        <w:rPr>
          <w:b w:val="0"/>
        </w:rPr>
        <w:t>. These efficiency standards represent the continuing trend of increasing end-use efficiency driven in part by programs such as ENERGY STAR</w:t>
      </w:r>
      <w:r w:rsidR="00076F70" w:rsidRPr="00076F70">
        <w:rPr>
          <w:b w:val="0"/>
          <w:vertAlign w:val="superscript"/>
        </w:rPr>
        <w:t>®</w:t>
      </w:r>
      <w:r w:rsidRPr="003D6CE1">
        <w:rPr>
          <w:b w:val="0"/>
        </w:rPr>
        <w:t>.</w:t>
      </w:r>
      <w:bookmarkEnd w:id="159"/>
    </w:p>
    <w:p w14:paraId="41ED5E3B" w14:textId="77777777" w:rsidR="00082868" w:rsidRPr="003A3426" w:rsidRDefault="00082868" w:rsidP="00735896">
      <w:pPr>
        <w:pStyle w:val="BodyText"/>
        <w:spacing w:line="360" w:lineRule="auto"/>
      </w:pPr>
    </w:p>
    <w:p w14:paraId="4A44E37C" w14:textId="77777777" w:rsidR="00082868" w:rsidRPr="00082868" w:rsidRDefault="00082868" w:rsidP="00082868">
      <w:pPr>
        <w:pStyle w:val="Heading1"/>
        <w:jc w:val="left"/>
        <w:rPr>
          <w:rFonts w:ascii="Arial" w:hAnsi="Arial" w:cs="Arial"/>
          <w:b/>
          <w:color w:val="auto"/>
        </w:rPr>
      </w:pPr>
      <w:bookmarkStart w:id="160" w:name="_Toc347120365"/>
      <w:bookmarkStart w:id="161" w:name="_Toc535495619"/>
      <w:r w:rsidRPr="00082868">
        <w:rPr>
          <w:rFonts w:ascii="Arial" w:hAnsi="Arial" w:cs="Arial"/>
          <w:b/>
          <w:color w:val="auto"/>
        </w:rPr>
        <w:t>1.6</w:t>
      </w:r>
      <w:r w:rsidRPr="00082868">
        <w:rPr>
          <w:rFonts w:ascii="Arial" w:hAnsi="Arial" w:cs="Arial"/>
          <w:b/>
          <w:color w:val="auto"/>
        </w:rPr>
        <w:tab/>
        <w:t>SENSITIVITIES AND SCENARIOS</w:t>
      </w:r>
      <w:bookmarkEnd w:id="160"/>
      <w:bookmarkEnd w:id="161"/>
    </w:p>
    <w:p w14:paraId="4FD7F505" w14:textId="77777777" w:rsidR="00082868" w:rsidRDefault="00082868" w:rsidP="00082868">
      <w:pPr>
        <w:pStyle w:val="BodyText"/>
        <w:jc w:val="left"/>
        <w:rPr>
          <w:b w:val="0"/>
        </w:rPr>
      </w:pPr>
    </w:p>
    <w:p w14:paraId="2ADFAD04" w14:textId="1270CC96" w:rsidR="00082868" w:rsidRPr="00082868" w:rsidRDefault="00082868" w:rsidP="00966D80">
      <w:pPr>
        <w:pStyle w:val="BodyText"/>
        <w:spacing w:line="360" w:lineRule="auto"/>
        <w:jc w:val="both"/>
        <w:rPr>
          <w:b w:val="0"/>
        </w:rPr>
      </w:pPr>
      <w:r w:rsidRPr="00082868">
        <w:rPr>
          <w:b w:val="0"/>
        </w:rPr>
        <w:t xml:space="preserve">Budget </w:t>
      </w:r>
      <w:r w:rsidR="003D6CE1" w:rsidRPr="00082868">
        <w:rPr>
          <w:b w:val="0"/>
        </w:rPr>
        <w:t>20</w:t>
      </w:r>
      <w:r w:rsidR="003D6CE1">
        <w:rPr>
          <w:b w:val="0"/>
        </w:rPr>
        <w:t>19</w:t>
      </w:r>
      <w:r w:rsidR="003D6CE1" w:rsidRPr="00082868">
        <w:rPr>
          <w:b w:val="0"/>
        </w:rPr>
        <w:t xml:space="preserve"> </w:t>
      </w:r>
      <w:r w:rsidRPr="00082868">
        <w:rPr>
          <w:b w:val="0"/>
        </w:rPr>
        <w:t xml:space="preserve">is a base case forecast, using as its foundation the most probable economic scenario and current regulatory environment. </w:t>
      </w:r>
      <w:r w:rsidR="008047D3">
        <w:rPr>
          <w:b w:val="0"/>
        </w:rPr>
        <w:t>N</w:t>
      </w:r>
      <w:r w:rsidRPr="00082868">
        <w:rPr>
          <w:b w:val="0"/>
        </w:rPr>
        <w:t>ine scenarios were developed to evaluate the impacts of possible outcomes under different regulatory environments with respect to various carbon and fuel price combinations.</w:t>
      </w:r>
    </w:p>
    <w:p w14:paraId="61FD3104" w14:textId="77777777" w:rsidR="00082868" w:rsidRPr="00082868" w:rsidRDefault="00082868" w:rsidP="00966D80">
      <w:pPr>
        <w:pStyle w:val="BodyText"/>
        <w:spacing w:line="360" w:lineRule="auto"/>
        <w:jc w:val="both"/>
        <w:rPr>
          <w:b w:val="0"/>
          <w:highlight w:val="magenta"/>
        </w:rPr>
      </w:pPr>
    </w:p>
    <w:p w14:paraId="494E59FE" w14:textId="2CFD9DA9" w:rsidR="00082868" w:rsidRPr="00082868" w:rsidRDefault="00082868" w:rsidP="00966D80">
      <w:pPr>
        <w:pStyle w:val="BodyText"/>
        <w:spacing w:line="360" w:lineRule="auto"/>
        <w:jc w:val="both"/>
        <w:rPr>
          <w:b w:val="0"/>
        </w:rPr>
      </w:pPr>
      <w:r w:rsidRPr="00082868">
        <w:rPr>
          <w:b w:val="0"/>
        </w:rPr>
        <w:t xml:space="preserve">It is also important to understand the possible impacts of variations in the description of the factors (variables) that are used in the forecast and their impact on the </w:t>
      </w:r>
      <w:r w:rsidR="00416782">
        <w:rPr>
          <w:b w:val="0"/>
        </w:rPr>
        <w:t xml:space="preserve">forecast </w:t>
      </w:r>
      <w:r w:rsidRPr="00082868">
        <w:rPr>
          <w:b w:val="0"/>
        </w:rPr>
        <w:t xml:space="preserve">results. Consequently, five </w:t>
      </w:r>
      <w:r w:rsidR="00F67E34">
        <w:rPr>
          <w:b w:val="0"/>
        </w:rPr>
        <w:t xml:space="preserve">forecast </w:t>
      </w:r>
      <w:r w:rsidRPr="00082868">
        <w:rPr>
          <w:b w:val="0"/>
        </w:rPr>
        <w:t xml:space="preserve">sensitivities have </w:t>
      </w:r>
      <w:r w:rsidR="00F67E34">
        <w:rPr>
          <w:b w:val="0"/>
        </w:rPr>
        <w:t xml:space="preserve">also </w:t>
      </w:r>
      <w:r w:rsidRPr="00082868">
        <w:rPr>
          <w:b w:val="0"/>
        </w:rPr>
        <w:t>been run: 1) high economic growth</w:t>
      </w:r>
      <w:r w:rsidR="00076F70">
        <w:rPr>
          <w:b w:val="0"/>
        </w:rPr>
        <w:t>;</w:t>
      </w:r>
      <w:r w:rsidRPr="00082868">
        <w:rPr>
          <w:b w:val="0"/>
        </w:rPr>
        <w:t xml:space="preserve"> 2) low economic growth</w:t>
      </w:r>
      <w:r w:rsidR="00076F70">
        <w:rPr>
          <w:b w:val="0"/>
        </w:rPr>
        <w:t>;</w:t>
      </w:r>
      <w:r w:rsidR="00F82855">
        <w:rPr>
          <w:b w:val="0"/>
        </w:rPr>
        <w:t xml:space="preserve"> </w:t>
      </w:r>
      <w:r w:rsidRPr="00082868">
        <w:rPr>
          <w:b w:val="0"/>
        </w:rPr>
        <w:t xml:space="preserve">3) </w:t>
      </w:r>
      <w:r w:rsidR="00F82855" w:rsidRPr="00082868">
        <w:rPr>
          <w:b w:val="0"/>
        </w:rPr>
        <w:t>no load growth</w:t>
      </w:r>
      <w:r w:rsidR="00076F70">
        <w:rPr>
          <w:b w:val="0"/>
        </w:rPr>
        <w:t>;</w:t>
      </w:r>
      <w:r w:rsidRPr="00082868">
        <w:rPr>
          <w:b w:val="0"/>
        </w:rPr>
        <w:t xml:space="preserve"> 4)</w:t>
      </w:r>
      <w:r w:rsidR="00F82855">
        <w:rPr>
          <w:b w:val="0"/>
        </w:rPr>
        <w:t xml:space="preserve"> </w:t>
      </w:r>
      <w:r w:rsidR="00FE7AB9">
        <w:rPr>
          <w:b w:val="0"/>
        </w:rPr>
        <w:t>l</w:t>
      </w:r>
      <w:r w:rsidR="00F82855" w:rsidRPr="00082868">
        <w:rPr>
          <w:b w:val="0"/>
        </w:rPr>
        <w:t xml:space="preserve">oad growth with </w:t>
      </w:r>
      <w:r w:rsidR="00FE7AB9">
        <w:rPr>
          <w:b w:val="0"/>
        </w:rPr>
        <w:t>no</w:t>
      </w:r>
      <w:r w:rsidR="00F82855" w:rsidRPr="00082868">
        <w:rPr>
          <w:b w:val="0"/>
        </w:rPr>
        <w:t xml:space="preserve"> DSM growth</w:t>
      </w:r>
      <w:r w:rsidR="00076F70">
        <w:rPr>
          <w:b w:val="0"/>
        </w:rPr>
        <w:t>;</w:t>
      </w:r>
      <w:r w:rsidRPr="00082868">
        <w:rPr>
          <w:b w:val="0"/>
        </w:rPr>
        <w:t xml:space="preserve"> and 5) load growth with aggressive DSM growth. </w:t>
      </w:r>
      <w:r w:rsidRPr="00CE1D1E">
        <w:rPr>
          <w:b w:val="0"/>
        </w:rPr>
        <w:t xml:space="preserve">The economic sensitivities were driven by variations </w:t>
      </w:r>
      <w:r w:rsidR="00F82855" w:rsidRPr="00CE1D1E">
        <w:rPr>
          <w:b w:val="0"/>
        </w:rPr>
        <w:t>i</w:t>
      </w:r>
      <w:r w:rsidRPr="00CE1D1E">
        <w:rPr>
          <w:b w:val="0"/>
        </w:rPr>
        <w:t xml:space="preserve">n the economic </w:t>
      </w:r>
      <w:r w:rsidR="00CE1D1E" w:rsidRPr="00CE1D1E">
        <w:rPr>
          <w:b w:val="0"/>
        </w:rPr>
        <w:t xml:space="preserve">drivers of the </w:t>
      </w:r>
      <w:r w:rsidRPr="00CE1D1E">
        <w:rPr>
          <w:b w:val="0"/>
        </w:rPr>
        <w:t>forecast</w:t>
      </w:r>
      <w:r w:rsidR="00F82855" w:rsidRPr="00CE1D1E">
        <w:rPr>
          <w:b w:val="0"/>
        </w:rPr>
        <w:t xml:space="preserve"> </w:t>
      </w:r>
      <w:r w:rsidRPr="00CE1D1E">
        <w:rPr>
          <w:b w:val="0"/>
        </w:rPr>
        <w:t xml:space="preserve">provided by </w:t>
      </w:r>
      <w:r w:rsidR="003D6CE1">
        <w:rPr>
          <w:b w:val="0"/>
        </w:rPr>
        <w:t>IHS Markit</w:t>
      </w:r>
      <w:r w:rsidRPr="00CE1D1E">
        <w:rPr>
          <w:b w:val="0"/>
        </w:rPr>
        <w:t xml:space="preserve">. </w:t>
      </w:r>
      <w:r w:rsidRPr="00082868">
        <w:rPr>
          <w:b w:val="0"/>
        </w:rPr>
        <w:t>Section 7 provides the details of the various scenarios and sensitivities.</w:t>
      </w:r>
    </w:p>
    <w:p w14:paraId="5DDF428F" w14:textId="77777777" w:rsidR="001371A4" w:rsidRDefault="0018253B">
      <w:pPr>
        <w:spacing w:after="200" w:line="276" w:lineRule="auto"/>
        <w:jc w:val="left"/>
        <w:sectPr w:rsidR="001371A4" w:rsidSect="00A47EB3">
          <w:footerReference w:type="default" r:id="rId19"/>
          <w:footnotePr>
            <w:numRestart w:val="eachSect"/>
          </w:footnotePr>
          <w:pgSz w:w="12240" w:h="15840"/>
          <w:pgMar w:top="1440" w:right="1800" w:bottom="1440" w:left="1267" w:header="720" w:footer="720" w:gutter="0"/>
          <w:pgNumType w:start="1"/>
          <w:cols w:space="720"/>
        </w:sectPr>
      </w:pPr>
      <w:r>
        <w:br w:type="page"/>
      </w:r>
    </w:p>
    <w:p w14:paraId="59094742" w14:textId="77777777" w:rsidR="00A93DE9" w:rsidRPr="00A93DE9" w:rsidRDefault="00A93DE9" w:rsidP="00A93DE9">
      <w:pPr>
        <w:pStyle w:val="Heading1"/>
        <w:jc w:val="left"/>
        <w:rPr>
          <w:rFonts w:ascii="Arial" w:hAnsi="Arial" w:cs="Arial"/>
          <w:b/>
          <w:color w:val="auto"/>
        </w:rPr>
      </w:pPr>
      <w:bookmarkStart w:id="162" w:name="_Toc347120366"/>
      <w:bookmarkStart w:id="163" w:name="_Toc535495620"/>
      <w:r w:rsidRPr="00A93DE9">
        <w:rPr>
          <w:rFonts w:ascii="Arial" w:hAnsi="Arial" w:cs="Arial"/>
          <w:b/>
          <w:color w:val="auto"/>
        </w:rPr>
        <w:t>2.0</w:t>
      </w:r>
      <w:r w:rsidR="009E4B16">
        <w:rPr>
          <w:rFonts w:ascii="Arial" w:hAnsi="Arial" w:cs="Arial"/>
          <w:b/>
          <w:color w:val="auto"/>
        </w:rPr>
        <w:tab/>
      </w:r>
      <w:r w:rsidRPr="00A93DE9">
        <w:rPr>
          <w:rFonts w:ascii="Arial" w:hAnsi="Arial" w:cs="Arial"/>
          <w:b/>
          <w:color w:val="auto"/>
        </w:rPr>
        <w:t>ANNUAL SUMMARY</w:t>
      </w:r>
      <w:bookmarkEnd w:id="162"/>
      <w:bookmarkEnd w:id="163"/>
    </w:p>
    <w:p w14:paraId="53FF8A9D" w14:textId="77777777" w:rsidR="00082868" w:rsidRDefault="00082868" w:rsidP="00B02E86">
      <w:pPr>
        <w:pStyle w:val="BodyTextIndent"/>
        <w:ind w:left="0"/>
        <w:jc w:val="left"/>
        <w:rPr>
          <w:b/>
        </w:rPr>
      </w:pPr>
    </w:p>
    <w:p w14:paraId="0D75887F" w14:textId="7D7010B1" w:rsidR="00A93DE9" w:rsidRDefault="00A93DE9" w:rsidP="005E0B9B">
      <w:pPr>
        <w:pStyle w:val="BodyTextIndent"/>
        <w:ind w:left="0"/>
        <w:jc w:val="left"/>
        <w:rPr>
          <w:b/>
        </w:rPr>
      </w:pPr>
      <w:r>
        <w:rPr>
          <w:b/>
        </w:rPr>
        <w:t>Attachment 2.0-1: Budget 201</w:t>
      </w:r>
      <w:r w:rsidR="008047D3">
        <w:rPr>
          <w:b/>
        </w:rPr>
        <w:t>9</w:t>
      </w:r>
      <w:r>
        <w:rPr>
          <w:b/>
        </w:rPr>
        <w:t xml:space="preserve"> Forecast Annual Summary</w:t>
      </w:r>
    </w:p>
    <w:p w14:paraId="71023358" w14:textId="0D397DFB" w:rsidR="008F4942" w:rsidRDefault="008F4942" w:rsidP="00C84B35">
      <w:pPr>
        <w:pStyle w:val="BodyTextIndent"/>
        <w:keepNext/>
        <w:ind w:left="0"/>
        <w:jc w:val="left"/>
        <w:rPr>
          <w:noProof/>
        </w:rPr>
      </w:pPr>
    </w:p>
    <w:p w14:paraId="71A2B4A3" w14:textId="6787B5CF" w:rsidR="00E3578F" w:rsidRDefault="009F49E4" w:rsidP="00C84B35">
      <w:pPr>
        <w:pStyle w:val="BodyTextIndent"/>
        <w:keepNext/>
        <w:ind w:left="0"/>
        <w:jc w:val="left"/>
        <w:rPr>
          <w:noProof/>
        </w:rPr>
      </w:pPr>
      <w:r w:rsidRPr="009F49E4">
        <w:rPr>
          <w:noProof/>
        </w:rPr>
        <w:drawing>
          <wp:inline distT="0" distB="0" distL="0" distR="0" wp14:anchorId="311E56C6" wp14:editId="15BF31AD">
            <wp:extent cx="5943600" cy="3232836"/>
            <wp:effectExtent l="0" t="0" r="0" b="571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3232836"/>
                    </a:xfrm>
                    <a:prstGeom prst="rect">
                      <a:avLst/>
                    </a:prstGeom>
                    <a:noFill/>
                    <a:ln>
                      <a:noFill/>
                    </a:ln>
                  </pic:spPr>
                </pic:pic>
              </a:graphicData>
            </a:graphic>
          </wp:inline>
        </w:drawing>
      </w:r>
    </w:p>
    <w:p w14:paraId="7C78B48C" w14:textId="13FBF186" w:rsidR="00A93DE9" w:rsidRDefault="00A93DE9" w:rsidP="008F4942">
      <w:pPr>
        <w:pStyle w:val="BodyTextIndent"/>
        <w:keepNext/>
        <w:ind w:left="0"/>
        <w:rPr>
          <w:b/>
        </w:rPr>
      </w:pPr>
    </w:p>
    <w:p w14:paraId="3DB3492F" w14:textId="77777777" w:rsidR="00A93DE9" w:rsidRDefault="00A93DE9" w:rsidP="00B02E86">
      <w:pPr>
        <w:pStyle w:val="BodyTextIndent"/>
        <w:ind w:left="0"/>
        <w:jc w:val="left"/>
        <w:rPr>
          <w:b/>
        </w:rPr>
      </w:pPr>
    </w:p>
    <w:p w14:paraId="220B6053" w14:textId="77777777" w:rsidR="00A93DE9" w:rsidRDefault="00A93DE9">
      <w:pPr>
        <w:spacing w:after="200" w:line="276" w:lineRule="auto"/>
        <w:jc w:val="left"/>
      </w:pPr>
      <w:r>
        <w:rPr>
          <w:b w:val="0"/>
        </w:rPr>
        <w:br w:type="page"/>
      </w:r>
    </w:p>
    <w:p w14:paraId="297B183C" w14:textId="77777777" w:rsidR="00A93DE9" w:rsidRPr="00A93DE9" w:rsidRDefault="00A93DE9" w:rsidP="00A93DE9">
      <w:pPr>
        <w:pStyle w:val="Heading1"/>
        <w:jc w:val="left"/>
        <w:rPr>
          <w:rFonts w:ascii="Arial" w:hAnsi="Arial" w:cs="Arial"/>
          <w:b/>
          <w:color w:val="auto"/>
        </w:rPr>
      </w:pPr>
      <w:bookmarkStart w:id="164" w:name="_Toc535495621"/>
      <w:r w:rsidRPr="00A93DE9">
        <w:rPr>
          <w:rFonts w:ascii="Arial" w:hAnsi="Arial" w:cs="Arial"/>
          <w:b/>
          <w:color w:val="auto"/>
        </w:rPr>
        <w:t>2.</w:t>
      </w:r>
      <w:r>
        <w:rPr>
          <w:rFonts w:ascii="Arial" w:hAnsi="Arial" w:cs="Arial"/>
          <w:b/>
          <w:color w:val="auto"/>
        </w:rPr>
        <w:t>1</w:t>
      </w:r>
      <w:r w:rsidR="009E4B16">
        <w:rPr>
          <w:rFonts w:ascii="Arial" w:hAnsi="Arial" w:cs="Arial"/>
          <w:b/>
          <w:color w:val="auto"/>
        </w:rPr>
        <w:tab/>
      </w:r>
      <w:r>
        <w:rPr>
          <w:rFonts w:ascii="Arial" w:hAnsi="Arial" w:cs="Arial"/>
          <w:b/>
          <w:color w:val="auto"/>
        </w:rPr>
        <w:t>MONTHLY ENERGY REQUIREMENTS</w:t>
      </w:r>
      <w:bookmarkEnd w:id="164"/>
    </w:p>
    <w:p w14:paraId="725D8598" w14:textId="77777777" w:rsidR="00A93DE9" w:rsidRDefault="00A93DE9" w:rsidP="00B02E86">
      <w:pPr>
        <w:pStyle w:val="BodyTextIndent"/>
        <w:ind w:left="0"/>
        <w:jc w:val="left"/>
        <w:rPr>
          <w:b/>
        </w:rPr>
      </w:pPr>
    </w:p>
    <w:p w14:paraId="08DB0338" w14:textId="4F3D627E" w:rsidR="00A93DE9" w:rsidRDefault="00A93DE9" w:rsidP="005E0B9B">
      <w:pPr>
        <w:pStyle w:val="BodyTextIndent"/>
        <w:ind w:left="0"/>
        <w:jc w:val="left"/>
        <w:rPr>
          <w:b/>
        </w:rPr>
      </w:pPr>
      <w:r>
        <w:rPr>
          <w:b/>
        </w:rPr>
        <w:t>Attachment 2.1-1: Budget 201</w:t>
      </w:r>
      <w:r w:rsidR="008047D3">
        <w:rPr>
          <w:b/>
        </w:rPr>
        <w:t>9</w:t>
      </w:r>
      <w:r>
        <w:rPr>
          <w:b/>
        </w:rPr>
        <w:t xml:space="preserve"> Monthly Energy Requirements by Class of Service – Forecast</w:t>
      </w:r>
    </w:p>
    <w:p w14:paraId="55173D81" w14:textId="2855112F" w:rsidR="00E83759" w:rsidRDefault="00E83759" w:rsidP="005E0B9B">
      <w:pPr>
        <w:pStyle w:val="BodyTextIndent"/>
        <w:ind w:left="0"/>
        <w:jc w:val="left"/>
        <w:rPr>
          <w:b/>
        </w:rPr>
      </w:pPr>
    </w:p>
    <w:p w14:paraId="6281101D" w14:textId="78F85268" w:rsidR="00530AA7" w:rsidRDefault="005572A0" w:rsidP="005E0B9B">
      <w:pPr>
        <w:pStyle w:val="BodyTextIndent"/>
        <w:ind w:left="0"/>
        <w:jc w:val="left"/>
        <w:rPr>
          <w:b/>
        </w:rPr>
      </w:pPr>
      <w:r w:rsidRPr="005572A0">
        <w:rPr>
          <w:b/>
          <w:noProof/>
        </w:rPr>
        <w:drawing>
          <wp:inline distT="0" distB="0" distL="0" distR="0" wp14:anchorId="73558292" wp14:editId="31D17BDC">
            <wp:extent cx="5943600" cy="383842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3838420"/>
                    </a:xfrm>
                    <a:prstGeom prst="rect">
                      <a:avLst/>
                    </a:prstGeom>
                    <a:noFill/>
                    <a:ln>
                      <a:noFill/>
                    </a:ln>
                  </pic:spPr>
                </pic:pic>
              </a:graphicData>
            </a:graphic>
          </wp:inline>
        </w:drawing>
      </w:r>
    </w:p>
    <w:p w14:paraId="779F669C" w14:textId="3260F7A0" w:rsidR="00A93DE9" w:rsidRDefault="00A93DE9" w:rsidP="00BE43B1">
      <w:pPr>
        <w:pStyle w:val="BodyTextIndent"/>
        <w:keepNext/>
        <w:ind w:left="0"/>
        <w:rPr>
          <w:b/>
        </w:rPr>
      </w:pPr>
    </w:p>
    <w:p w14:paraId="39306C54" w14:textId="77777777" w:rsidR="00A93DE9" w:rsidRDefault="00A93DE9">
      <w:pPr>
        <w:spacing w:after="200" w:line="276" w:lineRule="auto"/>
        <w:jc w:val="left"/>
      </w:pPr>
      <w:r>
        <w:rPr>
          <w:b w:val="0"/>
        </w:rPr>
        <w:br w:type="page"/>
      </w:r>
    </w:p>
    <w:p w14:paraId="11B89D86" w14:textId="00F84FEC" w:rsidR="00A93DE9" w:rsidRDefault="00A93DE9" w:rsidP="005E0B9B">
      <w:pPr>
        <w:pStyle w:val="BodyTextIndent"/>
        <w:keepNext/>
        <w:ind w:left="0"/>
        <w:jc w:val="left"/>
        <w:rPr>
          <w:b/>
        </w:rPr>
      </w:pPr>
      <w:r>
        <w:rPr>
          <w:b/>
        </w:rPr>
        <w:t>Attachment 2.1-1: Budget 201</w:t>
      </w:r>
      <w:r w:rsidR="008047D3">
        <w:rPr>
          <w:b/>
        </w:rPr>
        <w:t>9</w:t>
      </w:r>
      <w:r>
        <w:rPr>
          <w:b/>
        </w:rPr>
        <w:t xml:space="preserve"> Monthly Energy Requirements by Class of Service – Forecast</w:t>
      </w:r>
    </w:p>
    <w:p w14:paraId="727FCA56" w14:textId="648155A0" w:rsidR="00BE43B1" w:rsidRDefault="00BE43B1" w:rsidP="00C84B35">
      <w:pPr>
        <w:pStyle w:val="BodyTextIndent"/>
        <w:keepNext/>
        <w:ind w:left="0"/>
        <w:jc w:val="left"/>
        <w:rPr>
          <w:b/>
        </w:rPr>
      </w:pPr>
    </w:p>
    <w:p w14:paraId="50BEC90B" w14:textId="69352D58" w:rsidR="00530AA7" w:rsidRDefault="005572A0" w:rsidP="00C84B35">
      <w:pPr>
        <w:pStyle w:val="BodyTextIndent"/>
        <w:keepNext/>
        <w:ind w:left="0"/>
        <w:jc w:val="left"/>
        <w:rPr>
          <w:b/>
        </w:rPr>
      </w:pPr>
      <w:r w:rsidRPr="005572A0">
        <w:rPr>
          <w:b/>
          <w:noProof/>
        </w:rPr>
        <w:drawing>
          <wp:inline distT="0" distB="0" distL="0" distR="0" wp14:anchorId="4211D931" wp14:editId="7BCE7BB1">
            <wp:extent cx="5943600" cy="383842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3600" cy="3838420"/>
                    </a:xfrm>
                    <a:prstGeom prst="rect">
                      <a:avLst/>
                    </a:prstGeom>
                    <a:noFill/>
                    <a:ln>
                      <a:noFill/>
                    </a:ln>
                  </pic:spPr>
                </pic:pic>
              </a:graphicData>
            </a:graphic>
          </wp:inline>
        </w:drawing>
      </w:r>
    </w:p>
    <w:p w14:paraId="2B8228F9" w14:textId="36DD622E" w:rsidR="00A93DE9" w:rsidRDefault="00A93DE9" w:rsidP="00BE43B1">
      <w:pPr>
        <w:pStyle w:val="BodyTextIndent"/>
        <w:keepNext/>
        <w:ind w:left="0"/>
        <w:rPr>
          <w:b/>
        </w:rPr>
      </w:pPr>
    </w:p>
    <w:p w14:paraId="3B6AA94E" w14:textId="77777777" w:rsidR="00A93DE9" w:rsidRDefault="00A93DE9" w:rsidP="00B02E86">
      <w:pPr>
        <w:pStyle w:val="BodyTextIndent"/>
        <w:ind w:left="0"/>
        <w:jc w:val="left"/>
        <w:rPr>
          <w:b/>
        </w:rPr>
      </w:pPr>
    </w:p>
    <w:p w14:paraId="05EDEECE" w14:textId="77777777" w:rsidR="00A93DE9" w:rsidRDefault="00A93DE9">
      <w:pPr>
        <w:spacing w:after="200" w:line="276" w:lineRule="auto"/>
        <w:jc w:val="left"/>
      </w:pPr>
      <w:r>
        <w:rPr>
          <w:b w:val="0"/>
        </w:rPr>
        <w:br w:type="page"/>
      </w:r>
    </w:p>
    <w:p w14:paraId="13EF03AB" w14:textId="77777777" w:rsidR="00A93DE9" w:rsidRDefault="00A93DE9" w:rsidP="005E0B9B">
      <w:pPr>
        <w:keepNext/>
        <w:spacing w:after="200" w:line="276" w:lineRule="auto"/>
        <w:jc w:val="left"/>
      </w:pPr>
      <w:bookmarkStart w:id="165" w:name="_Toc347120372"/>
      <w:r w:rsidRPr="00A93DE9">
        <w:t xml:space="preserve">Attachment 2.1-2: Monthly Energy Requirements by Class of Service </w:t>
      </w:r>
      <w:r w:rsidR="00E83759">
        <w:t>–</w:t>
      </w:r>
      <w:r w:rsidRPr="00A93DE9">
        <w:t xml:space="preserve"> Historical</w:t>
      </w:r>
    </w:p>
    <w:p w14:paraId="536C7EC0" w14:textId="1372CDE3" w:rsidR="00E83759" w:rsidRDefault="00E83759" w:rsidP="005E0B9B">
      <w:pPr>
        <w:keepNext/>
        <w:spacing w:after="200" w:line="276" w:lineRule="auto"/>
        <w:jc w:val="left"/>
      </w:pPr>
    </w:p>
    <w:p w14:paraId="0B48FECE" w14:textId="00E7275F" w:rsidR="00F87968" w:rsidRDefault="005572A0" w:rsidP="008047D3">
      <w:pPr>
        <w:keepNext/>
        <w:spacing w:after="200" w:line="276" w:lineRule="auto"/>
        <w:jc w:val="left"/>
        <w:rPr>
          <w:b w:val="0"/>
        </w:rPr>
      </w:pPr>
      <w:r w:rsidRPr="005572A0">
        <w:rPr>
          <w:b w:val="0"/>
          <w:noProof/>
        </w:rPr>
        <w:drawing>
          <wp:inline distT="0" distB="0" distL="0" distR="0" wp14:anchorId="151F7A93" wp14:editId="61151583">
            <wp:extent cx="5486400" cy="73914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86400" cy="7391400"/>
                    </a:xfrm>
                    <a:prstGeom prst="rect">
                      <a:avLst/>
                    </a:prstGeom>
                    <a:noFill/>
                    <a:ln>
                      <a:noFill/>
                    </a:ln>
                  </pic:spPr>
                </pic:pic>
              </a:graphicData>
            </a:graphic>
          </wp:inline>
        </w:drawing>
      </w:r>
    </w:p>
    <w:p w14:paraId="45CB7897" w14:textId="60DFF864" w:rsidR="00A93DE9" w:rsidRPr="00F87968" w:rsidRDefault="009E4B16" w:rsidP="00F87968">
      <w:pPr>
        <w:pStyle w:val="Heading1"/>
        <w:jc w:val="left"/>
        <w:rPr>
          <w:rFonts w:ascii="Arial" w:hAnsi="Arial" w:cs="Arial"/>
          <w:b/>
          <w:color w:val="auto"/>
        </w:rPr>
      </w:pPr>
      <w:bookmarkStart w:id="166" w:name="_Toc535495622"/>
      <w:r w:rsidRPr="00F87968">
        <w:rPr>
          <w:rFonts w:ascii="Arial" w:hAnsi="Arial" w:cs="Arial"/>
          <w:b/>
          <w:color w:val="auto"/>
        </w:rPr>
        <w:t>2.2</w:t>
      </w:r>
      <w:r w:rsidRPr="00F87968">
        <w:rPr>
          <w:rFonts w:ascii="Arial" w:hAnsi="Arial" w:cs="Arial"/>
          <w:b/>
          <w:color w:val="auto"/>
        </w:rPr>
        <w:tab/>
      </w:r>
      <w:r w:rsidR="00A93DE9" w:rsidRPr="00F87968">
        <w:rPr>
          <w:rFonts w:ascii="Arial" w:hAnsi="Arial" w:cs="Arial"/>
          <w:b/>
          <w:color w:val="auto"/>
        </w:rPr>
        <w:t>CUSTOMERS</w:t>
      </w:r>
      <w:bookmarkEnd w:id="165"/>
      <w:bookmarkEnd w:id="166"/>
    </w:p>
    <w:p w14:paraId="29DE1F22" w14:textId="77777777" w:rsidR="00A93DE9" w:rsidRDefault="00A93DE9" w:rsidP="00B02E86">
      <w:pPr>
        <w:pStyle w:val="BodyTextIndent"/>
        <w:ind w:left="0"/>
        <w:jc w:val="left"/>
        <w:rPr>
          <w:b/>
        </w:rPr>
      </w:pPr>
    </w:p>
    <w:p w14:paraId="495D32DE" w14:textId="3158EA0A" w:rsidR="009E4B16" w:rsidRDefault="009E4B16" w:rsidP="00B047E6">
      <w:pPr>
        <w:pStyle w:val="BodyTextIndent"/>
        <w:keepNext/>
        <w:ind w:left="0"/>
        <w:jc w:val="left"/>
        <w:rPr>
          <w:b/>
        </w:rPr>
      </w:pPr>
      <w:r>
        <w:rPr>
          <w:b/>
        </w:rPr>
        <w:t xml:space="preserve">Attachment 2.2-1: </w:t>
      </w:r>
      <w:r w:rsidR="0052253C">
        <w:rPr>
          <w:b/>
        </w:rPr>
        <w:t>Budget 201</w:t>
      </w:r>
      <w:r w:rsidR="008047D3">
        <w:rPr>
          <w:b/>
        </w:rPr>
        <w:t>9</w:t>
      </w:r>
      <w:r w:rsidR="0052253C">
        <w:rPr>
          <w:b/>
        </w:rPr>
        <w:t xml:space="preserve"> </w:t>
      </w:r>
      <w:r>
        <w:rPr>
          <w:b/>
        </w:rPr>
        <w:t>Historical and Forecast Customers (Annual Average)</w:t>
      </w:r>
    </w:p>
    <w:p w14:paraId="17754E7C" w14:textId="02DF1C77" w:rsidR="008742A4" w:rsidRDefault="008742A4" w:rsidP="00B047E6">
      <w:pPr>
        <w:pStyle w:val="BodyTextIndent"/>
        <w:keepNext/>
        <w:ind w:left="0"/>
        <w:jc w:val="left"/>
        <w:rPr>
          <w:b/>
        </w:rPr>
      </w:pPr>
    </w:p>
    <w:p w14:paraId="4453B0F6" w14:textId="3FA51D90" w:rsidR="00263059" w:rsidRDefault="005572A0" w:rsidP="00B047E6">
      <w:pPr>
        <w:pStyle w:val="BodyTextIndent"/>
        <w:keepNext/>
        <w:ind w:left="0"/>
        <w:jc w:val="left"/>
        <w:rPr>
          <w:b/>
        </w:rPr>
      </w:pPr>
      <w:r w:rsidRPr="005572A0">
        <w:rPr>
          <w:b/>
          <w:noProof/>
        </w:rPr>
        <w:drawing>
          <wp:inline distT="0" distB="0" distL="0" distR="0" wp14:anchorId="5F606052" wp14:editId="51763A3D">
            <wp:extent cx="5562600" cy="47244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562600" cy="4724400"/>
                    </a:xfrm>
                    <a:prstGeom prst="rect">
                      <a:avLst/>
                    </a:prstGeom>
                    <a:noFill/>
                    <a:ln>
                      <a:noFill/>
                    </a:ln>
                  </pic:spPr>
                </pic:pic>
              </a:graphicData>
            </a:graphic>
          </wp:inline>
        </w:drawing>
      </w:r>
    </w:p>
    <w:p w14:paraId="0A50AABD" w14:textId="0AC13E99" w:rsidR="009E4B16" w:rsidRDefault="009E4B16" w:rsidP="005E0B9B">
      <w:pPr>
        <w:pStyle w:val="BodyTextIndent"/>
        <w:keepNext/>
        <w:ind w:left="0"/>
        <w:rPr>
          <w:b/>
        </w:rPr>
      </w:pPr>
    </w:p>
    <w:p w14:paraId="53B2D745" w14:textId="77777777" w:rsidR="009E4B16" w:rsidRDefault="009E4B16" w:rsidP="00B02E86">
      <w:pPr>
        <w:pStyle w:val="BodyTextIndent"/>
        <w:ind w:left="0"/>
        <w:jc w:val="left"/>
        <w:rPr>
          <w:b/>
        </w:rPr>
      </w:pPr>
    </w:p>
    <w:p w14:paraId="0EF95E44" w14:textId="77777777" w:rsidR="009E4B16" w:rsidRDefault="009E4B16" w:rsidP="00B02E86">
      <w:pPr>
        <w:pStyle w:val="BodyTextIndent"/>
        <w:ind w:left="0"/>
        <w:jc w:val="left"/>
        <w:rPr>
          <w:b/>
        </w:rPr>
      </w:pPr>
    </w:p>
    <w:p w14:paraId="0FA21546" w14:textId="77777777" w:rsidR="009E4B16" w:rsidRDefault="009E4B16" w:rsidP="00B02E86">
      <w:pPr>
        <w:pStyle w:val="BodyTextIndent"/>
        <w:ind w:left="0"/>
        <w:jc w:val="left"/>
        <w:rPr>
          <w:b/>
        </w:rPr>
        <w:sectPr w:rsidR="009E4B16" w:rsidSect="00E01D42">
          <w:footerReference w:type="default" r:id="rId25"/>
          <w:pgSz w:w="12240" w:h="15840"/>
          <w:pgMar w:top="1440" w:right="1440" w:bottom="1440" w:left="1440" w:header="720" w:footer="720" w:gutter="0"/>
          <w:cols w:space="720"/>
          <w:docGrid w:linePitch="360"/>
        </w:sectPr>
      </w:pPr>
    </w:p>
    <w:p w14:paraId="5816C53E" w14:textId="77777777" w:rsidR="00D5588E" w:rsidRPr="00B23AAD" w:rsidRDefault="00D5588E" w:rsidP="00D5588E">
      <w:pPr>
        <w:pStyle w:val="Heading1"/>
        <w:jc w:val="left"/>
      </w:pPr>
      <w:bookmarkStart w:id="167" w:name="_Toc347120374"/>
      <w:bookmarkStart w:id="168" w:name="_Toc535495623"/>
      <w:r w:rsidRPr="00D5588E">
        <w:rPr>
          <w:rFonts w:ascii="Arial" w:hAnsi="Arial" w:cs="Arial"/>
          <w:b/>
          <w:color w:val="auto"/>
        </w:rPr>
        <w:t>3.0</w:t>
      </w:r>
      <w:r w:rsidRPr="00D5588E">
        <w:rPr>
          <w:rFonts w:ascii="Arial" w:hAnsi="Arial" w:cs="Arial"/>
          <w:b/>
          <w:color w:val="auto"/>
        </w:rPr>
        <w:tab/>
        <w:t>GENERAL FORECASTING OVERVIEW</w:t>
      </w:r>
      <w:bookmarkEnd w:id="167"/>
      <w:bookmarkEnd w:id="168"/>
    </w:p>
    <w:p w14:paraId="7C99B8CE" w14:textId="77777777" w:rsidR="00D5588E" w:rsidRDefault="00D5588E" w:rsidP="00D5588E">
      <w:pPr>
        <w:pStyle w:val="BodyText"/>
        <w:jc w:val="left"/>
        <w:rPr>
          <w:b w:val="0"/>
        </w:rPr>
      </w:pPr>
    </w:p>
    <w:p w14:paraId="3053BC82" w14:textId="7FCA1918" w:rsidR="00D5588E" w:rsidRPr="00D5588E" w:rsidRDefault="00D5588E" w:rsidP="00714556">
      <w:pPr>
        <w:pStyle w:val="BodyText"/>
        <w:spacing w:line="360" w:lineRule="auto"/>
        <w:jc w:val="both"/>
        <w:rPr>
          <w:b w:val="0"/>
        </w:rPr>
      </w:pPr>
      <w:r w:rsidRPr="00D5588E">
        <w:rPr>
          <w:b w:val="0"/>
        </w:rPr>
        <w:t xml:space="preserve">This section </w:t>
      </w:r>
      <w:r w:rsidR="005B335A">
        <w:rPr>
          <w:b w:val="0"/>
        </w:rPr>
        <w:t xml:space="preserve">provides an overview of </w:t>
      </w:r>
      <w:r w:rsidRPr="00D5588E">
        <w:rPr>
          <w:b w:val="0"/>
        </w:rPr>
        <w:t xml:space="preserve">the modeling methods used to produce Budget </w:t>
      </w:r>
      <w:r w:rsidR="000D458A" w:rsidRPr="00D5588E">
        <w:rPr>
          <w:b w:val="0"/>
        </w:rPr>
        <w:t>20</w:t>
      </w:r>
      <w:r w:rsidR="000D458A">
        <w:rPr>
          <w:b w:val="0"/>
        </w:rPr>
        <w:t>19</w:t>
      </w:r>
      <w:r w:rsidR="000A6453">
        <w:rPr>
          <w:b w:val="0"/>
        </w:rPr>
        <w:t xml:space="preserve"> </w:t>
      </w:r>
      <w:r w:rsidRPr="00D5588E">
        <w:rPr>
          <w:b w:val="0"/>
        </w:rPr>
        <w:t xml:space="preserve">for Georgia Power. The forecast uses a variety of statistical techniques and other methods. The availability of data, characteristics of the market, and uses of the forecast all help determine which method will be used for </w:t>
      </w:r>
      <w:r w:rsidR="00642AB1">
        <w:rPr>
          <w:b w:val="0"/>
        </w:rPr>
        <w:t>the</w:t>
      </w:r>
      <w:r w:rsidRPr="00D5588E">
        <w:rPr>
          <w:b w:val="0"/>
        </w:rPr>
        <w:t xml:space="preserve"> particular part</w:t>
      </w:r>
      <w:r w:rsidR="00642AB1">
        <w:rPr>
          <w:b w:val="0"/>
        </w:rPr>
        <w:t>s</w:t>
      </w:r>
      <w:r w:rsidRPr="00D5588E">
        <w:rPr>
          <w:b w:val="0"/>
        </w:rPr>
        <w:t xml:space="preserve"> of the forecast.  </w:t>
      </w:r>
    </w:p>
    <w:p w14:paraId="1773A2DE" w14:textId="77777777" w:rsidR="00D5588E" w:rsidRPr="00D5588E" w:rsidRDefault="00D5588E" w:rsidP="00714556">
      <w:pPr>
        <w:pStyle w:val="BodyText"/>
        <w:spacing w:line="360" w:lineRule="auto"/>
        <w:jc w:val="both"/>
        <w:rPr>
          <w:b w:val="0"/>
        </w:rPr>
      </w:pPr>
    </w:p>
    <w:p w14:paraId="4A3BD7BE" w14:textId="79C647D0" w:rsidR="00D5588E" w:rsidRPr="00D5588E" w:rsidRDefault="00D5588E" w:rsidP="00D5588E">
      <w:pPr>
        <w:pStyle w:val="BodyText"/>
        <w:jc w:val="left"/>
        <w:rPr>
          <w:b w:val="0"/>
        </w:rPr>
      </w:pPr>
      <w:r w:rsidRPr="00D5588E">
        <w:rPr>
          <w:b w:val="0"/>
        </w:rPr>
        <w:t xml:space="preserve">Budget </w:t>
      </w:r>
      <w:r w:rsidR="001D7981" w:rsidRPr="00D5588E">
        <w:rPr>
          <w:b w:val="0"/>
        </w:rPr>
        <w:t>20</w:t>
      </w:r>
      <w:r w:rsidR="001D7981">
        <w:rPr>
          <w:b w:val="0"/>
        </w:rPr>
        <w:t>19</w:t>
      </w:r>
      <w:r w:rsidR="001D7981" w:rsidRPr="00D5588E">
        <w:rPr>
          <w:b w:val="0"/>
        </w:rPr>
        <w:t xml:space="preserve"> </w:t>
      </w:r>
      <w:r w:rsidRPr="00D5588E">
        <w:rPr>
          <w:b w:val="0"/>
        </w:rPr>
        <w:t xml:space="preserve">uses three </w:t>
      </w:r>
      <w:r w:rsidR="006E01A5">
        <w:rPr>
          <w:b w:val="0"/>
        </w:rPr>
        <w:t xml:space="preserve">primary </w:t>
      </w:r>
      <w:r w:rsidRPr="00D5588E">
        <w:rPr>
          <w:b w:val="0"/>
        </w:rPr>
        <w:t xml:space="preserve">methods: </w:t>
      </w:r>
    </w:p>
    <w:p w14:paraId="74D07D98" w14:textId="5829E0D5" w:rsidR="00D5588E" w:rsidRPr="00D5588E" w:rsidRDefault="00D5588E" w:rsidP="00D5588E">
      <w:pPr>
        <w:pStyle w:val="BodyText"/>
        <w:jc w:val="left"/>
        <w:rPr>
          <w:b w:val="0"/>
        </w:rPr>
      </w:pPr>
      <w:r w:rsidRPr="00D5588E">
        <w:rPr>
          <w:b w:val="0"/>
        </w:rPr>
        <w:t>1)</w:t>
      </w:r>
      <w:r w:rsidRPr="00D5588E">
        <w:rPr>
          <w:b w:val="0"/>
        </w:rPr>
        <w:tab/>
        <w:t>Econometric regression</w:t>
      </w:r>
      <w:r w:rsidR="00076F70">
        <w:rPr>
          <w:b w:val="0"/>
        </w:rPr>
        <w:t>;</w:t>
      </w:r>
      <w:r w:rsidRPr="00D5588E">
        <w:rPr>
          <w:b w:val="0"/>
        </w:rPr>
        <w:t xml:space="preserve"> </w:t>
      </w:r>
    </w:p>
    <w:p w14:paraId="7D6F2DCC" w14:textId="4871E571" w:rsidR="00D5588E" w:rsidRPr="00D5588E" w:rsidRDefault="00D5588E" w:rsidP="00D5588E">
      <w:pPr>
        <w:pStyle w:val="BodyText"/>
        <w:jc w:val="left"/>
        <w:rPr>
          <w:b w:val="0"/>
        </w:rPr>
      </w:pPr>
      <w:r w:rsidRPr="00D5588E">
        <w:rPr>
          <w:b w:val="0"/>
        </w:rPr>
        <w:t>2)</w:t>
      </w:r>
      <w:r w:rsidRPr="00D5588E">
        <w:rPr>
          <w:b w:val="0"/>
        </w:rPr>
        <w:tab/>
        <w:t>End-use</w:t>
      </w:r>
      <w:r w:rsidR="00076F70">
        <w:rPr>
          <w:b w:val="0"/>
        </w:rPr>
        <w:t xml:space="preserve"> models; and</w:t>
      </w:r>
      <w:r w:rsidRPr="00D5588E">
        <w:rPr>
          <w:b w:val="0"/>
        </w:rPr>
        <w:t xml:space="preserve"> </w:t>
      </w:r>
    </w:p>
    <w:p w14:paraId="2D3CD56F" w14:textId="547BEF66" w:rsidR="00D5588E" w:rsidRPr="00D5588E" w:rsidRDefault="00D5588E" w:rsidP="00D5588E">
      <w:pPr>
        <w:pStyle w:val="BodyText"/>
        <w:jc w:val="left"/>
        <w:rPr>
          <w:b w:val="0"/>
        </w:rPr>
      </w:pPr>
      <w:r w:rsidRPr="00D5588E">
        <w:rPr>
          <w:b w:val="0"/>
        </w:rPr>
        <w:t>3)</w:t>
      </w:r>
      <w:r w:rsidRPr="00D5588E">
        <w:rPr>
          <w:b w:val="0"/>
        </w:rPr>
        <w:tab/>
        <w:t>Judgment</w:t>
      </w:r>
      <w:r w:rsidR="00076F70">
        <w:rPr>
          <w:b w:val="0"/>
        </w:rPr>
        <w:t>.</w:t>
      </w:r>
    </w:p>
    <w:p w14:paraId="11D4D393" w14:textId="77777777" w:rsidR="00D5588E" w:rsidRPr="003A3426" w:rsidRDefault="00D5588E" w:rsidP="00D5588E">
      <w:pPr>
        <w:pStyle w:val="BodyText"/>
      </w:pPr>
    </w:p>
    <w:p w14:paraId="2CC5767C" w14:textId="77777777" w:rsidR="00D5588E" w:rsidRPr="00B23AAD" w:rsidRDefault="00D5588E" w:rsidP="00D5588E">
      <w:pPr>
        <w:pStyle w:val="Heading1"/>
        <w:jc w:val="left"/>
      </w:pPr>
      <w:bookmarkStart w:id="169" w:name="_Toc347120375"/>
      <w:bookmarkStart w:id="170" w:name="_Toc535495624"/>
      <w:r w:rsidRPr="00D5588E">
        <w:rPr>
          <w:rFonts w:ascii="Arial" w:hAnsi="Arial" w:cs="Arial"/>
          <w:b/>
          <w:color w:val="auto"/>
        </w:rPr>
        <w:t>3.1</w:t>
      </w:r>
      <w:r w:rsidRPr="00D5588E">
        <w:rPr>
          <w:rFonts w:ascii="Arial" w:hAnsi="Arial" w:cs="Arial"/>
          <w:b/>
          <w:color w:val="auto"/>
        </w:rPr>
        <w:tab/>
        <w:t>ECONOMETRIC REGRESSION</w:t>
      </w:r>
      <w:bookmarkEnd w:id="169"/>
      <w:bookmarkEnd w:id="170"/>
    </w:p>
    <w:p w14:paraId="2E5F42D9" w14:textId="77777777" w:rsidR="00D5588E" w:rsidRDefault="00D5588E" w:rsidP="00D5588E">
      <w:pPr>
        <w:pStyle w:val="BodyText2"/>
        <w:jc w:val="left"/>
        <w:rPr>
          <w:b w:val="0"/>
        </w:rPr>
      </w:pPr>
    </w:p>
    <w:p w14:paraId="17944378" w14:textId="69A0462D" w:rsidR="00D5588E" w:rsidRPr="00D5588E" w:rsidRDefault="00D5588E" w:rsidP="000A189E">
      <w:pPr>
        <w:pStyle w:val="BodyText2"/>
        <w:spacing w:line="360" w:lineRule="auto"/>
        <w:jc w:val="both"/>
        <w:rPr>
          <w:b w:val="0"/>
        </w:rPr>
      </w:pPr>
      <w:r w:rsidRPr="00D5588E">
        <w:rPr>
          <w:b w:val="0"/>
        </w:rPr>
        <w:t xml:space="preserve">Econometric regression is a statistical technique with which model parameters are estimated from time series, cross sectional, or a combination of time series and cross sectional (pooled) data. Basic classical regression assumptions apply to the models. These models are well suited for modeling the relationships between energy consumption and explanatory variables such as economics, weather, and changes in behavior such as increases in the use of electronic devices in the home. </w:t>
      </w:r>
      <w:r w:rsidR="009B772D">
        <w:rPr>
          <w:b w:val="0"/>
        </w:rPr>
        <w:t>Georgia Power’s short-term (201</w:t>
      </w:r>
      <w:r w:rsidR="00076F70">
        <w:rPr>
          <w:b w:val="0"/>
        </w:rPr>
        <w:t>9</w:t>
      </w:r>
      <w:r w:rsidR="009B772D">
        <w:rPr>
          <w:b w:val="0"/>
        </w:rPr>
        <w:t>-</w:t>
      </w:r>
      <w:r w:rsidR="00263059">
        <w:rPr>
          <w:b w:val="0"/>
        </w:rPr>
        <w:t>20</w:t>
      </w:r>
      <w:r w:rsidR="009B772D">
        <w:rPr>
          <w:b w:val="0"/>
        </w:rPr>
        <w:t>21) forecasts utilize econometric models.</w:t>
      </w:r>
    </w:p>
    <w:p w14:paraId="2DED14C2" w14:textId="66F68EC6" w:rsidR="00D5588E" w:rsidRPr="00B23AAD" w:rsidRDefault="00D5588E" w:rsidP="00D5588E">
      <w:pPr>
        <w:pStyle w:val="Heading1"/>
        <w:jc w:val="left"/>
      </w:pPr>
      <w:bookmarkStart w:id="171" w:name="_Toc347120376"/>
      <w:bookmarkStart w:id="172" w:name="_Toc535495625"/>
      <w:r w:rsidRPr="00D5588E">
        <w:rPr>
          <w:rFonts w:ascii="Arial" w:hAnsi="Arial" w:cs="Arial"/>
          <w:b/>
          <w:color w:val="auto"/>
        </w:rPr>
        <w:t>3.2</w:t>
      </w:r>
      <w:r w:rsidRPr="00D5588E">
        <w:rPr>
          <w:rFonts w:ascii="Arial" w:hAnsi="Arial" w:cs="Arial"/>
          <w:b/>
          <w:color w:val="auto"/>
        </w:rPr>
        <w:tab/>
        <w:t>END-USE</w:t>
      </w:r>
      <w:bookmarkEnd w:id="171"/>
      <w:r w:rsidR="00076F70">
        <w:rPr>
          <w:rFonts w:ascii="Arial" w:hAnsi="Arial" w:cs="Arial"/>
          <w:b/>
          <w:color w:val="auto"/>
        </w:rPr>
        <w:t xml:space="preserve"> MODELS</w:t>
      </w:r>
      <w:bookmarkEnd w:id="172"/>
    </w:p>
    <w:p w14:paraId="7B4218DC" w14:textId="77777777" w:rsidR="00D5588E" w:rsidRDefault="00D5588E" w:rsidP="00D5588E">
      <w:pPr>
        <w:pStyle w:val="BodyText2"/>
        <w:jc w:val="left"/>
        <w:rPr>
          <w:b w:val="0"/>
        </w:rPr>
      </w:pPr>
    </w:p>
    <w:p w14:paraId="31C0AD94" w14:textId="278AB983" w:rsidR="00D5588E" w:rsidRPr="00D5588E" w:rsidRDefault="00D5588E" w:rsidP="000A189E">
      <w:pPr>
        <w:pStyle w:val="BodyText2"/>
        <w:spacing w:line="360" w:lineRule="auto"/>
        <w:jc w:val="both"/>
        <w:rPr>
          <w:b w:val="0"/>
        </w:rPr>
      </w:pPr>
      <w:r w:rsidRPr="00D5588E">
        <w:rPr>
          <w:b w:val="0"/>
        </w:rPr>
        <w:t>End-use forecasting models are used to represent the elements of energy use in fine detail. End-use models estimate residential energy use by looking at appliance saturation and penetration surveys and then determining aggregate class usage by adding up all the elements of energy consumption across households. Each major energy-consuming activity – refrigeration, space heating, and the like – is identified, and the corresponding energy consumption is specified. This approach has a strong intuitive appeal because energy consumption is clearly associated with appliance use. The models can also produce energy sales forecasts of end-use equipment with a wide range of efficiency and usage sensitivities with respect to fuel prices, income levels, and other factors.</w:t>
      </w:r>
    </w:p>
    <w:p w14:paraId="47CFD1C5" w14:textId="77777777" w:rsidR="00D5588E" w:rsidRPr="00D5588E" w:rsidRDefault="00D5588E" w:rsidP="000A189E">
      <w:pPr>
        <w:pStyle w:val="BodyText2"/>
        <w:spacing w:line="360" w:lineRule="auto"/>
        <w:jc w:val="both"/>
        <w:rPr>
          <w:b w:val="0"/>
        </w:rPr>
      </w:pPr>
    </w:p>
    <w:p w14:paraId="0AAF4597" w14:textId="0A11EC32" w:rsidR="00D5588E" w:rsidRPr="00D5588E" w:rsidRDefault="00D5588E" w:rsidP="000A189E">
      <w:pPr>
        <w:pStyle w:val="BodyText2"/>
        <w:spacing w:line="360" w:lineRule="auto"/>
        <w:jc w:val="both"/>
        <w:rPr>
          <w:b w:val="0"/>
        </w:rPr>
      </w:pPr>
      <w:r w:rsidRPr="00D5588E">
        <w:rPr>
          <w:b w:val="0"/>
        </w:rPr>
        <w:t>The detailed nature of end-use models is the</w:t>
      </w:r>
      <w:r w:rsidR="00E11A43">
        <w:rPr>
          <w:b w:val="0"/>
        </w:rPr>
        <w:t>ir</w:t>
      </w:r>
      <w:r w:rsidRPr="00D5588E">
        <w:rPr>
          <w:b w:val="0"/>
        </w:rPr>
        <w:t xml:space="preserve"> major advantage relative to econometric models, but the detailed input requirements are also the major source of their limitations. These models require extensive information about projected appliance market penetration and usage rates. It is a challenge to produce such projections that are sensitive to changes in energy prices, household incomes, and lifestyles.  </w:t>
      </w:r>
    </w:p>
    <w:p w14:paraId="010D6F3A" w14:textId="77777777" w:rsidR="00D5588E" w:rsidRPr="00D5588E" w:rsidRDefault="00D5588E" w:rsidP="000A189E">
      <w:pPr>
        <w:pStyle w:val="BodyText2"/>
        <w:spacing w:line="360" w:lineRule="auto"/>
        <w:jc w:val="both"/>
        <w:rPr>
          <w:b w:val="0"/>
        </w:rPr>
      </w:pPr>
    </w:p>
    <w:p w14:paraId="7B70AE7A" w14:textId="2ADA929A" w:rsidR="00D5588E" w:rsidRPr="00D5588E" w:rsidRDefault="00D5588E" w:rsidP="000A189E">
      <w:pPr>
        <w:pStyle w:val="BodyText2"/>
        <w:spacing w:line="360" w:lineRule="auto"/>
        <w:jc w:val="both"/>
        <w:rPr>
          <w:b w:val="0"/>
        </w:rPr>
      </w:pPr>
      <w:r w:rsidRPr="00D5588E">
        <w:rPr>
          <w:b w:val="0"/>
        </w:rPr>
        <w:t xml:space="preserve">The end-use models used by Georgia Power </w:t>
      </w:r>
      <w:r w:rsidR="009B772D">
        <w:rPr>
          <w:b w:val="0"/>
        </w:rPr>
        <w:t xml:space="preserve">for its long-term energy forecasts </w:t>
      </w:r>
      <w:r w:rsidRPr="00D5588E">
        <w:rPr>
          <w:b w:val="0"/>
        </w:rPr>
        <w:t xml:space="preserve">combine the benefits of end-use detail and class segmentation </w:t>
      </w:r>
      <w:r w:rsidR="00F42F94">
        <w:rPr>
          <w:b w:val="0"/>
        </w:rPr>
        <w:t>to estimate future energy consumption</w:t>
      </w:r>
      <w:r w:rsidRPr="00D5588E">
        <w:rPr>
          <w:b w:val="0"/>
        </w:rPr>
        <w:t xml:space="preserve">. </w:t>
      </w:r>
      <w:bookmarkStart w:id="173" w:name="_Hlk534296928"/>
      <w:r w:rsidRPr="00D5588E">
        <w:rPr>
          <w:b w:val="0"/>
        </w:rPr>
        <w:t xml:space="preserve">These models </w:t>
      </w:r>
      <w:r w:rsidR="00EC383C">
        <w:rPr>
          <w:b w:val="0"/>
        </w:rPr>
        <w:t>utilize</w:t>
      </w:r>
      <w:r w:rsidRPr="00D5588E">
        <w:rPr>
          <w:b w:val="0"/>
        </w:rPr>
        <w:t xml:space="preserve"> econometric</w:t>
      </w:r>
      <w:r w:rsidR="00EC383C">
        <w:rPr>
          <w:b w:val="0"/>
        </w:rPr>
        <w:t xml:space="preserve"> technique</w:t>
      </w:r>
      <w:r w:rsidRPr="00D5588E">
        <w:rPr>
          <w:b w:val="0"/>
        </w:rPr>
        <w:t>s</w:t>
      </w:r>
      <w:r w:rsidR="00EC383C">
        <w:rPr>
          <w:b w:val="0"/>
        </w:rPr>
        <w:t xml:space="preserve"> to model consumer choice</w:t>
      </w:r>
      <w:r w:rsidR="00C862EE">
        <w:rPr>
          <w:b w:val="0"/>
        </w:rPr>
        <w:t>s</w:t>
      </w:r>
      <w:r w:rsidR="00EC383C">
        <w:rPr>
          <w:b w:val="0"/>
        </w:rPr>
        <w:t xml:space="preserve"> of end uses based </w:t>
      </w:r>
      <w:r w:rsidR="00ED1E57">
        <w:rPr>
          <w:b w:val="0"/>
        </w:rPr>
        <w:t xml:space="preserve">on </w:t>
      </w:r>
      <w:r w:rsidR="00EC383C">
        <w:rPr>
          <w:b w:val="0"/>
        </w:rPr>
        <w:t>economic principles</w:t>
      </w:r>
      <w:r w:rsidRPr="00D5588E">
        <w:rPr>
          <w:b w:val="0"/>
        </w:rPr>
        <w:t>.</w:t>
      </w:r>
      <w:bookmarkEnd w:id="173"/>
    </w:p>
    <w:p w14:paraId="2CE2772F" w14:textId="77777777" w:rsidR="00D5588E" w:rsidRPr="00B23AAD" w:rsidRDefault="00D5588E" w:rsidP="00D5588E">
      <w:pPr>
        <w:pStyle w:val="Heading1"/>
        <w:jc w:val="left"/>
      </w:pPr>
      <w:bookmarkStart w:id="174" w:name="_Toc347120377"/>
      <w:bookmarkStart w:id="175" w:name="_Toc535495626"/>
      <w:r w:rsidRPr="00D5588E">
        <w:rPr>
          <w:rFonts w:ascii="Arial" w:hAnsi="Arial" w:cs="Arial"/>
          <w:b/>
          <w:color w:val="auto"/>
        </w:rPr>
        <w:t>3.3</w:t>
      </w:r>
      <w:r w:rsidRPr="00D5588E">
        <w:rPr>
          <w:rFonts w:ascii="Arial" w:hAnsi="Arial" w:cs="Arial"/>
          <w:b/>
          <w:color w:val="auto"/>
        </w:rPr>
        <w:tab/>
        <w:t>JUDGMENT</w:t>
      </w:r>
      <w:bookmarkEnd w:id="174"/>
      <w:bookmarkEnd w:id="175"/>
    </w:p>
    <w:p w14:paraId="070304A5" w14:textId="77777777" w:rsidR="00D5588E" w:rsidRDefault="00D5588E" w:rsidP="00D5588E">
      <w:pPr>
        <w:pStyle w:val="BodyText2"/>
        <w:jc w:val="left"/>
        <w:rPr>
          <w:b w:val="0"/>
        </w:rPr>
      </w:pPr>
    </w:p>
    <w:p w14:paraId="19D5D4C2" w14:textId="31218F1D" w:rsidR="00D5588E" w:rsidRDefault="00D5588E" w:rsidP="000A189E">
      <w:pPr>
        <w:pStyle w:val="BodyText2"/>
        <w:spacing w:line="360" w:lineRule="auto"/>
        <w:jc w:val="both"/>
        <w:rPr>
          <w:b w:val="0"/>
        </w:rPr>
      </w:pPr>
      <w:r w:rsidRPr="00D5588E">
        <w:rPr>
          <w:b w:val="0"/>
        </w:rPr>
        <w:t xml:space="preserve">Even the best modeling techniques need to be augmented by insights gained through relationships with customers and through discussions with marketing personnel. In cases where on-site generation equipment is added at existing sites, an industrial plant closes, or a large </w:t>
      </w:r>
      <w:r w:rsidR="0036595D">
        <w:rPr>
          <w:b w:val="0"/>
        </w:rPr>
        <w:t xml:space="preserve">new </w:t>
      </w:r>
      <w:r w:rsidRPr="00D5588E">
        <w:rPr>
          <w:b w:val="0"/>
        </w:rPr>
        <w:t xml:space="preserve">customer is added to the electrical grid, for example, </w:t>
      </w:r>
      <w:r w:rsidR="00674691">
        <w:rPr>
          <w:b w:val="0"/>
        </w:rPr>
        <w:t>econometric and end-use</w:t>
      </w:r>
      <w:r w:rsidRPr="00D5588E">
        <w:rPr>
          <w:b w:val="0"/>
        </w:rPr>
        <w:t xml:space="preserve"> models may not be able to </w:t>
      </w:r>
      <w:r w:rsidR="00674691">
        <w:rPr>
          <w:b w:val="0"/>
        </w:rPr>
        <w:t xml:space="preserve">adequately </w:t>
      </w:r>
      <w:r w:rsidRPr="00D5588E">
        <w:rPr>
          <w:b w:val="0"/>
        </w:rPr>
        <w:t>capture the impact. In order to supplement the</w:t>
      </w:r>
      <w:r w:rsidR="00E63C38">
        <w:rPr>
          <w:b w:val="0"/>
        </w:rPr>
        <w:t>se</w:t>
      </w:r>
      <w:r w:rsidRPr="00D5588E">
        <w:rPr>
          <w:b w:val="0"/>
        </w:rPr>
        <w:t xml:space="preserve"> modeling tools, some amount of judgment </w:t>
      </w:r>
      <w:r w:rsidR="00076F70">
        <w:rPr>
          <w:b w:val="0"/>
        </w:rPr>
        <w:t>i</w:t>
      </w:r>
      <w:r w:rsidRPr="00D5588E">
        <w:rPr>
          <w:b w:val="0"/>
        </w:rPr>
        <w:t>s used to refine the forecast.</w:t>
      </w:r>
    </w:p>
    <w:p w14:paraId="3B4FCD66" w14:textId="77777777" w:rsidR="00D5588E" w:rsidRPr="00B23AAD" w:rsidRDefault="00D5588E" w:rsidP="00D5588E">
      <w:pPr>
        <w:pStyle w:val="Heading1"/>
        <w:jc w:val="left"/>
      </w:pPr>
      <w:bookmarkStart w:id="176" w:name="_Toc347120378"/>
      <w:bookmarkStart w:id="177" w:name="_Toc535495627"/>
      <w:r w:rsidRPr="00D5588E">
        <w:rPr>
          <w:rFonts w:ascii="Arial" w:hAnsi="Arial" w:cs="Arial"/>
          <w:b/>
          <w:color w:val="auto"/>
        </w:rPr>
        <w:t>3.4</w:t>
      </w:r>
      <w:r w:rsidRPr="00D5588E">
        <w:rPr>
          <w:rFonts w:ascii="Arial" w:hAnsi="Arial" w:cs="Arial"/>
          <w:b/>
          <w:color w:val="auto"/>
        </w:rPr>
        <w:tab/>
        <w:t>TOOLS</w:t>
      </w:r>
      <w:bookmarkEnd w:id="176"/>
      <w:bookmarkEnd w:id="177"/>
    </w:p>
    <w:p w14:paraId="7F87A15C" w14:textId="77777777" w:rsidR="00D5588E" w:rsidRDefault="00D5588E" w:rsidP="00D5588E">
      <w:pPr>
        <w:pStyle w:val="BodyText2"/>
        <w:jc w:val="left"/>
        <w:rPr>
          <w:b w:val="0"/>
        </w:rPr>
      </w:pPr>
    </w:p>
    <w:p w14:paraId="1146486D" w14:textId="237BC34D" w:rsidR="00D5588E" w:rsidRPr="00D5588E" w:rsidRDefault="00D5588E" w:rsidP="000A189E">
      <w:pPr>
        <w:pStyle w:val="BodyText2"/>
        <w:spacing w:line="360" w:lineRule="auto"/>
        <w:jc w:val="both"/>
        <w:rPr>
          <w:b w:val="0"/>
        </w:rPr>
      </w:pPr>
      <w:r w:rsidRPr="00D5588E">
        <w:rPr>
          <w:b w:val="0"/>
        </w:rPr>
        <w:t xml:space="preserve">The tools used to prepare the energy </w:t>
      </w:r>
      <w:r w:rsidR="008913D6">
        <w:rPr>
          <w:b w:val="0"/>
        </w:rPr>
        <w:t xml:space="preserve">and peak </w:t>
      </w:r>
      <w:r w:rsidRPr="00D5588E">
        <w:rPr>
          <w:b w:val="0"/>
        </w:rPr>
        <w:t>forecast</w:t>
      </w:r>
      <w:r w:rsidR="008913D6">
        <w:rPr>
          <w:b w:val="0"/>
        </w:rPr>
        <w:t>s</w:t>
      </w:r>
      <w:r w:rsidRPr="00D5588E">
        <w:rPr>
          <w:b w:val="0"/>
        </w:rPr>
        <w:t xml:space="preserve"> include EViews (regression software), </w:t>
      </w:r>
      <w:r w:rsidR="00DF1B16">
        <w:rPr>
          <w:b w:val="0"/>
        </w:rPr>
        <w:t>LoadMAP</w:t>
      </w:r>
      <w:r w:rsidRPr="00D5588E">
        <w:rPr>
          <w:b w:val="0"/>
        </w:rPr>
        <w:t xml:space="preserve">, </w:t>
      </w:r>
      <w:r w:rsidR="008B714E">
        <w:rPr>
          <w:b w:val="0"/>
        </w:rPr>
        <w:t>PDM</w:t>
      </w:r>
      <w:r w:rsidRPr="00D5588E">
        <w:rPr>
          <w:b w:val="0"/>
        </w:rPr>
        <w:t xml:space="preserve"> and Microsoft Excel. </w:t>
      </w:r>
    </w:p>
    <w:p w14:paraId="505536C4" w14:textId="77777777" w:rsidR="00D5588E" w:rsidRPr="003A3426" w:rsidRDefault="00D5588E" w:rsidP="00D5588E">
      <w:pPr>
        <w:pStyle w:val="Heading1"/>
        <w:sectPr w:rsidR="00D5588E" w:rsidRPr="003A3426">
          <w:footerReference w:type="default" r:id="rId26"/>
          <w:footnotePr>
            <w:numRestart w:val="eachSect"/>
          </w:footnotePr>
          <w:pgSz w:w="12240" w:h="15840"/>
          <w:pgMar w:top="1440" w:right="1800" w:bottom="1440" w:left="1267" w:header="720" w:footer="720" w:gutter="0"/>
          <w:cols w:space="720"/>
        </w:sectPr>
      </w:pPr>
    </w:p>
    <w:p w14:paraId="7022EDBE" w14:textId="77777777" w:rsidR="00FA78E1" w:rsidRPr="00FA78E1" w:rsidRDefault="00FA78E1" w:rsidP="00FA78E1">
      <w:pPr>
        <w:pStyle w:val="Heading1"/>
        <w:jc w:val="left"/>
        <w:rPr>
          <w:rFonts w:ascii="Arial" w:hAnsi="Arial" w:cs="Arial"/>
          <w:b/>
          <w:color w:val="auto"/>
        </w:rPr>
      </w:pPr>
      <w:bookmarkStart w:id="178" w:name="_Toc347120379"/>
      <w:bookmarkStart w:id="179" w:name="_Toc535495628"/>
      <w:r w:rsidRPr="00FA78E1">
        <w:rPr>
          <w:rFonts w:ascii="Arial" w:hAnsi="Arial" w:cs="Arial"/>
          <w:b/>
          <w:color w:val="auto"/>
        </w:rPr>
        <w:t>4.0</w:t>
      </w:r>
      <w:r w:rsidRPr="00FA78E1">
        <w:rPr>
          <w:rFonts w:ascii="Arial" w:hAnsi="Arial" w:cs="Arial"/>
          <w:b/>
          <w:color w:val="auto"/>
        </w:rPr>
        <w:tab/>
      </w:r>
      <w:bookmarkStart w:id="180" w:name="_Toc112219377"/>
      <w:r w:rsidRPr="00FA78E1">
        <w:rPr>
          <w:rFonts w:ascii="Arial" w:hAnsi="Arial" w:cs="Arial"/>
          <w:b/>
          <w:color w:val="auto"/>
        </w:rPr>
        <w:t>SHORT-TERM MODEL DESIGN OVERVIEW</w:t>
      </w:r>
      <w:bookmarkEnd w:id="178"/>
      <w:bookmarkEnd w:id="180"/>
      <w:bookmarkEnd w:id="179"/>
    </w:p>
    <w:p w14:paraId="07078B7C" w14:textId="77777777" w:rsidR="00FA78E1" w:rsidRDefault="00FA78E1" w:rsidP="00FA78E1">
      <w:pPr>
        <w:pStyle w:val="BodyText"/>
        <w:spacing w:line="360" w:lineRule="auto"/>
        <w:jc w:val="left"/>
        <w:rPr>
          <w:b w:val="0"/>
        </w:rPr>
      </w:pPr>
    </w:p>
    <w:p w14:paraId="477ED875" w14:textId="6888E78D" w:rsidR="00FA78E1" w:rsidRPr="00FA78E1" w:rsidRDefault="00FA78E1" w:rsidP="00665881">
      <w:pPr>
        <w:pStyle w:val="BodyText"/>
        <w:spacing w:line="360" w:lineRule="auto"/>
        <w:jc w:val="both"/>
        <w:rPr>
          <w:b w:val="0"/>
        </w:rPr>
      </w:pPr>
      <w:r w:rsidRPr="00FA78E1">
        <w:rPr>
          <w:b w:val="0"/>
        </w:rPr>
        <w:t xml:space="preserve">This section describes the quantitative methods used to develop the Georgia Power customer and short-term energy sales forecasts. The forecasts from the short-term energy models cover the period from January </w:t>
      </w:r>
      <w:r w:rsidR="00115873" w:rsidRPr="00FA78E1">
        <w:rPr>
          <w:b w:val="0"/>
        </w:rPr>
        <w:t>20</w:t>
      </w:r>
      <w:r w:rsidR="00115873">
        <w:rPr>
          <w:b w:val="0"/>
        </w:rPr>
        <w:t>19</w:t>
      </w:r>
      <w:r w:rsidR="00115873" w:rsidRPr="00FA78E1">
        <w:rPr>
          <w:b w:val="0"/>
        </w:rPr>
        <w:t xml:space="preserve"> </w:t>
      </w:r>
      <w:r w:rsidRPr="00FA78E1">
        <w:rPr>
          <w:b w:val="0"/>
        </w:rPr>
        <w:t xml:space="preserve">through December </w:t>
      </w:r>
      <w:r w:rsidR="00115873" w:rsidRPr="00FA78E1">
        <w:rPr>
          <w:b w:val="0"/>
        </w:rPr>
        <w:t>20</w:t>
      </w:r>
      <w:r w:rsidR="00115873">
        <w:rPr>
          <w:b w:val="0"/>
        </w:rPr>
        <w:t>21</w:t>
      </w:r>
      <w:r w:rsidRPr="00FA78E1">
        <w:rPr>
          <w:b w:val="0"/>
        </w:rPr>
        <w:t xml:space="preserve">. These short-term energy forecasts are then integrated with the long-term results discussed in Section 5. </w:t>
      </w:r>
      <w:r w:rsidR="0036595D">
        <w:rPr>
          <w:b w:val="0"/>
        </w:rPr>
        <w:t>The residential and</w:t>
      </w:r>
      <w:r w:rsidR="007F11D3">
        <w:rPr>
          <w:b w:val="0"/>
        </w:rPr>
        <w:t xml:space="preserve"> commercial</w:t>
      </w:r>
      <w:r w:rsidR="0036595D">
        <w:rPr>
          <w:b w:val="0"/>
        </w:rPr>
        <w:t xml:space="preserve"> </w:t>
      </w:r>
      <w:r w:rsidRPr="00FA78E1">
        <w:rPr>
          <w:b w:val="0"/>
        </w:rPr>
        <w:t xml:space="preserve">short-term </w:t>
      </w:r>
      <w:r w:rsidR="00AC16B5">
        <w:rPr>
          <w:b w:val="0"/>
        </w:rPr>
        <w:t xml:space="preserve">energy </w:t>
      </w:r>
      <w:r w:rsidRPr="00FA78E1">
        <w:rPr>
          <w:b w:val="0"/>
        </w:rPr>
        <w:t xml:space="preserve">models generate results on a </w:t>
      </w:r>
      <w:r w:rsidR="00856675">
        <w:rPr>
          <w:b w:val="0"/>
        </w:rPr>
        <w:t xml:space="preserve">billing </w:t>
      </w:r>
      <w:r w:rsidR="00AB3FDC">
        <w:rPr>
          <w:b w:val="0"/>
        </w:rPr>
        <w:t xml:space="preserve">month basis, which are then converted to </w:t>
      </w:r>
      <w:r w:rsidR="00856675">
        <w:rPr>
          <w:b w:val="0"/>
        </w:rPr>
        <w:t xml:space="preserve">a </w:t>
      </w:r>
      <w:r w:rsidRPr="00FA78E1">
        <w:rPr>
          <w:b w:val="0"/>
        </w:rPr>
        <w:t xml:space="preserve">calendar </w:t>
      </w:r>
      <w:r w:rsidR="00AB3FDC">
        <w:rPr>
          <w:b w:val="0"/>
        </w:rPr>
        <w:t xml:space="preserve">month </w:t>
      </w:r>
      <w:r w:rsidRPr="00FA78E1">
        <w:rPr>
          <w:b w:val="0"/>
        </w:rPr>
        <w:t xml:space="preserve">basis. </w:t>
      </w:r>
      <w:r w:rsidR="004B7114">
        <w:rPr>
          <w:b w:val="0"/>
        </w:rPr>
        <w:t>Industrial sales are modeled on a calendar month basis</w:t>
      </w:r>
      <w:r w:rsidR="00A85314">
        <w:rPr>
          <w:b w:val="0"/>
        </w:rPr>
        <w:t xml:space="preserve">. </w:t>
      </w:r>
      <w:r w:rsidR="0036595D">
        <w:rPr>
          <w:b w:val="0"/>
        </w:rPr>
        <w:t xml:space="preserve">The MARTA </w:t>
      </w:r>
      <w:r w:rsidR="00452E01">
        <w:rPr>
          <w:b w:val="0"/>
        </w:rPr>
        <w:t xml:space="preserve">and governmental lighting </w:t>
      </w:r>
      <w:r w:rsidR="0036595D">
        <w:rPr>
          <w:b w:val="0"/>
        </w:rPr>
        <w:t>energy forecast</w:t>
      </w:r>
      <w:r w:rsidR="00452E01">
        <w:rPr>
          <w:b w:val="0"/>
        </w:rPr>
        <w:t xml:space="preserve">s are </w:t>
      </w:r>
      <w:r w:rsidR="00FE7506">
        <w:rPr>
          <w:b w:val="0"/>
        </w:rPr>
        <w:t>produced</w:t>
      </w:r>
      <w:r w:rsidR="00017BF4">
        <w:rPr>
          <w:b w:val="0"/>
        </w:rPr>
        <w:t xml:space="preserve"> on a billing month basis</w:t>
      </w:r>
      <w:r w:rsidR="00FE7506">
        <w:rPr>
          <w:b w:val="0"/>
        </w:rPr>
        <w:t>.</w:t>
      </w:r>
      <w:r w:rsidR="0036595D">
        <w:rPr>
          <w:b w:val="0"/>
        </w:rPr>
        <w:t xml:space="preserve"> </w:t>
      </w:r>
    </w:p>
    <w:p w14:paraId="6842D41F" w14:textId="77777777" w:rsidR="00FA78E1" w:rsidRPr="00FA78E1" w:rsidRDefault="00FA78E1" w:rsidP="00665881">
      <w:pPr>
        <w:pStyle w:val="BodyText"/>
        <w:spacing w:line="360" w:lineRule="auto"/>
        <w:jc w:val="both"/>
        <w:rPr>
          <w:b w:val="0"/>
        </w:rPr>
      </w:pPr>
    </w:p>
    <w:p w14:paraId="66D09E5F" w14:textId="16DC4DDA" w:rsidR="00FA78E1" w:rsidRPr="00FA78E1" w:rsidRDefault="00FA78E1" w:rsidP="00665881">
      <w:pPr>
        <w:pStyle w:val="BodyText"/>
        <w:spacing w:line="360" w:lineRule="auto"/>
        <w:jc w:val="both"/>
        <w:rPr>
          <w:b w:val="0"/>
        </w:rPr>
      </w:pPr>
      <w:r w:rsidRPr="00FA78E1">
        <w:rPr>
          <w:b w:val="0"/>
        </w:rPr>
        <w:t xml:space="preserve">The estimate of the number of customers </w:t>
      </w:r>
      <w:r w:rsidR="00AC16B5">
        <w:rPr>
          <w:b w:val="0"/>
        </w:rPr>
        <w:t xml:space="preserve">by class </w:t>
      </w:r>
      <w:r w:rsidRPr="00FA78E1">
        <w:rPr>
          <w:b w:val="0"/>
        </w:rPr>
        <w:t>is derived from econometric models that have a twenty-year forecast horizon. The short-term energy forecasts</w:t>
      </w:r>
      <w:r w:rsidR="00AC16B5">
        <w:rPr>
          <w:b w:val="0"/>
        </w:rPr>
        <w:t xml:space="preserve"> are</w:t>
      </w:r>
      <w:r w:rsidRPr="00FA78E1">
        <w:rPr>
          <w:b w:val="0"/>
        </w:rPr>
        <w:t xml:space="preserve"> </w:t>
      </w:r>
      <w:r w:rsidR="00AC16B5">
        <w:rPr>
          <w:b w:val="0"/>
        </w:rPr>
        <w:t xml:space="preserve">also </w:t>
      </w:r>
      <w:r w:rsidRPr="00FA78E1">
        <w:rPr>
          <w:b w:val="0"/>
        </w:rPr>
        <w:t>developed on a customer class basis</w:t>
      </w:r>
      <w:r w:rsidR="00AC16B5">
        <w:rPr>
          <w:b w:val="0"/>
        </w:rPr>
        <w:t xml:space="preserve"> </w:t>
      </w:r>
      <w:r w:rsidRPr="00FA78E1">
        <w:rPr>
          <w:b w:val="0"/>
        </w:rPr>
        <w:t>a</w:t>
      </w:r>
      <w:r w:rsidR="00AC16B5">
        <w:rPr>
          <w:b w:val="0"/>
        </w:rPr>
        <w:t>nd</w:t>
      </w:r>
      <w:r w:rsidRPr="00FA78E1">
        <w:rPr>
          <w:b w:val="0"/>
        </w:rPr>
        <w:t xml:space="preserve"> employ </w:t>
      </w:r>
      <w:r w:rsidR="00FE7506">
        <w:rPr>
          <w:b w:val="0"/>
        </w:rPr>
        <w:t xml:space="preserve">a linear </w:t>
      </w:r>
      <w:r w:rsidRPr="00FA78E1">
        <w:rPr>
          <w:b w:val="0"/>
        </w:rPr>
        <w:t xml:space="preserve">regression methodology. Although </w:t>
      </w:r>
      <w:r w:rsidR="00AC16B5">
        <w:rPr>
          <w:b w:val="0"/>
        </w:rPr>
        <w:t xml:space="preserve">the </w:t>
      </w:r>
      <w:r w:rsidR="00FE7506">
        <w:rPr>
          <w:b w:val="0"/>
        </w:rPr>
        <w:t>drivers</w:t>
      </w:r>
      <w:r w:rsidR="00FE7506" w:rsidRPr="00FA78E1">
        <w:rPr>
          <w:b w:val="0"/>
        </w:rPr>
        <w:t xml:space="preserve"> </w:t>
      </w:r>
      <w:r w:rsidRPr="00FA78E1">
        <w:rPr>
          <w:b w:val="0"/>
        </w:rPr>
        <w:t xml:space="preserve">vary by customer class, the models include explanatory variables that relate changes in monthly sales or customers to changes in Georgia’s economy, demographic make-up, weather, </w:t>
      </w:r>
      <w:r w:rsidR="007F11D3">
        <w:rPr>
          <w:b w:val="0"/>
        </w:rPr>
        <w:t xml:space="preserve">energy efficiency, </w:t>
      </w:r>
      <w:r w:rsidRPr="00FA78E1">
        <w:rPr>
          <w:b w:val="0"/>
        </w:rPr>
        <w:t xml:space="preserve">and monthly and/or </w:t>
      </w:r>
      <w:r w:rsidR="00595BC1">
        <w:rPr>
          <w:b w:val="0"/>
        </w:rPr>
        <w:t xml:space="preserve">monthly weather interaction </w:t>
      </w:r>
      <w:r w:rsidRPr="00FA78E1">
        <w:rPr>
          <w:b w:val="0"/>
        </w:rPr>
        <w:t>binary variables.</w:t>
      </w:r>
    </w:p>
    <w:p w14:paraId="359C24FE" w14:textId="77777777" w:rsidR="00FA78E1" w:rsidRPr="00FA78E1" w:rsidRDefault="00FA78E1" w:rsidP="00665881">
      <w:pPr>
        <w:pStyle w:val="BodyText"/>
        <w:spacing w:line="360" w:lineRule="auto"/>
        <w:jc w:val="both"/>
        <w:rPr>
          <w:b w:val="0"/>
        </w:rPr>
      </w:pPr>
    </w:p>
    <w:p w14:paraId="4243E71C" w14:textId="23C28EB0" w:rsidR="00A32ED3" w:rsidRDefault="00FA78E1" w:rsidP="00665881">
      <w:pPr>
        <w:pStyle w:val="BodyText"/>
        <w:spacing w:line="360" w:lineRule="auto"/>
        <w:jc w:val="both"/>
        <w:rPr>
          <w:b w:val="0"/>
        </w:rPr>
      </w:pPr>
      <w:r w:rsidRPr="00FA78E1">
        <w:rPr>
          <w:b w:val="0"/>
        </w:rPr>
        <w:t xml:space="preserve">The </w:t>
      </w:r>
      <w:r w:rsidR="007F11D3">
        <w:rPr>
          <w:b w:val="0"/>
        </w:rPr>
        <w:t xml:space="preserve">short-term </w:t>
      </w:r>
      <w:r w:rsidRPr="00FA78E1">
        <w:rPr>
          <w:b w:val="0"/>
        </w:rPr>
        <w:t xml:space="preserve">model parameters </w:t>
      </w:r>
      <w:r w:rsidR="001A25C7">
        <w:rPr>
          <w:b w:val="0"/>
        </w:rPr>
        <w:t>a</w:t>
      </w:r>
      <w:r w:rsidRPr="00FA78E1">
        <w:rPr>
          <w:b w:val="0"/>
        </w:rPr>
        <w:t xml:space="preserve">re estimated with the EViews software package. EViews is a well-established software package used in econometric analysis, forecasting, and simulation. </w:t>
      </w:r>
      <w:r w:rsidR="007F11D3">
        <w:rPr>
          <w:b w:val="0"/>
        </w:rPr>
        <w:t>IHS Markit</w:t>
      </w:r>
      <w:r w:rsidRPr="00FA78E1">
        <w:rPr>
          <w:b w:val="0"/>
        </w:rPr>
        <w:t xml:space="preserve"> provide</w:t>
      </w:r>
      <w:r w:rsidR="001A25C7">
        <w:rPr>
          <w:b w:val="0"/>
        </w:rPr>
        <w:t>s</w:t>
      </w:r>
      <w:r w:rsidRPr="00FA78E1">
        <w:rPr>
          <w:b w:val="0"/>
        </w:rPr>
        <w:t xml:space="preserve"> the historical and forecast </w:t>
      </w:r>
      <w:r w:rsidR="00A54E44">
        <w:rPr>
          <w:b w:val="0"/>
        </w:rPr>
        <w:t xml:space="preserve">economic </w:t>
      </w:r>
      <w:r w:rsidRPr="00FA78E1">
        <w:rPr>
          <w:b w:val="0"/>
        </w:rPr>
        <w:t xml:space="preserve">data used in the short-term models. </w:t>
      </w:r>
      <w:r w:rsidR="00F961D5">
        <w:rPr>
          <w:b w:val="0"/>
        </w:rPr>
        <w:t>When estimating the model parameters, actual HDH and CDH are used. For the forecast</w:t>
      </w:r>
      <w:r w:rsidR="00EA4CCA">
        <w:rPr>
          <w:b w:val="0"/>
        </w:rPr>
        <w:t xml:space="preserve"> period</w:t>
      </w:r>
      <w:r w:rsidR="00F961D5">
        <w:rPr>
          <w:b w:val="0"/>
        </w:rPr>
        <w:t xml:space="preserve">, “normal” weather is assumed. </w:t>
      </w:r>
      <w:r w:rsidR="00F961D5" w:rsidRPr="00B230D8">
        <w:rPr>
          <w:b w:val="0"/>
        </w:rPr>
        <w:t xml:space="preserve">“Normal” weather </w:t>
      </w:r>
      <w:r w:rsidR="00F961D5">
        <w:rPr>
          <w:b w:val="0"/>
        </w:rPr>
        <w:t xml:space="preserve">for Budget 2019 </w:t>
      </w:r>
      <w:r w:rsidR="00F961D5" w:rsidRPr="00B230D8">
        <w:rPr>
          <w:b w:val="0"/>
        </w:rPr>
        <w:t xml:space="preserve">is defined as the average of CDH and HDH </w:t>
      </w:r>
      <w:r w:rsidR="00B03BA7">
        <w:rPr>
          <w:b w:val="0"/>
        </w:rPr>
        <w:t xml:space="preserve">from </w:t>
      </w:r>
      <w:r w:rsidR="00F961D5" w:rsidRPr="00B230D8">
        <w:rPr>
          <w:b w:val="0"/>
        </w:rPr>
        <w:t>1980-2017</w:t>
      </w:r>
      <w:r w:rsidR="00F961D5">
        <w:rPr>
          <w:b w:val="0"/>
        </w:rPr>
        <w:t>.</w:t>
      </w:r>
      <w:r w:rsidR="00F961D5" w:rsidRPr="00F961D5">
        <w:rPr>
          <w:b w:val="0"/>
        </w:rPr>
        <w:t xml:space="preserve"> </w:t>
      </w:r>
    </w:p>
    <w:p w14:paraId="196AABEC" w14:textId="77777777" w:rsidR="00A32ED3" w:rsidRPr="00A32ED3" w:rsidRDefault="00A32ED3" w:rsidP="00A32ED3">
      <w:bookmarkStart w:id="181" w:name="_Toc497031881"/>
      <w:bookmarkStart w:id="182" w:name="_Toc503665751"/>
      <w:bookmarkStart w:id="183" w:name="_Toc112219378"/>
      <w:bookmarkStart w:id="184" w:name="_Toc347120380"/>
    </w:p>
    <w:p w14:paraId="2C52292B" w14:textId="77777777" w:rsidR="00FA78E1" w:rsidRPr="00FA78E1" w:rsidRDefault="00FA78E1" w:rsidP="00FA78E1">
      <w:pPr>
        <w:pStyle w:val="Heading1"/>
        <w:jc w:val="left"/>
        <w:rPr>
          <w:rFonts w:ascii="Arial" w:hAnsi="Arial" w:cs="Arial"/>
          <w:b/>
          <w:color w:val="auto"/>
        </w:rPr>
      </w:pPr>
      <w:bookmarkStart w:id="185" w:name="_Toc535495629"/>
      <w:r w:rsidRPr="00FA78E1">
        <w:rPr>
          <w:rFonts w:ascii="Arial" w:hAnsi="Arial" w:cs="Arial"/>
          <w:b/>
          <w:color w:val="auto"/>
        </w:rPr>
        <w:t>4.1</w:t>
      </w:r>
      <w:r w:rsidRPr="00FA78E1">
        <w:rPr>
          <w:rFonts w:ascii="Arial" w:hAnsi="Arial" w:cs="Arial"/>
          <w:b/>
          <w:color w:val="auto"/>
        </w:rPr>
        <w:tab/>
      </w:r>
      <w:bookmarkStart w:id="186" w:name="_Toc468764769"/>
      <w:r w:rsidRPr="00FA78E1">
        <w:rPr>
          <w:rFonts w:ascii="Arial" w:hAnsi="Arial" w:cs="Arial"/>
          <w:b/>
          <w:color w:val="auto"/>
        </w:rPr>
        <w:t>RETAIL SALES SECTORS</w:t>
      </w:r>
      <w:bookmarkEnd w:id="181"/>
      <w:bookmarkEnd w:id="182"/>
      <w:bookmarkEnd w:id="183"/>
      <w:bookmarkEnd w:id="184"/>
      <w:bookmarkEnd w:id="186"/>
      <w:bookmarkEnd w:id="185"/>
    </w:p>
    <w:p w14:paraId="67022572" w14:textId="77777777" w:rsidR="00FA78E1" w:rsidRDefault="00FA78E1" w:rsidP="00FA78E1">
      <w:pPr>
        <w:pStyle w:val="BodyText2"/>
        <w:jc w:val="left"/>
        <w:rPr>
          <w:b w:val="0"/>
        </w:rPr>
      </w:pPr>
      <w:bookmarkStart w:id="187" w:name="_Toc468764770"/>
      <w:bookmarkStart w:id="188" w:name="_Toc503665752"/>
      <w:bookmarkStart w:id="189" w:name="_Toc112219379"/>
    </w:p>
    <w:p w14:paraId="5863638C" w14:textId="5AA0587D" w:rsidR="00FA78E1" w:rsidRPr="00FA78E1" w:rsidRDefault="00FA78E1" w:rsidP="00FB332D">
      <w:pPr>
        <w:pStyle w:val="BodyText2"/>
        <w:spacing w:line="360" w:lineRule="auto"/>
        <w:jc w:val="both"/>
        <w:rPr>
          <w:b w:val="0"/>
        </w:rPr>
      </w:pPr>
      <w:r w:rsidRPr="00FA78E1">
        <w:rPr>
          <w:b w:val="0"/>
        </w:rPr>
        <w:t xml:space="preserve">The retail sector includes the residential, commercial, industrial, MARTA, and governmental lighting classes. </w:t>
      </w:r>
    </w:p>
    <w:p w14:paraId="77EEE997" w14:textId="77777777" w:rsidR="00FA78E1" w:rsidRPr="00FA78E1" w:rsidRDefault="00FA78E1" w:rsidP="00FB332D">
      <w:pPr>
        <w:pStyle w:val="BodyText2"/>
        <w:spacing w:line="360" w:lineRule="auto"/>
        <w:jc w:val="left"/>
        <w:rPr>
          <w:b w:val="0"/>
        </w:rPr>
      </w:pPr>
    </w:p>
    <w:p w14:paraId="2384501A" w14:textId="77777777" w:rsidR="00FA78E1" w:rsidRPr="00FA78E1" w:rsidRDefault="00FA78E1" w:rsidP="00FA78E1">
      <w:pPr>
        <w:pStyle w:val="Heading2"/>
        <w:jc w:val="left"/>
        <w:rPr>
          <w:rFonts w:ascii="Arial" w:hAnsi="Arial" w:cs="Arial"/>
          <w:b/>
          <w:color w:val="auto"/>
          <w:sz w:val="20"/>
          <w:szCs w:val="20"/>
        </w:rPr>
      </w:pPr>
      <w:bookmarkStart w:id="190" w:name="_Toc347120381"/>
      <w:bookmarkStart w:id="191" w:name="_Toc535495630"/>
      <w:r w:rsidRPr="00FA78E1">
        <w:rPr>
          <w:rFonts w:ascii="Arial" w:hAnsi="Arial" w:cs="Arial"/>
          <w:b/>
          <w:color w:val="auto"/>
          <w:sz w:val="20"/>
          <w:szCs w:val="20"/>
        </w:rPr>
        <w:t>4.1.1</w:t>
      </w:r>
      <w:r w:rsidRPr="00FA78E1">
        <w:rPr>
          <w:rFonts w:ascii="Arial" w:hAnsi="Arial" w:cs="Arial"/>
          <w:b/>
          <w:color w:val="auto"/>
          <w:sz w:val="20"/>
          <w:szCs w:val="20"/>
        </w:rPr>
        <w:tab/>
        <w:t>Residential Sales</w:t>
      </w:r>
      <w:bookmarkEnd w:id="187"/>
      <w:bookmarkEnd w:id="188"/>
      <w:bookmarkEnd w:id="189"/>
      <w:bookmarkEnd w:id="190"/>
      <w:bookmarkEnd w:id="191"/>
    </w:p>
    <w:p w14:paraId="2601ADDE" w14:textId="77777777" w:rsidR="00FA78E1" w:rsidRDefault="00FA78E1" w:rsidP="00FA78E1">
      <w:pPr>
        <w:pStyle w:val="BodyText"/>
        <w:jc w:val="left"/>
        <w:rPr>
          <w:b w:val="0"/>
        </w:rPr>
      </w:pPr>
    </w:p>
    <w:p w14:paraId="2977EEDF" w14:textId="11CF5E12" w:rsidR="00FA78E1" w:rsidRPr="00FA78E1" w:rsidRDefault="00FA78E1" w:rsidP="00FA78E1">
      <w:pPr>
        <w:pStyle w:val="BodyText"/>
        <w:spacing w:line="360" w:lineRule="auto"/>
        <w:jc w:val="left"/>
        <w:rPr>
          <w:b w:val="0"/>
        </w:rPr>
      </w:pPr>
      <w:r w:rsidRPr="00FA78E1">
        <w:rPr>
          <w:b w:val="0"/>
        </w:rPr>
        <w:t xml:space="preserve">The model of energy sales </w:t>
      </w:r>
      <w:r w:rsidR="003F56D0">
        <w:rPr>
          <w:b w:val="0"/>
        </w:rPr>
        <w:t>for</w:t>
      </w:r>
      <w:r w:rsidR="003F56D0" w:rsidRPr="00FA78E1">
        <w:rPr>
          <w:b w:val="0"/>
        </w:rPr>
        <w:t xml:space="preserve"> </w:t>
      </w:r>
      <w:r w:rsidRPr="00FA78E1">
        <w:rPr>
          <w:b w:val="0"/>
        </w:rPr>
        <w:t>the residential class depends on the following factors:</w:t>
      </w:r>
    </w:p>
    <w:p w14:paraId="7913B6F4" w14:textId="77777777" w:rsidR="00FA78E1" w:rsidRPr="00FA78E1" w:rsidRDefault="00FA78E1" w:rsidP="00BC7C3C">
      <w:pPr>
        <w:pStyle w:val="ListBullet4"/>
      </w:pPr>
      <w:r w:rsidRPr="00FA78E1">
        <w:t>Number of customers</w:t>
      </w:r>
    </w:p>
    <w:p w14:paraId="1AA307D5" w14:textId="77777777" w:rsidR="00751D12" w:rsidRDefault="00751D12" w:rsidP="00BC7C3C">
      <w:pPr>
        <w:pStyle w:val="ListBullet4"/>
      </w:pPr>
      <w:r w:rsidRPr="00FA78E1">
        <w:t>Numb</w:t>
      </w:r>
      <w:r>
        <w:t>er of days in the billing cycle</w:t>
      </w:r>
      <w:r w:rsidRPr="00FA78E1">
        <w:t xml:space="preserve"> </w:t>
      </w:r>
    </w:p>
    <w:p w14:paraId="045E9599" w14:textId="5006290F" w:rsidR="00FA78E1" w:rsidRDefault="00FA78E1" w:rsidP="00BC7C3C">
      <w:pPr>
        <w:pStyle w:val="ListBullet4"/>
      </w:pPr>
      <w:r w:rsidRPr="00FA78E1">
        <w:t>Weather</w:t>
      </w:r>
    </w:p>
    <w:p w14:paraId="176212D2" w14:textId="139425F1" w:rsidR="00751D12" w:rsidRDefault="00751D12" w:rsidP="00BC7C3C">
      <w:pPr>
        <w:pStyle w:val="ListBullet4"/>
      </w:pPr>
      <w:r>
        <w:t>Energy efficiency</w:t>
      </w:r>
    </w:p>
    <w:p w14:paraId="1DD71219" w14:textId="77777777" w:rsidR="00FA78E1" w:rsidRPr="00FA78E1" w:rsidRDefault="00FA78E1" w:rsidP="00FA78E1">
      <w:pPr>
        <w:spacing w:line="360" w:lineRule="auto"/>
        <w:jc w:val="left"/>
        <w:rPr>
          <w:b w:val="0"/>
        </w:rPr>
      </w:pPr>
    </w:p>
    <w:p w14:paraId="5EDE0E3D" w14:textId="72D19B27" w:rsidR="00FA78E1" w:rsidRPr="00FA78E1" w:rsidRDefault="00FA78E1" w:rsidP="00665881">
      <w:pPr>
        <w:pStyle w:val="BodyText"/>
        <w:spacing w:line="360" w:lineRule="auto"/>
        <w:jc w:val="both"/>
        <w:rPr>
          <w:b w:val="0"/>
        </w:rPr>
      </w:pPr>
      <w:r w:rsidRPr="00FA78E1">
        <w:rPr>
          <w:b w:val="0"/>
        </w:rPr>
        <w:t xml:space="preserve">The impact of demographic trends on residential sales are included by modeling energy use with a use-per-customer formulation. The short-term residential energy sales forecast, therefore, depends upon a forecast of residential customers. The residential customer forecast is presented in </w:t>
      </w:r>
      <w:r w:rsidR="004E24E4">
        <w:rPr>
          <w:b w:val="0"/>
        </w:rPr>
        <w:t>S</w:t>
      </w:r>
      <w:r w:rsidRPr="00FA78E1">
        <w:rPr>
          <w:b w:val="0"/>
        </w:rPr>
        <w:t>ection 4.2.1.</w:t>
      </w:r>
    </w:p>
    <w:p w14:paraId="07D52D1B" w14:textId="77777777" w:rsidR="00FA78E1" w:rsidRPr="00FA78E1" w:rsidRDefault="00FA78E1" w:rsidP="00665881">
      <w:pPr>
        <w:pStyle w:val="BodyText"/>
        <w:spacing w:line="360" w:lineRule="auto"/>
        <w:jc w:val="both"/>
        <w:rPr>
          <w:b w:val="0"/>
        </w:rPr>
      </w:pPr>
    </w:p>
    <w:p w14:paraId="18300A5A" w14:textId="00D047F6" w:rsidR="00FA78E1" w:rsidRPr="00FA78E1" w:rsidRDefault="00FA78E1" w:rsidP="00665881">
      <w:pPr>
        <w:pStyle w:val="BodyText"/>
        <w:spacing w:line="360" w:lineRule="auto"/>
        <w:jc w:val="both"/>
        <w:rPr>
          <w:b w:val="0"/>
        </w:rPr>
      </w:pPr>
      <w:r w:rsidRPr="00FA78E1">
        <w:rPr>
          <w:b w:val="0"/>
        </w:rPr>
        <w:t>Weather has a significant impact on residential energy sales. H</w:t>
      </w:r>
      <w:r w:rsidR="00220022">
        <w:rPr>
          <w:b w:val="0"/>
        </w:rPr>
        <w:t>DH</w:t>
      </w:r>
      <w:r w:rsidRPr="00FA78E1">
        <w:rPr>
          <w:b w:val="0"/>
        </w:rPr>
        <w:t xml:space="preserve"> and </w:t>
      </w:r>
      <w:r w:rsidR="00220022">
        <w:rPr>
          <w:b w:val="0"/>
        </w:rPr>
        <w:t>CDH</w:t>
      </w:r>
      <w:r w:rsidRPr="00FA78E1">
        <w:rPr>
          <w:b w:val="0"/>
        </w:rPr>
        <w:t xml:space="preserve"> are used to measure the impact of weather on monthly residential energy sales. The degree </w:t>
      </w:r>
      <w:r w:rsidR="00340B25">
        <w:rPr>
          <w:b w:val="0"/>
        </w:rPr>
        <w:t>hour</w:t>
      </w:r>
      <w:r w:rsidRPr="00FA78E1">
        <w:rPr>
          <w:b w:val="0"/>
        </w:rPr>
        <w:t xml:space="preserve">s are computed as an average of the billing cycles. Residential </w:t>
      </w:r>
      <w:r w:rsidR="00220022">
        <w:rPr>
          <w:b w:val="0"/>
        </w:rPr>
        <w:t>HDH</w:t>
      </w:r>
      <w:r w:rsidRPr="00FA78E1">
        <w:rPr>
          <w:b w:val="0"/>
        </w:rPr>
        <w:t xml:space="preserve"> use a </w:t>
      </w:r>
      <w:r w:rsidR="00B03BA7">
        <w:rPr>
          <w:b w:val="0"/>
        </w:rPr>
        <w:t>54</w:t>
      </w:r>
      <w:r w:rsidRPr="00FA78E1">
        <w:rPr>
          <w:b w:val="0"/>
        </w:rPr>
        <w:t xml:space="preserve">°F threshold, and </w:t>
      </w:r>
      <w:r w:rsidR="00220022">
        <w:rPr>
          <w:b w:val="0"/>
        </w:rPr>
        <w:t>CDH</w:t>
      </w:r>
      <w:r w:rsidRPr="00FA78E1">
        <w:rPr>
          <w:b w:val="0"/>
        </w:rPr>
        <w:t xml:space="preserve"> use a 6</w:t>
      </w:r>
      <w:r w:rsidR="00B03BA7">
        <w:rPr>
          <w:b w:val="0"/>
        </w:rPr>
        <w:t>7</w:t>
      </w:r>
      <w:r w:rsidRPr="00FA78E1">
        <w:rPr>
          <w:b w:val="0"/>
        </w:rPr>
        <w:t xml:space="preserve">°F threshold. Degree </w:t>
      </w:r>
      <w:r w:rsidR="00340B25">
        <w:rPr>
          <w:b w:val="0"/>
        </w:rPr>
        <w:t>hour</w:t>
      </w:r>
      <w:r w:rsidRPr="00FA78E1">
        <w:rPr>
          <w:b w:val="0"/>
        </w:rPr>
        <w:t xml:space="preserve">s are averaged over </w:t>
      </w:r>
      <w:r w:rsidR="00B03BA7">
        <w:rPr>
          <w:b w:val="0"/>
        </w:rPr>
        <w:t>t</w:t>
      </w:r>
      <w:r w:rsidR="00B03BA7" w:rsidRPr="00FA78E1">
        <w:rPr>
          <w:b w:val="0"/>
        </w:rPr>
        <w:t xml:space="preserve">en </w:t>
      </w:r>
      <w:r w:rsidRPr="00FA78E1">
        <w:rPr>
          <w:b w:val="0"/>
        </w:rPr>
        <w:t xml:space="preserve">U.S. Weather Bureau stations, and the temperatures at the weather stations are weighted by the residential energy use in the Georgia Power regions that are mapped to the </w:t>
      </w:r>
      <w:r w:rsidR="00B03BA7">
        <w:rPr>
          <w:b w:val="0"/>
        </w:rPr>
        <w:t>t</w:t>
      </w:r>
      <w:r w:rsidR="00B03BA7" w:rsidRPr="00FA78E1">
        <w:rPr>
          <w:b w:val="0"/>
        </w:rPr>
        <w:t xml:space="preserve">en </w:t>
      </w:r>
      <w:r w:rsidRPr="00FA78E1">
        <w:rPr>
          <w:b w:val="0"/>
        </w:rPr>
        <w:t>weather stations.</w:t>
      </w:r>
      <w:r w:rsidR="00340B25">
        <w:rPr>
          <w:b w:val="0"/>
        </w:rPr>
        <w:t xml:space="preserve"> </w:t>
      </w:r>
    </w:p>
    <w:p w14:paraId="0609D240" w14:textId="77777777" w:rsidR="00FA78E1" w:rsidRPr="00FA78E1" w:rsidRDefault="00FA78E1" w:rsidP="00665881">
      <w:pPr>
        <w:pStyle w:val="BodyText"/>
        <w:spacing w:line="360" w:lineRule="auto"/>
        <w:jc w:val="both"/>
        <w:rPr>
          <w:b w:val="0"/>
        </w:rPr>
      </w:pPr>
    </w:p>
    <w:p w14:paraId="41D39387" w14:textId="3C503DA2" w:rsidR="00FA78E1" w:rsidRPr="00FA78E1" w:rsidRDefault="00FA78E1" w:rsidP="00665881">
      <w:pPr>
        <w:pStyle w:val="BodyText"/>
        <w:spacing w:line="360" w:lineRule="auto"/>
        <w:jc w:val="both"/>
        <w:rPr>
          <w:b w:val="0"/>
        </w:rPr>
      </w:pPr>
      <w:r w:rsidRPr="00FA78E1">
        <w:rPr>
          <w:b w:val="0"/>
        </w:rPr>
        <w:t xml:space="preserve">Another consideration is the variation in the length of the billing period. Historical average billing days per month are obtained from the </w:t>
      </w:r>
      <w:r w:rsidR="00EC1F97">
        <w:rPr>
          <w:b w:val="0"/>
        </w:rPr>
        <w:t xml:space="preserve">annual </w:t>
      </w:r>
      <w:r w:rsidRPr="00FA78E1">
        <w:rPr>
          <w:b w:val="0"/>
        </w:rPr>
        <w:t>meter reading schedule</w:t>
      </w:r>
      <w:r w:rsidR="00EC1F97">
        <w:rPr>
          <w:b w:val="0"/>
        </w:rPr>
        <w:t>s</w:t>
      </w:r>
      <w:r w:rsidR="00F421EC">
        <w:rPr>
          <w:b w:val="0"/>
        </w:rPr>
        <w:t xml:space="preserve">. </w:t>
      </w:r>
      <w:r w:rsidR="00A4665C">
        <w:rPr>
          <w:b w:val="0"/>
        </w:rPr>
        <w:t xml:space="preserve">For </w:t>
      </w:r>
      <w:r w:rsidR="00B512A8">
        <w:rPr>
          <w:b w:val="0"/>
        </w:rPr>
        <w:t>Budget 2019</w:t>
      </w:r>
      <w:r w:rsidR="00A4665C">
        <w:rPr>
          <w:b w:val="0"/>
        </w:rPr>
        <w:t xml:space="preserve">, average billing days were based on a fixed meter reading schedule </w:t>
      </w:r>
      <w:r w:rsidR="003A44C1">
        <w:rPr>
          <w:b w:val="0"/>
        </w:rPr>
        <w:t>for</w:t>
      </w:r>
      <w:r w:rsidR="00A4665C">
        <w:rPr>
          <w:b w:val="0"/>
        </w:rPr>
        <w:t xml:space="preserve"> the January 2019 – January 2020 period.</w:t>
      </w:r>
      <w:r w:rsidR="00F421EC">
        <w:rPr>
          <w:b w:val="0"/>
        </w:rPr>
        <w:t xml:space="preserve">  </w:t>
      </w:r>
    </w:p>
    <w:p w14:paraId="6CCF774F" w14:textId="77777777" w:rsidR="00FA78E1" w:rsidRDefault="00FA78E1" w:rsidP="00665881">
      <w:pPr>
        <w:pStyle w:val="BodyText"/>
        <w:spacing w:line="360" w:lineRule="auto"/>
        <w:jc w:val="both"/>
        <w:rPr>
          <w:b w:val="0"/>
        </w:rPr>
      </w:pPr>
    </w:p>
    <w:p w14:paraId="6E2106A9" w14:textId="4A1220E8" w:rsidR="00F421EC" w:rsidRDefault="00813AAD" w:rsidP="00665881">
      <w:pPr>
        <w:pStyle w:val="BodyText"/>
        <w:spacing w:line="360" w:lineRule="auto"/>
        <w:jc w:val="both"/>
        <w:rPr>
          <w:b w:val="0"/>
        </w:rPr>
      </w:pPr>
      <w:r w:rsidRPr="00FA78E1">
        <w:rPr>
          <w:b w:val="0"/>
        </w:rPr>
        <w:t xml:space="preserve">This </w:t>
      </w:r>
      <w:r w:rsidR="0052142D">
        <w:rPr>
          <w:b w:val="0"/>
        </w:rPr>
        <w:t>impact o</w:t>
      </w:r>
      <w:r w:rsidRPr="00FA78E1">
        <w:rPr>
          <w:b w:val="0"/>
        </w:rPr>
        <w:t xml:space="preserve">n sales </w:t>
      </w:r>
      <w:r>
        <w:rPr>
          <w:b w:val="0"/>
        </w:rPr>
        <w:t xml:space="preserve">resulting </w:t>
      </w:r>
      <w:r w:rsidR="001E02DE">
        <w:rPr>
          <w:b w:val="0"/>
        </w:rPr>
        <w:t xml:space="preserve">from the variation in the length of the billing period </w:t>
      </w:r>
      <w:r w:rsidRPr="00FA78E1">
        <w:rPr>
          <w:b w:val="0"/>
        </w:rPr>
        <w:t xml:space="preserve">is addressed by </w:t>
      </w:r>
      <w:r w:rsidR="001D0A54">
        <w:rPr>
          <w:b w:val="0"/>
        </w:rPr>
        <w:t xml:space="preserve">dividing the use-per-customer (dependent) variable and the </w:t>
      </w:r>
      <w:r w:rsidR="003A44C1">
        <w:rPr>
          <w:b w:val="0"/>
        </w:rPr>
        <w:t>monthly weather</w:t>
      </w:r>
      <w:r w:rsidR="001D0A54">
        <w:rPr>
          <w:b w:val="0"/>
        </w:rPr>
        <w:t xml:space="preserve"> interaction terms by the n</w:t>
      </w:r>
      <w:r w:rsidR="00F421EC">
        <w:rPr>
          <w:b w:val="0"/>
        </w:rPr>
        <w:t>umber of billing days</w:t>
      </w:r>
      <w:r w:rsidR="001D0A54">
        <w:rPr>
          <w:b w:val="0"/>
        </w:rPr>
        <w:t>.</w:t>
      </w:r>
      <w:r>
        <w:rPr>
          <w:b w:val="0"/>
        </w:rPr>
        <w:t xml:space="preserve"> </w:t>
      </w:r>
    </w:p>
    <w:p w14:paraId="04097011" w14:textId="77777777" w:rsidR="001E02DE" w:rsidRPr="00FA78E1" w:rsidRDefault="001E02DE" w:rsidP="00665881">
      <w:pPr>
        <w:pStyle w:val="BodyText"/>
        <w:spacing w:line="360" w:lineRule="auto"/>
        <w:jc w:val="both"/>
        <w:rPr>
          <w:b w:val="0"/>
        </w:rPr>
      </w:pPr>
    </w:p>
    <w:p w14:paraId="791CFA97" w14:textId="641487E7" w:rsidR="00FA78E1" w:rsidRPr="00FA78E1" w:rsidRDefault="00FA78E1" w:rsidP="00665881">
      <w:pPr>
        <w:pStyle w:val="BodyText"/>
        <w:spacing w:line="360" w:lineRule="auto"/>
        <w:jc w:val="both"/>
        <w:rPr>
          <w:b w:val="0"/>
        </w:rPr>
      </w:pPr>
      <w:r w:rsidRPr="00FA78E1">
        <w:rPr>
          <w:b w:val="0"/>
        </w:rPr>
        <w:t>A regression model relating residential energy use</w:t>
      </w:r>
      <w:r w:rsidR="00623C06">
        <w:rPr>
          <w:b w:val="0"/>
        </w:rPr>
        <w:t xml:space="preserve"> </w:t>
      </w:r>
      <w:r w:rsidRPr="00FA78E1">
        <w:rPr>
          <w:b w:val="0"/>
        </w:rPr>
        <w:t>per</w:t>
      </w:r>
      <w:r w:rsidR="00623C06">
        <w:rPr>
          <w:b w:val="0"/>
        </w:rPr>
        <w:t xml:space="preserve"> </w:t>
      </w:r>
      <w:r w:rsidRPr="00FA78E1">
        <w:rPr>
          <w:b w:val="0"/>
        </w:rPr>
        <w:t>customer</w:t>
      </w:r>
      <w:r w:rsidR="00623C06">
        <w:rPr>
          <w:b w:val="0"/>
        </w:rPr>
        <w:t xml:space="preserve"> </w:t>
      </w:r>
      <w:r w:rsidR="00755994">
        <w:rPr>
          <w:b w:val="0"/>
        </w:rPr>
        <w:t>per</w:t>
      </w:r>
      <w:r w:rsidR="00623C06">
        <w:rPr>
          <w:b w:val="0"/>
        </w:rPr>
        <w:t xml:space="preserve"> </w:t>
      </w:r>
      <w:r w:rsidR="00755994">
        <w:rPr>
          <w:b w:val="0"/>
        </w:rPr>
        <w:t>billing</w:t>
      </w:r>
      <w:r w:rsidR="00623C06">
        <w:rPr>
          <w:b w:val="0"/>
        </w:rPr>
        <w:t xml:space="preserve"> </w:t>
      </w:r>
      <w:r w:rsidR="00755994">
        <w:rPr>
          <w:b w:val="0"/>
        </w:rPr>
        <w:t xml:space="preserve">day </w:t>
      </w:r>
      <w:r w:rsidRPr="00FA78E1">
        <w:rPr>
          <w:b w:val="0"/>
        </w:rPr>
        <w:t xml:space="preserve">to an intercept, </w:t>
      </w:r>
      <w:r w:rsidR="00B41BD9">
        <w:rPr>
          <w:b w:val="0"/>
        </w:rPr>
        <w:t>twelve</w:t>
      </w:r>
      <w:r w:rsidRPr="00FA78E1">
        <w:rPr>
          <w:b w:val="0"/>
        </w:rPr>
        <w:t xml:space="preserve"> monthly weather </w:t>
      </w:r>
      <w:r w:rsidR="000718B9">
        <w:rPr>
          <w:b w:val="0"/>
        </w:rPr>
        <w:t xml:space="preserve">interaction </w:t>
      </w:r>
      <w:r w:rsidRPr="00FA78E1">
        <w:rPr>
          <w:b w:val="0"/>
        </w:rPr>
        <w:t xml:space="preserve">variables, and </w:t>
      </w:r>
      <w:r w:rsidR="00B41BD9">
        <w:rPr>
          <w:b w:val="0"/>
        </w:rPr>
        <w:t xml:space="preserve">an energy efficiency </w:t>
      </w:r>
      <w:r w:rsidRPr="00FA78E1">
        <w:rPr>
          <w:b w:val="0"/>
        </w:rPr>
        <w:t xml:space="preserve">variable was developed for the short-term residential energy forecast. </w:t>
      </w:r>
      <w:r w:rsidR="000718B9">
        <w:rPr>
          <w:b w:val="0"/>
        </w:rPr>
        <w:t xml:space="preserve">For the monthly </w:t>
      </w:r>
      <w:r w:rsidR="00FB7D66">
        <w:rPr>
          <w:b w:val="0"/>
        </w:rPr>
        <w:t xml:space="preserve">weather </w:t>
      </w:r>
      <w:r w:rsidR="000718B9">
        <w:rPr>
          <w:b w:val="0"/>
        </w:rPr>
        <w:t xml:space="preserve">interaction variables, </w:t>
      </w:r>
      <w:r w:rsidR="00220022">
        <w:rPr>
          <w:b w:val="0"/>
        </w:rPr>
        <w:t>CDH</w:t>
      </w:r>
      <w:r w:rsidRPr="00FA78E1">
        <w:rPr>
          <w:b w:val="0"/>
        </w:rPr>
        <w:t xml:space="preserve"> </w:t>
      </w:r>
      <w:r w:rsidR="00FB7D66">
        <w:rPr>
          <w:b w:val="0"/>
        </w:rPr>
        <w:t xml:space="preserve">per billing day </w:t>
      </w:r>
      <w:r w:rsidRPr="00FA78E1">
        <w:rPr>
          <w:b w:val="0"/>
        </w:rPr>
        <w:t xml:space="preserve">and </w:t>
      </w:r>
      <w:r w:rsidR="00220022">
        <w:rPr>
          <w:b w:val="0"/>
        </w:rPr>
        <w:t>HDH</w:t>
      </w:r>
      <w:r w:rsidRPr="00FA78E1">
        <w:rPr>
          <w:b w:val="0"/>
        </w:rPr>
        <w:t xml:space="preserve"> </w:t>
      </w:r>
      <w:r w:rsidR="00F453F7">
        <w:rPr>
          <w:b w:val="0"/>
        </w:rPr>
        <w:t xml:space="preserve">per billing day </w:t>
      </w:r>
      <w:r w:rsidRPr="00FA78E1">
        <w:rPr>
          <w:b w:val="0"/>
        </w:rPr>
        <w:t xml:space="preserve">are interacted with </w:t>
      </w:r>
      <w:r w:rsidR="00B41BD9">
        <w:rPr>
          <w:b w:val="0"/>
        </w:rPr>
        <w:t>monthly binary</w:t>
      </w:r>
      <w:r w:rsidR="00B41BD9" w:rsidRPr="00FA78E1">
        <w:rPr>
          <w:b w:val="0"/>
        </w:rPr>
        <w:t xml:space="preserve"> </w:t>
      </w:r>
      <w:r w:rsidRPr="00FA78E1">
        <w:rPr>
          <w:b w:val="0"/>
        </w:rPr>
        <w:t xml:space="preserve">variables to better distinguish their impact on the residential class at various times of the year. </w:t>
      </w:r>
    </w:p>
    <w:p w14:paraId="67C65875" w14:textId="77777777" w:rsidR="00FA78E1" w:rsidRPr="00FA78E1" w:rsidRDefault="00FA78E1" w:rsidP="00665881">
      <w:pPr>
        <w:pStyle w:val="BodyText"/>
        <w:spacing w:line="360" w:lineRule="auto"/>
        <w:jc w:val="both"/>
        <w:rPr>
          <w:b w:val="0"/>
        </w:rPr>
      </w:pPr>
    </w:p>
    <w:p w14:paraId="3DCD1E14" w14:textId="73CC7DAE" w:rsidR="004E452E" w:rsidRDefault="00FA78E1" w:rsidP="001C01E2">
      <w:pPr>
        <w:pStyle w:val="BodyTextIndent"/>
        <w:keepNext/>
        <w:widowControl w:val="0"/>
        <w:spacing w:line="360" w:lineRule="auto"/>
        <w:ind w:left="0"/>
        <w:jc w:val="both"/>
      </w:pPr>
      <w:r w:rsidRPr="004E452E">
        <w:t>The forecast of residential use</w:t>
      </w:r>
      <w:r w:rsidR="00623C06" w:rsidRPr="004E452E">
        <w:t xml:space="preserve"> </w:t>
      </w:r>
      <w:r w:rsidRPr="004E452E">
        <w:t>per</w:t>
      </w:r>
      <w:r w:rsidR="00623C06" w:rsidRPr="004E452E">
        <w:t xml:space="preserve"> </w:t>
      </w:r>
      <w:r w:rsidRPr="004E452E">
        <w:t>customer</w:t>
      </w:r>
      <w:r w:rsidR="00623C06" w:rsidRPr="004E452E">
        <w:t xml:space="preserve"> </w:t>
      </w:r>
      <w:r w:rsidR="00755994" w:rsidRPr="004E452E">
        <w:t>per</w:t>
      </w:r>
      <w:r w:rsidR="00623C06" w:rsidRPr="004E452E">
        <w:t xml:space="preserve"> </w:t>
      </w:r>
      <w:r w:rsidR="00755994" w:rsidRPr="004E452E">
        <w:t>billing</w:t>
      </w:r>
      <w:r w:rsidR="00623C06" w:rsidRPr="004E452E">
        <w:t xml:space="preserve"> </w:t>
      </w:r>
      <w:r w:rsidR="00755994" w:rsidRPr="004E452E">
        <w:t>day</w:t>
      </w:r>
      <w:r w:rsidRPr="004E452E">
        <w:t xml:space="preserve"> is multiplied by </w:t>
      </w:r>
      <w:r w:rsidR="00C112B5" w:rsidRPr="004E452E">
        <w:t xml:space="preserve">the </w:t>
      </w:r>
      <w:r w:rsidR="0041325F" w:rsidRPr="004E452E">
        <w:t>forecaste</w:t>
      </w:r>
      <w:r w:rsidR="00C112B5" w:rsidRPr="004E452E">
        <w:t>d</w:t>
      </w:r>
      <w:r w:rsidR="0041325F" w:rsidRPr="004E452E">
        <w:t xml:space="preserve"> number of billing days and the </w:t>
      </w:r>
      <w:r w:rsidR="00C112B5" w:rsidRPr="004E452E">
        <w:t>forecast</w:t>
      </w:r>
      <w:r w:rsidR="008A6DFA">
        <w:t>ed number</w:t>
      </w:r>
      <w:r w:rsidR="00C112B5" w:rsidRPr="004E452E">
        <w:t xml:space="preserve"> of </w:t>
      </w:r>
      <w:r w:rsidRPr="004E452E">
        <w:t>customers</w:t>
      </w:r>
      <w:r w:rsidR="00F421EC" w:rsidRPr="004E452E">
        <w:t xml:space="preserve"> </w:t>
      </w:r>
      <w:r w:rsidRPr="004E452E">
        <w:t xml:space="preserve">to get forecasted residential </w:t>
      </w:r>
      <w:r w:rsidR="00F7209D" w:rsidRPr="004E452E">
        <w:t xml:space="preserve">billed </w:t>
      </w:r>
      <w:r w:rsidRPr="004E452E">
        <w:t>energy sales. Table 4.1.1-1 contains a summary of the parameter estimates and statistics for the short-term residential energy model.</w:t>
      </w:r>
    </w:p>
    <w:p w14:paraId="733B0614" w14:textId="77777777" w:rsidR="004E452E" w:rsidRPr="004E452E" w:rsidRDefault="004E452E" w:rsidP="00A32ED3">
      <w:pPr>
        <w:pStyle w:val="BodyTextIndent"/>
        <w:keepNext/>
        <w:widowControl w:val="0"/>
        <w:spacing w:line="360" w:lineRule="auto"/>
        <w:ind w:left="0"/>
        <w:jc w:val="left"/>
      </w:pPr>
    </w:p>
    <w:p w14:paraId="5D7AFAE9" w14:textId="7E3278C1" w:rsidR="009E4B16" w:rsidRDefault="00FA78E1" w:rsidP="00A32ED3">
      <w:pPr>
        <w:pStyle w:val="BodyTextIndent"/>
        <w:keepNext/>
        <w:widowControl w:val="0"/>
        <w:spacing w:line="360" w:lineRule="auto"/>
        <w:ind w:left="0"/>
        <w:jc w:val="left"/>
        <w:rPr>
          <w:b/>
        </w:rPr>
      </w:pPr>
      <w:r w:rsidRPr="00FA78E1">
        <w:rPr>
          <w:b/>
        </w:rPr>
        <w:t xml:space="preserve">Table 4.1.1-1 </w:t>
      </w:r>
      <w:r w:rsidRPr="00D01D52">
        <w:rPr>
          <w:b/>
        </w:rPr>
        <w:t>Residential Use per Customer</w:t>
      </w:r>
      <w:r w:rsidR="00C112B5" w:rsidRPr="00D01D52">
        <w:rPr>
          <w:b/>
        </w:rPr>
        <w:t xml:space="preserve"> per Billing Day</w:t>
      </w:r>
    </w:p>
    <w:p w14:paraId="714F6CC9" w14:textId="77777777" w:rsidR="004E452E" w:rsidRDefault="004E452E" w:rsidP="00A32ED3">
      <w:pPr>
        <w:pStyle w:val="BodyTextIndent"/>
        <w:keepNext/>
        <w:widowControl w:val="0"/>
        <w:spacing w:line="360" w:lineRule="auto"/>
        <w:ind w:left="0"/>
        <w:jc w:val="left"/>
      </w:pPr>
    </w:p>
    <w:p w14:paraId="51F89EF3" w14:textId="77777777" w:rsidR="00FA78E1" w:rsidRPr="00017F25" w:rsidRDefault="00017F25" w:rsidP="00A32ED3">
      <w:pPr>
        <w:pStyle w:val="BodyTextIndent"/>
        <w:keepNext/>
        <w:widowControl w:val="0"/>
        <w:spacing w:after="0"/>
        <w:ind w:left="0"/>
        <w:rPr>
          <w:b/>
        </w:rPr>
      </w:pPr>
      <w:r w:rsidRPr="00017F25">
        <w:rPr>
          <w:b/>
        </w:rPr>
        <w:t>Short-Term Model</w:t>
      </w:r>
    </w:p>
    <w:p w14:paraId="49F6B61B" w14:textId="3A651CE9" w:rsidR="00017F25" w:rsidRDefault="00017F25" w:rsidP="00A32ED3">
      <w:pPr>
        <w:pStyle w:val="BodyTextIndent"/>
        <w:keepNext/>
        <w:widowControl w:val="0"/>
        <w:spacing w:after="0"/>
        <w:ind w:left="0"/>
        <w:rPr>
          <w:b/>
        </w:rPr>
      </w:pPr>
      <w:r w:rsidRPr="00017F25">
        <w:rPr>
          <w:b/>
        </w:rPr>
        <w:t xml:space="preserve">Budget </w:t>
      </w:r>
      <w:r w:rsidR="00DE5675" w:rsidRPr="00017F25">
        <w:rPr>
          <w:b/>
        </w:rPr>
        <w:t>20</w:t>
      </w:r>
      <w:r w:rsidR="00DE5675">
        <w:rPr>
          <w:b/>
        </w:rPr>
        <w:t>19</w:t>
      </w:r>
    </w:p>
    <w:p w14:paraId="18B4FDE2" w14:textId="2542B66C" w:rsidR="00A32ED3" w:rsidRDefault="00A32ED3" w:rsidP="00A32ED3">
      <w:pPr>
        <w:pStyle w:val="BodyTextIndent"/>
        <w:keepNext/>
        <w:widowControl w:val="0"/>
        <w:spacing w:after="0"/>
        <w:ind w:left="0"/>
        <w:rPr>
          <w:b/>
        </w:rPr>
      </w:pPr>
    </w:p>
    <w:p w14:paraId="0B5D2128" w14:textId="65744E63" w:rsidR="00D30BF2" w:rsidRDefault="001E4DCA" w:rsidP="00A32ED3">
      <w:pPr>
        <w:pStyle w:val="BodyTextIndent"/>
        <w:keepNext/>
        <w:widowControl w:val="0"/>
        <w:spacing w:after="0"/>
        <w:ind w:left="0"/>
        <w:rPr>
          <w:b/>
        </w:rPr>
      </w:pPr>
      <w:r w:rsidRPr="001E4DCA">
        <w:rPr>
          <w:b/>
          <w:noProof/>
        </w:rPr>
        <w:drawing>
          <wp:inline distT="0" distB="0" distL="0" distR="0" wp14:anchorId="57F26321" wp14:editId="2BD35518">
            <wp:extent cx="4229100" cy="4010025"/>
            <wp:effectExtent l="0" t="0" r="0" b="952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229100" cy="4010025"/>
                    </a:xfrm>
                    <a:prstGeom prst="rect">
                      <a:avLst/>
                    </a:prstGeom>
                    <a:noFill/>
                    <a:ln>
                      <a:noFill/>
                    </a:ln>
                  </pic:spPr>
                </pic:pic>
              </a:graphicData>
            </a:graphic>
          </wp:inline>
        </w:drawing>
      </w:r>
    </w:p>
    <w:p w14:paraId="70E95752" w14:textId="77777777" w:rsidR="004251E1" w:rsidRDefault="004251E1" w:rsidP="00A32ED3">
      <w:pPr>
        <w:pStyle w:val="BodyTextIndent"/>
        <w:keepNext/>
        <w:widowControl w:val="0"/>
        <w:spacing w:after="0"/>
        <w:ind w:left="0"/>
        <w:rPr>
          <w:b/>
        </w:rPr>
      </w:pPr>
    </w:p>
    <w:p w14:paraId="727C72EF" w14:textId="26F7F963" w:rsidR="00FA78E1" w:rsidRDefault="00FA78E1" w:rsidP="00A32ED3">
      <w:pPr>
        <w:pStyle w:val="BodyTextIndent"/>
        <w:keepNext/>
        <w:widowControl w:val="0"/>
        <w:spacing w:line="360" w:lineRule="auto"/>
        <w:ind w:left="0"/>
      </w:pPr>
    </w:p>
    <w:p w14:paraId="2B521EA1" w14:textId="77777777" w:rsidR="00017F25" w:rsidRDefault="00017F25" w:rsidP="00FA78E1">
      <w:pPr>
        <w:pStyle w:val="BodyTextIndent"/>
        <w:spacing w:line="360" w:lineRule="auto"/>
        <w:ind w:left="0"/>
        <w:jc w:val="left"/>
        <w:rPr>
          <w:b/>
        </w:rPr>
      </w:pPr>
    </w:p>
    <w:p w14:paraId="086DDE3C" w14:textId="77777777" w:rsidR="00755994" w:rsidRDefault="00755994" w:rsidP="00A32ED3">
      <w:pPr>
        <w:pStyle w:val="BodyTextIndent"/>
        <w:keepNext/>
        <w:widowControl w:val="0"/>
        <w:spacing w:line="360" w:lineRule="auto"/>
        <w:ind w:left="0"/>
        <w:jc w:val="left"/>
        <w:rPr>
          <w:b/>
        </w:rPr>
      </w:pPr>
      <w:r w:rsidRPr="00755994">
        <w:rPr>
          <w:b/>
        </w:rPr>
        <w:t>Where:</w:t>
      </w:r>
      <w:bookmarkStart w:id="192" w:name="_Toc503665754"/>
      <w:bookmarkStart w:id="193" w:name="_Toc112219381"/>
      <w:bookmarkStart w:id="194" w:name="_Toc347120383"/>
    </w:p>
    <w:p w14:paraId="79F34BCE" w14:textId="12270689" w:rsidR="00653602" w:rsidRDefault="00D30BF2" w:rsidP="00A32ED3">
      <w:pPr>
        <w:pStyle w:val="BodyTextIndent"/>
        <w:keepNext/>
        <w:widowControl w:val="0"/>
        <w:spacing w:line="360" w:lineRule="auto"/>
        <w:ind w:left="0"/>
      </w:pPr>
      <w:r w:rsidRPr="00D30BF2">
        <w:rPr>
          <w:noProof/>
        </w:rPr>
        <w:drawing>
          <wp:inline distT="0" distB="0" distL="0" distR="0" wp14:anchorId="3FD97F30" wp14:editId="70478E92">
            <wp:extent cx="5943600" cy="3381426"/>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43600" cy="3381426"/>
                    </a:xfrm>
                    <a:prstGeom prst="rect">
                      <a:avLst/>
                    </a:prstGeom>
                    <a:noFill/>
                    <a:ln>
                      <a:noFill/>
                    </a:ln>
                  </pic:spPr>
                </pic:pic>
              </a:graphicData>
            </a:graphic>
          </wp:inline>
        </w:drawing>
      </w:r>
    </w:p>
    <w:p w14:paraId="05B01DE4" w14:textId="77777777" w:rsidR="00653602" w:rsidRPr="00755994" w:rsidRDefault="00653602" w:rsidP="00653602">
      <w:pPr>
        <w:pStyle w:val="BodyTextIndent"/>
        <w:spacing w:line="360" w:lineRule="auto"/>
        <w:ind w:left="0"/>
        <w:jc w:val="left"/>
      </w:pPr>
    </w:p>
    <w:p w14:paraId="507777A3" w14:textId="77777777" w:rsidR="00FA78E1" w:rsidRPr="00FA78E1" w:rsidRDefault="00FA78E1" w:rsidP="00FA78E1">
      <w:pPr>
        <w:pStyle w:val="Heading2"/>
        <w:jc w:val="left"/>
        <w:rPr>
          <w:rFonts w:ascii="Arial" w:hAnsi="Arial" w:cs="Arial"/>
          <w:b/>
          <w:color w:val="auto"/>
          <w:sz w:val="20"/>
          <w:szCs w:val="20"/>
        </w:rPr>
      </w:pPr>
      <w:bookmarkStart w:id="195" w:name="_Toc535495631"/>
      <w:r w:rsidRPr="00FA78E1">
        <w:rPr>
          <w:rFonts w:ascii="Arial" w:hAnsi="Arial" w:cs="Arial"/>
          <w:b/>
          <w:color w:val="auto"/>
          <w:sz w:val="20"/>
          <w:szCs w:val="20"/>
        </w:rPr>
        <w:t>4.1.2</w:t>
      </w:r>
      <w:r w:rsidRPr="00FA78E1">
        <w:rPr>
          <w:rFonts w:ascii="Arial" w:hAnsi="Arial" w:cs="Arial"/>
          <w:b/>
          <w:color w:val="auto"/>
          <w:sz w:val="20"/>
          <w:szCs w:val="20"/>
        </w:rPr>
        <w:tab/>
        <w:t>Commercial Sales</w:t>
      </w:r>
      <w:bookmarkEnd w:id="192"/>
      <w:bookmarkEnd w:id="193"/>
      <w:bookmarkEnd w:id="194"/>
      <w:bookmarkEnd w:id="195"/>
    </w:p>
    <w:p w14:paraId="123590D1" w14:textId="77777777" w:rsidR="00FA78E1" w:rsidRDefault="00FA78E1" w:rsidP="00FA78E1">
      <w:pPr>
        <w:pStyle w:val="BodyText2"/>
        <w:spacing w:line="360" w:lineRule="auto"/>
        <w:jc w:val="left"/>
        <w:rPr>
          <w:b w:val="0"/>
        </w:rPr>
      </w:pPr>
    </w:p>
    <w:p w14:paraId="2C016B48" w14:textId="11552A41" w:rsidR="00FA78E1" w:rsidRPr="00FA78E1" w:rsidRDefault="00FA78E1" w:rsidP="00FA78E1">
      <w:pPr>
        <w:pStyle w:val="BodyText2"/>
        <w:spacing w:line="360" w:lineRule="auto"/>
        <w:jc w:val="left"/>
        <w:rPr>
          <w:b w:val="0"/>
        </w:rPr>
      </w:pPr>
      <w:r w:rsidRPr="00FA78E1">
        <w:rPr>
          <w:b w:val="0"/>
        </w:rPr>
        <w:t xml:space="preserve">The model of energy sales </w:t>
      </w:r>
      <w:r w:rsidR="002F710D">
        <w:rPr>
          <w:b w:val="0"/>
        </w:rPr>
        <w:t>for</w:t>
      </w:r>
      <w:r w:rsidR="002F710D" w:rsidRPr="00FA78E1">
        <w:rPr>
          <w:b w:val="0"/>
        </w:rPr>
        <w:t xml:space="preserve"> </w:t>
      </w:r>
      <w:r w:rsidRPr="00FA78E1">
        <w:rPr>
          <w:b w:val="0"/>
        </w:rPr>
        <w:t>the commercial class depends on the following factors:</w:t>
      </w:r>
    </w:p>
    <w:p w14:paraId="7D41E335" w14:textId="77777777" w:rsidR="00004B38" w:rsidRDefault="002115C1" w:rsidP="00BC7C3C">
      <w:pPr>
        <w:pStyle w:val="ListBullet4"/>
      </w:pPr>
      <w:r>
        <w:t>Number of customers</w:t>
      </w:r>
    </w:p>
    <w:p w14:paraId="191F4CF4" w14:textId="77777777" w:rsidR="00004B38" w:rsidRPr="003A3426" w:rsidRDefault="00004B38" w:rsidP="00004B38">
      <w:pPr>
        <w:pStyle w:val="ListBullet4"/>
      </w:pPr>
      <w:r w:rsidRPr="00FA78E1">
        <w:t>Number of days in the billing cycle</w:t>
      </w:r>
    </w:p>
    <w:p w14:paraId="4D7D7C53" w14:textId="60D7F8FE" w:rsidR="00FA78E1" w:rsidRDefault="00FA78E1" w:rsidP="00BC7C3C">
      <w:pPr>
        <w:pStyle w:val="ListBullet4"/>
      </w:pPr>
      <w:r w:rsidRPr="003A3426">
        <w:t>Weather</w:t>
      </w:r>
    </w:p>
    <w:p w14:paraId="587805A2" w14:textId="29F7D208" w:rsidR="00004B38" w:rsidRPr="003A3426" w:rsidRDefault="00004B38" w:rsidP="00BC7C3C">
      <w:pPr>
        <w:pStyle w:val="ListBullet4"/>
      </w:pPr>
      <w:r>
        <w:t>Energy efficiency</w:t>
      </w:r>
    </w:p>
    <w:p w14:paraId="5CF5FA0A" w14:textId="77777777" w:rsidR="00FA78E1" w:rsidRPr="003A3426" w:rsidRDefault="00FA78E1" w:rsidP="00FA78E1"/>
    <w:p w14:paraId="63863C67" w14:textId="7C0CE3EC" w:rsidR="00FA78E1" w:rsidRPr="00FA78E1" w:rsidRDefault="00FA78E1" w:rsidP="00665881">
      <w:pPr>
        <w:pStyle w:val="BodyText"/>
        <w:spacing w:line="360" w:lineRule="auto"/>
        <w:jc w:val="both"/>
        <w:rPr>
          <w:b w:val="0"/>
        </w:rPr>
      </w:pPr>
      <w:r w:rsidRPr="00FA78E1">
        <w:rPr>
          <w:b w:val="0"/>
        </w:rPr>
        <w:t>Commercial energy sales (MWh) are projected using a</w:t>
      </w:r>
      <w:r w:rsidR="00004B38">
        <w:rPr>
          <w:b w:val="0"/>
        </w:rPr>
        <w:t xml:space="preserve"> linear regression model that relates </w:t>
      </w:r>
      <w:r w:rsidRPr="00FA78E1">
        <w:rPr>
          <w:b w:val="0"/>
        </w:rPr>
        <w:t>monthly energy</w:t>
      </w:r>
      <w:r w:rsidR="00004B38">
        <w:rPr>
          <w:b w:val="0"/>
        </w:rPr>
        <w:t xml:space="preserve"> use per customer per billing day</w:t>
      </w:r>
      <w:r w:rsidRPr="00FA78E1">
        <w:rPr>
          <w:b w:val="0"/>
        </w:rPr>
        <w:t xml:space="preserve"> </w:t>
      </w:r>
      <w:r w:rsidR="00FB7D66">
        <w:rPr>
          <w:b w:val="0"/>
        </w:rPr>
        <w:t>to</w:t>
      </w:r>
      <w:r w:rsidR="00FB7D66" w:rsidRPr="00FA78E1">
        <w:rPr>
          <w:b w:val="0"/>
        </w:rPr>
        <w:t xml:space="preserve"> </w:t>
      </w:r>
      <w:r w:rsidRPr="00FA78E1">
        <w:rPr>
          <w:b w:val="0"/>
        </w:rPr>
        <w:t xml:space="preserve">independent variables that capture the impacts of varying weather conditions and </w:t>
      </w:r>
      <w:r w:rsidR="00004B38">
        <w:rPr>
          <w:b w:val="0"/>
        </w:rPr>
        <w:t>energy efficiency</w:t>
      </w:r>
      <w:r w:rsidRPr="00FA78E1">
        <w:rPr>
          <w:b w:val="0"/>
        </w:rPr>
        <w:t>.</w:t>
      </w:r>
    </w:p>
    <w:p w14:paraId="2FC83567" w14:textId="77777777" w:rsidR="00FA78E1" w:rsidRPr="00FA78E1" w:rsidRDefault="00FA78E1" w:rsidP="00FA78E1">
      <w:pPr>
        <w:pStyle w:val="BodyText"/>
        <w:spacing w:line="360" w:lineRule="auto"/>
        <w:jc w:val="left"/>
        <w:rPr>
          <w:b w:val="0"/>
        </w:rPr>
      </w:pPr>
    </w:p>
    <w:p w14:paraId="2EB57F2B" w14:textId="74CE40AB" w:rsidR="00FA78E1" w:rsidRPr="00FA78E1" w:rsidRDefault="00623C06" w:rsidP="00665881">
      <w:pPr>
        <w:pStyle w:val="BodyText"/>
        <w:spacing w:line="360" w:lineRule="auto"/>
        <w:jc w:val="both"/>
        <w:rPr>
          <w:b w:val="0"/>
        </w:rPr>
      </w:pPr>
      <w:r>
        <w:rPr>
          <w:b w:val="0"/>
        </w:rPr>
        <w:t>HDH and CDH</w:t>
      </w:r>
      <w:r w:rsidR="00FA78E1" w:rsidRPr="00FA78E1">
        <w:rPr>
          <w:b w:val="0"/>
        </w:rPr>
        <w:t xml:space="preserve"> are used to measure the impact of weather on monthly commercial energy sales. As with the residential class, </w:t>
      </w:r>
      <w:r w:rsidR="00076F70">
        <w:rPr>
          <w:b w:val="0"/>
        </w:rPr>
        <w:t xml:space="preserve">HDH and </w:t>
      </w:r>
      <w:r w:rsidR="00670EB3">
        <w:rPr>
          <w:b w:val="0"/>
        </w:rPr>
        <w:t>CDH</w:t>
      </w:r>
      <w:r w:rsidR="00FA78E1" w:rsidRPr="00FA78E1">
        <w:rPr>
          <w:b w:val="0"/>
        </w:rPr>
        <w:t xml:space="preserve"> are computed as an average of the billing cycles. </w:t>
      </w:r>
      <w:r>
        <w:rPr>
          <w:b w:val="0"/>
        </w:rPr>
        <w:t>HDH</w:t>
      </w:r>
      <w:r w:rsidR="00FA78E1" w:rsidRPr="00A76664">
        <w:rPr>
          <w:b w:val="0"/>
        </w:rPr>
        <w:t xml:space="preserve"> </w:t>
      </w:r>
      <w:r w:rsidR="00FA78E1" w:rsidRPr="00FA78E1">
        <w:rPr>
          <w:b w:val="0"/>
        </w:rPr>
        <w:t>are computed with a 5</w:t>
      </w:r>
      <w:r w:rsidR="00385BA6">
        <w:rPr>
          <w:b w:val="0"/>
        </w:rPr>
        <w:t>1</w:t>
      </w:r>
      <w:r w:rsidR="00B947F1" w:rsidRPr="00FA78E1">
        <w:rPr>
          <w:b w:val="0"/>
        </w:rPr>
        <w:t>°</w:t>
      </w:r>
      <w:r w:rsidR="00CD13F1">
        <w:rPr>
          <w:b w:val="0"/>
        </w:rPr>
        <w:t>F</w:t>
      </w:r>
      <w:r w:rsidR="00FA78E1" w:rsidRPr="00FA78E1">
        <w:rPr>
          <w:b w:val="0"/>
        </w:rPr>
        <w:t xml:space="preserve"> threshold and </w:t>
      </w:r>
      <w:r>
        <w:rPr>
          <w:b w:val="0"/>
        </w:rPr>
        <w:t>CDH</w:t>
      </w:r>
      <w:r w:rsidR="00FA78E1" w:rsidRPr="00A76664">
        <w:rPr>
          <w:b w:val="0"/>
        </w:rPr>
        <w:t xml:space="preserve"> </w:t>
      </w:r>
      <w:r w:rsidR="00FA78E1" w:rsidRPr="00FA78E1">
        <w:rPr>
          <w:b w:val="0"/>
        </w:rPr>
        <w:t>are computed with a 6</w:t>
      </w:r>
      <w:r w:rsidR="00385BA6">
        <w:rPr>
          <w:b w:val="0"/>
        </w:rPr>
        <w:t>2</w:t>
      </w:r>
      <w:r w:rsidR="00B947F1" w:rsidRPr="00FA78E1">
        <w:rPr>
          <w:b w:val="0"/>
        </w:rPr>
        <w:t>°</w:t>
      </w:r>
      <w:r w:rsidR="00FA78E1" w:rsidRPr="00FA78E1">
        <w:rPr>
          <w:b w:val="0"/>
        </w:rPr>
        <w:t xml:space="preserve">F threshold for the commercial class. Degree </w:t>
      </w:r>
      <w:r w:rsidR="00F453F7">
        <w:rPr>
          <w:b w:val="0"/>
        </w:rPr>
        <w:t>hour</w:t>
      </w:r>
      <w:r w:rsidR="00FA78E1" w:rsidRPr="00FA78E1">
        <w:rPr>
          <w:b w:val="0"/>
        </w:rPr>
        <w:t xml:space="preserve">s are averaged over </w:t>
      </w:r>
      <w:r w:rsidR="00385BA6">
        <w:rPr>
          <w:b w:val="0"/>
        </w:rPr>
        <w:t>t</w:t>
      </w:r>
      <w:r w:rsidR="00385BA6" w:rsidRPr="00FA78E1">
        <w:rPr>
          <w:b w:val="0"/>
        </w:rPr>
        <w:t xml:space="preserve">en </w:t>
      </w:r>
      <w:r w:rsidR="00FA78E1" w:rsidRPr="00FA78E1">
        <w:rPr>
          <w:b w:val="0"/>
        </w:rPr>
        <w:t xml:space="preserve">U.S. Weather Bureau stations, and the temperatures at the weather stations are weighted by the commercial energy use in the Georgia Power regions that are mapped to the </w:t>
      </w:r>
      <w:r w:rsidR="00385BA6">
        <w:rPr>
          <w:b w:val="0"/>
        </w:rPr>
        <w:t>t</w:t>
      </w:r>
      <w:r w:rsidR="00385BA6" w:rsidRPr="00FA78E1">
        <w:rPr>
          <w:b w:val="0"/>
        </w:rPr>
        <w:t xml:space="preserve">en </w:t>
      </w:r>
      <w:r w:rsidR="00FA78E1" w:rsidRPr="00FA78E1">
        <w:rPr>
          <w:b w:val="0"/>
        </w:rPr>
        <w:t>weather stations.</w:t>
      </w:r>
    </w:p>
    <w:p w14:paraId="03DC6ACB" w14:textId="77777777" w:rsidR="00FA78E1" w:rsidRDefault="00FA78E1" w:rsidP="00665881">
      <w:pPr>
        <w:pStyle w:val="BodyText"/>
        <w:spacing w:line="360" w:lineRule="auto"/>
        <w:jc w:val="both"/>
        <w:rPr>
          <w:b w:val="0"/>
          <w:highlight w:val="yellow"/>
        </w:rPr>
      </w:pPr>
    </w:p>
    <w:p w14:paraId="39F99CE0" w14:textId="72BC7A42" w:rsidR="000621D2" w:rsidRDefault="00385BA6" w:rsidP="00665881">
      <w:pPr>
        <w:pStyle w:val="BodyText"/>
        <w:spacing w:line="360" w:lineRule="auto"/>
        <w:jc w:val="both"/>
        <w:rPr>
          <w:b w:val="0"/>
        </w:rPr>
      </w:pPr>
      <w:r>
        <w:rPr>
          <w:b w:val="0"/>
        </w:rPr>
        <w:t>Similar to</w:t>
      </w:r>
      <w:r w:rsidR="000621D2">
        <w:rPr>
          <w:b w:val="0"/>
        </w:rPr>
        <w:t xml:space="preserve"> the residential model, t</w:t>
      </w:r>
      <w:r w:rsidR="000621D2" w:rsidRPr="00FA78E1">
        <w:rPr>
          <w:b w:val="0"/>
        </w:rPr>
        <w:t>h</w:t>
      </w:r>
      <w:r w:rsidR="000621D2">
        <w:rPr>
          <w:b w:val="0"/>
        </w:rPr>
        <w:t>e</w:t>
      </w:r>
      <w:r w:rsidR="000621D2" w:rsidRPr="00FA78E1">
        <w:rPr>
          <w:b w:val="0"/>
        </w:rPr>
        <w:t xml:space="preserve"> </w:t>
      </w:r>
      <w:r w:rsidR="000621D2">
        <w:rPr>
          <w:b w:val="0"/>
        </w:rPr>
        <w:t>impact o</w:t>
      </w:r>
      <w:r w:rsidR="000621D2" w:rsidRPr="00FA78E1">
        <w:rPr>
          <w:b w:val="0"/>
        </w:rPr>
        <w:t xml:space="preserve">n sales </w:t>
      </w:r>
      <w:r w:rsidR="000621D2">
        <w:rPr>
          <w:b w:val="0"/>
        </w:rPr>
        <w:t xml:space="preserve">resulting from the variation in the length of the billing period </w:t>
      </w:r>
      <w:r w:rsidR="000621D2" w:rsidRPr="00FA78E1">
        <w:rPr>
          <w:b w:val="0"/>
        </w:rPr>
        <w:t xml:space="preserve">is addressed by </w:t>
      </w:r>
      <w:r w:rsidR="000621D2">
        <w:rPr>
          <w:b w:val="0"/>
        </w:rPr>
        <w:t xml:space="preserve">dividing </w:t>
      </w:r>
      <w:r w:rsidR="00CD13F1">
        <w:rPr>
          <w:b w:val="0"/>
        </w:rPr>
        <w:t xml:space="preserve">the </w:t>
      </w:r>
      <w:r w:rsidR="000621D2">
        <w:rPr>
          <w:b w:val="0"/>
        </w:rPr>
        <w:t xml:space="preserve">commercial energy </w:t>
      </w:r>
      <w:r>
        <w:rPr>
          <w:b w:val="0"/>
        </w:rPr>
        <w:t>use</w:t>
      </w:r>
      <w:r w:rsidR="00CD13F1">
        <w:rPr>
          <w:b w:val="0"/>
        </w:rPr>
        <w:t xml:space="preserve"> </w:t>
      </w:r>
      <w:r>
        <w:rPr>
          <w:b w:val="0"/>
        </w:rPr>
        <w:t xml:space="preserve">per customer </w:t>
      </w:r>
      <w:r w:rsidR="000621D2">
        <w:rPr>
          <w:b w:val="0"/>
        </w:rPr>
        <w:t>(dependent) variable and the degree hour seasonal interaction terms by the number of billing days.</w:t>
      </w:r>
    </w:p>
    <w:p w14:paraId="380420E1" w14:textId="77777777" w:rsidR="000621D2" w:rsidRPr="00FA78E1" w:rsidRDefault="000621D2" w:rsidP="00665881">
      <w:pPr>
        <w:pStyle w:val="BodyText"/>
        <w:spacing w:line="360" w:lineRule="auto"/>
        <w:jc w:val="both"/>
        <w:rPr>
          <w:b w:val="0"/>
          <w:highlight w:val="yellow"/>
        </w:rPr>
      </w:pPr>
    </w:p>
    <w:p w14:paraId="116E39F9" w14:textId="433DC146" w:rsidR="00FA78E1" w:rsidRPr="00FA78E1" w:rsidRDefault="00FA78E1" w:rsidP="00665881">
      <w:pPr>
        <w:pStyle w:val="BodyText"/>
        <w:spacing w:line="360" w:lineRule="auto"/>
        <w:jc w:val="both"/>
        <w:rPr>
          <w:b w:val="0"/>
        </w:rPr>
      </w:pPr>
      <w:r w:rsidRPr="00FA78E1">
        <w:rPr>
          <w:b w:val="0"/>
        </w:rPr>
        <w:t xml:space="preserve">The regression model relates monthly commercial energy sales </w:t>
      </w:r>
      <w:r w:rsidR="00F453F7">
        <w:rPr>
          <w:b w:val="0"/>
        </w:rPr>
        <w:t xml:space="preserve">per billing day </w:t>
      </w:r>
      <w:r w:rsidRPr="00FA78E1">
        <w:rPr>
          <w:b w:val="0"/>
        </w:rPr>
        <w:t>to</w:t>
      </w:r>
      <w:r w:rsidR="00385BA6">
        <w:rPr>
          <w:b w:val="0"/>
        </w:rPr>
        <w:t xml:space="preserve"> an intercept, </w:t>
      </w:r>
      <w:r w:rsidR="00F453F7">
        <w:rPr>
          <w:b w:val="0"/>
        </w:rPr>
        <w:t>twelve</w:t>
      </w:r>
      <w:r w:rsidR="0056715D">
        <w:rPr>
          <w:b w:val="0"/>
        </w:rPr>
        <w:t xml:space="preserve"> monthly </w:t>
      </w:r>
      <w:r w:rsidR="00FB7D66">
        <w:rPr>
          <w:b w:val="0"/>
        </w:rPr>
        <w:t xml:space="preserve">weather </w:t>
      </w:r>
      <w:r w:rsidR="00F453F7">
        <w:rPr>
          <w:b w:val="0"/>
        </w:rPr>
        <w:t xml:space="preserve">interaction terms </w:t>
      </w:r>
      <w:r w:rsidR="0041325F">
        <w:rPr>
          <w:b w:val="0"/>
        </w:rPr>
        <w:t xml:space="preserve">that are </w:t>
      </w:r>
      <w:r w:rsidR="00F453F7">
        <w:rPr>
          <w:b w:val="0"/>
        </w:rPr>
        <w:t>divided by the number of billing days</w:t>
      </w:r>
      <w:r w:rsidR="0056715D">
        <w:rPr>
          <w:b w:val="0"/>
        </w:rPr>
        <w:t>, and an energy efficiency variable</w:t>
      </w:r>
      <w:r w:rsidRPr="00FA78E1">
        <w:rPr>
          <w:b w:val="0"/>
        </w:rPr>
        <w:t xml:space="preserve">. </w:t>
      </w:r>
      <w:r w:rsidR="008877D8">
        <w:rPr>
          <w:b w:val="0"/>
        </w:rPr>
        <w:t>The monthly weather interaction variables</w:t>
      </w:r>
      <w:r w:rsidR="00463AA8">
        <w:rPr>
          <w:b w:val="0"/>
        </w:rPr>
        <w:t xml:space="preserve"> are calculated by multiplying the</w:t>
      </w:r>
      <w:r w:rsidR="008877D8">
        <w:rPr>
          <w:b w:val="0"/>
        </w:rPr>
        <w:t xml:space="preserve"> CDH</w:t>
      </w:r>
      <w:r w:rsidR="008877D8" w:rsidRPr="00FA78E1">
        <w:rPr>
          <w:b w:val="0"/>
        </w:rPr>
        <w:t xml:space="preserve"> </w:t>
      </w:r>
      <w:r w:rsidR="008877D8">
        <w:rPr>
          <w:b w:val="0"/>
        </w:rPr>
        <w:t xml:space="preserve">per billing day </w:t>
      </w:r>
      <w:r w:rsidR="008877D8" w:rsidRPr="00FA78E1">
        <w:rPr>
          <w:b w:val="0"/>
        </w:rPr>
        <w:t xml:space="preserve">and </w:t>
      </w:r>
      <w:r w:rsidR="008877D8">
        <w:rPr>
          <w:b w:val="0"/>
        </w:rPr>
        <w:t>HDH</w:t>
      </w:r>
      <w:r w:rsidR="008877D8" w:rsidRPr="00FA78E1">
        <w:rPr>
          <w:b w:val="0"/>
        </w:rPr>
        <w:t xml:space="preserve"> </w:t>
      </w:r>
      <w:r w:rsidR="008877D8">
        <w:rPr>
          <w:b w:val="0"/>
        </w:rPr>
        <w:t xml:space="preserve">per billing day </w:t>
      </w:r>
      <w:r w:rsidR="008877D8" w:rsidRPr="00FA78E1">
        <w:rPr>
          <w:b w:val="0"/>
        </w:rPr>
        <w:t xml:space="preserve">with </w:t>
      </w:r>
      <w:r w:rsidR="008877D8">
        <w:rPr>
          <w:b w:val="0"/>
        </w:rPr>
        <w:t>monthly binary</w:t>
      </w:r>
      <w:r w:rsidR="008877D8" w:rsidRPr="00FA78E1">
        <w:rPr>
          <w:b w:val="0"/>
        </w:rPr>
        <w:t xml:space="preserve"> variables</w:t>
      </w:r>
      <w:r w:rsidR="00463AA8">
        <w:rPr>
          <w:b w:val="0"/>
        </w:rPr>
        <w:t xml:space="preserve">. This helps </w:t>
      </w:r>
      <w:r w:rsidR="008877D8" w:rsidRPr="00FA78E1">
        <w:rPr>
          <w:b w:val="0"/>
        </w:rPr>
        <w:t xml:space="preserve">distinguish </w:t>
      </w:r>
      <w:r w:rsidR="00463AA8">
        <w:rPr>
          <w:b w:val="0"/>
        </w:rPr>
        <w:t>the</w:t>
      </w:r>
      <w:r w:rsidR="008877D8" w:rsidRPr="00FA78E1">
        <w:rPr>
          <w:b w:val="0"/>
        </w:rPr>
        <w:t xml:space="preserve"> impact</w:t>
      </w:r>
      <w:r w:rsidR="00463AA8">
        <w:rPr>
          <w:b w:val="0"/>
        </w:rPr>
        <w:t xml:space="preserve"> of HDH and CDH </w:t>
      </w:r>
      <w:r w:rsidR="008877D8" w:rsidRPr="00FA78E1">
        <w:rPr>
          <w:b w:val="0"/>
        </w:rPr>
        <w:t xml:space="preserve">on the </w:t>
      </w:r>
      <w:r w:rsidR="00463AA8">
        <w:rPr>
          <w:b w:val="0"/>
        </w:rPr>
        <w:t>commerc</w:t>
      </w:r>
      <w:r w:rsidR="008877D8" w:rsidRPr="00FA78E1">
        <w:rPr>
          <w:b w:val="0"/>
        </w:rPr>
        <w:t>ial class at various times of the year.</w:t>
      </w:r>
      <w:r w:rsidR="006D26FE">
        <w:rPr>
          <w:b w:val="0"/>
        </w:rPr>
        <w:t xml:space="preserve"> </w:t>
      </w:r>
    </w:p>
    <w:p w14:paraId="4CB2BDF4" w14:textId="77777777" w:rsidR="00FA78E1" w:rsidRDefault="00FA78E1" w:rsidP="00665881">
      <w:pPr>
        <w:pStyle w:val="BodyText"/>
        <w:spacing w:line="360" w:lineRule="auto"/>
        <w:jc w:val="both"/>
        <w:rPr>
          <w:b w:val="0"/>
        </w:rPr>
      </w:pPr>
    </w:p>
    <w:p w14:paraId="002E11D6" w14:textId="69DD77FC" w:rsidR="00FA78E1" w:rsidRDefault="00B509F9" w:rsidP="00B509F9">
      <w:pPr>
        <w:pStyle w:val="BodyText"/>
        <w:spacing w:line="360" w:lineRule="auto"/>
        <w:jc w:val="both"/>
        <w:rPr>
          <w:b w:val="0"/>
        </w:rPr>
      </w:pPr>
      <w:r w:rsidRPr="00FA78E1">
        <w:rPr>
          <w:b w:val="0"/>
        </w:rPr>
        <w:t xml:space="preserve">The forecast of </w:t>
      </w:r>
      <w:r>
        <w:rPr>
          <w:b w:val="0"/>
        </w:rPr>
        <w:t>commerc</w:t>
      </w:r>
      <w:r w:rsidRPr="00FA78E1">
        <w:rPr>
          <w:b w:val="0"/>
        </w:rPr>
        <w:t xml:space="preserve">ial </w:t>
      </w:r>
      <w:r>
        <w:rPr>
          <w:b w:val="0"/>
        </w:rPr>
        <w:t>energy sales per billing day</w:t>
      </w:r>
      <w:r w:rsidRPr="00FA78E1">
        <w:rPr>
          <w:b w:val="0"/>
        </w:rPr>
        <w:t xml:space="preserve"> is multiplied by </w:t>
      </w:r>
      <w:r>
        <w:rPr>
          <w:b w:val="0"/>
        </w:rPr>
        <w:t xml:space="preserve">the forecasted number of billing days </w:t>
      </w:r>
      <w:r w:rsidR="0056715D">
        <w:rPr>
          <w:b w:val="0"/>
        </w:rPr>
        <w:t xml:space="preserve">and the number of customers </w:t>
      </w:r>
      <w:r w:rsidRPr="00FA78E1">
        <w:rPr>
          <w:b w:val="0"/>
        </w:rPr>
        <w:t xml:space="preserve">to get forecasted </w:t>
      </w:r>
      <w:r>
        <w:rPr>
          <w:b w:val="0"/>
        </w:rPr>
        <w:t xml:space="preserve">commercial billed </w:t>
      </w:r>
      <w:r w:rsidRPr="00FA78E1">
        <w:rPr>
          <w:b w:val="0"/>
        </w:rPr>
        <w:t xml:space="preserve">energy sales. </w:t>
      </w:r>
      <w:r w:rsidR="00FA78E1" w:rsidRPr="00FA78E1">
        <w:rPr>
          <w:b w:val="0"/>
        </w:rPr>
        <w:t xml:space="preserve">A summary of parameter estimates and statistics for the short-term commercial energy model </w:t>
      </w:r>
      <w:r w:rsidR="002F710D">
        <w:rPr>
          <w:b w:val="0"/>
        </w:rPr>
        <w:t>is</w:t>
      </w:r>
      <w:r w:rsidR="00FA78E1" w:rsidRPr="00FA78E1">
        <w:rPr>
          <w:b w:val="0"/>
        </w:rPr>
        <w:t xml:space="preserve"> found in Table 4.1.2-1.</w:t>
      </w:r>
    </w:p>
    <w:p w14:paraId="741B8DDA" w14:textId="1142BA0F" w:rsidR="00FA78E1" w:rsidRDefault="00FA78E1" w:rsidP="005E0B9B">
      <w:pPr>
        <w:pStyle w:val="BodyText2"/>
        <w:keepNext/>
        <w:widowControl w:val="0"/>
        <w:spacing w:line="360" w:lineRule="auto"/>
        <w:jc w:val="left"/>
      </w:pPr>
      <w:r w:rsidRPr="00FA78E1">
        <w:t xml:space="preserve">Table 4.1.2-1: </w:t>
      </w:r>
      <w:r w:rsidRPr="00B66236">
        <w:t xml:space="preserve">Commercial </w:t>
      </w:r>
      <w:r w:rsidR="0022134D">
        <w:t>Use per Customer</w:t>
      </w:r>
      <w:r w:rsidR="00F7209D" w:rsidRPr="00B66236">
        <w:t xml:space="preserve"> per Billing Day</w:t>
      </w:r>
    </w:p>
    <w:p w14:paraId="47E882E7" w14:textId="77777777" w:rsidR="00AC2049" w:rsidRDefault="00AC2049" w:rsidP="005E0B9B">
      <w:pPr>
        <w:pStyle w:val="BodyText2"/>
        <w:keepNext/>
        <w:widowControl w:val="0"/>
        <w:spacing w:line="360" w:lineRule="auto"/>
        <w:jc w:val="left"/>
        <w:rPr>
          <w:b w:val="0"/>
        </w:rPr>
      </w:pPr>
    </w:p>
    <w:p w14:paraId="601DDEEA" w14:textId="77777777" w:rsidR="00017F25" w:rsidRPr="00017F25" w:rsidRDefault="00017F25" w:rsidP="005E0B9B">
      <w:pPr>
        <w:pStyle w:val="BodyTextIndent"/>
        <w:keepNext/>
        <w:keepLines/>
        <w:widowControl w:val="0"/>
        <w:spacing w:after="0"/>
        <w:ind w:left="0"/>
        <w:rPr>
          <w:b/>
        </w:rPr>
      </w:pPr>
      <w:r w:rsidRPr="00017F25">
        <w:rPr>
          <w:b/>
        </w:rPr>
        <w:t>Short-Term Model</w:t>
      </w:r>
    </w:p>
    <w:p w14:paraId="74FDA539" w14:textId="3DF2AD43" w:rsidR="00017F25" w:rsidRDefault="00017F25" w:rsidP="005E0B9B">
      <w:pPr>
        <w:pStyle w:val="BodyTextIndent"/>
        <w:keepNext/>
        <w:keepLines/>
        <w:widowControl w:val="0"/>
        <w:spacing w:after="0"/>
        <w:ind w:left="0"/>
        <w:rPr>
          <w:b/>
        </w:rPr>
      </w:pPr>
      <w:r w:rsidRPr="00017F25">
        <w:rPr>
          <w:b/>
        </w:rPr>
        <w:t xml:space="preserve">Budget </w:t>
      </w:r>
      <w:r w:rsidR="00D30BF2" w:rsidRPr="00017F25">
        <w:rPr>
          <w:b/>
        </w:rPr>
        <w:t>20</w:t>
      </w:r>
      <w:r w:rsidR="00D30BF2">
        <w:rPr>
          <w:b/>
        </w:rPr>
        <w:t>19</w:t>
      </w:r>
    </w:p>
    <w:p w14:paraId="41B88354" w14:textId="5DFF35C1" w:rsidR="00017F25" w:rsidRDefault="00017F25" w:rsidP="005E0B9B">
      <w:pPr>
        <w:pStyle w:val="BodyTextIndent"/>
        <w:keepNext/>
        <w:keepLines/>
        <w:widowControl w:val="0"/>
        <w:spacing w:after="0"/>
        <w:ind w:left="0"/>
      </w:pPr>
    </w:p>
    <w:p w14:paraId="22BE0D53" w14:textId="2952EFF6" w:rsidR="00D30BF2" w:rsidRDefault="008D321C" w:rsidP="005E0B9B">
      <w:pPr>
        <w:pStyle w:val="BodyTextIndent"/>
        <w:keepNext/>
        <w:keepLines/>
        <w:widowControl w:val="0"/>
        <w:spacing w:after="0"/>
        <w:ind w:left="0"/>
      </w:pPr>
      <w:r w:rsidRPr="008D321C">
        <w:rPr>
          <w:noProof/>
        </w:rPr>
        <w:drawing>
          <wp:inline distT="0" distB="0" distL="0" distR="0" wp14:anchorId="50BC5E58" wp14:editId="32A2C456">
            <wp:extent cx="4229100" cy="427672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229100" cy="4276725"/>
                    </a:xfrm>
                    <a:prstGeom prst="rect">
                      <a:avLst/>
                    </a:prstGeom>
                    <a:noFill/>
                    <a:ln>
                      <a:noFill/>
                    </a:ln>
                  </pic:spPr>
                </pic:pic>
              </a:graphicData>
            </a:graphic>
          </wp:inline>
        </w:drawing>
      </w:r>
    </w:p>
    <w:p w14:paraId="5E92FEA9" w14:textId="21EDB8E9" w:rsidR="00653602" w:rsidRDefault="00653602" w:rsidP="005E0B9B">
      <w:pPr>
        <w:pStyle w:val="BodyText2"/>
        <w:keepNext/>
        <w:keepLines/>
        <w:widowControl w:val="0"/>
        <w:spacing w:line="360" w:lineRule="auto"/>
      </w:pPr>
    </w:p>
    <w:p w14:paraId="48408EBB" w14:textId="77777777" w:rsidR="00653602" w:rsidRDefault="00653602" w:rsidP="00653602">
      <w:pPr>
        <w:pStyle w:val="BodyText2"/>
        <w:spacing w:line="360" w:lineRule="auto"/>
        <w:jc w:val="left"/>
      </w:pPr>
    </w:p>
    <w:p w14:paraId="623820DB" w14:textId="7BCD7838" w:rsidR="00653602" w:rsidRDefault="00C93F6F" w:rsidP="00AC2049">
      <w:pPr>
        <w:pStyle w:val="BodyText2"/>
        <w:keepNext/>
        <w:spacing w:line="360" w:lineRule="auto"/>
        <w:jc w:val="left"/>
      </w:pPr>
      <w:r w:rsidRPr="00784020">
        <w:t>Where:</w:t>
      </w:r>
      <w:bookmarkStart w:id="196" w:name="_Toc347120385"/>
      <w:r w:rsidR="00D30BF2" w:rsidRPr="00D30BF2">
        <w:rPr>
          <w:noProof/>
        </w:rPr>
        <w:drawing>
          <wp:inline distT="0" distB="0" distL="0" distR="0" wp14:anchorId="2DE003AC" wp14:editId="60AF9E53">
            <wp:extent cx="5943600" cy="360631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43600" cy="3606319"/>
                    </a:xfrm>
                    <a:prstGeom prst="rect">
                      <a:avLst/>
                    </a:prstGeom>
                    <a:noFill/>
                    <a:ln>
                      <a:noFill/>
                    </a:ln>
                  </pic:spPr>
                </pic:pic>
              </a:graphicData>
            </a:graphic>
          </wp:inline>
        </w:drawing>
      </w:r>
    </w:p>
    <w:p w14:paraId="1E515631" w14:textId="77777777" w:rsidR="00653602" w:rsidRDefault="00653602" w:rsidP="00653602">
      <w:pPr>
        <w:pStyle w:val="BodyText2"/>
        <w:spacing w:line="360" w:lineRule="auto"/>
      </w:pPr>
    </w:p>
    <w:p w14:paraId="3164471B" w14:textId="77777777" w:rsidR="00FA78E1" w:rsidRPr="00653602" w:rsidRDefault="00FA78E1" w:rsidP="00653602">
      <w:pPr>
        <w:pStyle w:val="Heading2"/>
        <w:jc w:val="left"/>
        <w:rPr>
          <w:rFonts w:ascii="Arial" w:hAnsi="Arial" w:cs="Arial"/>
          <w:b/>
          <w:color w:val="auto"/>
          <w:sz w:val="20"/>
          <w:szCs w:val="20"/>
        </w:rPr>
      </w:pPr>
      <w:bookmarkStart w:id="197" w:name="_Toc535495632"/>
      <w:r w:rsidRPr="00E21AC3">
        <w:rPr>
          <w:rFonts w:ascii="Arial" w:hAnsi="Arial" w:cs="Arial"/>
          <w:b/>
          <w:color w:val="auto"/>
          <w:sz w:val="20"/>
          <w:szCs w:val="20"/>
        </w:rPr>
        <w:t>4.1.3</w:t>
      </w:r>
      <w:r w:rsidRPr="00E21AC3">
        <w:rPr>
          <w:rFonts w:ascii="Arial" w:hAnsi="Arial" w:cs="Arial"/>
          <w:b/>
          <w:color w:val="auto"/>
          <w:sz w:val="20"/>
          <w:szCs w:val="20"/>
        </w:rPr>
        <w:tab/>
        <w:t>Industrial Sales</w:t>
      </w:r>
      <w:bookmarkEnd w:id="196"/>
      <w:bookmarkEnd w:id="197"/>
      <w:r w:rsidRPr="00653602">
        <w:rPr>
          <w:rFonts w:ascii="Arial" w:hAnsi="Arial" w:cs="Arial"/>
          <w:b/>
          <w:color w:val="auto"/>
          <w:sz w:val="20"/>
          <w:szCs w:val="20"/>
        </w:rPr>
        <w:t xml:space="preserve"> </w:t>
      </w:r>
    </w:p>
    <w:p w14:paraId="6F089E36" w14:textId="77777777" w:rsidR="00E21AC3" w:rsidRDefault="00E21AC3" w:rsidP="00E21AC3">
      <w:pPr>
        <w:pStyle w:val="BodyText"/>
        <w:jc w:val="left"/>
        <w:rPr>
          <w:b w:val="0"/>
        </w:rPr>
      </w:pPr>
    </w:p>
    <w:p w14:paraId="38AA81CB" w14:textId="1E15926F" w:rsidR="00FA78E1" w:rsidRPr="00E21AC3" w:rsidRDefault="00FA78E1" w:rsidP="00E21AC3">
      <w:pPr>
        <w:pStyle w:val="BodyText"/>
        <w:jc w:val="left"/>
        <w:rPr>
          <w:b w:val="0"/>
        </w:rPr>
      </w:pPr>
      <w:r w:rsidRPr="00E21AC3">
        <w:rPr>
          <w:b w:val="0"/>
        </w:rPr>
        <w:t xml:space="preserve">The model of energy sales </w:t>
      </w:r>
      <w:r w:rsidR="002F710D">
        <w:rPr>
          <w:b w:val="0"/>
        </w:rPr>
        <w:t>for</w:t>
      </w:r>
      <w:r w:rsidR="002F710D" w:rsidRPr="00E21AC3">
        <w:rPr>
          <w:b w:val="0"/>
        </w:rPr>
        <w:t xml:space="preserve"> </w:t>
      </w:r>
      <w:r w:rsidRPr="00E21AC3">
        <w:rPr>
          <w:b w:val="0"/>
        </w:rPr>
        <w:t>the industrial class depends on the following factors:</w:t>
      </w:r>
    </w:p>
    <w:p w14:paraId="00420C1C" w14:textId="77777777" w:rsidR="00FA78E1" w:rsidRPr="003A3426" w:rsidRDefault="00FA78E1" w:rsidP="00BC7C3C">
      <w:pPr>
        <w:pStyle w:val="ListBullet4"/>
      </w:pPr>
      <w:r w:rsidRPr="003A3426">
        <w:t>Weather</w:t>
      </w:r>
    </w:p>
    <w:p w14:paraId="29618461" w14:textId="261F77F2" w:rsidR="00BE582F" w:rsidRPr="003A3426" w:rsidRDefault="00BE582F" w:rsidP="00BE582F">
      <w:pPr>
        <w:pStyle w:val="ListBullet4"/>
      </w:pPr>
      <w:r w:rsidRPr="00FA78E1">
        <w:t>Numb</w:t>
      </w:r>
      <w:r>
        <w:t>er of calendar days in the month</w:t>
      </w:r>
    </w:p>
    <w:p w14:paraId="00D74CF7" w14:textId="77777777" w:rsidR="00FA78E1" w:rsidRPr="003A3426" w:rsidRDefault="00FA78E1" w:rsidP="00BC7C3C">
      <w:pPr>
        <w:pStyle w:val="ListBullet4"/>
      </w:pPr>
      <w:r w:rsidRPr="003A3426">
        <w:t>Economics</w:t>
      </w:r>
    </w:p>
    <w:p w14:paraId="5DA7EB26" w14:textId="77777777" w:rsidR="00FA78E1" w:rsidRPr="00E21AC3" w:rsidRDefault="00FA78E1" w:rsidP="00E21AC3">
      <w:pPr>
        <w:spacing w:line="360" w:lineRule="auto"/>
        <w:jc w:val="left"/>
        <w:rPr>
          <w:b w:val="0"/>
        </w:rPr>
      </w:pPr>
    </w:p>
    <w:p w14:paraId="0DF4FF41" w14:textId="7796D293" w:rsidR="00FA78E1" w:rsidRPr="00E21AC3" w:rsidRDefault="00FA78E1" w:rsidP="00665881">
      <w:pPr>
        <w:pStyle w:val="BodyText"/>
        <w:spacing w:line="360" w:lineRule="auto"/>
        <w:jc w:val="both"/>
        <w:rPr>
          <w:b w:val="0"/>
        </w:rPr>
      </w:pPr>
      <w:r w:rsidRPr="00E21AC3">
        <w:rPr>
          <w:b w:val="0"/>
        </w:rPr>
        <w:t xml:space="preserve">Industrial energy </w:t>
      </w:r>
      <w:r w:rsidR="00BE582F">
        <w:rPr>
          <w:b w:val="0"/>
        </w:rPr>
        <w:t xml:space="preserve">use </w:t>
      </w:r>
      <w:r w:rsidR="00A76664">
        <w:rPr>
          <w:b w:val="0"/>
        </w:rPr>
        <w:t xml:space="preserve">per </w:t>
      </w:r>
      <w:r w:rsidR="00BE582F">
        <w:rPr>
          <w:b w:val="0"/>
        </w:rPr>
        <w:t xml:space="preserve">calendar </w:t>
      </w:r>
      <w:r w:rsidR="00A76664">
        <w:rPr>
          <w:b w:val="0"/>
        </w:rPr>
        <w:t>day</w:t>
      </w:r>
      <w:r w:rsidRPr="00E21AC3">
        <w:rPr>
          <w:b w:val="0"/>
        </w:rPr>
        <w:t xml:space="preserve"> (MWh) </w:t>
      </w:r>
      <w:r w:rsidR="00382435">
        <w:rPr>
          <w:b w:val="0"/>
        </w:rPr>
        <w:t>is</w:t>
      </w:r>
      <w:r w:rsidR="00382435" w:rsidRPr="00E21AC3">
        <w:rPr>
          <w:b w:val="0"/>
        </w:rPr>
        <w:t xml:space="preserve"> </w:t>
      </w:r>
      <w:r w:rsidRPr="00E21AC3">
        <w:rPr>
          <w:b w:val="0"/>
        </w:rPr>
        <w:t>projected using a</w:t>
      </w:r>
      <w:r w:rsidR="00BE582F">
        <w:rPr>
          <w:b w:val="0"/>
        </w:rPr>
        <w:t>n</w:t>
      </w:r>
      <w:r w:rsidRPr="00E21AC3">
        <w:rPr>
          <w:b w:val="0"/>
        </w:rPr>
        <w:t xml:space="preserve"> econometric regression model with independent variables that capture the impacts of varying weather conditions</w:t>
      </w:r>
      <w:r w:rsidR="00BE582F">
        <w:rPr>
          <w:b w:val="0"/>
        </w:rPr>
        <w:t xml:space="preserve"> and </w:t>
      </w:r>
      <w:r w:rsidR="002F710D">
        <w:rPr>
          <w:b w:val="0"/>
        </w:rPr>
        <w:t xml:space="preserve">Georgia </w:t>
      </w:r>
      <w:r w:rsidRPr="00E21AC3">
        <w:rPr>
          <w:b w:val="0"/>
        </w:rPr>
        <w:t>economic trends.</w:t>
      </w:r>
    </w:p>
    <w:p w14:paraId="0AF10A0D" w14:textId="77777777" w:rsidR="00FA78E1" w:rsidRPr="00E21AC3" w:rsidRDefault="00FA78E1" w:rsidP="00665881">
      <w:pPr>
        <w:pStyle w:val="BodyText"/>
        <w:spacing w:line="360" w:lineRule="auto"/>
        <w:jc w:val="both"/>
        <w:rPr>
          <w:b w:val="0"/>
        </w:rPr>
      </w:pPr>
    </w:p>
    <w:p w14:paraId="5C1B595B" w14:textId="12813FCA" w:rsidR="00FA78E1" w:rsidRPr="00E21AC3" w:rsidRDefault="00FA78E1" w:rsidP="00665881">
      <w:pPr>
        <w:pStyle w:val="BodyText"/>
        <w:spacing w:line="360" w:lineRule="auto"/>
        <w:jc w:val="both"/>
        <w:rPr>
          <w:b w:val="0"/>
        </w:rPr>
      </w:pPr>
      <w:r w:rsidRPr="00E21AC3">
        <w:rPr>
          <w:b w:val="0"/>
        </w:rPr>
        <w:t xml:space="preserve">While not as weather sensitive as commercial </w:t>
      </w:r>
      <w:r w:rsidR="00780DAD">
        <w:rPr>
          <w:b w:val="0"/>
        </w:rPr>
        <w:t>or</w:t>
      </w:r>
      <w:r w:rsidRPr="00E21AC3">
        <w:rPr>
          <w:b w:val="0"/>
        </w:rPr>
        <w:t xml:space="preserve"> residential class</w:t>
      </w:r>
      <w:r w:rsidR="00780DAD">
        <w:rPr>
          <w:b w:val="0"/>
        </w:rPr>
        <w:t>es</w:t>
      </w:r>
      <w:r w:rsidRPr="00E21AC3">
        <w:rPr>
          <w:b w:val="0"/>
        </w:rPr>
        <w:t xml:space="preserve">, </w:t>
      </w:r>
      <w:r w:rsidR="00BE582F">
        <w:rPr>
          <w:b w:val="0"/>
        </w:rPr>
        <w:t>CDH</w:t>
      </w:r>
      <w:r w:rsidR="00BE582F" w:rsidRPr="00E21AC3">
        <w:rPr>
          <w:b w:val="0"/>
        </w:rPr>
        <w:t xml:space="preserve"> </w:t>
      </w:r>
      <w:r w:rsidRPr="00E21AC3">
        <w:rPr>
          <w:b w:val="0"/>
        </w:rPr>
        <w:t xml:space="preserve">are used to measure the impact of weather on monthly industrial energy sales. </w:t>
      </w:r>
      <w:r w:rsidR="00623C06">
        <w:rPr>
          <w:b w:val="0"/>
        </w:rPr>
        <w:t>CD</w:t>
      </w:r>
      <w:r w:rsidR="00382435">
        <w:rPr>
          <w:b w:val="0"/>
        </w:rPr>
        <w:t>H</w:t>
      </w:r>
      <w:r w:rsidRPr="00E21AC3">
        <w:rPr>
          <w:b w:val="0"/>
        </w:rPr>
        <w:t xml:space="preserve"> are computed as an average of the billing cycles using a </w:t>
      </w:r>
      <w:r w:rsidR="00660487">
        <w:rPr>
          <w:b w:val="0"/>
        </w:rPr>
        <w:t>59</w:t>
      </w:r>
      <w:r w:rsidR="00B947F1" w:rsidRPr="00FA78E1">
        <w:rPr>
          <w:b w:val="0"/>
        </w:rPr>
        <w:t>°</w:t>
      </w:r>
      <w:r w:rsidRPr="00E21AC3">
        <w:rPr>
          <w:b w:val="0"/>
        </w:rPr>
        <w:t xml:space="preserve">F threshold. The </w:t>
      </w:r>
      <w:r w:rsidR="00670EB3">
        <w:rPr>
          <w:b w:val="0"/>
        </w:rPr>
        <w:t xml:space="preserve">CDH </w:t>
      </w:r>
      <w:r w:rsidRPr="00E21AC3">
        <w:rPr>
          <w:b w:val="0"/>
        </w:rPr>
        <w:t xml:space="preserve">are averaged over </w:t>
      </w:r>
      <w:r w:rsidR="00BE582F">
        <w:rPr>
          <w:b w:val="0"/>
        </w:rPr>
        <w:t>t</w:t>
      </w:r>
      <w:r w:rsidR="00BE582F" w:rsidRPr="00E21AC3">
        <w:rPr>
          <w:b w:val="0"/>
        </w:rPr>
        <w:t xml:space="preserve">en </w:t>
      </w:r>
      <w:r w:rsidRPr="00E21AC3">
        <w:rPr>
          <w:b w:val="0"/>
        </w:rPr>
        <w:t xml:space="preserve">U.S. Weather Bureau stations, and the temperatures at the weather stations are weighted by the industrial energy use in the Georgia Power regions that are mapped to the </w:t>
      </w:r>
      <w:r w:rsidR="00BE582F">
        <w:rPr>
          <w:b w:val="0"/>
        </w:rPr>
        <w:t>t</w:t>
      </w:r>
      <w:r w:rsidRPr="00E21AC3">
        <w:rPr>
          <w:b w:val="0"/>
        </w:rPr>
        <w:t>en weather stations.</w:t>
      </w:r>
    </w:p>
    <w:p w14:paraId="203FE096" w14:textId="77777777" w:rsidR="00FA78E1" w:rsidRPr="00E21AC3" w:rsidRDefault="00FA78E1" w:rsidP="00665881">
      <w:pPr>
        <w:pStyle w:val="BodyText"/>
        <w:spacing w:line="360" w:lineRule="auto"/>
        <w:jc w:val="both"/>
        <w:rPr>
          <w:b w:val="0"/>
        </w:rPr>
      </w:pPr>
    </w:p>
    <w:p w14:paraId="4D979CE1" w14:textId="27216F00" w:rsidR="00FA78E1" w:rsidRDefault="00FA78E1" w:rsidP="00665881">
      <w:pPr>
        <w:pStyle w:val="BodyText"/>
        <w:spacing w:line="360" w:lineRule="auto"/>
        <w:jc w:val="both"/>
        <w:rPr>
          <w:b w:val="0"/>
        </w:rPr>
      </w:pPr>
      <w:r w:rsidRPr="00E21AC3">
        <w:rPr>
          <w:b w:val="0"/>
        </w:rPr>
        <w:t>The regression model relates the total monthly industrial energy sales</w:t>
      </w:r>
      <w:r w:rsidR="00B947F1">
        <w:rPr>
          <w:b w:val="0"/>
        </w:rPr>
        <w:t xml:space="preserve"> per </w:t>
      </w:r>
      <w:r w:rsidR="00BE582F">
        <w:rPr>
          <w:b w:val="0"/>
        </w:rPr>
        <w:t>calendar</w:t>
      </w:r>
      <w:r w:rsidR="00B947F1">
        <w:rPr>
          <w:b w:val="0"/>
        </w:rPr>
        <w:t xml:space="preserve"> day</w:t>
      </w:r>
      <w:r w:rsidRPr="00E21AC3">
        <w:rPr>
          <w:b w:val="0"/>
        </w:rPr>
        <w:t xml:space="preserve"> to </w:t>
      </w:r>
      <w:r w:rsidR="00660487">
        <w:rPr>
          <w:b w:val="0"/>
        </w:rPr>
        <w:t>two</w:t>
      </w:r>
      <w:r w:rsidR="00660487" w:rsidRPr="00E21AC3">
        <w:rPr>
          <w:b w:val="0"/>
        </w:rPr>
        <w:t xml:space="preserve"> </w:t>
      </w:r>
      <w:r w:rsidRPr="00E21AC3">
        <w:rPr>
          <w:b w:val="0"/>
        </w:rPr>
        <w:t xml:space="preserve">monthly binary variables, </w:t>
      </w:r>
      <w:r w:rsidR="00660487">
        <w:rPr>
          <w:b w:val="0"/>
        </w:rPr>
        <w:t xml:space="preserve">six monthly </w:t>
      </w:r>
      <w:r w:rsidR="00AC2049">
        <w:rPr>
          <w:b w:val="0"/>
        </w:rPr>
        <w:t xml:space="preserve">weather </w:t>
      </w:r>
      <w:r w:rsidR="00B947F1">
        <w:rPr>
          <w:b w:val="0"/>
        </w:rPr>
        <w:t xml:space="preserve">interaction terms divided by the number of </w:t>
      </w:r>
      <w:r w:rsidR="00660487">
        <w:rPr>
          <w:b w:val="0"/>
        </w:rPr>
        <w:t xml:space="preserve">calendar </w:t>
      </w:r>
      <w:r w:rsidRPr="00E21AC3">
        <w:rPr>
          <w:b w:val="0"/>
        </w:rPr>
        <w:t xml:space="preserve">days </w:t>
      </w:r>
      <w:r w:rsidR="00BE582F">
        <w:rPr>
          <w:b w:val="0"/>
        </w:rPr>
        <w:t xml:space="preserve">and total </w:t>
      </w:r>
      <w:r w:rsidR="004E5A50">
        <w:rPr>
          <w:b w:val="0"/>
        </w:rPr>
        <w:t xml:space="preserve">Georgia </w:t>
      </w:r>
      <w:r w:rsidR="00B947F1">
        <w:rPr>
          <w:b w:val="0"/>
        </w:rPr>
        <w:t>manufacturing employment</w:t>
      </w:r>
      <w:r w:rsidRPr="00E21AC3">
        <w:rPr>
          <w:b w:val="0"/>
        </w:rPr>
        <w:t>.</w:t>
      </w:r>
    </w:p>
    <w:p w14:paraId="4C6A3B08" w14:textId="77777777" w:rsidR="008B0092" w:rsidRPr="00E21AC3" w:rsidRDefault="008B0092" w:rsidP="00665881">
      <w:pPr>
        <w:pStyle w:val="BodyText"/>
        <w:spacing w:line="360" w:lineRule="auto"/>
        <w:jc w:val="both"/>
        <w:rPr>
          <w:b w:val="0"/>
        </w:rPr>
      </w:pPr>
    </w:p>
    <w:p w14:paraId="22676CD6" w14:textId="28A63A20" w:rsidR="00FA78E1" w:rsidRPr="00E21AC3" w:rsidRDefault="008B0092" w:rsidP="00665881">
      <w:pPr>
        <w:spacing w:line="360" w:lineRule="auto"/>
        <w:jc w:val="both"/>
        <w:rPr>
          <w:b w:val="0"/>
        </w:rPr>
      </w:pPr>
      <w:r>
        <w:rPr>
          <w:b w:val="0"/>
        </w:rPr>
        <w:t>Georgia Power is aware of a large industrial customer that will be coming on-line within the short-term forecast horizon. Since this new customer’s expected energy usage is not in the historical data, the model cannot predict its future usage. As a result, an external adjustment was made to the forecast beginning in Ma</w:t>
      </w:r>
      <w:r w:rsidR="00D323DB">
        <w:rPr>
          <w:b w:val="0"/>
        </w:rPr>
        <w:t>rch</w:t>
      </w:r>
      <w:r>
        <w:rPr>
          <w:b w:val="0"/>
        </w:rPr>
        <w:t xml:space="preserve"> 201</w:t>
      </w:r>
      <w:r w:rsidR="00D323DB">
        <w:rPr>
          <w:b w:val="0"/>
        </w:rPr>
        <w:t>9</w:t>
      </w:r>
      <w:r>
        <w:rPr>
          <w:b w:val="0"/>
        </w:rPr>
        <w:t xml:space="preserve"> to account for the additional usage of this customer.  </w:t>
      </w:r>
    </w:p>
    <w:p w14:paraId="74C719CB" w14:textId="77777777" w:rsidR="008B0092" w:rsidRDefault="008B0092" w:rsidP="00665881">
      <w:pPr>
        <w:pStyle w:val="BodyText2"/>
        <w:spacing w:line="360" w:lineRule="auto"/>
        <w:jc w:val="both"/>
        <w:rPr>
          <w:b w:val="0"/>
        </w:rPr>
      </w:pPr>
    </w:p>
    <w:p w14:paraId="1535689A" w14:textId="2974F4EC" w:rsidR="00FA78E1" w:rsidRPr="00E21AC3" w:rsidRDefault="00B509F9" w:rsidP="00665881">
      <w:pPr>
        <w:pStyle w:val="BodyText2"/>
        <w:spacing w:line="360" w:lineRule="auto"/>
        <w:jc w:val="both"/>
        <w:rPr>
          <w:b w:val="0"/>
        </w:rPr>
      </w:pPr>
      <w:r w:rsidRPr="00FA78E1">
        <w:rPr>
          <w:b w:val="0"/>
        </w:rPr>
        <w:t xml:space="preserve">The forecast of </w:t>
      </w:r>
      <w:r>
        <w:rPr>
          <w:b w:val="0"/>
        </w:rPr>
        <w:t>industr</w:t>
      </w:r>
      <w:r w:rsidRPr="00FA78E1">
        <w:rPr>
          <w:b w:val="0"/>
        </w:rPr>
        <w:t xml:space="preserve">ial </w:t>
      </w:r>
      <w:r>
        <w:rPr>
          <w:b w:val="0"/>
        </w:rPr>
        <w:t xml:space="preserve">energy sales per </w:t>
      </w:r>
      <w:r w:rsidR="00660487">
        <w:rPr>
          <w:b w:val="0"/>
        </w:rPr>
        <w:t xml:space="preserve">calendar </w:t>
      </w:r>
      <w:r>
        <w:rPr>
          <w:b w:val="0"/>
        </w:rPr>
        <w:t>day</w:t>
      </w:r>
      <w:r w:rsidRPr="00FA78E1">
        <w:rPr>
          <w:b w:val="0"/>
        </w:rPr>
        <w:t xml:space="preserve"> is multiplied by </w:t>
      </w:r>
      <w:r>
        <w:rPr>
          <w:b w:val="0"/>
        </w:rPr>
        <w:t xml:space="preserve">the forecasted number of </w:t>
      </w:r>
      <w:r w:rsidR="00660487">
        <w:rPr>
          <w:b w:val="0"/>
        </w:rPr>
        <w:t>calendar</w:t>
      </w:r>
      <w:r>
        <w:rPr>
          <w:b w:val="0"/>
        </w:rPr>
        <w:t xml:space="preserve"> days </w:t>
      </w:r>
      <w:r w:rsidRPr="00FA78E1">
        <w:rPr>
          <w:b w:val="0"/>
        </w:rPr>
        <w:t xml:space="preserve">to get forecasted </w:t>
      </w:r>
      <w:r>
        <w:rPr>
          <w:b w:val="0"/>
        </w:rPr>
        <w:t xml:space="preserve">industrial </w:t>
      </w:r>
      <w:r w:rsidR="00660487">
        <w:rPr>
          <w:b w:val="0"/>
        </w:rPr>
        <w:t xml:space="preserve">calendar </w:t>
      </w:r>
      <w:r w:rsidRPr="00FA78E1">
        <w:rPr>
          <w:b w:val="0"/>
        </w:rPr>
        <w:t xml:space="preserve">energy sales. </w:t>
      </w:r>
      <w:r w:rsidR="00FA78E1" w:rsidRPr="00E21AC3">
        <w:rPr>
          <w:b w:val="0"/>
        </w:rPr>
        <w:t>A summary of the parameter estimates and statistics for the short-term industrial energy model is presented in Table 4.1.3-1.</w:t>
      </w:r>
    </w:p>
    <w:p w14:paraId="3CFA8621" w14:textId="77777777" w:rsidR="00FA78E1" w:rsidRDefault="00FA78E1" w:rsidP="00FA78E1">
      <w:pPr>
        <w:pStyle w:val="BodyText2"/>
        <w:spacing w:line="360" w:lineRule="auto"/>
        <w:jc w:val="left"/>
        <w:rPr>
          <w:b w:val="0"/>
        </w:rPr>
      </w:pPr>
    </w:p>
    <w:p w14:paraId="71F883F1" w14:textId="2058CDB9" w:rsidR="00FA78E1" w:rsidRDefault="00FA78E1" w:rsidP="005E0B9B">
      <w:pPr>
        <w:pStyle w:val="BodyText2"/>
        <w:keepNext/>
        <w:spacing w:line="360" w:lineRule="auto"/>
        <w:jc w:val="both"/>
      </w:pPr>
      <w:r w:rsidRPr="00FA78E1">
        <w:t xml:space="preserve">Table 4.1.3-1: </w:t>
      </w:r>
      <w:r w:rsidRPr="00B66236">
        <w:t>Industrial Energy Sales</w:t>
      </w:r>
      <w:r w:rsidR="00B509F9" w:rsidRPr="00B66236">
        <w:t xml:space="preserve"> per </w:t>
      </w:r>
      <w:r w:rsidR="004251E1">
        <w:t>Calendar</w:t>
      </w:r>
      <w:r w:rsidR="004251E1" w:rsidRPr="00B66236">
        <w:t xml:space="preserve"> </w:t>
      </w:r>
      <w:r w:rsidR="00B509F9" w:rsidRPr="00B66236">
        <w:t>Day</w:t>
      </w:r>
    </w:p>
    <w:p w14:paraId="49C88BA7" w14:textId="77777777" w:rsidR="00D30BF2" w:rsidRDefault="00D30BF2" w:rsidP="005E0B9B">
      <w:pPr>
        <w:pStyle w:val="BodyTextIndent"/>
        <w:keepNext/>
        <w:spacing w:after="0"/>
        <w:ind w:left="0"/>
        <w:rPr>
          <w:b/>
        </w:rPr>
      </w:pPr>
    </w:p>
    <w:p w14:paraId="65EA9A3A" w14:textId="2F5E2545" w:rsidR="00017F25" w:rsidRPr="00017F25" w:rsidRDefault="00017F25" w:rsidP="005E0B9B">
      <w:pPr>
        <w:pStyle w:val="BodyTextIndent"/>
        <w:keepNext/>
        <w:spacing w:after="0"/>
        <w:ind w:left="0"/>
        <w:rPr>
          <w:b/>
        </w:rPr>
      </w:pPr>
      <w:r w:rsidRPr="00017F25">
        <w:rPr>
          <w:b/>
        </w:rPr>
        <w:t>Short-Term Model</w:t>
      </w:r>
    </w:p>
    <w:p w14:paraId="742B8FA3" w14:textId="09D8F293" w:rsidR="00017F25" w:rsidRDefault="00017F25" w:rsidP="005E0B9B">
      <w:pPr>
        <w:pStyle w:val="BodyTextIndent"/>
        <w:keepNext/>
        <w:spacing w:after="0"/>
        <w:ind w:left="0"/>
        <w:rPr>
          <w:b/>
        </w:rPr>
      </w:pPr>
      <w:r w:rsidRPr="00017F25">
        <w:rPr>
          <w:b/>
        </w:rPr>
        <w:t xml:space="preserve">Budget </w:t>
      </w:r>
      <w:r w:rsidR="00D30BF2" w:rsidRPr="00017F25">
        <w:rPr>
          <w:b/>
        </w:rPr>
        <w:t>20</w:t>
      </w:r>
      <w:r w:rsidR="00D30BF2">
        <w:rPr>
          <w:b/>
        </w:rPr>
        <w:t>19</w:t>
      </w:r>
    </w:p>
    <w:p w14:paraId="42CC36C6" w14:textId="77777777" w:rsidR="00D30BF2" w:rsidRDefault="00D30BF2" w:rsidP="005E0B9B">
      <w:pPr>
        <w:pStyle w:val="BodyTextIndent"/>
        <w:keepNext/>
        <w:spacing w:after="0"/>
        <w:ind w:left="0"/>
        <w:rPr>
          <w:b/>
        </w:rPr>
      </w:pPr>
    </w:p>
    <w:p w14:paraId="6570AD8A" w14:textId="6E32F56F" w:rsidR="00D30BF2" w:rsidRDefault="008D321C" w:rsidP="005E0B9B">
      <w:pPr>
        <w:pStyle w:val="BodyTextIndent"/>
        <w:keepNext/>
        <w:spacing w:after="0"/>
        <w:ind w:left="0"/>
        <w:rPr>
          <w:b/>
        </w:rPr>
      </w:pPr>
      <w:r w:rsidRPr="008D321C">
        <w:rPr>
          <w:b/>
          <w:noProof/>
        </w:rPr>
        <w:drawing>
          <wp:inline distT="0" distB="0" distL="0" distR="0" wp14:anchorId="580579C8" wp14:editId="13819B64">
            <wp:extent cx="4229100" cy="3228975"/>
            <wp:effectExtent l="0" t="0" r="0" b="952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229100" cy="3228975"/>
                    </a:xfrm>
                    <a:prstGeom prst="rect">
                      <a:avLst/>
                    </a:prstGeom>
                    <a:noFill/>
                    <a:ln>
                      <a:noFill/>
                    </a:ln>
                  </pic:spPr>
                </pic:pic>
              </a:graphicData>
            </a:graphic>
          </wp:inline>
        </w:drawing>
      </w:r>
    </w:p>
    <w:p w14:paraId="463267FC" w14:textId="77777777" w:rsidR="00017F25" w:rsidRDefault="00017F25" w:rsidP="005E0B9B">
      <w:pPr>
        <w:pStyle w:val="BodyTextIndent"/>
        <w:keepNext/>
        <w:spacing w:after="0"/>
        <w:ind w:left="0"/>
      </w:pPr>
    </w:p>
    <w:p w14:paraId="16CC0D7C" w14:textId="62DEA600" w:rsidR="00E21AC3" w:rsidRDefault="00E21AC3" w:rsidP="005E0B9B">
      <w:pPr>
        <w:pStyle w:val="BodyText2"/>
        <w:keepNext/>
        <w:spacing w:line="360" w:lineRule="auto"/>
        <w:rPr>
          <w:b w:val="0"/>
        </w:rPr>
      </w:pPr>
    </w:p>
    <w:p w14:paraId="2D2E06D8" w14:textId="77777777" w:rsidR="00E21AC3" w:rsidRDefault="00E21AC3" w:rsidP="00FA78E1">
      <w:pPr>
        <w:pStyle w:val="BodyText2"/>
        <w:spacing w:line="360" w:lineRule="auto"/>
        <w:jc w:val="left"/>
        <w:rPr>
          <w:b w:val="0"/>
        </w:rPr>
      </w:pPr>
    </w:p>
    <w:p w14:paraId="59C95A2B" w14:textId="77777777" w:rsidR="00FA78E1" w:rsidRDefault="00FA78E1" w:rsidP="00E7751B">
      <w:pPr>
        <w:pStyle w:val="BodyText2"/>
        <w:keepNext/>
        <w:widowControl w:val="0"/>
        <w:spacing w:line="360" w:lineRule="auto"/>
        <w:jc w:val="left"/>
      </w:pPr>
      <w:r w:rsidRPr="00FA78E1">
        <w:rPr>
          <w:b w:val="0"/>
        </w:rPr>
        <w:t xml:space="preserve"> </w:t>
      </w:r>
      <w:r w:rsidR="00017F25" w:rsidRPr="00017F25">
        <w:t>Where:</w:t>
      </w:r>
    </w:p>
    <w:p w14:paraId="56AAF883" w14:textId="266D2072" w:rsidR="00D30BF2" w:rsidRDefault="00D30BF2" w:rsidP="00017F25">
      <w:pPr>
        <w:pStyle w:val="BodyText2"/>
        <w:spacing w:line="360" w:lineRule="auto"/>
      </w:pPr>
      <w:r w:rsidRPr="00D30BF2">
        <w:rPr>
          <w:noProof/>
        </w:rPr>
        <w:drawing>
          <wp:inline distT="0" distB="0" distL="0" distR="0" wp14:anchorId="3BB5BD60" wp14:editId="4CD07047">
            <wp:extent cx="5943600" cy="286204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3600" cy="2862046"/>
                    </a:xfrm>
                    <a:prstGeom prst="rect">
                      <a:avLst/>
                    </a:prstGeom>
                    <a:noFill/>
                    <a:ln>
                      <a:noFill/>
                    </a:ln>
                  </pic:spPr>
                </pic:pic>
              </a:graphicData>
            </a:graphic>
          </wp:inline>
        </w:drawing>
      </w:r>
    </w:p>
    <w:p w14:paraId="1CE0319E" w14:textId="77777777" w:rsidR="00017F25" w:rsidRDefault="00017F25" w:rsidP="00E21AC3">
      <w:pPr>
        <w:pStyle w:val="Heading2"/>
        <w:jc w:val="left"/>
        <w:rPr>
          <w:rFonts w:ascii="Arial" w:hAnsi="Arial" w:cs="Arial"/>
          <w:b/>
          <w:color w:val="auto"/>
          <w:sz w:val="20"/>
          <w:szCs w:val="20"/>
        </w:rPr>
      </w:pPr>
      <w:bookmarkStart w:id="198" w:name="_Toc347120387"/>
    </w:p>
    <w:p w14:paraId="5FDC324B" w14:textId="77777777" w:rsidR="00E21AC3" w:rsidRPr="00E21AC3" w:rsidRDefault="00E21AC3" w:rsidP="00E21AC3">
      <w:pPr>
        <w:pStyle w:val="Heading2"/>
        <w:jc w:val="left"/>
        <w:rPr>
          <w:rFonts w:ascii="Arial" w:hAnsi="Arial" w:cs="Arial"/>
          <w:b/>
          <w:color w:val="auto"/>
          <w:sz w:val="20"/>
          <w:szCs w:val="20"/>
        </w:rPr>
      </w:pPr>
      <w:bookmarkStart w:id="199" w:name="_Toc535495633"/>
      <w:r w:rsidRPr="00E21AC3">
        <w:rPr>
          <w:rFonts w:ascii="Arial" w:hAnsi="Arial" w:cs="Arial"/>
          <w:b/>
          <w:color w:val="auto"/>
          <w:sz w:val="20"/>
          <w:szCs w:val="20"/>
        </w:rPr>
        <w:t>4.1.4</w:t>
      </w:r>
      <w:r w:rsidRPr="00E21AC3">
        <w:rPr>
          <w:rFonts w:ascii="Arial" w:hAnsi="Arial" w:cs="Arial"/>
          <w:b/>
          <w:color w:val="auto"/>
          <w:sz w:val="20"/>
          <w:szCs w:val="20"/>
        </w:rPr>
        <w:tab/>
        <w:t>MARTA Sales</w:t>
      </w:r>
      <w:bookmarkEnd w:id="198"/>
      <w:bookmarkEnd w:id="199"/>
    </w:p>
    <w:p w14:paraId="1D82546B" w14:textId="77777777" w:rsidR="00E21AC3" w:rsidRDefault="00E21AC3" w:rsidP="00E21AC3">
      <w:pPr>
        <w:pStyle w:val="BodyText2"/>
        <w:spacing w:line="360" w:lineRule="auto"/>
        <w:jc w:val="left"/>
        <w:rPr>
          <w:b w:val="0"/>
        </w:rPr>
      </w:pPr>
    </w:p>
    <w:p w14:paraId="2BED594D" w14:textId="06E4B9B6" w:rsidR="00E21AC3" w:rsidRDefault="00E21AC3" w:rsidP="00665881">
      <w:pPr>
        <w:pStyle w:val="BodyText2"/>
        <w:spacing w:line="360" w:lineRule="auto"/>
        <w:jc w:val="both"/>
        <w:rPr>
          <w:b w:val="0"/>
        </w:rPr>
      </w:pPr>
      <w:r w:rsidRPr="00E21AC3">
        <w:rPr>
          <w:b w:val="0"/>
        </w:rPr>
        <w:t>MARTA energy sales, both short</w:t>
      </w:r>
      <w:r w:rsidR="00604AC6">
        <w:rPr>
          <w:b w:val="0"/>
        </w:rPr>
        <w:t>-</w:t>
      </w:r>
      <w:r w:rsidRPr="00E21AC3">
        <w:rPr>
          <w:b w:val="0"/>
        </w:rPr>
        <w:t>term and long</w:t>
      </w:r>
      <w:r w:rsidR="00604AC6">
        <w:rPr>
          <w:b w:val="0"/>
        </w:rPr>
        <w:t>-</w:t>
      </w:r>
      <w:r w:rsidRPr="00E21AC3">
        <w:rPr>
          <w:b w:val="0"/>
        </w:rPr>
        <w:t xml:space="preserve">term, are forecast with </w:t>
      </w:r>
      <w:r w:rsidR="00AF1EFF">
        <w:rPr>
          <w:b w:val="0"/>
        </w:rPr>
        <w:t>a linear regression</w:t>
      </w:r>
      <w:r w:rsidRPr="00E21AC3">
        <w:rPr>
          <w:b w:val="0"/>
        </w:rPr>
        <w:t xml:space="preserve"> model that relates sales to </w:t>
      </w:r>
      <w:r w:rsidR="003F25FB">
        <w:rPr>
          <w:b w:val="0"/>
        </w:rPr>
        <w:t xml:space="preserve">six </w:t>
      </w:r>
      <w:r w:rsidR="00E058AF">
        <w:rPr>
          <w:b w:val="0"/>
        </w:rPr>
        <w:t xml:space="preserve">monthly </w:t>
      </w:r>
      <w:r w:rsidR="00F91F32">
        <w:rPr>
          <w:b w:val="0"/>
        </w:rPr>
        <w:t xml:space="preserve">weather </w:t>
      </w:r>
      <w:r w:rsidR="004E5A50">
        <w:rPr>
          <w:b w:val="0"/>
        </w:rPr>
        <w:t>interaction terms</w:t>
      </w:r>
      <w:r w:rsidR="00096021">
        <w:rPr>
          <w:b w:val="0"/>
        </w:rPr>
        <w:t xml:space="preserve">. </w:t>
      </w:r>
      <w:r w:rsidRPr="00E21AC3">
        <w:rPr>
          <w:b w:val="0"/>
        </w:rPr>
        <w:t>Table 4.1.4-1 presents the specific parameter estimates and statistics of the MARTA energy model.</w:t>
      </w:r>
    </w:p>
    <w:p w14:paraId="4B879CF0" w14:textId="77777777" w:rsidR="00E21AC3" w:rsidRDefault="00E21AC3" w:rsidP="00E21AC3">
      <w:pPr>
        <w:pStyle w:val="BodyText2"/>
        <w:spacing w:line="360" w:lineRule="auto"/>
        <w:jc w:val="left"/>
        <w:rPr>
          <w:b w:val="0"/>
        </w:rPr>
      </w:pPr>
    </w:p>
    <w:p w14:paraId="2C9C8558" w14:textId="51B7A475" w:rsidR="00E21AC3" w:rsidRDefault="00E21AC3" w:rsidP="00BC1EDB">
      <w:pPr>
        <w:pStyle w:val="BodyText2"/>
        <w:keepNext/>
        <w:spacing w:line="360" w:lineRule="auto"/>
        <w:jc w:val="left"/>
      </w:pPr>
      <w:r w:rsidRPr="00E21AC3">
        <w:t xml:space="preserve">Table 4.1.4-1: </w:t>
      </w:r>
      <w:r w:rsidRPr="00B66236">
        <w:t>MARTA Energy Sales</w:t>
      </w:r>
    </w:p>
    <w:p w14:paraId="0D2D0C73" w14:textId="77777777" w:rsidR="00604AC6" w:rsidRDefault="00604AC6" w:rsidP="00BC1EDB">
      <w:pPr>
        <w:pStyle w:val="BodyText2"/>
        <w:keepNext/>
        <w:spacing w:line="360" w:lineRule="auto"/>
        <w:jc w:val="left"/>
      </w:pPr>
    </w:p>
    <w:p w14:paraId="0BB458DD" w14:textId="77777777" w:rsidR="00017F25" w:rsidRPr="00017F25" w:rsidRDefault="00017F25" w:rsidP="00BC1EDB">
      <w:pPr>
        <w:pStyle w:val="BodyTextIndent"/>
        <w:keepNext/>
        <w:spacing w:after="0"/>
        <w:ind w:left="0"/>
        <w:rPr>
          <w:b/>
        </w:rPr>
      </w:pPr>
      <w:r w:rsidRPr="00017F25">
        <w:rPr>
          <w:b/>
        </w:rPr>
        <w:t>Short-Term Model</w:t>
      </w:r>
    </w:p>
    <w:p w14:paraId="20C1CC3C" w14:textId="2991D1ED" w:rsidR="00017F25" w:rsidRDefault="00017F25" w:rsidP="00BC1EDB">
      <w:pPr>
        <w:pStyle w:val="BodyTextIndent"/>
        <w:keepNext/>
        <w:spacing w:after="0"/>
        <w:ind w:left="0"/>
        <w:rPr>
          <w:b/>
        </w:rPr>
      </w:pPr>
      <w:r w:rsidRPr="00017F25">
        <w:rPr>
          <w:b/>
        </w:rPr>
        <w:t xml:space="preserve">Budget </w:t>
      </w:r>
      <w:r w:rsidR="00D30BF2" w:rsidRPr="00017F25">
        <w:rPr>
          <w:b/>
        </w:rPr>
        <w:t>20</w:t>
      </w:r>
      <w:r w:rsidR="00D30BF2">
        <w:rPr>
          <w:b/>
        </w:rPr>
        <w:t>19</w:t>
      </w:r>
    </w:p>
    <w:p w14:paraId="45C4EB3E" w14:textId="60143303" w:rsidR="00017F25" w:rsidRDefault="00017F25" w:rsidP="00BC1EDB">
      <w:pPr>
        <w:pStyle w:val="BodyTextIndent"/>
        <w:keepNext/>
        <w:spacing w:after="0"/>
        <w:ind w:left="0"/>
      </w:pPr>
    </w:p>
    <w:p w14:paraId="01F5EF95" w14:textId="4D3631E1" w:rsidR="00D30BF2" w:rsidRDefault="002D62D4" w:rsidP="00BC1EDB">
      <w:pPr>
        <w:pStyle w:val="BodyTextIndent"/>
        <w:keepNext/>
        <w:spacing w:after="0"/>
        <w:ind w:left="0"/>
      </w:pPr>
      <w:r w:rsidRPr="002D62D4">
        <w:rPr>
          <w:noProof/>
        </w:rPr>
        <w:drawing>
          <wp:inline distT="0" distB="0" distL="0" distR="0" wp14:anchorId="4DCC9695" wp14:editId="7CA7D228">
            <wp:extent cx="4229100" cy="29337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229100" cy="2933700"/>
                    </a:xfrm>
                    <a:prstGeom prst="rect">
                      <a:avLst/>
                    </a:prstGeom>
                    <a:noFill/>
                    <a:ln>
                      <a:noFill/>
                    </a:ln>
                  </pic:spPr>
                </pic:pic>
              </a:graphicData>
            </a:graphic>
          </wp:inline>
        </w:drawing>
      </w:r>
    </w:p>
    <w:p w14:paraId="2E81945F" w14:textId="5A2F3282" w:rsidR="00BF406B" w:rsidRDefault="00BF406B" w:rsidP="00BC1EDB">
      <w:pPr>
        <w:pStyle w:val="BodyText2"/>
        <w:keepNext/>
        <w:spacing w:line="360" w:lineRule="auto"/>
      </w:pPr>
    </w:p>
    <w:p w14:paraId="3C25DB1A" w14:textId="77777777" w:rsidR="00BF406B" w:rsidRDefault="00BF406B" w:rsidP="00BF406B">
      <w:pPr>
        <w:pStyle w:val="BodyText2"/>
        <w:spacing w:line="360" w:lineRule="auto"/>
        <w:jc w:val="left"/>
      </w:pPr>
    </w:p>
    <w:p w14:paraId="13533F14" w14:textId="2DA316A7" w:rsidR="00BC1EDB" w:rsidRDefault="00BF406B" w:rsidP="00BF406B">
      <w:pPr>
        <w:pStyle w:val="BodyText2"/>
        <w:spacing w:line="360" w:lineRule="auto"/>
        <w:jc w:val="left"/>
      </w:pPr>
      <w:r>
        <w:t>Where:</w:t>
      </w:r>
    </w:p>
    <w:p w14:paraId="64A8BEF6" w14:textId="4138AEDB" w:rsidR="00D30BF2" w:rsidRDefault="00D30BF2" w:rsidP="00BF406B">
      <w:pPr>
        <w:pStyle w:val="BodyText2"/>
        <w:spacing w:line="360" w:lineRule="auto"/>
        <w:jc w:val="left"/>
      </w:pPr>
      <w:r w:rsidRPr="00D30BF2">
        <w:rPr>
          <w:noProof/>
        </w:rPr>
        <w:drawing>
          <wp:inline distT="0" distB="0" distL="0" distR="0" wp14:anchorId="7D8461E9" wp14:editId="53CED7C6">
            <wp:extent cx="5695950" cy="24003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695950" cy="2400300"/>
                    </a:xfrm>
                    <a:prstGeom prst="rect">
                      <a:avLst/>
                    </a:prstGeom>
                    <a:noFill/>
                    <a:ln>
                      <a:noFill/>
                    </a:ln>
                  </pic:spPr>
                </pic:pic>
              </a:graphicData>
            </a:graphic>
          </wp:inline>
        </w:drawing>
      </w:r>
    </w:p>
    <w:p w14:paraId="7BA79271" w14:textId="5FB19505" w:rsidR="00BF406B" w:rsidRPr="003A3426" w:rsidRDefault="00BF406B" w:rsidP="00017F25">
      <w:pPr>
        <w:pStyle w:val="BodyText2"/>
        <w:spacing w:line="360" w:lineRule="auto"/>
      </w:pPr>
    </w:p>
    <w:p w14:paraId="66A9F162" w14:textId="77777777" w:rsidR="00BC1EDB" w:rsidRDefault="00BC1EDB" w:rsidP="00FA78E1">
      <w:pPr>
        <w:pStyle w:val="BodyText2"/>
        <w:spacing w:line="360" w:lineRule="auto"/>
        <w:jc w:val="left"/>
        <w:rPr>
          <w:b w:val="0"/>
        </w:rPr>
      </w:pPr>
    </w:p>
    <w:p w14:paraId="209E3204" w14:textId="77777777" w:rsidR="00AC10FA" w:rsidRDefault="00AC10FA">
      <w:pPr>
        <w:spacing w:after="200" w:line="276" w:lineRule="auto"/>
        <w:jc w:val="left"/>
        <w:rPr>
          <w:rFonts w:eastAsiaTheme="majorEastAsia"/>
          <w:bCs/>
        </w:rPr>
      </w:pPr>
      <w:bookmarkStart w:id="200" w:name="_Toc112219387"/>
      <w:bookmarkStart w:id="201" w:name="_Toc347120389"/>
      <w:r>
        <w:rPr>
          <w:b w:val="0"/>
        </w:rPr>
        <w:br w:type="page"/>
      </w:r>
    </w:p>
    <w:p w14:paraId="6FF18F21" w14:textId="77777777" w:rsidR="00E21AC3" w:rsidRPr="00E21AC3" w:rsidRDefault="00E21AC3" w:rsidP="00E21AC3">
      <w:pPr>
        <w:pStyle w:val="Heading2"/>
        <w:jc w:val="left"/>
        <w:rPr>
          <w:rFonts w:ascii="Arial" w:hAnsi="Arial" w:cs="Arial"/>
          <w:b/>
          <w:color w:val="auto"/>
          <w:sz w:val="20"/>
          <w:szCs w:val="20"/>
        </w:rPr>
      </w:pPr>
      <w:bookmarkStart w:id="202" w:name="_Toc535495634"/>
      <w:r w:rsidRPr="00E21AC3">
        <w:rPr>
          <w:rFonts w:ascii="Arial" w:hAnsi="Arial" w:cs="Arial"/>
          <w:b/>
          <w:color w:val="auto"/>
          <w:sz w:val="20"/>
          <w:szCs w:val="20"/>
        </w:rPr>
        <w:t>4.1.5</w:t>
      </w:r>
      <w:r w:rsidRPr="00E21AC3">
        <w:rPr>
          <w:rFonts w:ascii="Arial" w:hAnsi="Arial" w:cs="Arial"/>
          <w:b/>
          <w:color w:val="auto"/>
          <w:sz w:val="20"/>
          <w:szCs w:val="20"/>
        </w:rPr>
        <w:tab/>
        <w:t>Governmental Lighting Sales</w:t>
      </w:r>
      <w:bookmarkEnd w:id="200"/>
      <w:bookmarkEnd w:id="201"/>
      <w:bookmarkEnd w:id="202"/>
    </w:p>
    <w:p w14:paraId="210CD05D" w14:textId="77777777" w:rsidR="00BC1EDB" w:rsidRDefault="00BC1EDB" w:rsidP="00665881">
      <w:pPr>
        <w:pStyle w:val="BodyText2"/>
        <w:spacing w:line="360" w:lineRule="auto"/>
        <w:jc w:val="both"/>
        <w:rPr>
          <w:b w:val="0"/>
        </w:rPr>
      </w:pPr>
    </w:p>
    <w:p w14:paraId="03A23E81" w14:textId="5AE5937D" w:rsidR="00E03DA3" w:rsidRPr="0076429E" w:rsidRDefault="00E03DA3" w:rsidP="0076429E">
      <w:pPr>
        <w:pStyle w:val="BodyText2"/>
        <w:spacing w:line="360" w:lineRule="auto"/>
        <w:jc w:val="both"/>
        <w:rPr>
          <w:b w:val="0"/>
        </w:rPr>
      </w:pPr>
      <w:r w:rsidRPr="008B0092">
        <w:rPr>
          <w:b w:val="0"/>
        </w:rPr>
        <w:t xml:space="preserve">New outdoor lighting technologies being adopted throughout the </w:t>
      </w:r>
      <w:r w:rsidR="004E5A50" w:rsidRPr="008B0092">
        <w:rPr>
          <w:b w:val="0"/>
        </w:rPr>
        <w:t xml:space="preserve">Georgia Power </w:t>
      </w:r>
      <w:r w:rsidRPr="008B0092">
        <w:rPr>
          <w:b w:val="0"/>
        </w:rPr>
        <w:t>system ha</w:t>
      </w:r>
      <w:r w:rsidR="007A17A0">
        <w:rPr>
          <w:b w:val="0"/>
        </w:rPr>
        <w:t>ve</w:t>
      </w:r>
      <w:r w:rsidRPr="008B0092">
        <w:rPr>
          <w:b w:val="0"/>
        </w:rPr>
        <w:t xml:space="preserve"> made it necessary to use internal estimates for the short-term forecast</w:t>
      </w:r>
      <w:r w:rsidR="004E5A50" w:rsidRPr="008B0092">
        <w:rPr>
          <w:b w:val="0"/>
        </w:rPr>
        <w:t xml:space="preserve"> rather than a</w:t>
      </w:r>
      <w:r w:rsidRPr="008B0092">
        <w:rPr>
          <w:b w:val="0"/>
        </w:rPr>
        <w:t xml:space="preserve"> single regression model relating governmental lighting energy sales to the growth in governmental lighting customers</w:t>
      </w:r>
      <w:r w:rsidR="004E5A50" w:rsidRPr="008B0092">
        <w:rPr>
          <w:b w:val="0"/>
        </w:rPr>
        <w:t xml:space="preserve">, as has been done in the past. </w:t>
      </w:r>
      <w:r w:rsidR="001541DF">
        <w:rPr>
          <w:b w:val="0"/>
        </w:rPr>
        <w:t xml:space="preserve">In Budget </w:t>
      </w:r>
      <w:r w:rsidR="00D30BF2">
        <w:rPr>
          <w:b w:val="0"/>
        </w:rPr>
        <w:t>2019</w:t>
      </w:r>
      <w:r w:rsidR="001541DF">
        <w:rPr>
          <w:b w:val="0"/>
        </w:rPr>
        <w:t xml:space="preserve">, it is assumed that by </w:t>
      </w:r>
      <w:r w:rsidR="00D30BF2">
        <w:rPr>
          <w:b w:val="0"/>
        </w:rPr>
        <w:t>2021</w:t>
      </w:r>
      <w:r w:rsidR="001541DF">
        <w:rPr>
          <w:b w:val="0"/>
        </w:rPr>
        <w:t xml:space="preserve">, governmental lighting energy usage will be reduced </w:t>
      </w:r>
      <w:r w:rsidR="00AF1EFF">
        <w:rPr>
          <w:b w:val="0"/>
        </w:rPr>
        <w:t>by approximately 33</w:t>
      </w:r>
      <w:r w:rsidR="001541DF">
        <w:rPr>
          <w:b w:val="0"/>
        </w:rPr>
        <w:t xml:space="preserve">% from 2014 levels. </w:t>
      </w:r>
      <w:r w:rsidR="001541DF" w:rsidRPr="0076429E">
        <w:rPr>
          <w:b w:val="0"/>
        </w:rPr>
        <w:t xml:space="preserve">No explicit econometric model was used in the Budget </w:t>
      </w:r>
      <w:r w:rsidR="00D30BF2" w:rsidRPr="0076429E">
        <w:rPr>
          <w:b w:val="0"/>
        </w:rPr>
        <w:t>20</w:t>
      </w:r>
      <w:r w:rsidR="00D30BF2">
        <w:rPr>
          <w:b w:val="0"/>
        </w:rPr>
        <w:t>19</w:t>
      </w:r>
      <w:r w:rsidR="00D30BF2" w:rsidRPr="0076429E">
        <w:rPr>
          <w:b w:val="0"/>
        </w:rPr>
        <w:t xml:space="preserve"> </w:t>
      </w:r>
      <w:r w:rsidR="001541DF" w:rsidRPr="0076429E">
        <w:rPr>
          <w:b w:val="0"/>
        </w:rPr>
        <w:t>forecast of governmental lighting.</w:t>
      </w:r>
    </w:p>
    <w:p w14:paraId="02448F9E" w14:textId="77777777" w:rsidR="00E21AC3" w:rsidRDefault="00E21AC3" w:rsidP="00FA78E1">
      <w:pPr>
        <w:pStyle w:val="BodyTextIndent"/>
        <w:spacing w:line="360" w:lineRule="auto"/>
        <w:ind w:left="0"/>
        <w:jc w:val="left"/>
      </w:pPr>
    </w:p>
    <w:p w14:paraId="1B464F15" w14:textId="77777777" w:rsidR="00E21AC3" w:rsidRPr="00525415" w:rsidRDefault="00E21AC3" w:rsidP="00E21AC3">
      <w:pPr>
        <w:pStyle w:val="Heading1"/>
        <w:jc w:val="left"/>
        <w:rPr>
          <w:rFonts w:ascii="Arial" w:hAnsi="Arial" w:cs="Arial"/>
          <w:b/>
          <w:color w:val="auto"/>
        </w:rPr>
      </w:pPr>
      <w:bookmarkStart w:id="203" w:name="_Toc112219392"/>
      <w:bookmarkStart w:id="204" w:name="_Toc347120391"/>
      <w:bookmarkStart w:id="205" w:name="_Toc535495635"/>
      <w:r w:rsidRPr="00525415">
        <w:rPr>
          <w:rFonts w:ascii="Arial" w:hAnsi="Arial" w:cs="Arial"/>
          <w:b/>
          <w:color w:val="auto"/>
        </w:rPr>
        <w:t>4.2</w:t>
      </w:r>
      <w:r w:rsidRPr="00525415">
        <w:rPr>
          <w:rFonts w:ascii="Arial" w:hAnsi="Arial" w:cs="Arial"/>
          <w:b/>
          <w:color w:val="auto"/>
        </w:rPr>
        <w:tab/>
        <w:t>CUSTOMER FORECASTS</w:t>
      </w:r>
      <w:bookmarkEnd w:id="203"/>
      <w:bookmarkEnd w:id="204"/>
      <w:bookmarkEnd w:id="205"/>
    </w:p>
    <w:p w14:paraId="73549253" w14:textId="77777777" w:rsidR="00525415" w:rsidRDefault="00525415" w:rsidP="00525415">
      <w:pPr>
        <w:pStyle w:val="BodyText2"/>
        <w:spacing w:line="360" w:lineRule="auto"/>
        <w:jc w:val="left"/>
        <w:rPr>
          <w:b w:val="0"/>
        </w:rPr>
      </w:pPr>
    </w:p>
    <w:p w14:paraId="0E7E65C1" w14:textId="0D6EA91C" w:rsidR="00E21AC3" w:rsidRPr="00525415" w:rsidRDefault="00E21AC3" w:rsidP="00665881">
      <w:pPr>
        <w:pStyle w:val="BodyText2"/>
        <w:spacing w:line="360" w:lineRule="auto"/>
        <w:jc w:val="both"/>
        <w:rPr>
          <w:b w:val="0"/>
        </w:rPr>
      </w:pPr>
      <w:r w:rsidRPr="00525415">
        <w:rPr>
          <w:b w:val="0"/>
        </w:rPr>
        <w:t xml:space="preserve">Budget </w:t>
      </w:r>
      <w:r w:rsidR="00E058AF" w:rsidRPr="00525415">
        <w:rPr>
          <w:b w:val="0"/>
        </w:rPr>
        <w:t>20</w:t>
      </w:r>
      <w:r w:rsidR="00E058AF">
        <w:rPr>
          <w:b w:val="0"/>
        </w:rPr>
        <w:t>19</w:t>
      </w:r>
      <w:r w:rsidR="00E058AF" w:rsidRPr="00525415">
        <w:rPr>
          <w:b w:val="0"/>
        </w:rPr>
        <w:t xml:space="preserve"> </w:t>
      </w:r>
      <w:r w:rsidRPr="00525415">
        <w:rPr>
          <w:b w:val="0"/>
        </w:rPr>
        <w:t xml:space="preserve">customer forecasts for the residential, commercial, industrial, and governmental lighting classes were developed using </w:t>
      </w:r>
      <w:r w:rsidR="007668D0">
        <w:rPr>
          <w:b w:val="0"/>
        </w:rPr>
        <w:t xml:space="preserve">linear </w:t>
      </w:r>
      <w:r w:rsidRPr="00525415">
        <w:rPr>
          <w:b w:val="0"/>
        </w:rPr>
        <w:t xml:space="preserve">regression models. </w:t>
      </w:r>
    </w:p>
    <w:p w14:paraId="22124A4C" w14:textId="77777777" w:rsidR="00E21AC3" w:rsidRPr="003A3426" w:rsidRDefault="00E21AC3" w:rsidP="00E21AC3">
      <w:pPr>
        <w:pStyle w:val="BodyText2"/>
      </w:pPr>
      <w:r w:rsidRPr="003A3426">
        <w:t xml:space="preserve"> </w:t>
      </w:r>
    </w:p>
    <w:p w14:paraId="32B90D64" w14:textId="77777777" w:rsidR="00E21AC3" w:rsidRPr="00525415" w:rsidRDefault="00E21AC3" w:rsidP="00E21AC3">
      <w:pPr>
        <w:pStyle w:val="Heading2"/>
        <w:jc w:val="left"/>
        <w:rPr>
          <w:rFonts w:ascii="Arial" w:hAnsi="Arial" w:cs="Arial"/>
          <w:b/>
          <w:color w:val="auto"/>
          <w:sz w:val="20"/>
          <w:szCs w:val="20"/>
        </w:rPr>
      </w:pPr>
      <w:bookmarkStart w:id="206" w:name="_Toc468764778"/>
      <w:bookmarkStart w:id="207" w:name="_Toc503665768"/>
      <w:bookmarkStart w:id="208" w:name="_Toc112219393"/>
      <w:bookmarkStart w:id="209" w:name="_Toc347120392"/>
      <w:bookmarkStart w:id="210" w:name="_Toc535495636"/>
      <w:r w:rsidRPr="00525415">
        <w:rPr>
          <w:rFonts w:ascii="Arial" w:hAnsi="Arial" w:cs="Arial"/>
          <w:b/>
          <w:color w:val="auto"/>
          <w:sz w:val="20"/>
          <w:szCs w:val="20"/>
        </w:rPr>
        <w:t>4.2.1</w:t>
      </w:r>
      <w:r w:rsidRPr="00525415">
        <w:rPr>
          <w:rFonts w:ascii="Arial" w:hAnsi="Arial" w:cs="Arial"/>
          <w:b/>
          <w:color w:val="auto"/>
          <w:sz w:val="20"/>
          <w:szCs w:val="20"/>
        </w:rPr>
        <w:tab/>
        <w:t>Residential Customers</w:t>
      </w:r>
      <w:bookmarkEnd w:id="206"/>
      <w:bookmarkEnd w:id="207"/>
      <w:bookmarkEnd w:id="208"/>
      <w:bookmarkEnd w:id="209"/>
      <w:bookmarkEnd w:id="210"/>
    </w:p>
    <w:p w14:paraId="00438F9F" w14:textId="77777777" w:rsidR="00715024" w:rsidRDefault="00715024" w:rsidP="00715024">
      <w:pPr>
        <w:pStyle w:val="BodyText2"/>
        <w:spacing w:line="360" w:lineRule="auto"/>
        <w:jc w:val="left"/>
        <w:rPr>
          <w:b w:val="0"/>
        </w:rPr>
      </w:pPr>
    </w:p>
    <w:p w14:paraId="3AE97585" w14:textId="250DE8DC" w:rsidR="00E21AC3" w:rsidRPr="00715024" w:rsidRDefault="00E21AC3" w:rsidP="00665881">
      <w:pPr>
        <w:pStyle w:val="BodyText2"/>
        <w:spacing w:line="360" w:lineRule="auto"/>
        <w:jc w:val="both"/>
        <w:rPr>
          <w:b w:val="0"/>
        </w:rPr>
      </w:pPr>
      <w:r w:rsidRPr="00715024">
        <w:rPr>
          <w:b w:val="0"/>
        </w:rPr>
        <w:t xml:space="preserve">The Georgia Power residential customer forecast was developed using </w:t>
      </w:r>
      <w:r w:rsidR="008253F0">
        <w:rPr>
          <w:b w:val="0"/>
        </w:rPr>
        <w:t xml:space="preserve">a regression </w:t>
      </w:r>
      <w:r w:rsidRPr="00715024">
        <w:rPr>
          <w:b w:val="0"/>
        </w:rPr>
        <w:t xml:space="preserve">model that </w:t>
      </w:r>
      <w:r w:rsidR="008253F0">
        <w:rPr>
          <w:b w:val="0"/>
        </w:rPr>
        <w:t>relates the annual change in customers to the annual change in the number of Georgia households, a lag of the dependent variable and an intercept term</w:t>
      </w:r>
      <w:r w:rsidRPr="00715024">
        <w:rPr>
          <w:b w:val="0"/>
        </w:rPr>
        <w:t xml:space="preserve">. </w:t>
      </w:r>
      <w:r w:rsidR="008253F0" w:rsidRPr="00715024">
        <w:rPr>
          <w:b w:val="0"/>
        </w:rPr>
        <w:t>The annual forecast</w:t>
      </w:r>
      <w:r w:rsidR="008253F0">
        <w:rPr>
          <w:b w:val="0"/>
        </w:rPr>
        <w:t>s</w:t>
      </w:r>
      <w:r w:rsidR="008253F0" w:rsidRPr="00715024">
        <w:rPr>
          <w:b w:val="0"/>
        </w:rPr>
        <w:t xml:space="preserve"> are then spread across the months using an estimate of the monthly historical pattern</w:t>
      </w:r>
      <w:r w:rsidR="008253F0">
        <w:rPr>
          <w:b w:val="0"/>
        </w:rPr>
        <w:t xml:space="preserve">. </w:t>
      </w:r>
      <w:r w:rsidRPr="00715024">
        <w:rPr>
          <w:b w:val="0"/>
        </w:rPr>
        <w:t>Table 4.2.1-1 presents the specific parameter estimates and statistics for the residential customer model.</w:t>
      </w:r>
    </w:p>
    <w:p w14:paraId="294E2FFC" w14:textId="77777777" w:rsidR="00E21AC3" w:rsidRDefault="00E21AC3" w:rsidP="00FA78E1">
      <w:pPr>
        <w:pStyle w:val="BodyTextIndent"/>
        <w:spacing w:line="360" w:lineRule="auto"/>
        <w:ind w:left="0"/>
        <w:jc w:val="left"/>
      </w:pPr>
    </w:p>
    <w:p w14:paraId="37938F0B" w14:textId="77777777" w:rsidR="00715024" w:rsidRPr="00715024" w:rsidRDefault="00715024" w:rsidP="005E0B9B">
      <w:pPr>
        <w:pStyle w:val="BodyTextIndent"/>
        <w:keepNext/>
        <w:spacing w:line="360" w:lineRule="auto"/>
        <w:ind w:left="0"/>
        <w:jc w:val="left"/>
        <w:rPr>
          <w:b/>
        </w:rPr>
      </w:pPr>
      <w:r w:rsidRPr="00715024">
        <w:rPr>
          <w:b/>
        </w:rPr>
        <w:t xml:space="preserve">Table 4.2.1-1: </w:t>
      </w:r>
      <w:r w:rsidRPr="00B66236">
        <w:rPr>
          <w:b/>
        </w:rPr>
        <w:t>Residential Customers</w:t>
      </w:r>
    </w:p>
    <w:p w14:paraId="32E37130" w14:textId="77777777" w:rsidR="00017F25" w:rsidRPr="00017F25" w:rsidRDefault="0067264A" w:rsidP="005E0B9B">
      <w:pPr>
        <w:pStyle w:val="BodyTextIndent"/>
        <w:keepNext/>
        <w:spacing w:after="0"/>
        <w:ind w:left="0"/>
        <w:rPr>
          <w:b/>
        </w:rPr>
      </w:pPr>
      <w:r>
        <w:rPr>
          <w:b/>
        </w:rPr>
        <w:t xml:space="preserve">Customer </w:t>
      </w:r>
      <w:r w:rsidR="00017F25" w:rsidRPr="00017F25">
        <w:rPr>
          <w:b/>
        </w:rPr>
        <w:t>Model</w:t>
      </w:r>
    </w:p>
    <w:p w14:paraId="5A7A1042" w14:textId="21AB0010" w:rsidR="00017F25" w:rsidRDefault="00017F25" w:rsidP="005E0B9B">
      <w:pPr>
        <w:pStyle w:val="BodyTextIndent"/>
        <w:keepNext/>
        <w:spacing w:after="0"/>
        <w:ind w:left="0"/>
        <w:rPr>
          <w:b/>
        </w:rPr>
      </w:pPr>
      <w:r w:rsidRPr="00017F25">
        <w:rPr>
          <w:b/>
        </w:rPr>
        <w:t xml:space="preserve">Budget </w:t>
      </w:r>
      <w:r w:rsidR="0022134D" w:rsidRPr="00017F25">
        <w:rPr>
          <w:b/>
        </w:rPr>
        <w:t>20</w:t>
      </w:r>
      <w:r w:rsidR="0022134D">
        <w:rPr>
          <w:b/>
        </w:rPr>
        <w:t>19</w:t>
      </w:r>
    </w:p>
    <w:p w14:paraId="076CF9C9" w14:textId="24F27ACF" w:rsidR="0022134D" w:rsidRDefault="0022134D" w:rsidP="005E0B9B">
      <w:pPr>
        <w:pStyle w:val="BodyTextIndent"/>
        <w:keepNext/>
        <w:spacing w:after="0"/>
        <w:ind w:left="0"/>
        <w:rPr>
          <w:b/>
        </w:rPr>
      </w:pPr>
    </w:p>
    <w:p w14:paraId="055E0C67" w14:textId="70521AC4" w:rsidR="0022134D" w:rsidRDefault="002D62D4" w:rsidP="005E0B9B">
      <w:pPr>
        <w:pStyle w:val="BodyTextIndent"/>
        <w:keepNext/>
        <w:spacing w:after="0"/>
        <w:ind w:left="0"/>
        <w:rPr>
          <w:b/>
        </w:rPr>
      </w:pPr>
      <w:r w:rsidRPr="002D62D4">
        <w:rPr>
          <w:b/>
          <w:noProof/>
        </w:rPr>
        <w:drawing>
          <wp:inline distT="0" distB="0" distL="0" distR="0" wp14:anchorId="2D3B5354" wp14:editId="361C2206">
            <wp:extent cx="4229100" cy="1076325"/>
            <wp:effectExtent l="0" t="0" r="0"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229100" cy="1076325"/>
                    </a:xfrm>
                    <a:prstGeom prst="rect">
                      <a:avLst/>
                    </a:prstGeom>
                    <a:noFill/>
                    <a:ln>
                      <a:noFill/>
                    </a:ln>
                  </pic:spPr>
                </pic:pic>
              </a:graphicData>
            </a:graphic>
          </wp:inline>
        </w:drawing>
      </w:r>
    </w:p>
    <w:p w14:paraId="17CE9B4E" w14:textId="77777777" w:rsidR="00017F25" w:rsidRDefault="00017F25" w:rsidP="005E0B9B">
      <w:pPr>
        <w:pStyle w:val="BodyTextIndent"/>
        <w:keepNext/>
        <w:spacing w:after="0"/>
        <w:ind w:left="0"/>
      </w:pPr>
    </w:p>
    <w:p w14:paraId="6C28C551" w14:textId="382E2BDF" w:rsidR="00FA78E1" w:rsidRDefault="00FA78E1" w:rsidP="005E0B9B">
      <w:pPr>
        <w:pStyle w:val="BodyTextIndent"/>
        <w:keepNext/>
        <w:spacing w:line="360" w:lineRule="auto"/>
        <w:ind w:left="0"/>
      </w:pPr>
    </w:p>
    <w:p w14:paraId="7326A74A" w14:textId="77777777" w:rsidR="00715024" w:rsidRDefault="00715024">
      <w:pPr>
        <w:pStyle w:val="BodyTextIndent"/>
        <w:spacing w:line="360" w:lineRule="auto"/>
        <w:ind w:left="0"/>
        <w:jc w:val="left"/>
      </w:pPr>
    </w:p>
    <w:p w14:paraId="2CECAD42" w14:textId="4975A69D" w:rsidR="00784020" w:rsidRDefault="00784020" w:rsidP="00784020">
      <w:pPr>
        <w:pStyle w:val="BodyTextIndent"/>
        <w:keepNext/>
        <w:spacing w:line="360" w:lineRule="auto"/>
        <w:ind w:left="0"/>
        <w:jc w:val="left"/>
        <w:rPr>
          <w:b/>
        </w:rPr>
      </w:pPr>
      <w:r w:rsidRPr="00784020">
        <w:rPr>
          <w:b/>
        </w:rPr>
        <w:t xml:space="preserve">Where: </w:t>
      </w:r>
    </w:p>
    <w:p w14:paraId="41859F37" w14:textId="70D86C08" w:rsidR="003F25FB" w:rsidRPr="00784020" w:rsidRDefault="003F25FB" w:rsidP="0050393E">
      <w:pPr>
        <w:pStyle w:val="BodyTextIndent"/>
        <w:keepNext/>
        <w:spacing w:line="360" w:lineRule="auto"/>
        <w:ind w:left="0"/>
        <w:rPr>
          <w:b/>
        </w:rPr>
      </w:pPr>
      <w:r w:rsidRPr="003F25FB">
        <w:rPr>
          <w:b/>
          <w:noProof/>
        </w:rPr>
        <w:drawing>
          <wp:inline distT="0" distB="0" distL="0" distR="0" wp14:anchorId="420DEB18" wp14:editId="1B14323F">
            <wp:extent cx="5838825" cy="1076325"/>
            <wp:effectExtent l="0" t="0" r="9525" b="9525"/>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838825" cy="1076325"/>
                    </a:xfrm>
                    <a:prstGeom prst="rect">
                      <a:avLst/>
                    </a:prstGeom>
                    <a:noFill/>
                    <a:ln>
                      <a:noFill/>
                    </a:ln>
                  </pic:spPr>
                </pic:pic>
              </a:graphicData>
            </a:graphic>
          </wp:inline>
        </w:drawing>
      </w:r>
    </w:p>
    <w:p w14:paraId="62F91069" w14:textId="77777777" w:rsidR="00784020" w:rsidRDefault="00784020" w:rsidP="00715024">
      <w:pPr>
        <w:pStyle w:val="Heading2"/>
        <w:jc w:val="left"/>
        <w:rPr>
          <w:rFonts w:ascii="Arial" w:hAnsi="Arial" w:cs="Arial"/>
          <w:b/>
          <w:color w:val="auto"/>
          <w:sz w:val="20"/>
          <w:szCs w:val="20"/>
        </w:rPr>
      </w:pPr>
      <w:bookmarkStart w:id="211" w:name="_Toc503665770"/>
      <w:bookmarkStart w:id="212" w:name="_Toc112219395"/>
      <w:bookmarkStart w:id="213" w:name="_Toc347120394"/>
    </w:p>
    <w:p w14:paraId="07F7878E" w14:textId="77777777" w:rsidR="00715024" w:rsidRPr="00715024" w:rsidRDefault="00715024" w:rsidP="00715024">
      <w:pPr>
        <w:pStyle w:val="Heading2"/>
        <w:jc w:val="left"/>
        <w:rPr>
          <w:rFonts w:ascii="Arial" w:hAnsi="Arial" w:cs="Arial"/>
          <w:b/>
          <w:color w:val="auto"/>
          <w:sz w:val="20"/>
          <w:szCs w:val="20"/>
        </w:rPr>
      </w:pPr>
      <w:bookmarkStart w:id="214" w:name="_Toc535495637"/>
      <w:r w:rsidRPr="00715024">
        <w:rPr>
          <w:rFonts w:ascii="Arial" w:hAnsi="Arial" w:cs="Arial"/>
          <w:b/>
          <w:color w:val="auto"/>
          <w:sz w:val="20"/>
          <w:szCs w:val="20"/>
        </w:rPr>
        <w:t>4.2.2</w:t>
      </w:r>
      <w:r w:rsidRPr="00715024">
        <w:rPr>
          <w:rFonts w:ascii="Arial" w:hAnsi="Arial" w:cs="Arial"/>
          <w:b/>
          <w:color w:val="auto"/>
          <w:sz w:val="20"/>
          <w:szCs w:val="20"/>
        </w:rPr>
        <w:tab/>
        <w:t>Commercial Customers</w:t>
      </w:r>
      <w:bookmarkEnd w:id="211"/>
      <w:bookmarkEnd w:id="212"/>
      <w:bookmarkEnd w:id="213"/>
      <w:bookmarkEnd w:id="214"/>
    </w:p>
    <w:p w14:paraId="3E180C48" w14:textId="77777777" w:rsidR="00715024" w:rsidRDefault="00715024" w:rsidP="00715024">
      <w:pPr>
        <w:pStyle w:val="BodyText2"/>
        <w:spacing w:line="360" w:lineRule="auto"/>
        <w:jc w:val="left"/>
        <w:rPr>
          <w:b w:val="0"/>
        </w:rPr>
      </w:pPr>
    </w:p>
    <w:p w14:paraId="3B9BFAC0" w14:textId="7BF9A69A" w:rsidR="00715024" w:rsidRPr="00715024" w:rsidRDefault="00670EB3" w:rsidP="00665881">
      <w:pPr>
        <w:pStyle w:val="BodyText2"/>
        <w:spacing w:line="360" w:lineRule="auto"/>
        <w:jc w:val="both"/>
        <w:rPr>
          <w:b w:val="0"/>
        </w:rPr>
      </w:pPr>
      <w:r>
        <w:rPr>
          <w:b w:val="0"/>
        </w:rPr>
        <w:t>T</w:t>
      </w:r>
      <w:r w:rsidR="00715024" w:rsidRPr="00715024">
        <w:rPr>
          <w:b w:val="0"/>
        </w:rPr>
        <w:t xml:space="preserve">he Georgia Power commercial customer forecast </w:t>
      </w:r>
      <w:r w:rsidR="008253F0">
        <w:rPr>
          <w:b w:val="0"/>
        </w:rPr>
        <w:t>uses the annual change in customers as the dependent variable</w:t>
      </w:r>
      <w:r w:rsidR="004E23A7">
        <w:rPr>
          <w:b w:val="0"/>
        </w:rPr>
        <w:t xml:space="preserve"> in</w:t>
      </w:r>
      <w:r w:rsidR="00715024" w:rsidRPr="00715024">
        <w:rPr>
          <w:b w:val="0"/>
        </w:rPr>
        <w:t xml:space="preserve"> a regression model that includes </w:t>
      </w:r>
      <w:r w:rsidR="004E23A7">
        <w:rPr>
          <w:b w:val="0"/>
        </w:rPr>
        <w:t>the annual change in</w:t>
      </w:r>
      <w:r w:rsidR="00715024" w:rsidRPr="00715024">
        <w:rPr>
          <w:b w:val="0"/>
        </w:rPr>
        <w:t xml:space="preserve"> </w:t>
      </w:r>
      <w:r w:rsidR="00A513BE">
        <w:rPr>
          <w:b w:val="0"/>
        </w:rPr>
        <w:t xml:space="preserve">Georgia </w:t>
      </w:r>
      <w:r w:rsidR="00715024" w:rsidRPr="00715024">
        <w:rPr>
          <w:b w:val="0"/>
        </w:rPr>
        <w:t>nonmanufacturing employment as the independent variable. The annual forecast</w:t>
      </w:r>
      <w:r w:rsidR="00CB5595">
        <w:rPr>
          <w:b w:val="0"/>
        </w:rPr>
        <w:t>s</w:t>
      </w:r>
      <w:r w:rsidR="00715024" w:rsidRPr="00715024">
        <w:rPr>
          <w:b w:val="0"/>
        </w:rPr>
        <w:t xml:space="preserve"> are then spread across the months using an estimate of the monthly historical pattern. Table 4.2.2-1 presents the specific parameter estimates and statistics for the commercial customer model.</w:t>
      </w:r>
    </w:p>
    <w:p w14:paraId="69EF745C" w14:textId="77777777" w:rsidR="00715024" w:rsidRPr="003A3426" w:rsidRDefault="00715024" w:rsidP="00715024"/>
    <w:p w14:paraId="224FDABF" w14:textId="77777777" w:rsidR="00715024" w:rsidRDefault="00715024" w:rsidP="005E0B9B">
      <w:pPr>
        <w:pStyle w:val="BodyTextIndent"/>
        <w:keepNext/>
        <w:spacing w:line="360" w:lineRule="auto"/>
        <w:ind w:left="0"/>
        <w:jc w:val="left"/>
        <w:rPr>
          <w:b/>
        </w:rPr>
      </w:pPr>
      <w:r w:rsidRPr="00715024">
        <w:rPr>
          <w:b/>
        </w:rPr>
        <w:t xml:space="preserve">Table 4.2.2-1: </w:t>
      </w:r>
      <w:r w:rsidRPr="00B66236">
        <w:rPr>
          <w:b/>
        </w:rPr>
        <w:t>Commercial Customers</w:t>
      </w:r>
    </w:p>
    <w:p w14:paraId="6C878562" w14:textId="77777777" w:rsidR="0067264A" w:rsidRPr="00017F25" w:rsidRDefault="0067264A" w:rsidP="005E0B9B">
      <w:pPr>
        <w:pStyle w:val="BodyTextIndent"/>
        <w:keepNext/>
        <w:spacing w:after="0"/>
        <w:ind w:left="0"/>
        <w:rPr>
          <w:b/>
        </w:rPr>
      </w:pPr>
      <w:r>
        <w:rPr>
          <w:b/>
        </w:rPr>
        <w:t xml:space="preserve">Customer </w:t>
      </w:r>
      <w:r w:rsidRPr="00017F25">
        <w:rPr>
          <w:b/>
        </w:rPr>
        <w:t>Model</w:t>
      </w:r>
    </w:p>
    <w:p w14:paraId="2615030E" w14:textId="2F46CB7B" w:rsidR="0067264A" w:rsidRDefault="0067264A" w:rsidP="005E0B9B">
      <w:pPr>
        <w:pStyle w:val="BodyTextIndent"/>
        <w:keepNext/>
        <w:spacing w:after="0"/>
        <w:ind w:left="0"/>
        <w:rPr>
          <w:b/>
        </w:rPr>
      </w:pPr>
      <w:r w:rsidRPr="00017F25">
        <w:rPr>
          <w:b/>
        </w:rPr>
        <w:t xml:space="preserve">Budget </w:t>
      </w:r>
      <w:r w:rsidR="0022134D" w:rsidRPr="00017F25">
        <w:rPr>
          <w:b/>
        </w:rPr>
        <w:t>20</w:t>
      </w:r>
      <w:r w:rsidR="0022134D">
        <w:rPr>
          <w:b/>
        </w:rPr>
        <w:t>19</w:t>
      </w:r>
    </w:p>
    <w:p w14:paraId="0F22ECB5" w14:textId="14583B75" w:rsidR="0067264A" w:rsidRDefault="0067264A" w:rsidP="005E0B9B">
      <w:pPr>
        <w:pStyle w:val="BodyTextIndent"/>
        <w:keepNext/>
        <w:spacing w:after="0"/>
        <w:ind w:left="0"/>
      </w:pPr>
    </w:p>
    <w:p w14:paraId="17EDADAE" w14:textId="063E31FE" w:rsidR="003F25FB" w:rsidRDefault="002D62D4" w:rsidP="005E0B9B">
      <w:pPr>
        <w:pStyle w:val="BodyTextIndent"/>
        <w:keepNext/>
        <w:spacing w:after="0"/>
        <w:ind w:left="0"/>
      </w:pPr>
      <w:r w:rsidRPr="002D62D4">
        <w:rPr>
          <w:noProof/>
        </w:rPr>
        <w:drawing>
          <wp:inline distT="0" distB="0" distL="0" distR="0" wp14:anchorId="6CE41483" wp14:editId="30249393">
            <wp:extent cx="4229100" cy="1076325"/>
            <wp:effectExtent l="0" t="0" r="0"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229100" cy="1076325"/>
                    </a:xfrm>
                    <a:prstGeom prst="rect">
                      <a:avLst/>
                    </a:prstGeom>
                    <a:noFill/>
                    <a:ln>
                      <a:noFill/>
                    </a:ln>
                  </pic:spPr>
                </pic:pic>
              </a:graphicData>
            </a:graphic>
          </wp:inline>
        </w:drawing>
      </w:r>
    </w:p>
    <w:p w14:paraId="50FDCBE2" w14:textId="77777777" w:rsidR="003F25FB" w:rsidRDefault="003F25FB" w:rsidP="005E0B9B">
      <w:pPr>
        <w:pStyle w:val="BodyTextIndent"/>
        <w:keepNext/>
        <w:spacing w:after="0"/>
        <w:ind w:left="0"/>
      </w:pPr>
    </w:p>
    <w:p w14:paraId="2038FF99" w14:textId="77777777" w:rsidR="00715024" w:rsidRDefault="00715024">
      <w:pPr>
        <w:pStyle w:val="BodyTextIndent"/>
        <w:spacing w:line="360" w:lineRule="auto"/>
        <w:ind w:left="0"/>
        <w:jc w:val="left"/>
      </w:pPr>
    </w:p>
    <w:p w14:paraId="45B26626" w14:textId="59C6149F" w:rsidR="00531FB9" w:rsidRDefault="00531FB9">
      <w:pPr>
        <w:pStyle w:val="BodyTextIndent"/>
        <w:spacing w:line="360" w:lineRule="auto"/>
        <w:ind w:left="0"/>
        <w:jc w:val="left"/>
        <w:rPr>
          <w:b/>
        </w:rPr>
      </w:pPr>
      <w:r>
        <w:rPr>
          <w:b/>
        </w:rPr>
        <w:t>Where:</w:t>
      </w:r>
    </w:p>
    <w:p w14:paraId="1F11FBF1" w14:textId="14D8F903" w:rsidR="003F25FB" w:rsidRDefault="003F25FB" w:rsidP="00F11E72">
      <w:pPr>
        <w:pStyle w:val="BodyTextIndent"/>
        <w:spacing w:line="360" w:lineRule="auto"/>
        <w:ind w:left="0"/>
        <w:rPr>
          <w:b/>
        </w:rPr>
      </w:pPr>
      <w:r w:rsidRPr="003F25FB">
        <w:rPr>
          <w:b/>
          <w:noProof/>
        </w:rPr>
        <w:drawing>
          <wp:inline distT="0" distB="0" distL="0" distR="0" wp14:anchorId="5F125599" wp14:editId="1F14F459">
            <wp:extent cx="5943600" cy="1030102"/>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43600" cy="1030102"/>
                    </a:xfrm>
                    <a:prstGeom prst="rect">
                      <a:avLst/>
                    </a:prstGeom>
                    <a:noFill/>
                    <a:ln>
                      <a:noFill/>
                    </a:ln>
                  </pic:spPr>
                </pic:pic>
              </a:graphicData>
            </a:graphic>
          </wp:inline>
        </w:drawing>
      </w:r>
    </w:p>
    <w:p w14:paraId="6805AA47" w14:textId="1377EE0C" w:rsidR="00531FB9" w:rsidRPr="00531FB9" w:rsidRDefault="00531FB9" w:rsidP="0067264A">
      <w:pPr>
        <w:pStyle w:val="BodyTextIndent"/>
        <w:spacing w:line="360" w:lineRule="auto"/>
        <w:ind w:left="0"/>
        <w:rPr>
          <w:b/>
        </w:rPr>
      </w:pPr>
    </w:p>
    <w:p w14:paraId="3C6243E7" w14:textId="77777777" w:rsidR="00E203A2" w:rsidRDefault="00E203A2" w:rsidP="00715024">
      <w:pPr>
        <w:pStyle w:val="Heading2"/>
        <w:jc w:val="left"/>
        <w:rPr>
          <w:rFonts w:ascii="Arial" w:hAnsi="Arial" w:cs="Arial"/>
          <w:b/>
          <w:color w:val="auto"/>
          <w:sz w:val="20"/>
          <w:szCs w:val="20"/>
        </w:rPr>
      </w:pPr>
      <w:bookmarkStart w:id="215" w:name="_Toc347120396"/>
    </w:p>
    <w:p w14:paraId="20D3D427" w14:textId="77777777" w:rsidR="00715024" w:rsidRPr="00715024" w:rsidRDefault="00715024" w:rsidP="00715024">
      <w:pPr>
        <w:pStyle w:val="Heading2"/>
        <w:jc w:val="left"/>
        <w:rPr>
          <w:rFonts w:ascii="Arial" w:hAnsi="Arial" w:cs="Arial"/>
          <w:b/>
          <w:color w:val="auto"/>
          <w:sz w:val="20"/>
          <w:szCs w:val="20"/>
        </w:rPr>
      </w:pPr>
      <w:bookmarkStart w:id="216" w:name="_Toc535495638"/>
      <w:r w:rsidRPr="00715024">
        <w:rPr>
          <w:rFonts w:ascii="Arial" w:hAnsi="Arial" w:cs="Arial"/>
          <w:b/>
          <w:color w:val="auto"/>
          <w:sz w:val="20"/>
          <w:szCs w:val="20"/>
        </w:rPr>
        <w:t>4.2.3</w:t>
      </w:r>
      <w:r w:rsidRPr="00715024">
        <w:rPr>
          <w:rFonts w:ascii="Arial" w:hAnsi="Arial" w:cs="Arial"/>
          <w:b/>
          <w:color w:val="auto"/>
          <w:sz w:val="20"/>
          <w:szCs w:val="20"/>
        </w:rPr>
        <w:tab/>
        <w:t>Industrial Customers</w:t>
      </w:r>
      <w:bookmarkEnd w:id="215"/>
      <w:bookmarkEnd w:id="216"/>
    </w:p>
    <w:p w14:paraId="797EB0D5" w14:textId="77777777" w:rsidR="00715024" w:rsidRDefault="00715024" w:rsidP="00715024">
      <w:pPr>
        <w:pStyle w:val="BodyText"/>
        <w:spacing w:line="360" w:lineRule="auto"/>
        <w:jc w:val="left"/>
        <w:rPr>
          <w:b w:val="0"/>
        </w:rPr>
      </w:pPr>
    </w:p>
    <w:p w14:paraId="0C52E553" w14:textId="7AF3EFFD" w:rsidR="00715024" w:rsidRPr="00715024" w:rsidRDefault="00715024" w:rsidP="00715024">
      <w:pPr>
        <w:pStyle w:val="BodyText"/>
        <w:spacing w:line="360" w:lineRule="auto"/>
        <w:jc w:val="left"/>
        <w:rPr>
          <w:b w:val="0"/>
        </w:rPr>
      </w:pPr>
      <w:r w:rsidRPr="00715024">
        <w:rPr>
          <w:b w:val="0"/>
        </w:rPr>
        <w:t xml:space="preserve">The Georgia Power industrial customer forecast was developed using a regression model, with a one-month lag of customers as the explanatory variable. Table 4.2.3-1 presents the specific parameter estimates and statistics for the industrial customer model. </w:t>
      </w:r>
    </w:p>
    <w:p w14:paraId="63346410" w14:textId="77777777" w:rsidR="00715024" w:rsidRDefault="00715024">
      <w:pPr>
        <w:pStyle w:val="BodyTextIndent"/>
        <w:spacing w:line="360" w:lineRule="auto"/>
        <w:ind w:left="0"/>
        <w:jc w:val="left"/>
      </w:pPr>
    </w:p>
    <w:p w14:paraId="6BEF9B84" w14:textId="77777777" w:rsidR="00715024" w:rsidRDefault="00715024">
      <w:pPr>
        <w:pStyle w:val="BodyTextIndent"/>
        <w:spacing w:line="360" w:lineRule="auto"/>
        <w:ind w:left="0"/>
        <w:jc w:val="left"/>
        <w:rPr>
          <w:b/>
        </w:rPr>
      </w:pPr>
      <w:r w:rsidRPr="00715024">
        <w:rPr>
          <w:b/>
        </w:rPr>
        <w:t>Table 4.2.3-</w:t>
      </w:r>
      <w:r w:rsidR="004E24E4">
        <w:rPr>
          <w:b/>
        </w:rPr>
        <w:t>1</w:t>
      </w:r>
      <w:r w:rsidRPr="00715024">
        <w:rPr>
          <w:b/>
        </w:rPr>
        <w:t xml:space="preserve">: </w:t>
      </w:r>
      <w:r w:rsidRPr="00B66236">
        <w:rPr>
          <w:b/>
        </w:rPr>
        <w:t>Industrial Customers</w:t>
      </w:r>
    </w:p>
    <w:p w14:paraId="622E11C2" w14:textId="77777777" w:rsidR="0067264A" w:rsidRPr="00017F25" w:rsidRDefault="0067264A" w:rsidP="0067264A">
      <w:pPr>
        <w:pStyle w:val="BodyTextIndent"/>
        <w:spacing w:after="0"/>
        <w:ind w:left="0"/>
        <w:rPr>
          <w:b/>
        </w:rPr>
      </w:pPr>
      <w:r>
        <w:rPr>
          <w:b/>
        </w:rPr>
        <w:t xml:space="preserve">Customer </w:t>
      </w:r>
      <w:r w:rsidRPr="00017F25">
        <w:rPr>
          <w:b/>
        </w:rPr>
        <w:t>Model</w:t>
      </w:r>
    </w:p>
    <w:p w14:paraId="1C6C3498" w14:textId="7B4AAE80" w:rsidR="0067264A" w:rsidRDefault="0067264A" w:rsidP="0067264A">
      <w:pPr>
        <w:pStyle w:val="BodyTextIndent"/>
        <w:spacing w:after="0"/>
        <w:ind w:left="0"/>
        <w:rPr>
          <w:b/>
        </w:rPr>
      </w:pPr>
      <w:r w:rsidRPr="00017F25">
        <w:rPr>
          <w:b/>
        </w:rPr>
        <w:t xml:space="preserve">Budget </w:t>
      </w:r>
      <w:r w:rsidR="0022134D" w:rsidRPr="00017F25">
        <w:rPr>
          <w:b/>
        </w:rPr>
        <w:t>20</w:t>
      </w:r>
      <w:r w:rsidR="0022134D">
        <w:rPr>
          <w:b/>
        </w:rPr>
        <w:t>19</w:t>
      </w:r>
    </w:p>
    <w:p w14:paraId="7E2A5B05" w14:textId="6762A56F" w:rsidR="0067264A" w:rsidRDefault="0067264A" w:rsidP="0067264A">
      <w:pPr>
        <w:pStyle w:val="BodyTextIndent"/>
        <w:spacing w:after="0"/>
        <w:ind w:left="0"/>
      </w:pPr>
    </w:p>
    <w:p w14:paraId="4E717661" w14:textId="53626715" w:rsidR="00AE00AC" w:rsidRDefault="002D62D4" w:rsidP="0067264A">
      <w:pPr>
        <w:pStyle w:val="BodyTextIndent"/>
        <w:spacing w:after="0"/>
        <w:ind w:left="0"/>
      </w:pPr>
      <w:r w:rsidRPr="002D62D4">
        <w:rPr>
          <w:noProof/>
        </w:rPr>
        <w:drawing>
          <wp:inline distT="0" distB="0" distL="0" distR="0" wp14:anchorId="3B92BF31" wp14:editId="46FF8371">
            <wp:extent cx="4229100" cy="1076325"/>
            <wp:effectExtent l="0" t="0" r="0"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229100" cy="1076325"/>
                    </a:xfrm>
                    <a:prstGeom prst="rect">
                      <a:avLst/>
                    </a:prstGeom>
                    <a:noFill/>
                    <a:ln>
                      <a:noFill/>
                    </a:ln>
                  </pic:spPr>
                </pic:pic>
              </a:graphicData>
            </a:graphic>
          </wp:inline>
        </w:drawing>
      </w:r>
    </w:p>
    <w:p w14:paraId="482818C4" w14:textId="77777777" w:rsidR="00AE00AC" w:rsidRDefault="00AE00AC" w:rsidP="0067264A">
      <w:pPr>
        <w:pStyle w:val="BodyTextIndent"/>
        <w:spacing w:after="0"/>
        <w:ind w:left="0"/>
      </w:pPr>
    </w:p>
    <w:p w14:paraId="2A19AB03" w14:textId="77777777" w:rsidR="00061827" w:rsidRDefault="00061827" w:rsidP="0067264A">
      <w:pPr>
        <w:pStyle w:val="BodyTextIndent"/>
        <w:spacing w:line="360" w:lineRule="auto"/>
        <w:ind w:left="0"/>
        <w:jc w:val="left"/>
        <w:rPr>
          <w:b/>
        </w:rPr>
      </w:pPr>
    </w:p>
    <w:p w14:paraId="35C26CD4" w14:textId="2FDE0E01" w:rsidR="00E14431" w:rsidRDefault="00E14431" w:rsidP="0067264A">
      <w:pPr>
        <w:pStyle w:val="BodyTextIndent"/>
        <w:spacing w:line="360" w:lineRule="auto"/>
        <w:ind w:left="0"/>
        <w:jc w:val="left"/>
        <w:rPr>
          <w:b/>
        </w:rPr>
      </w:pPr>
      <w:r w:rsidRPr="00E14431">
        <w:rPr>
          <w:b/>
        </w:rPr>
        <w:t>Where:</w:t>
      </w:r>
    </w:p>
    <w:p w14:paraId="74CC0BA2" w14:textId="129E39DC" w:rsidR="004B1576" w:rsidRDefault="004B1576" w:rsidP="00F11E72">
      <w:pPr>
        <w:pStyle w:val="BodyTextIndent"/>
        <w:spacing w:line="360" w:lineRule="auto"/>
        <w:ind w:left="0"/>
        <w:rPr>
          <w:b/>
        </w:rPr>
      </w:pPr>
      <w:r w:rsidRPr="004B1576">
        <w:rPr>
          <w:b/>
          <w:noProof/>
        </w:rPr>
        <w:drawing>
          <wp:inline distT="0" distB="0" distL="0" distR="0" wp14:anchorId="1B0554CA" wp14:editId="664C27C2">
            <wp:extent cx="5629275" cy="1076325"/>
            <wp:effectExtent l="0" t="0" r="9525"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629275" cy="1076325"/>
                    </a:xfrm>
                    <a:prstGeom prst="rect">
                      <a:avLst/>
                    </a:prstGeom>
                    <a:noFill/>
                    <a:ln>
                      <a:noFill/>
                    </a:ln>
                  </pic:spPr>
                </pic:pic>
              </a:graphicData>
            </a:graphic>
          </wp:inline>
        </w:drawing>
      </w:r>
    </w:p>
    <w:p w14:paraId="6D08F76D" w14:textId="77777777" w:rsidR="00E14431" w:rsidRDefault="00E14431" w:rsidP="00715024">
      <w:pPr>
        <w:pStyle w:val="Heading2"/>
        <w:jc w:val="left"/>
        <w:rPr>
          <w:rFonts w:ascii="Arial" w:hAnsi="Arial" w:cs="Arial"/>
          <w:b/>
          <w:color w:val="auto"/>
          <w:sz w:val="20"/>
          <w:szCs w:val="20"/>
        </w:rPr>
      </w:pPr>
      <w:bookmarkStart w:id="217" w:name="_Toc112219399"/>
      <w:bookmarkStart w:id="218" w:name="_Toc347120398"/>
    </w:p>
    <w:p w14:paraId="0C0909C3" w14:textId="77777777" w:rsidR="00715024" w:rsidRPr="00715024" w:rsidRDefault="00715024" w:rsidP="00715024">
      <w:pPr>
        <w:pStyle w:val="Heading2"/>
        <w:jc w:val="left"/>
        <w:rPr>
          <w:rFonts w:ascii="Arial" w:hAnsi="Arial" w:cs="Arial"/>
          <w:b/>
          <w:color w:val="auto"/>
          <w:sz w:val="20"/>
          <w:szCs w:val="20"/>
        </w:rPr>
      </w:pPr>
      <w:bookmarkStart w:id="219" w:name="_Toc535495639"/>
      <w:r w:rsidRPr="00715024">
        <w:rPr>
          <w:rFonts w:ascii="Arial" w:hAnsi="Arial" w:cs="Arial"/>
          <w:b/>
          <w:color w:val="auto"/>
          <w:sz w:val="20"/>
          <w:szCs w:val="20"/>
        </w:rPr>
        <w:t>4.2.4</w:t>
      </w:r>
      <w:r w:rsidRPr="00715024">
        <w:rPr>
          <w:rFonts w:ascii="Arial" w:hAnsi="Arial" w:cs="Arial"/>
          <w:b/>
          <w:color w:val="auto"/>
          <w:sz w:val="20"/>
          <w:szCs w:val="20"/>
        </w:rPr>
        <w:tab/>
        <w:t>Governmental Lighting Customers</w:t>
      </w:r>
      <w:bookmarkEnd w:id="217"/>
      <w:bookmarkEnd w:id="218"/>
      <w:bookmarkEnd w:id="219"/>
    </w:p>
    <w:p w14:paraId="51C82660" w14:textId="77777777" w:rsidR="00715024" w:rsidRDefault="00715024" w:rsidP="00715024">
      <w:pPr>
        <w:pStyle w:val="BodyText2"/>
        <w:spacing w:line="360" w:lineRule="auto"/>
        <w:jc w:val="left"/>
        <w:rPr>
          <w:b w:val="0"/>
        </w:rPr>
      </w:pPr>
    </w:p>
    <w:p w14:paraId="067514FC" w14:textId="5139BDCC" w:rsidR="00715024" w:rsidRDefault="00715024" w:rsidP="00665881">
      <w:pPr>
        <w:pStyle w:val="BodyText2"/>
        <w:spacing w:line="360" w:lineRule="auto"/>
        <w:jc w:val="both"/>
        <w:rPr>
          <w:b w:val="0"/>
        </w:rPr>
      </w:pPr>
      <w:r w:rsidRPr="00715024">
        <w:rPr>
          <w:b w:val="0"/>
        </w:rPr>
        <w:t xml:space="preserve">The Georgia Power governmental lighting </w:t>
      </w:r>
      <w:r w:rsidR="004E23A7">
        <w:rPr>
          <w:b w:val="0"/>
        </w:rPr>
        <w:t xml:space="preserve">monthly </w:t>
      </w:r>
      <w:r w:rsidRPr="00715024">
        <w:rPr>
          <w:b w:val="0"/>
        </w:rPr>
        <w:t xml:space="preserve">customer forecast was developed using a regression model that includes a </w:t>
      </w:r>
      <w:r w:rsidR="00665881" w:rsidRPr="00715024">
        <w:rPr>
          <w:b w:val="0"/>
        </w:rPr>
        <w:t xml:space="preserve">one-month lag of customers </w:t>
      </w:r>
      <w:r w:rsidRPr="00715024">
        <w:rPr>
          <w:b w:val="0"/>
        </w:rPr>
        <w:t xml:space="preserve">and the </w:t>
      </w:r>
      <w:r w:rsidR="00E203A2">
        <w:rPr>
          <w:b w:val="0"/>
        </w:rPr>
        <w:t xml:space="preserve">total </w:t>
      </w:r>
      <w:r w:rsidRPr="00715024">
        <w:rPr>
          <w:b w:val="0"/>
        </w:rPr>
        <w:t xml:space="preserve">housing stock </w:t>
      </w:r>
      <w:r w:rsidR="00116464">
        <w:rPr>
          <w:b w:val="0"/>
        </w:rPr>
        <w:t xml:space="preserve">in </w:t>
      </w:r>
      <w:r w:rsidRPr="00715024">
        <w:rPr>
          <w:b w:val="0"/>
        </w:rPr>
        <w:t xml:space="preserve">Georgia as explanatory variables. </w:t>
      </w:r>
      <w:r w:rsidR="004E23A7">
        <w:rPr>
          <w:b w:val="0"/>
        </w:rPr>
        <w:t>A v</w:t>
      </w:r>
      <w:r w:rsidRPr="00715024">
        <w:rPr>
          <w:b w:val="0"/>
        </w:rPr>
        <w:t xml:space="preserve">ariable to capture changes in the billing system’s identification of </w:t>
      </w:r>
      <w:r w:rsidR="00A64859">
        <w:rPr>
          <w:b w:val="0"/>
        </w:rPr>
        <w:t>Savannah Electric</w:t>
      </w:r>
      <w:r w:rsidR="00670EB3">
        <w:rPr>
          <w:b w:val="0"/>
        </w:rPr>
        <w:t xml:space="preserve"> and Power Company</w:t>
      </w:r>
      <w:r w:rsidR="00A64859">
        <w:rPr>
          <w:b w:val="0"/>
        </w:rPr>
        <w:t xml:space="preserve">’s </w:t>
      </w:r>
      <w:r w:rsidRPr="00715024">
        <w:rPr>
          <w:b w:val="0"/>
        </w:rPr>
        <w:t xml:space="preserve">governmental lighting customers in 2008 </w:t>
      </w:r>
      <w:r w:rsidR="004E23A7">
        <w:rPr>
          <w:b w:val="0"/>
        </w:rPr>
        <w:t>is</w:t>
      </w:r>
      <w:r w:rsidRPr="00715024">
        <w:rPr>
          <w:b w:val="0"/>
        </w:rPr>
        <w:t xml:space="preserve"> also included. The specific parameter estimates and statistics for the governmental lighting customer model are presented in Table 4.2.4-1.</w:t>
      </w:r>
    </w:p>
    <w:p w14:paraId="54B2AE6F" w14:textId="02CC4312" w:rsidR="00715024" w:rsidRDefault="00715024" w:rsidP="00715024">
      <w:pPr>
        <w:pStyle w:val="BodyText2"/>
        <w:spacing w:line="360" w:lineRule="auto"/>
        <w:jc w:val="left"/>
        <w:rPr>
          <w:b w:val="0"/>
        </w:rPr>
      </w:pPr>
    </w:p>
    <w:p w14:paraId="7135C3C1" w14:textId="36A3C87D" w:rsidR="00F11E72" w:rsidRDefault="00F11E72" w:rsidP="00715024">
      <w:pPr>
        <w:pStyle w:val="BodyText2"/>
        <w:spacing w:line="360" w:lineRule="auto"/>
        <w:jc w:val="left"/>
        <w:rPr>
          <w:b w:val="0"/>
        </w:rPr>
      </w:pPr>
    </w:p>
    <w:p w14:paraId="444F3A41" w14:textId="77777777" w:rsidR="00F11E72" w:rsidRDefault="00F11E72" w:rsidP="00715024">
      <w:pPr>
        <w:pStyle w:val="BodyText2"/>
        <w:spacing w:line="360" w:lineRule="auto"/>
        <w:jc w:val="left"/>
        <w:rPr>
          <w:b w:val="0"/>
        </w:rPr>
      </w:pPr>
    </w:p>
    <w:p w14:paraId="65DABC94" w14:textId="2E7A9719" w:rsidR="00715024" w:rsidRDefault="00715024" w:rsidP="00715024">
      <w:pPr>
        <w:pStyle w:val="BodyText2"/>
        <w:spacing w:line="360" w:lineRule="auto"/>
        <w:jc w:val="left"/>
      </w:pPr>
      <w:r w:rsidRPr="00715024">
        <w:t xml:space="preserve">Table 4.2.4-1: </w:t>
      </w:r>
      <w:r w:rsidRPr="00B66236">
        <w:t>Governmental Lighting Customers</w:t>
      </w:r>
    </w:p>
    <w:p w14:paraId="30035880" w14:textId="77777777" w:rsidR="00F11E72" w:rsidRDefault="00F11E72" w:rsidP="00715024">
      <w:pPr>
        <w:pStyle w:val="BodyText2"/>
        <w:spacing w:line="360" w:lineRule="auto"/>
        <w:jc w:val="left"/>
      </w:pPr>
    </w:p>
    <w:p w14:paraId="138154F5" w14:textId="77777777" w:rsidR="0067264A" w:rsidRPr="00017F25" w:rsidRDefault="0067264A" w:rsidP="0067264A">
      <w:pPr>
        <w:pStyle w:val="BodyTextIndent"/>
        <w:spacing w:after="0"/>
        <w:ind w:left="0"/>
        <w:rPr>
          <w:b/>
        </w:rPr>
      </w:pPr>
      <w:r>
        <w:rPr>
          <w:b/>
        </w:rPr>
        <w:t xml:space="preserve">Customer </w:t>
      </w:r>
      <w:r w:rsidRPr="00017F25">
        <w:rPr>
          <w:b/>
        </w:rPr>
        <w:t>Model</w:t>
      </w:r>
    </w:p>
    <w:p w14:paraId="63A4F0A7" w14:textId="0B66E5BE" w:rsidR="0067264A" w:rsidRDefault="0067264A" w:rsidP="0067264A">
      <w:pPr>
        <w:pStyle w:val="BodyTextIndent"/>
        <w:spacing w:after="0"/>
        <w:ind w:left="0"/>
        <w:rPr>
          <w:b/>
        </w:rPr>
      </w:pPr>
      <w:r w:rsidRPr="00017F25">
        <w:rPr>
          <w:b/>
        </w:rPr>
        <w:t xml:space="preserve">Budget </w:t>
      </w:r>
      <w:r w:rsidR="0022134D" w:rsidRPr="00017F25">
        <w:rPr>
          <w:b/>
        </w:rPr>
        <w:t>20</w:t>
      </w:r>
      <w:r w:rsidR="0022134D">
        <w:rPr>
          <w:b/>
        </w:rPr>
        <w:t>19</w:t>
      </w:r>
    </w:p>
    <w:p w14:paraId="49B1129B" w14:textId="29AA65A9" w:rsidR="0067264A" w:rsidRDefault="0067264A" w:rsidP="0067264A">
      <w:pPr>
        <w:pStyle w:val="BodyTextIndent"/>
        <w:spacing w:after="0"/>
        <w:ind w:left="0"/>
      </w:pPr>
    </w:p>
    <w:p w14:paraId="090AC3F0" w14:textId="67D212DD" w:rsidR="004B1576" w:rsidRDefault="002D62D4" w:rsidP="0067264A">
      <w:pPr>
        <w:pStyle w:val="BodyTextIndent"/>
        <w:spacing w:after="0"/>
        <w:ind w:left="0"/>
      </w:pPr>
      <w:r w:rsidRPr="002D62D4">
        <w:rPr>
          <w:noProof/>
        </w:rPr>
        <w:drawing>
          <wp:inline distT="0" distB="0" distL="0" distR="0" wp14:anchorId="06E30E51" wp14:editId="1F0A43A7">
            <wp:extent cx="4229100" cy="16002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229100" cy="1600200"/>
                    </a:xfrm>
                    <a:prstGeom prst="rect">
                      <a:avLst/>
                    </a:prstGeom>
                    <a:noFill/>
                    <a:ln>
                      <a:noFill/>
                    </a:ln>
                  </pic:spPr>
                </pic:pic>
              </a:graphicData>
            </a:graphic>
          </wp:inline>
        </w:drawing>
      </w:r>
    </w:p>
    <w:p w14:paraId="249943B1" w14:textId="77777777" w:rsidR="004B1576" w:rsidRDefault="004B1576" w:rsidP="0067264A">
      <w:pPr>
        <w:pStyle w:val="BodyTextIndent"/>
        <w:spacing w:after="0"/>
        <w:ind w:left="0"/>
      </w:pPr>
    </w:p>
    <w:p w14:paraId="55BC11E2" w14:textId="77777777" w:rsidR="00C900AD" w:rsidRDefault="00C900AD" w:rsidP="00715024">
      <w:pPr>
        <w:pStyle w:val="BodyText2"/>
        <w:spacing w:line="360" w:lineRule="auto"/>
        <w:jc w:val="left"/>
      </w:pPr>
    </w:p>
    <w:p w14:paraId="2B06E3D1" w14:textId="3D1D65D3" w:rsidR="00C900AD" w:rsidRDefault="00C900AD" w:rsidP="00C900AD">
      <w:pPr>
        <w:pStyle w:val="BodyText2"/>
        <w:keepNext/>
        <w:spacing w:line="360" w:lineRule="auto"/>
        <w:jc w:val="left"/>
      </w:pPr>
      <w:r w:rsidRPr="00C900AD">
        <w:t>Where:</w:t>
      </w:r>
    </w:p>
    <w:p w14:paraId="2BD82359" w14:textId="431C33BA" w:rsidR="004B1576" w:rsidRDefault="004B1576" w:rsidP="00F11E72">
      <w:pPr>
        <w:pStyle w:val="BodyText2"/>
        <w:keepNext/>
        <w:spacing w:line="360" w:lineRule="auto"/>
      </w:pPr>
      <w:r w:rsidRPr="004B1576">
        <w:rPr>
          <w:noProof/>
        </w:rPr>
        <w:drawing>
          <wp:inline distT="0" distB="0" distL="0" distR="0" wp14:anchorId="7C02BCAA" wp14:editId="2DF65358">
            <wp:extent cx="5943600" cy="1318071"/>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43600" cy="1318071"/>
                    </a:xfrm>
                    <a:prstGeom prst="rect">
                      <a:avLst/>
                    </a:prstGeom>
                    <a:noFill/>
                    <a:ln>
                      <a:noFill/>
                    </a:ln>
                  </pic:spPr>
                </pic:pic>
              </a:graphicData>
            </a:graphic>
          </wp:inline>
        </w:drawing>
      </w:r>
    </w:p>
    <w:p w14:paraId="43F306BD" w14:textId="77777777" w:rsidR="00C112B5" w:rsidRDefault="00C112B5" w:rsidP="00715024">
      <w:pPr>
        <w:pStyle w:val="Heading1"/>
        <w:jc w:val="left"/>
        <w:rPr>
          <w:rFonts w:ascii="Arial" w:hAnsi="Arial" w:cs="Arial"/>
          <w:b/>
          <w:color w:val="auto"/>
        </w:rPr>
      </w:pPr>
      <w:bookmarkStart w:id="220" w:name="_Toc347120400"/>
    </w:p>
    <w:p w14:paraId="5D564944" w14:textId="77777777" w:rsidR="00715024" w:rsidRPr="00715024" w:rsidRDefault="00715024" w:rsidP="00715024">
      <w:pPr>
        <w:pStyle w:val="Heading1"/>
        <w:jc w:val="left"/>
        <w:rPr>
          <w:rFonts w:ascii="Arial" w:hAnsi="Arial" w:cs="Arial"/>
          <w:b/>
          <w:color w:val="auto"/>
        </w:rPr>
      </w:pPr>
      <w:bookmarkStart w:id="221" w:name="_Toc535495640"/>
      <w:r w:rsidRPr="00715024">
        <w:rPr>
          <w:rFonts w:ascii="Arial" w:hAnsi="Arial" w:cs="Arial"/>
          <w:b/>
          <w:color w:val="auto"/>
        </w:rPr>
        <w:t>4.3</w:t>
      </w:r>
      <w:r w:rsidRPr="00715024">
        <w:rPr>
          <w:rFonts w:ascii="Arial" w:hAnsi="Arial" w:cs="Arial"/>
          <w:b/>
          <w:color w:val="auto"/>
        </w:rPr>
        <w:tab/>
        <w:t>CALENDAR MONTH FORECAST</w:t>
      </w:r>
      <w:bookmarkEnd w:id="220"/>
      <w:bookmarkEnd w:id="221"/>
    </w:p>
    <w:p w14:paraId="52458FEA" w14:textId="77777777" w:rsidR="00715024" w:rsidRDefault="00715024" w:rsidP="00715024">
      <w:pPr>
        <w:pStyle w:val="BodyText2"/>
        <w:spacing w:line="360" w:lineRule="auto"/>
        <w:jc w:val="left"/>
        <w:rPr>
          <w:b w:val="0"/>
        </w:rPr>
      </w:pPr>
    </w:p>
    <w:p w14:paraId="51AEF885" w14:textId="213F088D" w:rsidR="00715024" w:rsidRPr="00715024" w:rsidRDefault="00715024" w:rsidP="00070D67">
      <w:pPr>
        <w:pStyle w:val="BodyText2"/>
        <w:spacing w:line="360" w:lineRule="auto"/>
        <w:jc w:val="both"/>
        <w:rPr>
          <w:b w:val="0"/>
        </w:rPr>
      </w:pPr>
      <w:r w:rsidRPr="00715024">
        <w:rPr>
          <w:b w:val="0"/>
        </w:rPr>
        <w:t>Georgia Power budgeting and accounting records are based on calendar month sales</w:t>
      </w:r>
      <w:r w:rsidR="00670EB3">
        <w:rPr>
          <w:b w:val="0"/>
        </w:rPr>
        <w:t>.</w:t>
      </w:r>
      <w:r w:rsidRPr="00715024">
        <w:rPr>
          <w:b w:val="0"/>
        </w:rPr>
        <w:t xml:space="preserve"> </w:t>
      </w:r>
      <w:r w:rsidR="00670EB3">
        <w:rPr>
          <w:b w:val="0"/>
        </w:rPr>
        <w:t>H</w:t>
      </w:r>
      <w:r w:rsidRPr="00715024">
        <w:rPr>
          <w:b w:val="0"/>
        </w:rPr>
        <w:t>owever</w:t>
      </w:r>
      <w:r w:rsidR="00670EB3">
        <w:rPr>
          <w:b w:val="0"/>
        </w:rPr>
        <w:t>,</w:t>
      </w:r>
      <w:r w:rsidRPr="00715024">
        <w:rPr>
          <w:b w:val="0"/>
        </w:rPr>
        <w:t xml:space="preserve"> </w:t>
      </w:r>
      <w:r w:rsidR="00670EB3">
        <w:rPr>
          <w:b w:val="0"/>
        </w:rPr>
        <w:t xml:space="preserve">meters </w:t>
      </w:r>
      <w:r w:rsidRPr="00715024">
        <w:rPr>
          <w:b w:val="0"/>
        </w:rPr>
        <w:t>are not read according to calendar months. Instead, they are read according to the billing schedule for each class. Separate calendar month sales forecasts, derived from billing month forecasts, are prepared for Georgia Power</w:t>
      </w:r>
      <w:r w:rsidR="00136261">
        <w:rPr>
          <w:b w:val="0"/>
        </w:rPr>
        <w:t>’s</w:t>
      </w:r>
      <w:r w:rsidRPr="00715024">
        <w:rPr>
          <w:b w:val="0"/>
        </w:rPr>
        <w:t xml:space="preserve"> residential</w:t>
      </w:r>
      <w:r w:rsidR="00C008FF">
        <w:rPr>
          <w:b w:val="0"/>
        </w:rPr>
        <w:t xml:space="preserve"> and</w:t>
      </w:r>
      <w:r w:rsidRPr="00715024">
        <w:rPr>
          <w:b w:val="0"/>
        </w:rPr>
        <w:t xml:space="preserve"> commercial classes. Calendar month sales forecasts for the other retail customers are assumed to be equal to their billing month forecasts because their billing periods nearly coincide with </w:t>
      </w:r>
      <w:r w:rsidR="00644063">
        <w:rPr>
          <w:b w:val="0"/>
        </w:rPr>
        <w:t xml:space="preserve">actual </w:t>
      </w:r>
      <w:r w:rsidRPr="00715024">
        <w:rPr>
          <w:b w:val="0"/>
        </w:rPr>
        <w:t>calendar months.</w:t>
      </w:r>
    </w:p>
    <w:p w14:paraId="4080F177" w14:textId="77777777" w:rsidR="00715024" w:rsidRPr="00715024" w:rsidRDefault="00715024" w:rsidP="00070D67">
      <w:pPr>
        <w:pStyle w:val="BodyText2"/>
        <w:spacing w:line="360" w:lineRule="auto"/>
        <w:jc w:val="both"/>
        <w:rPr>
          <w:b w:val="0"/>
        </w:rPr>
      </w:pPr>
    </w:p>
    <w:p w14:paraId="2DBC3255" w14:textId="4BD0CD7F" w:rsidR="00136261" w:rsidRDefault="00737307" w:rsidP="00070D67">
      <w:pPr>
        <w:pStyle w:val="BodyText2"/>
        <w:spacing w:line="360" w:lineRule="auto"/>
        <w:jc w:val="both"/>
        <w:rPr>
          <w:b w:val="0"/>
        </w:rPr>
      </w:pPr>
      <w:r>
        <w:rPr>
          <w:b w:val="0"/>
        </w:rPr>
        <w:t xml:space="preserve">For </w:t>
      </w:r>
      <w:r w:rsidRPr="00715024">
        <w:rPr>
          <w:b w:val="0"/>
        </w:rPr>
        <w:t>the short-term forecast (</w:t>
      </w:r>
      <w:r w:rsidR="00095C8E" w:rsidRPr="00715024">
        <w:rPr>
          <w:b w:val="0"/>
        </w:rPr>
        <w:t>20</w:t>
      </w:r>
      <w:r w:rsidR="00095C8E">
        <w:rPr>
          <w:b w:val="0"/>
        </w:rPr>
        <w:t>19</w:t>
      </w:r>
      <w:r w:rsidR="00670EB3">
        <w:rPr>
          <w:b w:val="0"/>
        </w:rPr>
        <w:t>-</w:t>
      </w:r>
      <w:r w:rsidR="00095C8E" w:rsidRPr="00715024">
        <w:rPr>
          <w:b w:val="0"/>
        </w:rPr>
        <w:t>20</w:t>
      </w:r>
      <w:r w:rsidR="00095C8E">
        <w:rPr>
          <w:b w:val="0"/>
        </w:rPr>
        <w:t>21</w:t>
      </w:r>
      <w:r w:rsidRPr="00715024">
        <w:rPr>
          <w:b w:val="0"/>
        </w:rPr>
        <w:t>),</w:t>
      </w:r>
      <w:r>
        <w:rPr>
          <w:b w:val="0"/>
        </w:rPr>
        <w:t xml:space="preserve"> billing month </w:t>
      </w:r>
      <w:r w:rsidR="00C51822">
        <w:rPr>
          <w:b w:val="0"/>
        </w:rPr>
        <w:t xml:space="preserve">energy </w:t>
      </w:r>
      <w:r>
        <w:rPr>
          <w:b w:val="0"/>
        </w:rPr>
        <w:t xml:space="preserve">sales are converted into calendar month </w:t>
      </w:r>
      <w:r w:rsidR="00C51822">
        <w:rPr>
          <w:b w:val="0"/>
        </w:rPr>
        <w:t xml:space="preserve">energy </w:t>
      </w:r>
      <w:r>
        <w:rPr>
          <w:b w:val="0"/>
        </w:rPr>
        <w:t>sales</w:t>
      </w:r>
      <w:r w:rsidR="00356C2A">
        <w:rPr>
          <w:b w:val="0"/>
        </w:rPr>
        <w:t xml:space="preserve"> by forecasting unbilled </w:t>
      </w:r>
      <w:r w:rsidR="00C51822">
        <w:rPr>
          <w:b w:val="0"/>
        </w:rPr>
        <w:t xml:space="preserve">energy </w:t>
      </w:r>
      <w:r w:rsidR="00356C2A">
        <w:rPr>
          <w:b w:val="0"/>
        </w:rPr>
        <w:t>sales and</w:t>
      </w:r>
      <w:r>
        <w:rPr>
          <w:b w:val="0"/>
        </w:rPr>
        <w:t xml:space="preserve"> </w:t>
      </w:r>
      <w:r w:rsidR="00C51822">
        <w:rPr>
          <w:b w:val="0"/>
        </w:rPr>
        <w:t>apply</w:t>
      </w:r>
      <w:r>
        <w:rPr>
          <w:b w:val="0"/>
        </w:rPr>
        <w:t>ing the following equation:</w:t>
      </w:r>
    </w:p>
    <w:p w14:paraId="27E3A106" w14:textId="77777777" w:rsidR="00356C2A" w:rsidRDefault="00356C2A" w:rsidP="00715024">
      <w:pPr>
        <w:pStyle w:val="BodyText2"/>
        <w:spacing w:line="360" w:lineRule="auto"/>
        <w:jc w:val="left"/>
        <w:rPr>
          <w:b w:val="0"/>
        </w:rPr>
      </w:pPr>
    </w:p>
    <w:p w14:paraId="62A53B38" w14:textId="77777777" w:rsidR="00737307" w:rsidRDefault="00737307" w:rsidP="00715024">
      <w:pPr>
        <w:pStyle w:val="BodyText2"/>
        <w:spacing w:line="360" w:lineRule="auto"/>
        <w:jc w:val="left"/>
        <w:rPr>
          <w:b w:val="0"/>
        </w:rPr>
      </w:pPr>
      <w:r>
        <w:rPr>
          <w:b w:val="0"/>
        </w:rPr>
        <w:t>Calendar Month Sales = Billed Sales (current month) + Net Unbilled Sales</w:t>
      </w:r>
    </w:p>
    <w:p w14:paraId="77DDBD97" w14:textId="77777777" w:rsidR="00737307" w:rsidRDefault="00A216B1" w:rsidP="00737307">
      <w:pPr>
        <w:pStyle w:val="BodyText2"/>
        <w:spacing w:line="360" w:lineRule="auto"/>
        <w:jc w:val="left"/>
        <w:rPr>
          <w:b w:val="0"/>
        </w:rPr>
      </w:pPr>
      <w:r>
        <w:rPr>
          <w:b w:val="0"/>
        </w:rPr>
        <w:t>w</w:t>
      </w:r>
      <w:r w:rsidR="00737307">
        <w:rPr>
          <w:b w:val="0"/>
        </w:rPr>
        <w:t xml:space="preserve">here: </w:t>
      </w:r>
    </w:p>
    <w:p w14:paraId="10BF396D" w14:textId="77777777" w:rsidR="00737307" w:rsidRDefault="00737307" w:rsidP="00A216B1">
      <w:pPr>
        <w:pStyle w:val="BodyText2"/>
        <w:spacing w:line="360" w:lineRule="auto"/>
        <w:jc w:val="left"/>
        <w:rPr>
          <w:b w:val="0"/>
        </w:rPr>
      </w:pPr>
      <w:r>
        <w:rPr>
          <w:b w:val="0"/>
        </w:rPr>
        <w:t xml:space="preserve">Net Unbilled Sales = Unbilled Sales (Current Month) – Unbilled Sales (Previous Month) </w:t>
      </w:r>
    </w:p>
    <w:p w14:paraId="130ACFE9" w14:textId="77777777" w:rsidR="00136261" w:rsidRDefault="00136261" w:rsidP="00715024">
      <w:pPr>
        <w:pStyle w:val="BodyText2"/>
        <w:spacing w:line="360" w:lineRule="auto"/>
        <w:jc w:val="left"/>
        <w:rPr>
          <w:b w:val="0"/>
        </w:rPr>
      </w:pPr>
    </w:p>
    <w:p w14:paraId="20D6D1CC" w14:textId="179BF38E" w:rsidR="00F7209D" w:rsidRDefault="00A216B1" w:rsidP="00070D67">
      <w:pPr>
        <w:pStyle w:val="BodyText2"/>
        <w:spacing w:line="360" w:lineRule="auto"/>
        <w:jc w:val="both"/>
        <w:rPr>
          <w:b w:val="0"/>
        </w:rPr>
      </w:pPr>
      <w:r>
        <w:rPr>
          <w:b w:val="0"/>
        </w:rPr>
        <w:t xml:space="preserve">The unbilled sales forecast is estimated using the same forecast models for residential </w:t>
      </w:r>
      <w:r w:rsidR="00C008FF">
        <w:rPr>
          <w:b w:val="0"/>
        </w:rPr>
        <w:t xml:space="preserve">and </w:t>
      </w:r>
      <w:r>
        <w:rPr>
          <w:b w:val="0"/>
        </w:rPr>
        <w:t xml:space="preserve">commercial </w:t>
      </w:r>
      <w:r w:rsidR="005D361A">
        <w:rPr>
          <w:b w:val="0"/>
        </w:rPr>
        <w:t xml:space="preserve">as </w:t>
      </w:r>
      <w:r>
        <w:rPr>
          <w:b w:val="0"/>
        </w:rPr>
        <w:t>presented in sections 4.1.1</w:t>
      </w:r>
      <w:r w:rsidR="00C008FF">
        <w:rPr>
          <w:b w:val="0"/>
        </w:rPr>
        <w:t xml:space="preserve"> and</w:t>
      </w:r>
      <w:r>
        <w:rPr>
          <w:b w:val="0"/>
        </w:rPr>
        <w:t xml:space="preserve"> 4.1.2. </w:t>
      </w:r>
      <w:r w:rsidR="00C51822">
        <w:rPr>
          <w:b w:val="0"/>
        </w:rPr>
        <w:t xml:space="preserve">All of the </w:t>
      </w:r>
      <w:r w:rsidR="00E37734">
        <w:rPr>
          <w:b w:val="0"/>
        </w:rPr>
        <w:t xml:space="preserve">inputs are the same, with the exception of the </w:t>
      </w:r>
      <w:r w:rsidR="00F91F32">
        <w:rPr>
          <w:b w:val="0"/>
        </w:rPr>
        <w:t xml:space="preserve">monthly </w:t>
      </w:r>
      <w:r w:rsidR="00E37734">
        <w:rPr>
          <w:b w:val="0"/>
        </w:rPr>
        <w:t xml:space="preserve">weather </w:t>
      </w:r>
      <w:r w:rsidR="00C112B5">
        <w:rPr>
          <w:b w:val="0"/>
        </w:rPr>
        <w:t xml:space="preserve">interaction terms </w:t>
      </w:r>
      <w:r w:rsidR="00E37734">
        <w:rPr>
          <w:b w:val="0"/>
        </w:rPr>
        <w:t xml:space="preserve">in the forecast period. </w:t>
      </w:r>
      <w:r w:rsidR="00C112B5">
        <w:rPr>
          <w:b w:val="0"/>
        </w:rPr>
        <w:t xml:space="preserve">In the unbilled model, </w:t>
      </w:r>
      <w:r w:rsidR="00F7209D">
        <w:rPr>
          <w:b w:val="0"/>
        </w:rPr>
        <w:t>t</w:t>
      </w:r>
      <w:r w:rsidR="00E37734">
        <w:rPr>
          <w:b w:val="0"/>
        </w:rPr>
        <w:t>he</w:t>
      </w:r>
      <w:r w:rsidR="00F7209D">
        <w:rPr>
          <w:b w:val="0"/>
        </w:rPr>
        <w:t xml:space="preserve">se </w:t>
      </w:r>
      <w:r w:rsidR="00116464">
        <w:rPr>
          <w:b w:val="0"/>
        </w:rPr>
        <w:t xml:space="preserve">monthly </w:t>
      </w:r>
      <w:r w:rsidR="00F7209D">
        <w:rPr>
          <w:b w:val="0"/>
        </w:rPr>
        <w:t xml:space="preserve">weather interaction terms are </w:t>
      </w:r>
      <w:r w:rsidR="00864D25">
        <w:rPr>
          <w:b w:val="0"/>
        </w:rPr>
        <w:t xml:space="preserve">based on </w:t>
      </w:r>
      <w:r w:rsidR="00F7209D">
        <w:rPr>
          <w:b w:val="0"/>
        </w:rPr>
        <w:t>the number of unbilled days,</w:t>
      </w:r>
      <w:r w:rsidR="00C51822">
        <w:rPr>
          <w:b w:val="0"/>
        </w:rPr>
        <w:t xml:space="preserve"> rather than the number of billed days,</w:t>
      </w:r>
      <w:r w:rsidR="00F7209D">
        <w:rPr>
          <w:b w:val="0"/>
        </w:rPr>
        <w:t xml:space="preserve"> to account for the impact of variation</w:t>
      </w:r>
      <w:r w:rsidR="00C51822">
        <w:rPr>
          <w:b w:val="0"/>
        </w:rPr>
        <w:t>s</w:t>
      </w:r>
      <w:r w:rsidR="00F7209D">
        <w:rPr>
          <w:b w:val="0"/>
        </w:rPr>
        <w:t xml:space="preserve"> in the length of the unbilled period. </w:t>
      </w:r>
      <w:r w:rsidR="00C51822">
        <w:rPr>
          <w:b w:val="0"/>
        </w:rPr>
        <w:t xml:space="preserve">As with the number of billing days, the number of unbilled days is based on the </w:t>
      </w:r>
      <w:r w:rsidR="00CE1734">
        <w:rPr>
          <w:b w:val="0"/>
        </w:rPr>
        <w:t xml:space="preserve">Company’s </w:t>
      </w:r>
      <w:r w:rsidR="00C51822">
        <w:rPr>
          <w:b w:val="0"/>
        </w:rPr>
        <w:t>annual meter reading schedule.</w:t>
      </w:r>
    </w:p>
    <w:p w14:paraId="6C3B42C4" w14:textId="77777777" w:rsidR="00715024" w:rsidRDefault="00715024" w:rsidP="005D361A">
      <w:pPr>
        <w:pStyle w:val="BodyText2"/>
        <w:jc w:val="both"/>
        <w:rPr>
          <w:b w:val="0"/>
        </w:rPr>
      </w:pPr>
    </w:p>
    <w:p w14:paraId="387D5A3B" w14:textId="7CD256D7" w:rsidR="005D361A" w:rsidRDefault="005D361A" w:rsidP="005D361A">
      <w:pPr>
        <w:pStyle w:val="BodyText2"/>
        <w:spacing w:line="360" w:lineRule="auto"/>
        <w:jc w:val="both"/>
        <w:rPr>
          <w:b w:val="0"/>
        </w:rPr>
      </w:pPr>
      <w:r w:rsidRPr="005D361A">
        <w:rPr>
          <w:b w:val="0"/>
        </w:rPr>
        <w:t>The forecast of residential use per customer per unbilled day</w:t>
      </w:r>
      <w:r w:rsidR="00C008FF">
        <w:rPr>
          <w:b w:val="0"/>
        </w:rPr>
        <w:t xml:space="preserve"> and </w:t>
      </w:r>
      <w:r>
        <w:rPr>
          <w:b w:val="0"/>
        </w:rPr>
        <w:t xml:space="preserve">commercial energy </w:t>
      </w:r>
      <w:r w:rsidR="00C008FF">
        <w:rPr>
          <w:b w:val="0"/>
        </w:rPr>
        <w:t xml:space="preserve">use per customer </w:t>
      </w:r>
      <w:r>
        <w:rPr>
          <w:b w:val="0"/>
        </w:rPr>
        <w:t>per unbilled day</w:t>
      </w:r>
      <w:r w:rsidRPr="005D361A">
        <w:rPr>
          <w:b w:val="0"/>
        </w:rPr>
        <w:t xml:space="preserve"> </w:t>
      </w:r>
      <w:r>
        <w:rPr>
          <w:b w:val="0"/>
        </w:rPr>
        <w:t>are</w:t>
      </w:r>
      <w:r w:rsidRPr="005D361A">
        <w:rPr>
          <w:b w:val="0"/>
        </w:rPr>
        <w:t xml:space="preserve"> multiplied by the forecasted number of </w:t>
      </w:r>
      <w:r w:rsidR="00C540FD">
        <w:rPr>
          <w:b w:val="0"/>
        </w:rPr>
        <w:t xml:space="preserve">customers and </w:t>
      </w:r>
      <w:r w:rsidRPr="005D361A">
        <w:rPr>
          <w:b w:val="0"/>
        </w:rPr>
        <w:t xml:space="preserve">unbilled days </w:t>
      </w:r>
      <w:r>
        <w:rPr>
          <w:b w:val="0"/>
        </w:rPr>
        <w:t xml:space="preserve">to </w:t>
      </w:r>
      <w:r w:rsidRPr="005D361A">
        <w:rPr>
          <w:b w:val="0"/>
        </w:rPr>
        <w:t xml:space="preserve">get </w:t>
      </w:r>
      <w:r>
        <w:rPr>
          <w:b w:val="0"/>
        </w:rPr>
        <w:t xml:space="preserve">the respective </w:t>
      </w:r>
      <w:r w:rsidRPr="005D361A">
        <w:rPr>
          <w:b w:val="0"/>
        </w:rPr>
        <w:t>forecasted unbilled energy sales</w:t>
      </w:r>
      <w:r>
        <w:rPr>
          <w:b w:val="0"/>
        </w:rPr>
        <w:t xml:space="preserve"> for each class to be used in the equation above to calculate calendar month sales.</w:t>
      </w:r>
    </w:p>
    <w:p w14:paraId="3BFB5B2E" w14:textId="77777777" w:rsidR="005D361A" w:rsidRPr="003A3426" w:rsidRDefault="005D361A" w:rsidP="005D361A">
      <w:pPr>
        <w:pStyle w:val="BodyText2"/>
        <w:spacing w:line="360" w:lineRule="auto"/>
        <w:jc w:val="both"/>
      </w:pPr>
    </w:p>
    <w:p w14:paraId="1E250612" w14:textId="77777777" w:rsidR="00F96D57" w:rsidRDefault="00F96D57" w:rsidP="004C18DA">
      <w:pPr>
        <w:pStyle w:val="BodyText2"/>
        <w:jc w:val="both"/>
        <w:rPr>
          <w:highlight w:val="yellow"/>
        </w:rPr>
      </w:pPr>
    </w:p>
    <w:p w14:paraId="0D66A900" w14:textId="77777777" w:rsidR="001301C4" w:rsidRDefault="001301C4" w:rsidP="004C18DA">
      <w:pPr>
        <w:pStyle w:val="BodyText2"/>
        <w:jc w:val="both"/>
        <w:rPr>
          <w:highlight w:val="yellow"/>
        </w:rPr>
        <w:sectPr w:rsidR="001301C4" w:rsidSect="006D095F">
          <w:footerReference w:type="default" r:id="rId43"/>
          <w:pgSz w:w="12240" w:h="15840"/>
          <w:pgMar w:top="1440" w:right="1440" w:bottom="1440" w:left="1440" w:header="720" w:footer="720" w:gutter="0"/>
          <w:cols w:space="720"/>
          <w:docGrid w:linePitch="360"/>
        </w:sectPr>
      </w:pPr>
    </w:p>
    <w:p w14:paraId="366E0AEA" w14:textId="77777777" w:rsidR="00CD1924" w:rsidRPr="00CD1924" w:rsidRDefault="00CD1924" w:rsidP="00CD1924">
      <w:pPr>
        <w:pStyle w:val="Heading1"/>
        <w:jc w:val="left"/>
        <w:rPr>
          <w:rFonts w:ascii="Arial" w:hAnsi="Arial" w:cs="Arial"/>
          <w:b/>
          <w:color w:val="auto"/>
        </w:rPr>
      </w:pPr>
      <w:bookmarkStart w:id="222" w:name="_Toc114629515"/>
      <w:bookmarkStart w:id="223" w:name="_Toc138581520"/>
      <w:bookmarkStart w:id="224" w:name="_Toc346717942"/>
      <w:bookmarkStart w:id="225" w:name="_Toc346718343"/>
      <w:bookmarkStart w:id="226" w:name="_Toc347120402"/>
      <w:bookmarkStart w:id="227" w:name="_Toc535495641"/>
      <w:bookmarkStart w:id="228" w:name="_Toc346717944"/>
      <w:bookmarkStart w:id="229" w:name="_Toc346718345"/>
      <w:bookmarkStart w:id="230" w:name="_Toc347120404"/>
      <w:r w:rsidRPr="00CD1924">
        <w:rPr>
          <w:rFonts w:ascii="Arial" w:hAnsi="Arial" w:cs="Arial"/>
          <w:b/>
          <w:color w:val="auto"/>
        </w:rPr>
        <w:t>5.0</w:t>
      </w:r>
      <w:r w:rsidRPr="00CD1924">
        <w:rPr>
          <w:rFonts w:ascii="Arial" w:hAnsi="Arial" w:cs="Arial"/>
          <w:b/>
          <w:color w:val="auto"/>
        </w:rPr>
        <w:tab/>
        <w:t xml:space="preserve">LONG-TERM </w:t>
      </w:r>
      <w:bookmarkEnd w:id="222"/>
      <w:bookmarkEnd w:id="223"/>
      <w:r w:rsidRPr="00CD1924">
        <w:rPr>
          <w:rFonts w:ascii="Arial" w:hAnsi="Arial" w:cs="Arial"/>
          <w:b/>
          <w:color w:val="auto"/>
        </w:rPr>
        <w:t>MODEL DESIGN</w:t>
      </w:r>
      <w:bookmarkEnd w:id="224"/>
      <w:bookmarkEnd w:id="225"/>
      <w:bookmarkEnd w:id="226"/>
      <w:bookmarkEnd w:id="227"/>
    </w:p>
    <w:p w14:paraId="36A58967" w14:textId="77777777" w:rsidR="00CD1924" w:rsidRDefault="00CD1924" w:rsidP="00CD1924">
      <w:pPr>
        <w:pStyle w:val="BodyText2"/>
        <w:spacing w:line="360" w:lineRule="auto"/>
        <w:jc w:val="left"/>
        <w:rPr>
          <w:b w:val="0"/>
        </w:rPr>
      </w:pPr>
    </w:p>
    <w:p w14:paraId="0794F875" w14:textId="7BA35103" w:rsidR="00C01C10" w:rsidRPr="00C01C10" w:rsidRDefault="00C01C10" w:rsidP="00C01C10">
      <w:pPr>
        <w:spacing w:line="360" w:lineRule="auto"/>
        <w:jc w:val="both"/>
        <w:rPr>
          <w:b w:val="0"/>
        </w:rPr>
      </w:pPr>
      <w:r w:rsidRPr="00C01C10">
        <w:rPr>
          <w:b w:val="0"/>
        </w:rPr>
        <w:t>The long-term forecasts for the residential, commercial and industrial customer classes were produced with end-use models. The end-use approach allows for a detailed examination of the end uses that contribute to the energy usage of a customer class. For example, specific assumptions about appliance ownership, appliance efficiency improvements, and consumer choice characteristics are factored into the residential forecast.</w:t>
      </w:r>
    </w:p>
    <w:p w14:paraId="790C5147" w14:textId="77777777" w:rsidR="00C01C10" w:rsidRPr="00C01C10" w:rsidRDefault="00C01C10" w:rsidP="00C01C10">
      <w:pPr>
        <w:spacing w:after="120"/>
        <w:jc w:val="both"/>
        <w:rPr>
          <w:b w:val="0"/>
        </w:rPr>
      </w:pPr>
    </w:p>
    <w:p w14:paraId="68971A82" w14:textId="2A98BD35" w:rsidR="00C01C10" w:rsidRPr="00C01C10" w:rsidRDefault="00C01C10" w:rsidP="00C01C10">
      <w:pPr>
        <w:spacing w:line="360" w:lineRule="auto"/>
        <w:jc w:val="both"/>
        <w:rPr>
          <w:b w:val="0"/>
        </w:rPr>
      </w:pPr>
      <w:r w:rsidRPr="00C01C10">
        <w:rPr>
          <w:b w:val="0"/>
        </w:rPr>
        <w:t xml:space="preserve">For Budget </w:t>
      </w:r>
      <w:r w:rsidR="00537ABE" w:rsidRPr="00C01C10">
        <w:rPr>
          <w:b w:val="0"/>
        </w:rPr>
        <w:t>201</w:t>
      </w:r>
      <w:r w:rsidR="00537ABE">
        <w:rPr>
          <w:b w:val="0"/>
        </w:rPr>
        <w:t>9</w:t>
      </w:r>
      <w:r w:rsidRPr="00C01C10">
        <w:rPr>
          <w:b w:val="0"/>
        </w:rPr>
        <w:t xml:space="preserve"> the long-term forecasts used LoadMAP 4.0</w:t>
      </w:r>
      <w:r w:rsidR="00670EB3">
        <w:rPr>
          <w:b w:val="0"/>
        </w:rPr>
        <w:t>,</w:t>
      </w:r>
      <w:r w:rsidRPr="00C01C10">
        <w:rPr>
          <w:b w:val="0"/>
        </w:rPr>
        <w:t xml:space="preserve"> developed by </w:t>
      </w:r>
      <w:r w:rsidR="0085174B">
        <w:rPr>
          <w:b w:val="0"/>
        </w:rPr>
        <w:t xml:space="preserve">Applied Energy Group (“AEG”) </w:t>
      </w:r>
      <w:r w:rsidR="00670EB3">
        <w:rPr>
          <w:b w:val="0"/>
        </w:rPr>
        <w:t>(</w:t>
      </w:r>
      <w:r w:rsidR="0085174B">
        <w:rPr>
          <w:b w:val="0"/>
        </w:rPr>
        <w:t xml:space="preserve">formerly </w:t>
      </w:r>
      <w:r w:rsidRPr="00C01C10">
        <w:rPr>
          <w:b w:val="0"/>
        </w:rPr>
        <w:t>EnerNOC Utility Solutions Consulting</w:t>
      </w:r>
      <w:r w:rsidR="00670EB3">
        <w:rPr>
          <w:b w:val="0"/>
        </w:rPr>
        <w:t>),</w:t>
      </w:r>
      <w:r w:rsidRPr="00C01C10">
        <w:rPr>
          <w:b w:val="0"/>
        </w:rPr>
        <w:t xml:space="preserve"> for </w:t>
      </w:r>
      <w:r w:rsidR="00537ABE">
        <w:rPr>
          <w:b w:val="0"/>
        </w:rPr>
        <w:t>the r</w:t>
      </w:r>
      <w:r w:rsidRPr="00C01C10">
        <w:rPr>
          <w:b w:val="0"/>
        </w:rPr>
        <w:t xml:space="preserve">esidential, </w:t>
      </w:r>
      <w:r w:rsidR="00537ABE">
        <w:rPr>
          <w:b w:val="0"/>
        </w:rPr>
        <w:t>c</w:t>
      </w:r>
      <w:r w:rsidRPr="00C01C10">
        <w:rPr>
          <w:b w:val="0"/>
        </w:rPr>
        <w:t xml:space="preserve">ommercial and </w:t>
      </w:r>
      <w:r w:rsidR="00537ABE">
        <w:rPr>
          <w:b w:val="0"/>
        </w:rPr>
        <w:t>i</w:t>
      </w:r>
      <w:r w:rsidRPr="00C01C10">
        <w:rPr>
          <w:b w:val="0"/>
        </w:rPr>
        <w:t>ndustrial</w:t>
      </w:r>
      <w:r w:rsidR="00537ABE">
        <w:rPr>
          <w:b w:val="0"/>
        </w:rPr>
        <w:t xml:space="preserve"> </w:t>
      </w:r>
      <w:r w:rsidR="0085174B">
        <w:rPr>
          <w:b w:val="0"/>
        </w:rPr>
        <w:t xml:space="preserve">sales </w:t>
      </w:r>
      <w:r w:rsidR="00537ABE">
        <w:rPr>
          <w:b w:val="0"/>
        </w:rPr>
        <w:t>classes</w:t>
      </w:r>
      <w:r w:rsidRPr="00C01C10">
        <w:rPr>
          <w:b w:val="0"/>
        </w:rPr>
        <w:t xml:space="preserve">. LoadMAP </w:t>
      </w:r>
      <w:r w:rsidR="00537ABE">
        <w:rPr>
          <w:b w:val="0"/>
        </w:rPr>
        <w:t xml:space="preserve">has been in use since the </w:t>
      </w:r>
      <w:r w:rsidR="0085174B">
        <w:rPr>
          <w:b w:val="0"/>
        </w:rPr>
        <w:t xml:space="preserve">Budget </w:t>
      </w:r>
      <w:r w:rsidRPr="00C01C10">
        <w:rPr>
          <w:b w:val="0"/>
        </w:rPr>
        <w:t xml:space="preserve">2015 forecast. </w:t>
      </w:r>
      <w:r w:rsidR="000159F3">
        <w:rPr>
          <w:b w:val="0"/>
        </w:rPr>
        <w:t>For Budget 2019 the LoadMAP model used for the commercial class was updated with additional end uses.</w:t>
      </w:r>
    </w:p>
    <w:p w14:paraId="07E0E80A" w14:textId="77777777" w:rsidR="00C01C10" w:rsidRDefault="00C01C10" w:rsidP="00C01C10">
      <w:pPr>
        <w:jc w:val="both"/>
        <w:rPr>
          <w:b w:val="0"/>
        </w:rPr>
      </w:pPr>
    </w:p>
    <w:p w14:paraId="5A326FF1" w14:textId="77777777" w:rsidR="00BC7C3C" w:rsidRPr="00C01C10" w:rsidRDefault="00BC7C3C" w:rsidP="00C01C10">
      <w:pPr>
        <w:jc w:val="both"/>
        <w:rPr>
          <w:b w:val="0"/>
        </w:rPr>
      </w:pPr>
    </w:p>
    <w:p w14:paraId="6600D4EF" w14:textId="09C1F174" w:rsidR="00C01C10" w:rsidRPr="00C01C10" w:rsidRDefault="00A52DE9" w:rsidP="00C01C10">
      <w:pPr>
        <w:spacing w:after="120" w:line="360" w:lineRule="auto"/>
        <w:jc w:val="both"/>
        <w:rPr>
          <w:b w:val="0"/>
        </w:rPr>
      </w:pPr>
      <w:r>
        <w:rPr>
          <w:b w:val="0"/>
        </w:rPr>
        <w:t>The l</w:t>
      </w:r>
      <w:r w:rsidR="00C01C10" w:rsidRPr="00C01C10">
        <w:rPr>
          <w:b w:val="0"/>
        </w:rPr>
        <w:t>ong-term twenty</w:t>
      </w:r>
      <w:r w:rsidR="00537ABE">
        <w:rPr>
          <w:b w:val="0"/>
        </w:rPr>
        <w:t>-</w:t>
      </w:r>
      <w:r w:rsidR="00C01C10" w:rsidRPr="00C01C10">
        <w:rPr>
          <w:b w:val="0"/>
        </w:rPr>
        <w:t>year forecast for MARTA w</w:t>
      </w:r>
      <w:r>
        <w:rPr>
          <w:b w:val="0"/>
        </w:rPr>
        <w:t>as</w:t>
      </w:r>
      <w:r w:rsidR="00C01C10" w:rsidRPr="00C01C10">
        <w:rPr>
          <w:b w:val="0"/>
        </w:rPr>
        <w:t xml:space="preserve"> produced using </w:t>
      </w:r>
      <w:r>
        <w:rPr>
          <w:b w:val="0"/>
        </w:rPr>
        <w:t xml:space="preserve">an </w:t>
      </w:r>
      <w:r w:rsidR="00C01C10" w:rsidRPr="00C01C10">
        <w:rPr>
          <w:b w:val="0"/>
        </w:rPr>
        <w:t>econometric regression model.</w:t>
      </w:r>
      <w:r>
        <w:rPr>
          <w:b w:val="0"/>
        </w:rPr>
        <w:t xml:space="preserve">  </w:t>
      </w:r>
      <w:r w:rsidR="00C01C10" w:rsidRPr="00C01C10">
        <w:rPr>
          <w:b w:val="0"/>
        </w:rPr>
        <w:t xml:space="preserve">  </w:t>
      </w:r>
      <w:r>
        <w:rPr>
          <w:b w:val="0"/>
        </w:rPr>
        <w:t xml:space="preserve">The </w:t>
      </w:r>
      <w:r w:rsidRPr="00C01C10">
        <w:rPr>
          <w:b w:val="0"/>
        </w:rPr>
        <w:t xml:space="preserve">governmental lighting </w:t>
      </w:r>
      <w:r>
        <w:rPr>
          <w:b w:val="0"/>
        </w:rPr>
        <w:t xml:space="preserve">forecast was produced using judgment and internal expectations based on the plan to switch existing lights to more efficient LED lights. </w:t>
      </w:r>
      <w:r w:rsidR="00C01C10" w:rsidRPr="00C01C10">
        <w:rPr>
          <w:b w:val="0"/>
        </w:rPr>
        <w:t>Detailed model specifications can be found in the short-term documentation, Section 4, while forecasted values can be found in Section 2.</w:t>
      </w:r>
      <w:bookmarkStart w:id="231" w:name="_Toc347155945"/>
      <w:bookmarkStart w:id="232" w:name="_Toc347120403"/>
      <w:bookmarkStart w:id="233" w:name="_Toc115595247"/>
      <w:bookmarkStart w:id="234" w:name="_Toc114629514"/>
    </w:p>
    <w:p w14:paraId="16038CDF" w14:textId="77777777" w:rsidR="00C01C10" w:rsidRPr="00C01C10" w:rsidRDefault="00C01C10" w:rsidP="00C01C10">
      <w:pPr>
        <w:spacing w:after="120" w:line="360" w:lineRule="auto"/>
        <w:jc w:val="both"/>
        <w:rPr>
          <w:b w:val="0"/>
        </w:rPr>
      </w:pPr>
    </w:p>
    <w:p w14:paraId="213FF6F8" w14:textId="77777777" w:rsidR="00C01C10" w:rsidRPr="00C01C10" w:rsidRDefault="00C01C10" w:rsidP="00BC7C3C">
      <w:pPr>
        <w:keepNext/>
        <w:spacing w:line="360" w:lineRule="auto"/>
        <w:jc w:val="left"/>
      </w:pPr>
      <w:r w:rsidRPr="00C01C10">
        <w:t>Table 5.0-1 Model Type List</w:t>
      </w:r>
      <w:bookmarkEnd w:id="231"/>
      <w:bookmarkEnd w:id="232"/>
      <w:bookmarkEnd w:id="233"/>
      <w:bookmarkEnd w:id="234"/>
    </w:p>
    <w:p w14:paraId="2DF24529" w14:textId="77777777" w:rsidR="00C01C10" w:rsidRPr="00C01C10" w:rsidRDefault="00C01C10" w:rsidP="00BC7C3C">
      <w:pPr>
        <w:keepNext/>
        <w:jc w:val="left"/>
        <w:rPr>
          <w:rFonts w:ascii="Times New Roman" w:hAnsi="Times New Roman" w:cs="Times New Roman"/>
          <w:b w:val="0"/>
          <w:sz w:val="24"/>
          <w:szCs w:val="24"/>
        </w:rPr>
      </w:pPr>
    </w:p>
    <w:tbl>
      <w:tblPr>
        <w:tblW w:w="0" w:type="auto"/>
        <w:jc w:val="center"/>
        <w:tblBorders>
          <w:top w:val="single" w:sz="4" w:space="0" w:color="auto"/>
          <w:bottom w:val="single" w:sz="4" w:space="0" w:color="auto"/>
        </w:tblBorders>
        <w:tblLayout w:type="fixed"/>
        <w:tblLook w:val="04A0" w:firstRow="1" w:lastRow="0" w:firstColumn="1" w:lastColumn="0" w:noHBand="0" w:noVBand="1"/>
      </w:tblPr>
      <w:tblGrid>
        <w:gridCol w:w="3130"/>
        <w:gridCol w:w="2286"/>
        <w:gridCol w:w="2286"/>
      </w:tblGrid>
      <w:tr w:rsidR="00C01C10" w:rsidRPr="00C01C10" w14:paraId="54BA5E20" w14:textId="77777777" w:rsidTr="00EE0CE1">
        <w:trPr>
          <w:jc w:val="center"/>
        </w:trPr>
        <w:tc>
          <w:tcPr>
            <w:tcW w:w="3130" w:type="dxa"/>
            <w:tcBorders>
              <w:top w:val="single" w:sz="4" w:space="0" w:color="auto"/>
              <w:left w:val="nil"/>
              <w:bottom w:val="nil"/>
              <w:right w:val="nil"/>
            </w:tcBorders>
            <w:hideMark/>
          </w:tcPr>
          <w:p w14:paraId="42541128" w14:textId="77777777" w:rsidR="00C01C10" w:rsidRPr="009C6B5A" w:rsidRDefault="00C01C10" w:rsidP="00BC7C3C">
            <w:pPr>
              <w:keepNext/>
              <w:jc w:val="left"/>
              <w:rPr>
                <w:b w:val="0"/>
                <w:u w:val="single"/>
              </w:rPr>
            </w:pPr>
            <w:r w:rsidRPr="009C6B5A">
              <w:rPr>
                <w:b w:val="0"/>
                <w:u w:val="single"/>
              </w:rPr>
              <w:t>Class</w:t>
            </w:r>
          </w:p>
        </w:tc>
        <w:tc>
          <w:tcPr>
            <w:tcW w:w="2286" w:type="dxa"/>
            <w:tcBorders>
              <w:top w:val="single" w:sz="4" w:space="0" w:color="auto"/>
              <w:left w:val="nil"/>
              <w:bottom w:val="nil"/>
              <w:right w:val="nil"/>
            </w:tcBorders>
            <w:hideMark/>
          </w:tcPr>
          <w:p w14:paraId="2E230E83" w14:textId="77777777" w:rsidR="00C01C10" w:rsidRPr="009C6B5A" w:rsidRDefault="00C01C10" w:rsidP="00BC7C3C">
            <w:pPr>
              <w:keepNext/>
              <w:jc w:val="left"/>
              <w:rPr>
                <w:b w:val="0"/>
                <w:u w:val="single"/>
              </w:rPr>
            </w:pPr>
            <w:r w:rsidRPr="009C6B5A">
              <w:rPr>
                <w:b w:val="0"/>
                <w:u w:val="single"/>
              </w:rPr>
              <w:t>Short-Term</w:t>
            </w:r>
          </w:p>
        </w:tc>
        <w:tc>
          <w:tcPr>
            <w:tcW w:w="2286" w:type="dxa"/>
            <w:tcBorders>
              <w:top w:val="single" w:sz="4" w:space="0" w:color="auto"/>
              <w:left w:val="nil"/>
              <w:bottom w:val="nil"/>
              <w:right w:val="nil"/>
            </w:tcBorders>
            <w:hideMark/>
          </w:tcPr>
          <w:p w14:paraId="11F08F69" w14:textId="77777777" w:rsidR="00C01C10" w:rsidRPr="009C6B5A" w:rsidRDefault="00C01C10" w:rsidP="00BC7C3C">
            <w:pPr>
              <w:keepNext/>
              <w:jc w:val="left"/>
              <w:rPr>
                <w:b w:val="0"/>
                <w:u w:val="single"/>
              </w:rPr>
            </w:pPr>
            <w:r w:rsidRPr="009C6B5A">
              <w:rPr>
                <w:b w:val="0"/>
                <w:u w:val="single"/>
              </w:rPr>
              <w:t>Long-Term</w:t>
            </w:r>
          </w:p>
        </w:tc>
      </w:tr>
      <w:tr w:rsidR="00C01C10" w:rsidRPr="00C01C10" w14:paraId="47DA515E" w14:textId="77777777" w:rsidTr="00EE0CE1">
        <w:trPr>
          <w:jc w:val="center"/>
        </w:trPr>
        <w:tc>
          <w:tcPr>
            <w:tcW w:w="3130" w:type="dxa"/>
            <w:tcBorders>
              <w:top w:val="nil"/>
              <w:left w:val="nil"/>
              <w:bottom w:val="nil"/>
              <w:right w:val="nil"/>
            </w:tcBorders>
            <w:hideMark/>
          </w:tcPr>
          <w:p w14:paraId="0CB9C732" w14:textId="77777777" w:rsidR="00C01C10" w:rsidRPr="009C6B5A" w:rsidRDefault="00C01C10" w:rsidP="00BC7C3C">
            <w:pPr>
              <w:keepNext/>
              <w:jc w:val="left"/>
              <w:rPr>
                <w:b w:val="0"/>
              </w:rPr>
            </w:pPr>
            <w:r w:rsidRPr="009C6B5A">
              <w:rPr>
                <w:b w:val="0"/>
              </w:rPr>
              <w:t>Residential</w:t>
            </w:r>
          </w:p>
        </w:tc>
        <w:tc>
          <w:tcPr>
            <w:tcW w:w="2286" w:type="dxa"/>
            <w:tcBorders>
              <w:top w:val="nil"/>
              <w:left w:val="nil"/>
              <w:bottom w:val="nil"/>
              <w:right w:val="nil"/>
            </w:tcBorders>
            <w:hideMark/>
          </w:tcPr>
          <w:p w14:paraId="4E1B8D46" w14:textId="77777777" w:rsidR="00C01C10" w:rsidRPr="009C6B5A" w:rsidRDefault="00C01C10" w:rsidP="00BC7C3C">
            <w:pPr>
              <w:keepNext/>
              <w:jc w:val="left"/>
              <w:rPr>
                <w:b w:val="0"/>
              </w:rPr>
            </w:pPr>
            <w:r w:rsidRPr="009C6B5A">
              <w:rPr>
                <w:b w:val="0"/>
              </w:rPr>
              <w:t>Econometric</w:t>
            </w:r>
          </w:p>
        </w:tc>
        <w:tc>
          <w:tcPr>
            <w:tcW w:w="2286" w:type="dxa"/>
            <w:tcBorders>
              <w:top w:val="nil"/>
              <w:left w:val="nil"/>
              <w:bottom w:val="nil"/>
              <w:right w:val="nil"/>
            </w:tcBorders>
            <w:hideMark/>
          </w:tcPr>
          <w:p w14:paraId="1207948B" w14:textId="775C28B7" w:rsidR="00C01C10" w:rsidRPr="009C6B5A" w:rsidRDefault="00670EB3" w:rsidP="00BC7C3C">
            <w:pPr>
              <w:keepNext/>
              <w:jc w:val="left"/>
              <w:rPr>
                <w:b w:val="0"/>
              </w:rPr>
            </w:pPr>
            <w:r>
              <w:rPr>
                <w:b w:val="0"/>
              </w:rPr>
              <w:t>End Use</w:t>
            </w:r>
          </w:p>
        </w:tc>
      </w:tr>
      <w:tr w:rsidR="00C01C10" w:rsidRPr="00C01C10" w14:paraId="4EFA168D" w14:textId="77777777" w:rsidTr="00EE0CE1">
        <w:trPr>
          <w:jc w:val="center"/>
        </w:trPr>
        <w:tc>
          <w:tcPr>
            <w:tcW w:w="3130" w:type="dxa"/>
            <w:tcBorders>
              <w:top w:val="nil"/>
              <w:left w:val="nil"/>
              <w:bottom w:val="nil"/>
              <w:right w:val="nil"/>
            </w:tcBorders>
            <w:hideMark/>
          </w:tcPr>
          <w:p w14:paraId="1D7057D2" w14:textId="77777777" w:rsidR="00C01C10" w:rsidRPr="009C6B5A" w:rsidRDefault="00C01C10" w:rsidP="00BC7C3C">
            <w:pPr>
              <w:keepNext/>
              <w:jc w:val="left"/>
              <w:rPr>
                <w:b w:val="0"/>
              </w:rPr>
            </w:pPr>
            <w:r w:rsidRPr="009C6B5A">
              <w:rPr>
                <w:b w:val="0"/>
              </w:rPr>
              <w:t>Commercial</w:t>
            </w:r>
          </w:p>
        </w:tc>
        <w:tc>
          <w:tcPr>
            <w:tcW w:w="2286" w:type="dxa"/>
            <w:tcBorders>
              <w:top w:val="nil"/>
              <w:left w:val="nil"/>
              <w:bottom w:val="nil"/>
              <w:right w:val="nil"/>
            </w:tcBorders>
            <w:hideMark/>
          </w:tcPr>
          <w:p w14:paraId="79E5D081" w14:textId="77777777" w:rsidR="00C01C10" w:rsidRPr="009C6B5A" w:rsidRDefault="00C01C10" w:rsidP="00BC7C3C">
            <w:pPr>
              <w:keepNext/>
              <w:jc w:val="left"/>
              <w:rPr>
                <w:b w:val="0"/>
              </w:rPr>
            </w:pPr>
            <w:r w:rsidRPr="009C6B5A">
              <w:rPr>
                <w:b w:val="0"/>
              </w:rPr>
              <w:t>Econometric</w:t>
            </w:r>
          </w:p>
        </w:tc>
        <w:tc>
          <w:tcPr>
            <w:tcW w:w="2286" w:type="dxa"/>
            <w:tcBorders>
              <w:top w:val="nil"/>
              <w:left w:val="nil"/>
              <w:bottom w:val="nil"/>
              <w:right w:val="nil"/>
            </w:tcBorders>
            <w:hideMark/>
          </w:tcPr>
          <w:p w14:paraId="007CCE11" w14:textId="2322C676" w:rsidR="00C01C10" w:rsidRPr="009C6B5A" w:rsidRDefault="00670EB3" w:rsidP="00BC7C3C">
            <w:pPr>
              <w:keepNext/>
              <w:jc w:val="left"/>
              <w:rPr>
                <w:b w:val="0"/>
              </w:rPr>
            </w:pPr>
            <w:r>
              <w:rPr>
                <w:b w:val="0"/>
              </w:rPr>
              <w:t>End Use</w:t>
            </w:r>
          </w:p>
        </w:tc>
      </w:tr>
      <w:tr w:rsidR="00C01C10" w:rsidRPr="00C01C10" w14:paraId="213B4E7B" w14:textId="77777777" w:rsidTr="00EE0CE1">
        <w:trPr>
          <w:jc w:val="center"/>
        </w:trPr>
        <w:tc>
          <w:tcPr>
            <w:tcW w:w="3130" w:type="dxa"/>
            <w:tcBorders>
              <w:top w:val="nil"/>
              <w:left w:val="nil"/>
              <w:bottom w:val="nil"/>
              <w:right w:val="nil"/>
            </w:tcBorders>
            <w:hideMark/>
          </w:tcPr>
          <w:p w14:paraId="6B3FF7C9" w14:textId="77777777" w:rsidR="00C01C10" w:rsidRPr="009C6B5A" w:rsidRDefault="00C01C10" w:rsidP="00BC7C3C">
            <w:pPr>
              <w:keepNext/>
              <w:jc w:val="left"/>
              <w:rPr>
                <w:b w:val="0"/>
              </w:rPr>
            </w:pPr>
            <w:r w:rsidRPr="009C6B5A">
              <w:rPr>
                <w:b w:val="0"/>
              </w:rPr>
              <w:t>Industrial</w:t>
            </w:r>
          </w:p>
        </w:tc>
        <w:tc>
          <w:tcPr>
            <w:tcW w:w="2286" w:type="dxa"/>
            <w:tcBorders>
              <w:top w:val="nil"/>
              <w:left w:val="nil"/>
              <w:bottom w:val="nil"/>
              <w:right w:val="nil"/>
            </w:tcBorders>
            <w:hideMark/>
          </w:tcPr>
          <w:p w14:paraId="1011DA26" w14:textId="77777777" w:rsidR="00C01C10" w:rsidRPr="009C6B5A" w:rsidRDefault="00C01C10" w:rsidP="00BC7C3C">
            <w:pPr>
              <w:keepNext/>
              <w:jc w:val="left"/>
              <w:rPr>
                <w:b w:val="0"/>
              </w:rPr>
            </w:pPr>
            <w:r w:rsidRPr="009C6B5A">
              <w:rPr>
                <w:b w:val="0"/>
              </w:rPr>
              <w:t>Econometric</w:t>
            </w:r>
          </w:p>
        </w:tc>
        <w:tc>
          <w:tcPr>
            <w:tcW w:w="2286" w:type="dxa"/>
            <w:tcBorders>
              <w:top w:val="nil"/>
              <w:left w:val="nil"/>
              <w:bottom w:val="nil"/>
              <w:right w:val="nil"/>
            </w:tcBorders>
            <w:hideMark/>
          </w:tcPr>
          <w:p w14:paraId="17EAAEA9" w14:textId="76E2B257" w:rsidR="00C01C10" w:rsidRPr="009C6B5A" w:rsidRDefault="00670EB3" w:rsidP="00BC7C3C">
            <w:pPr>
              <w:keepNext/>
              <w:jc w:val="left"/>
              <w:rPr>
                <w:b w:val="0"/>
              </w:rPr>
            </w:pPr>
            <w:r>
              <w:rPr>
                <w:b w:val="0"/>
              </w:rPr>
              <w:t>End Use</w:t>
            </w:r>
          </w:p>
        </w:tc>
      </w:tr>
      <w:tr w:rsidR="00634322" w:rsidRPr="00C01C10" w14:paraId="20346D79" w14:textId="77777777" w:rsidTr="00EE0CE1">
        <w:trPr>
          <w:jc w:val="center"/>
        </w:trPr>
        <w:tc>
          <w:tcPr>
            <w:tcW w:w="3130" w:type="dxa"/>
            <w:tcBorders>
              <w:top w:val="nil"/>
              <w:left w:val="nil"/>
              <w:bottom w:val="nil"/>
              <w:right w:val="nil"/>
            </w:tcBorders>
          </w:tcPr>
          <w:p w14:paraId="7B3E8A4A" w14:textId="77777777" w:rsidR="00634322" w:rsidRPr="009C6B5A" w:rsidRDefault="00634322" w:rsidP="00A82741">
            <w:pPr>
              <w:keepNext/>
              <w:jc w:val="left"/>
              <w:rPr>
                <w:b w:val="0"/>
              </w:rPr>
            </w:pPr>
            <w:r w:rsidRPr="009C6B5A">
              <w:rPr>
                <w:b w:val="0"/>
              </w:rPr>
              <w:t>MARTA</w:t>
            </w:r>
          </w:p>
        </w:tc>
        <w:tc>
          <w:tcPr>
            <w:tcW w:w="2286" w:type="dxa"/>
            <w:tcBorders>
              <w:top w:val="nil"/>
              <w:left w:val="nil"/>
              <w:bottom w:val="nil"/>
              <w:right w:val="nil"/>
            </w:tcBorders>
          </w:tcPr>
          <w:p w14:paraId="294C2F45" w14:textId="77777777" w:rsidR="00634322" w:rsidRPr="009C6B5A" w:rsidRDefault="00634322" w:rsidP="00A82741">
            <w:pPr>
              <w:keepNext/>
              <w:jc w:val="left"/>
              <w:rPr>
                <w:b w:val="0"/>
              </w:rPr>
            </w:pPr>
            <w:r w:rsidRPr="009C6B5A">
              <w:rPr>
                <w:b w:val="0"/>
              </w:rPr>
              <w:t>Econometric</w:t>
            </w:r>
          </w:p>
        </w:tc>
        <w:tc>
          <w:tcPr>
            <w:tcW w:w="2286" w:type="dxa"/>
            <w:tcBorders>
              <w:top w:val="nil"/>
              <w:left w:val="nil"/>
              <w:bottom w:val="nil"/>
              <w:right w:val="nil"/>
            </w:tcBorders>
          </w:tcPr>
          <w:p w14:paraId="6ABE439A" w14:textId="477E15D7" w:rsidR="00634322" w:rsidRPr="009C6B5A" w:rsidRDefault="00E0791E" w:rsidP="00A82741">
            <w:pPr>
              <w:keepNext/>
              <w:jc w:val="left"/>
              <w:rPr>
                <w:b w:val="0"/>
              </w:rPr>
            </w:pPr>
            <w:r>
              <w:rPr>
                <w:b w:val="0"/>
              </w:rPr>
              <w:t>Econometric</w:t>
            </w:r>
          </w:p>
        </w:tc>
      </w:tr>
      <w:tr w:rsidR="00C01C10" w:rsidRPr="00C01C10" w14:paraId="57762729" w14:textId="77777777" w:rsidTr="00EE0CE1">
        <w:trPr>
          <w:cantSplit/>
          <w:jc w:val="center"/>
        </w:trPr>
        <w:tc>
          <w:tcPr>
            <w:tcW w:w="3130" w:type="dxa"/>
            <w:tcBorders>
              <w:top w:val="nil"/>
              <w:left w:val="nil"/>
              <w:bottom w:val="nil"/>
              <w:right w:val="nil"/>
            </w:tcBorders>
            <w:hideMark/>
          </w:tcPr>
          <w:p w14:paraId="16587E78" w14:textId="77777777" w:rsidR="00C01C10" w:rsidRPr="009C6B5A" w:rsidRDefault="00C01C10" w:rsidP="00BC7C3C">
            <w:pPr>
              <w:keepNext/>
              <w:jc w:val="left"/>
              <w:rPr>
                <w:b w:val="0"/>
              </w:rPr>
            </w:pPr>
            <w:r w:rsidRPr="009C6B5A">
              <w:rPr>
                <w:b w:val="0"/>
              </w:rPr>
              <w:t>Governmental Lighting</w:t>
            </w:r>
          </w:p>
        </w:tc>
        <w:tc>
          <w:tcPr>
            <w:tcW w:w="2286" w:type="dxa"/>
            <w:tcBorders>
              <w:top w:val="nil"/>
              <w:left w:val="nil"/>
              <w:bottom w:val="nil"/>
              <w:right w:val="nil"/>
            </w:tcBorders>
            <w:hideMark/>
          </w:tcPr>
          <w:p w14:paraId="5BF88E52" w14:textId="77777777" w:rsidR="00C01C10" w:rsidRPr="009C6B5A" w:rsidRDefault="00634322" w:rsidP="00634322">
            <w:pPr>
              <w:keepNext/>
              <w:jc w:val="left"/>
              <w:rPr>
                <w:b w:val="0"/>
              </w:rPr>
            </w:pPr>
            <w:r w:rsidRPr="009C6B5A">
              <w:rPr>
                <w:b w:val="0"/>
              </w:rPr>
              <w:t>Judgment</w:t>
            </w:r>
          </w:p>
        </w:tc>
        <w:tc>
          <w:tcPr>
            <w:tcW w:w="2286" w:type="dxa"/>
            <w:tcBorders>
              <w:top w:val="nil"/>
              <w:left w:val="nil"/>
              <w:bottom w:val="nil"/>
              <w:right w:val="nil"/>
            </w:tcBorders>
            <w:hideMark/>
          </w:tcPr>
          <w:p w14:paraId="6978B9A0" w14:textId="77777777" w:rsidR="00C01C10" w:rsidRPr="009C6B5A" w:rsidRDefault="00634322" w:rsidP="00BC7C3C">
            <w:pPr>
              <w:keepNext/>
              <w:jc w:val="left"/>
              <w:rPr>
                <w:b w:val="0"/>
              </w:rPr>
            </w:pPr>
            <w:r w:rsidRPr="009C6B5A">
              <w:rPr>
                <w:b w:val="0"/>
              </w:rPr>
              <w:t>Judgment</w:t>
            </w:r>
          </w:p>
        </w:tc>
      </w:tr>
      <w:tr w:rsidR="00C01C10" w:rsidRPr="00C01C10" w14:paraId="36E00B0E" w14:textId="77777777" w:rsidTr="00634322">
        <w:trPr>
          <w:cantSplit/>
          <w:jc w:val="center"/>
        </w:trPr>
        <w:tc>
          <w:tcPr>
            <w:tcW w:w="3130" w:type="dxa"/>
            <w:tcBorders>
              <w:top w:val="nil"/>
              <w:left w:val="nil"/>
              <w:bottom w:val="nil"/>
              <w:right w:val="nil"/>
            </w:tcBorders>
          </w:tcPr>
          <w:p w14:paraId="6AC92948" w14:textId="77777777" w:rsidR="00C01C10" w:rsidRPr="00C01C10" w:rsidRDefault="00C01C10" w:rsidP="00BC7C3C">
            <w:pPr>
              <w:keepNext/>
              <w:jc w:val="left"/>
              <w:rPr>
                <w:rFonts w:ascii="Times New Roman" w:hAnsi="Times New Roman" w:cs="Times New Roman"/>
                <w:b w:val="0"/>
                <w:sz w:val="24"/>
                <w:szCs w:val="24"/>
              </w:rPr>
            </w:pPr>
          </w:p>
        </w:tc>
        <w:tc>
          <w:tcPr>
            <w:tcW w:w="2286" w:type="dxa"/>
            <w:tcBorders>
              <w:top w:val="nil"/>
              <w:left w:val="nil"/>
              <w:bottom w:val="nil"/>
              <w:right w:val="nil"/>
            </w:tcBorders>
          </w:tcPr>
          <w:p w14:paraId="4241A3BF" w14:textId="77777777" w:rsidR="00C01C10" w:rsidRPr="00C01C10" w:rsidRDefault="00C01C10" w:rsidP="00BC7C3C">
            <w:pPr>
              <w:keepNext/>
              <w:jc w:val="left"/>
              <w:rPr>
                <w:rFonts w:ascii="Times New Roman" w:hAnsi="Times New Roman" w:cs="Times New Roman"/>
                <w:b w:val="0"/>
                <w:sz w:val="24"/>
                <w:szCs w:val="24"/>
              </w:rPr>
            </w:pPr>
          </w:p>
        </w:tc>
        <w:tc>
          <w:tcPr>
            <w:tcW w:w="2286" w:type="dxa"/>
            <w:tcBorders>
              <w:top w:val="nil"/>
              <w:left w:val="nil"/>
              <w:bottom w:val="nil"/>
              <w:right w:val="nil"/>
            </w:tcBorders>
          </w:tcPr>
          <w:p w14:paraId="6B33A223" w14:textId="77777777" w:rsidR="00C01C10" w:rsidRPr="00C01C10" w:rsidRDefault="00C01C10" w:rsidP="00BC7C3C">
            <w:pPr>
              <w:keepNext/>
              <w:jc w:val="left"/>
              <w:rPr>
                <w:rFonts w:ascii="Times New Roman" w:hAnsi="Times New Roman" w:cs="Times New Roman"/>
                <w:b w:val="0"/>
                <w:sz w:val="24"/>
                <w:szCs w:val="24"/>
              </w:rPr>
            </w:pPr>
          </w:p>
        </w:tc>
      </w:tr>
    </w:tbl>
    <w:p w14:paraId="4C14F91E" w14:textId="77777777" w:rsidR="00CD1924" w:rsidRPr="00CD1924" w:rsidRDefault="00CD1924" w:rsidP="00CD1924">
      <w:pPr>
        <w:pStyle w:val="Heading1"/>
        <w:jc w:val="left"/>
        <w:rPr>
          <w:rFonts w:ascii="Arial" w:hAnsi="Arial" w:cs="Arial"/>
          <w:b/>
          <w:color w:val="auto"/>
        </w:rPr>
      </w:pPr>
      <w:bookmarkStart w:id="235" w:name="_Toc535495642"/>
      <w:r w:rsidRPr="00CD1924">
        <w:rPr>
          <w:rFonts w:ascii="Arial" w:hAnsi="Arial" w:cs="Arial"/>
          <w:b/>
          <w:color w:val="auto"/>
        </w:rPr>
        <w:t>5.1</w:t>
      </w:r>
      <w:r w:rsidRPr="00CD1924">
        <w:rPr>
          <w:rFonts w:ascii="Arial" w:hAnsi="Arial" w:cs="Arial"/>
          <w:b/>
          <w:color w:val="auto"/>
        </w:rPr>
        <w:tab/>
        <w:t>LONG-TERM ENERGY SALES</w:t>
      </w:r>
      <w:bookmarkEnd w:id="228"/>
      <w:bookmarkEnd w:id="229"/>
      <w:bookmarkEnd w:id="230"/>
      <w:bookmarkEnd w:id="235"/>
    </w:p>
    <w:p w14:paraId="5BA5D65A" w14:textId="77777777" w:rsidR="00CD1924" w:rsidRDefault="00CD1924" w:rsidP="00CD1924">
      <w:pPr>
        <w:pStyle w:val="Heading2"/>
        <w:jc w:val="left"/>
        <w:rPr>
          <w:rFonts w:ascii="Arial" w:hAnsi="Arial" w:cs="Arial"/>
          <w:b/>
          <w:color w:val="auto"/>
          <w:sz w:val="20"/>
          <w:szCs w:val="20"/>
        </w:rPr>
      </w:pPr>
      <w:bookmarkStart w:id="236" w:name="_Toc347120405"/>
    </w:p>
    <w:p w14:paraId="041D2E77" w14:textId="77777777" w:rsidR="00CD1924" w:rsidRPr="00CD1924" w:rsidRDefault="00CD1924" w:rsidP="00CD1924">
      <w:pPr>
        <w:pStyle w:val="Heading2"/>
        <w:jc w:val="left"/>
        <w:rPr>
          <w:rFonts w:ascii="Arial" w:hAnsi="Arial" w:cs="Arial"/>
          <w:b/>
          <w:color w:val="auto"/>
          <w:sz w:val="20"/>
          <w:szCs w:val="20"/>
        </w:rPr>
      </w:pPr>
      <w:bookmarkStart w:id="237" w:name="_Toc535495643"/>
      <w:r w:rsidRPr="00CD1924">
        <w:rPr>
          <w:rFonts w:ascii="Arial" w:hAnsi="Arial" w:cs="Arial"/>
          <w:b/>
          <w:color w:val="auto"/>
          <w:sz w:val="20"/>
          <w:szCs w:val="20"/>
        </w:rPr>
        <w:t>5.1.1</w:t>
      </w:r>
      <w:r w:rsidRPr="00CD1924">
        <w:rPr>
          <w:rFonts w:ascii="Arial" w:hAnsi="Arial" w:cs="Arial"/>
          <w:b/>
          <w:color w:val="auto"/>
          <w:sz w:val="20"/>
          <w:szCs w:val="20"/>
        </w:rPr>
        <w:tab/>
        <w:t>Residential Long-Term Energy Sales</w:t>
      </w:r>
      <w:bookmarkEnd w:id="236"/>
      <w:bookmarkEnd w:id="237"/>
    </w:p>
    <w:p w14:paraId="6E8C30B1" w14:textId="77777777" w:rsidR="00CD1924" w:rsidRDefault="00CD1924" w:rsidP="00CD1924">
      <w:pPr>
        <w:pStyle w:val="BodyText"/>
        <w:spacing w:line="360" w:lineRule="auto"/>
        <w:jc w:val="left"/>
        <w:rPr>
          <w:b w:val="0"/>
        </w:rPr>
      </w:pPr>
    </w:p>
    <w:p w14:paraId="525B2716" w14:textId="2143F09D" w:rsidR="00C01C10" w:rsidRPr="00C01C10" w:rsidRDefault="00C01C10" w:rsidP="00C01C10">
      <w:pPr>
        <w:spacing w:line="360" w:lineRule="auto"/>
        <w:jc w:val="both"/>
        <w:rPr>
          <w:b w:val="0"/>
          <w:szCs w:val="24"/>
        </w:rPr>
      </w:pPr>
      <w:r w:rsidRPr="00C01C10">
        <w:rPr>
          <w:b w:val="0"/>
          <w:szCs w:val="24"/>
        </w:rPr>
        <w:t xml:space="preserve">LoadMAP forecasts end-use or appliance-specific residential energy consumption using a variety of demographic, housing, economic, energy, and weather information. It also models energy consumption from three main components: housing stock served (customers), share of the housing stock served by appliance end-use by fuel type, and unit energy consumption of the appliance end-use by fuel type.  Appliance end-use by fuel type refers to an end-use class of appliances that consume a particular fuel (electricity or natural gas) such as electric clothes dryers or gas stovetops.  </w:t>
      </w:r>
    </w:p>
    <w:p w14:paraId="0DF76B82" w14:textId="77777777" w:rsidR="00C01C10" w:rsidRPr="00C01C10" w:rsidRDefault="00C01C10" w:rsidP="00C01C10">
      <w:pPr>
        <w:spacing w:line="360" w:lineRule="auto"/>
        <w:jc w:val="both"/>
        <w:rPr>
          <w:b w:val="0"/>
          <w:szCs w:val="24"/>
        </w:rPr>
      </w:pPr>
    </w:p>
    <w:p w14:paraId="67E41F02" w14:textId="7D023965" w:rsidR="00C01C10" w:rsidRPr="00C01C10" w:rsidRDefault="00C01C10" w:rsidP="00C01C10">
      <w:pPr>
        <w:spacing w:line="360" w:lineRule="auto"/>
        <w:jc w:val="both"/>
        <w:rPr>
          <w:b w:val="0"/>
          <w:szCs w:val="24"/>
        </w:rPr>
      </w:pPr>
      <w:r w:rsidRPr="00C01C10">
        <w:rPr>
          <w:b w:val="0"/>
          <w:szCs w:val="24"/>
        </w:rPr>
        <w:t>LoadMAP simulates household energy decisions with respect to three basic types of choices</w:t>
      </w:r>
      <w:r w:rsidR="001328E0">
        <w:rPr>
          <w:b w:val="0"/>
          <w:szCs w:val="24"/>
        </w:rPr>
        <w:t xml:space="preserve"> — </w:t>
      </w:r>
      <w:r w:rsidRPr="00C01C10">
        <w:rPr>
          <w:b w:val="0"/>
          <w:szCs w:val="24"/>
        </w:rPr>
        <w:t>appliance ownership by fuel type, appliance efficiency, and appliance utilization (energy usage). For a given end</w:t>
      </w:r>
      <w:r w:rsidR="00A54A9E">
        <w:rPr>
          <w:b w:val="0"/>
          <w:szCs w:val="24"/>
        </w:rPr>
        <w:t xml:space="preserve"> </w:t>
      </w:r>
      <w:r w:rsidRPr="00C01C10">
        <w:rPr>
          <w:b w:val="0"/>
          <w:szCs w:val="24"/>
        </w:rPr>
        <w:t xml:space="preserve">use and fuel type, consumption is the product of the number of households, </w:t>
      </w:r>
      <w:r w:rsidR="001328E0">
        <w:rPr>
          <w:b w:val="0"/>
          <w:szCs w:val="24"/>
        </w:rPr>
        <w:t xml:space="preserve">the </w:t>
      </w:r>
      <w:r w:rsidRPr="00C01C10">
        <w:rPr>
          <w:b w:val="0"/>
          <w:szCs w:val="24"/>
        </w:rPr>
        <w:t>percentage of the segment (households) with the end</w:t>
      </w:r>
      <w:r w:rsidR="00A54A9E">
        <w:rPr>
          <w:b w:val="0"/>
          <w:szCs w:val="24"/>
        </w:rPr>
        <w:t xml:space="preserve"> </w:t>
      </w:r>
      <w:r w:rsidRPr="00C01C10">
        <w:rPr>
          <w:b w:val="0"/>
          <w:szCs w:val="24"/>
        </w:rPr>
        <w:t xml:space="preserve">use, and the average unit energy consumption. The equation that uses these three main components to determine consumption, or sales, is called the central energy equation. </w:t>
      </w:r>
    </w:p>
    <w:p w14:paraId="35868630" w14:textId="77777777" w:rsidR="00C01C10" w:rsidRPr="00C01C10" w:rsidRDefault="00C01C10" w:rsidP="00C01C10">
      <w:pPr>
        <w:spacing w:line="360" w:lineRule="auto"/>
        <w:jc w:val="left"/>
        <w:rPr>
          <w:b w:val="0"/>
          <w:szCs w:val="24"/>
        </w:rPr>
      </w:pPr>
    </w:p>
    <w:p w14:paraId="04D6BFF3" w14:textId="77777777" w:rsidR="00C01C10" w:rsidRPr="00C01C10" w:rsidRDefault="00017DFD" w:rsidP="00C01C10">
      <w:pPr>
        <w:spacing w:line="360" w:lineRule="auto"/>
        <w:jc w:val="left"/>
        <w:rPr>
          <w:b w:val="0"/>
          <w:szCs w:val="24"/>
        </w:rPr>
      </w:pPr>
      <w:r>
        <w:rPr>
          <w:b w:val="0"/>
          <w:noProof/>
          <w:szCs w:val="24"/>
        </w:rPr>
        <w:object w:dxaOrig="1440" w:dyaOrig="1440" w14:anchorId="1221CF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margin-left:-2.6pt;margin-top:3.4pt;width:185pt;height:27pt;z-index:251666432;visibility:visible">
            <v:imagedata r:id="rId44" o:title=""/>
          </v:shape>
          <o:OLEObject Type="Embed" ProgID="Equation.3" ShapeID="_x0000_s1032" DrawAspect="Content" ObjectID="_1610277854" r:id="rId45"/>
        </w:object>
      </w:r>
    </w:p>
    <w:p w14:paraId="3D8E7EF5" w14:textId="77777777" w:rsidR="00C01C10" w:rsidRPr="00C01C10" w:rsidRDefault="00C01C10" w:rsidP="00C01C10">
      <w:pPr>
        <w:spacing w:line="360" w:lineRule="auto"/>
        <w:jc w:val="left"/>
        <w:rPr>
          <w:b w:val="0"/>
          <w:szCs w:val="24"/>
        </w:rPr>
      </w:pPr>
    </w:p>
    <w:p w14:paraId="1EA940E4" w14:textId="77777777" w:rsidR="00C01C10" w:rsidRPr="00C01C10" w:rsidRDefault="00C01C10" w:rsidP="00C01C10">
      <w:pPr>
        <w:spacing w:line="360" w:lineRule="auto"/>
        <w:jc w:val="left"/>
        <w:rPr>
          <w:b w:val="0"/>
          <w:szCs w:val="24"/>
        </w:rPr>
      </w:pPr>
    </w:p>
    <w:p w14:paraId="5E2B3408" w14:textId="77777777" w:rsidR="00C01C10" w:rsidRPr="00C01C10" w:rsidRDefault="00C01C10" w:rsidP="00C01C10">
      <w:pPr>
        <w:spacing w:line="360" w:lineRule="auto"/>
        <w:jc w:val="left"/>
        <w:rPr>
          <w:b w:val="0"/>
          <w:szCs w:val="24"/>
        </w:rPr>
      </w:pPr>
      <w:r w:rsidRPr="00C01C10">
        <w:rPr>
          <w:b w:val="0"/>
          <w:szCs w:val="24"/>
        </w:rPr>
        <w:t>Where:</w:t>
      </w:r>
    </w:p>
    <w:p w14:paraId="2904E269" w14:textId="7D887EE2" w:rsidR="00C01C10" w:rsidRPr="00C01C10" w:rsidRDefault="00C01C10" w:rsidP="00C01C10">
      <w:pPr>
        <w:spacing w:line="360" w:lineRule="auto"/>
        <w:jc w:val="left"/>
        <w:rPr>
          <w:b w:val="0"/>
          <w:szCs w:val="24"/>
        </w:rPr>
      </w:pPr>
      <w:r w:rsidRPr="00C01C10">
        <w:rPr>
          <w:b w:val="0"/>
          <w:szCs w:val="24"/>
        </w:rPr>
        <w:t>Energy</w:t>
      </w:r>
      <w:r w:rsidRPr="00C01C10">
        <w:rPr>
          <w:b w:val="0"/>
          <w:szCs w:val="24"/>
        </w:rPr>
        <w:tab/>
        <w:t xml:space="preserve">= </w:t>
      </w:r>
      <w:r w:rsidRPr="00C01C10">
        <w:rPr>
          <w:b w:val="0"/>
          <w:szCs w:val="24"/>
        </w:rPr>
        <w:tab/>
        <w:t>annual energy use in a particular segment (e.g., residential single</w:t>
      </w:r>
      <w:r w:rsidR="001328E0">
        <w:rPr>
          <w:b w:val="0"/>
          <w:szCs w:val="24"/>
        </w:rPr>
        <w:t>-</w:t>
      </w:r>
      <w:r w:rsidRPr="00C01C10">
        <w:rPr>
          <w:b w:val="0"/>
          <w:szCs w:val="24"/>
        </w:rPr>
        <w:t>family homes)</w:t>
      </w:r>
    </w:p>
    <w:p w14:paraId="3B6E9DED" w14:textId="77777777" w:rsidR="00C01C10" w:rsidRPr="00C01C10" w:rsidRDefault="00C01C10" w:rsidP="00C01C10">
      <w:pPr>
        <w:spacing w:line="360" w:lineRule="auto"/>
        <w:jc w:val="left"/>
        <w:rPr>
          <w:b w:val="0"/>
          <w:szCs w:val="24"/>
        </w:rPr>
      </w:pPr>
      <w:r w:rsidRPr="00C01C10">
        <w:rPr>
          <w:b w:val="0"/>
          <w:szCs w:val="24"/>
        </w:rPr>
        <w:t xml:space="preserve">t      </w:t>
      </w:r>
      <w:r w:rsidRPr="00C01C10">
        <w:rPr>
          <w:b w:val="0"/>
          <w:szCs w:val="24"/>
        </w:rPr>
        <w:tab/>
        <w:t xml:space="preserve">= </w:t>
      </w:r>
      <w:r w:rsidRPr="00C01C10">
        <w:rPr>
          <w:b w:val="0"/>
          <w:szCs w:val="24"/>
        </w:rPr>
        <w:tab/>
        <w:t>technology</w:t>
      </w:r>
    </w:p>
    <w:p w14:paraId="1DAD6763" w14:textId="77777777" w:rsidR="00C01C10" w:rsidRPr="00C01C10" w:rsidRDefault="00C01C10" w:rsidP="00C01C10">
      <w:pPr>
        <w:spacing w:line="360" w:lineRule="auto"/>
        <w:jc w:val="left"/>
        <w:rPr>
          <w:b w:val="0"/>
          <w:szCs w:val="24"/>
        </w:rPr>
      </w:pPr>
      <w:r w:rsidRPr="00C01C10">
        <w:rPr>
          <w:b w:val="0"/>
          <w:szCs w:val="24"/>
        </w:rPr>
        <w:t xml:space="preserve">e        </w:t>
      </w:r>
      <w:r w:rsidRPr="00C01C10">
        <w:rPr>
          <w:b w:val="0"/>
          <w:szCs w:val="24"/>
        </w:rPr>
        <w:tab/>
        <w:t xml:space="preserve">= </w:t>
      </w:r>
      <w:r w:rsidRPr="00C01C10">
        <w:rPr>
          <w:b w:val="0"/>
          <w:szCs w:val="24"/>
        </w:rPr>
        <w:tab/>
        <w:t xml:space="preserve">end use </w:t>
      </w:r>
    </w:p>
    <w:p w14:paraId="20641616" w14:textId="77777777" w:rsidR="00C01C10" w:rsidRPr="00C01C10" w:rsidRDefault="00C01C10" w:rsidP="00C01C10">
      <w:pPr>
        <w:spacing w:line="360" w:lineRule="auto"/>
        <w:jc w:val="left"/>
        <w:rPr>
          <w:b w:val="0"/>
          <w:szCs w:val="24"/>
        </w:rPr>
      </w:pPr>
      <w:r w:rsidRPr="00C01C10">
        <w:rPr>
          <w:b w:val="0"/>
          <w:szCs w:val="24"/>
        </w:rPr>
        <w:t xml:space="preserve">N        </w:t>
      </w:r>
      <w:r w:rsidRPr="00C01C10">
        <w:rPr>
          <w:b w:val="0"/>
          <w:szCs w:val="24"/>
        </w:rPr>
        <w:tab/>
        <w:t xml:space="preserve">= </w:t>
      </w:r>
      <w:r w:rsidRPr="00C01C10">
        <w:rPr>
          <w:b w:val="0"/>
          <w:szCs w:val="24"/>
        </w:rPr>
        <w:tab/>
        <w:t xml:space="preserve">market size (e.g., number of single-family homes) </w:t>
      </w:r>
    </w:p>
    <w:p w14:paraId="71C4DA20" w14:textId="77777777" w:rsidR="001328E0" w:rsidRDefault="00C01C10" w:rsidP="00C01C10">
      <w:pPr>
        <w:jc w:val="left"/>
        <w:rPr>
          <w:b w:val="0"/>
          <w:szCs w:val="24"/>
        </w:rPr>
      </w:pPr>
      <w:r w:rsidRPr="00C01C10">
        <w:rPr>
          <w:b w:val="0"/>
          <w:szCs w:val="24"/>
        </w:rPr>
        <w:t>Share</w:t>
      </w:r>
      <w:r w:rsidRPr="001328E0">
        <w:rPr>
          <w:b w:val="0"/>
          <w:sz w:val="24"/>
          <w:szCs w:val="24"/>
          <w:vertAlign w:val="subscript"/>
        </w:rPr>
        <w:t>t</w:t>
      </w:r>
      <w:r w:rsidRPr="00C01C10">
        <w:rPr>
          <w:b w:val="0"/>
          <w:szCs w:val="24"/>
        </w:rPr>
        <w:t xml:space="preserve">  </w:t>
      </w:r>
      <w:r w:rsidRPr="00C01C10">
        <w:rPr>
          <w:b w:val="0"/>
          <w:szCs w:val="24"/>
        </w:rPr>
        <w:tab/>
        <w:t xml:space="preserve">= </w:t>
      </w:r>
      <w:r w:rsidRPr="00C01C10">
        <w:rPr>
          <w:b w:val="0"/>
          <w:szCs w:val="24"/>
        </w:rPr>
        <w:tab/>
        <w:t>share of market with the end use (e.g., single</w:t>
      </w:r>
      <w:r w:rsidR="001328E0">
        <w:rPr>
          <w:b w:val="0"/>
          <w:szCs w:val="24"/>
        </w:rPr>
        <w:t>-</w:t>
      </w:r>
      <w:r w:rsidRPr="00C01C10">
        <w:rPr>
          <w:b w:val="0"/>
          <w:szCs w:val="24"/>
        </w:rPr>
        <w:t>family homes with the end use). This is</w:t>
      </w:r>
    </w:p>
    <w:p w14:paraId="0E959F82" w14:textId="1B322A3A" w:rsidR="00C01C10" w:rsidRPr="00C01C10" w:rsidRDefault="001328E0" w:rsidP="00C01C10">
      <w:pPr>
        <w:jc w:val="left"/>
        <w:rPr>
          <w:b w:val="0"/>
          <w:szCs w:val="24"/>
        </w:rPr>
      </w:pPr>
      <w:r>
        <w:rPr>
          <w:b w:val="0"/>
          <w:szCs w:val="24"/>
        </w:rPr>
        <w:tab/>
      </w:r>
      <w:r>
        <w:rPr>
          <w:b w:val="0"/>
          <w:szCs w:val="24"/>
        </w:rPr>
        <w:tab/>
        <w:t>a</w:t>
      </w:r>
      <w:r w:rsidR="00C01C10" w:rsidRPr="00C01C10">
        <w:rPr>
          <w:b w:val="0"/>
          <w:szCs w:val="24"/>
        </w:rPr>
        <w:t>lso</w:t>
      </w:r>
      <w:r>
        <w:rPr>
          <w:b w:val="0"/>
          <w:szCs w:val="24"/>
        </w:rPr>
        <w:t xml:space="preserve"> </w:t>
      </w:r>
      <w:r w:rsidR="00C01C10" w:rsidRPr="00C01C10">
        <w:rPr>
          <w:b w:val="0"/>
          <w:szCs w:val="24"/>
        </w:rPr>
        <w:t>refer</w:t>
      </w:r>
      <w:r w:rsidR="00C01C10">
        <w:rPr>
          <w:b w:val="0"/>
          <w:szCs w:val="24"/>
        </w:rPr>
        <w:t>r</w:t>
      </w:r>
      <w:r w:rsidR="00C01C10" w:rsidRPr="00C01C10">
        <w:rPr>
          <w:b w:val="0"/>
          <w:szCs w:val="24"/>
        </w:rPr>
        <w:t>ed to as the end-use saturation.</w:t>
      </w:r>
    </w:p>
    <w:p w14:paraId="1D14F4DA" w14:textId="77777777" w:rsidR="00C01C10" w:rsidRDefault="00C01C10" w:rsidP="00C01C10">
      <w:pPr>
        <w:ind w:left="720" w:hanging="720"/>
        <w:jc w:val="left"/>
        <w:rPr>
          <w:b w:val="0"/>
          <w:szCs w:val="24"/>
        </w:rPr>
      </w:pPr>
      <w:r w:rsidRPr="00C01C10">
        <w:rPr>
          <w:b w:val="0"/>
          <w:szCs w:val="24"/>
        </w:rPr>
        <w:t>UEC</w:t>
      </w:r>
      <w:r w:rsidRPr="00C01C10">
        <w:rPr>
          <w:b w:val="0"/>
          <w:sz w:val="24"/>
          <w:szCs w:val="24"/>
          <w:vertAlign w:val="subscript"/>
        </w:rPr>
        <w:t>t</w:t>
      </w:r>
      <w:r w:rsidRPr="00C01C10">
        <w:rPr>
          <w:b w:val="0"/>
          <w:szCs w:val="24"/>
        </w:rPr>
        <w:t xml:space="preserve">  </w:t>
      </w:r>
      <w:r w:rsidRPr="00C01C10">
        <w:rPr>
          <w:b w:val="0"/>
          <w:szCs w:val="24"/>
        </w:rPr>
        <w:tab/>
        <w:t xml:space="preserve">= </w:t>
      </w:r>
      <w:r w:rsidRPr="00C01C10">
        <w:rPr>
          <w:b w:val="0"/>
          <w:szCs w:val="24"/>
        </w:rPr>
        <w:tab/>
        <w:t>unit energy consumption in unit of market size (e.g., single-family homes) with the end</w:t>
      </w:r>
    </w:p>
    <w:p w14:paraId="480212A1" w14:textId="77777777" w:rsidR="00C01C10" w:rsidRPr="00C01C10" w:rsidRDefault="00C01C10" w:rsidP="00C01C10">
      <w:pPr>
        <w:ind w:left="720" w:firstLine="720"/>
        <w:jc w:val="left"/>
        <w:rPr>
          <w:b w:val="0"/>
          <w:szCs w:val="24"/>
        </w:rPr>
      </w:pPr>
      <w:r w:rsidRPr="00C01C10">
        <w:rPr>
          <w:b w:val="0"/>
          <w:szCs w:val="24"/>
        </w:rPr>
        <w:t>use</w:t>
      </w:r>
    </w:p>
    <w:p w14:paraId="1291969D" w14:textId="77777777" w:rsidR="00C01C10" w:rsidRDefault="00C01C10" w:rsidP="00C01C10">
      <w:pPr>
        <w:spacing w:line="360" w:lineRule="auto"/>
        <w:jc w:val="left"/>
        <w:rPr>
          <w:b w:val="0"/>
          <w:szCs w:val="24"/>
        </w:rPr>
      </w:pPr>
      <w:r w:rsidRPr="00C01C10">
        <w:rPr>
          <w:b w:val="0"/>
          <w:szCs w:val="24"/>
        </w:rPr>
        <w:t>U</w:t>
      </w:r>
      <w:r w:rsidRPr="00C01C10">
        <w:rPr>
          <w:b w:val="0"/>
          <w:sz w:val="24"/>
          <w:szCs w:val="24"/>
          <w:vertAlign w:val="subscript"/>
        </w:rPr>
        <w:t>e</w:t>
      </w:r>
      <w:r w:rsidRPr="00C01C10">
        <w:rPr>
          <w:b w:val="0"/>
          <w:szCs w:val="24"/>
        </w:rPr>
        <w:t xml:space="preserve">      </w:t>
      </w:r>
      <w:r w:rsidRPr="00C01C10">
        <w:rPr>
          <w:b w:val="0"/>
          <w:szCs w:val="24"/>
        </w:rPr>
        <w:tab/>
        <w:t xml:space="preserve">= </w:t>
      </w:r>
      <w:r w:rsidRPr="00C01C10">
        <w:rPr>
          <w:b w:val="0"/>
          <w:szCs w:val="24"/>
        </w:rPr>
        <w:tab/>
        <w:t>utilization index (equals 1.0 in base year)</w:t>
      </w:r>
    </w:p>
    <w:p w14:paraId="764BBCA1" w14:textId="77777777" w:rsidR="001B5EC7" w:rsidRDefault="001B5EC7" w:rsidP="001B5EC7">
      <w:pPr>
        <w:pStyle w:val="BodyText"/>
        <w:spacing w:after="0"/>
        <w:ind w:left="1008" w:hanging="1008"/>
        <w:jc w:val="left"/>
        <w:rPr>
          <w:b w:val="0"/>
        </w:rPr>
      </w:pPr>
    </w:p>
    <w:p w14:paraId="52906426" w14:textId="77777777" w:rsidR="001B5EC7" w:rsidRPr="001B5EC7" w:rsidRDefault="001B5EC7" w:rsidP="001B5EC7">
      <w:pPr>
        <w:pStyle w:val="BodyText"/>
        <w:spacing w:after="0"/>
        <w:ind w:left="1008" w:hanging="1008"/>
        <w:jc w:val="left"/>
        <w:rPr>
          <w:b w:val="0"/>
        </w:rPr>
      </w:pPr>
      <w:r w:rsidRPr="001B5EC7">
        <w:rPr>
          <w:b w:val="0"/>
        </w:rPr>
        <w:t xml:space="preserve">The elements of the central energy equation in the base year are contained in an </w:t>
      </w:r>
      <w:r w:rsidRPr="001B5EC7">
        <w:rPr>
          <w:b w:val="0"/>
          <w:iCs/>
        </w:rPr>
        <w:t>energy</w:t>
      </w:r>
      <w:r w:rsidRPr="001B5EC7">
        <w:rPr>
          <w:iCs/>
        </w:rPr>
        <w:t xml:space="preserve"> </w:t>
      </w:r>
      <w:r w:rsidRPr="001B5EC7">
        <w:rPr>
          <w:b w:val="0"/>
          <w:iCs/>
        </w:rPr>
        <w:t>market</w:t>
      </w:r>
      <w:r w:rsidRPr="001B5EC7">
        <w:rPr>
          <w:iCs/>
        </w:rPr>
        <w:t xml:space="preserve"> </w:t>
      </w:r>
      <w:r w:rsidRPr="001B5EC7">
        <w:rPr>
          <w:b w:val="0"/>
          <w:iCs/>
        </w:rPr>
        <w:t>profile</w:t>
      </w:r>
      <w:r w:rsidRPr="001B5EC7">
        <w:rPr>
          <w:b w:val="0"/>
        </w:rPr>
        <w:t>.</w:t>
      </w:r>
    </w:p>
    <w:p w14:paraId="085EE2CB" w14:textId="77777777" w:rsidR="00C01C10" w:rsidRDefault="00C01C10" w:rsidP="00C01C10">
      <w:pPr>
        <w:spacing w:line="360" w:lineRule="auto"/>
        <w:jc w:val="left"/>
        <w:rPr>
          <w:b w:val="0"/>
          <w:szCs w:val="24"/>
        </w:rPr>
      </w:pPr>
    </w:p>
    <w:p w14:paraId="3B2F492F" w14:textId="7878A832" w:rsidR="00C01C10" w:rsidRPr="00C01C10" w:rsidRDefault="005A400B" w:rsidP="00C01C10">
      <w:pPr>
        <w:spacing w:line="360" w:lineRule="auto"/>
        <w:jc w:val="left"/>
        <w:rPr>
          <w:b w:val="0"/>
          <w:szCs w:val="24"/>
        </w:rPr>
      </w:pPr>
      <w:r>
        <w:rPr>
          <w:b w:val="0"/>
          <w:szCs w:val="24"/>
        </w:rPr>
        <w:t>T</w:t>
      </w:r>
      <w:r w:rsidR="00C01C10" w:rsidRPr="00C01C10">
        <w:rPr>
          <w:b w:val="0"/>
          <w:szCs w:val="24"/>
        </w:rPr>
        <w:t xml:space="preserve">he appliance ownership shares used in the LoadMAP model </w:t>
      </w:r>
      <w:r w:rsidR="00B33083">
        <w:rPr>
          <w:b w:val="0"/>
          <w:szCs w:val="24"/>
        </w:rPr>
        <w:t>are</w:t>
      </w:r>
      <w:r w:rsidR="00C01C10" w:rsidRPr="00C01C10">
        <w:rPr>
          <w:b w:val="0"/>
          <w:szCs w:val="24"/>
        </w:rPr>
        <w:t xml:space="preserve"> calibrated to Georgia Power’s service territory and initialized to a base year of 2007.    </w:t>
      </w:r>
    </w:p>
    <w:p w14:paraId="201755D6" w14:textId="77777777" w:rsidR="00C01C10" w:rsidRPr="00C01C10" w:rsidRDefault="00C01C10" w:rsidP="00C01C10">
      <w:pPr>
        <w:spacing w:line="360" w:lineRule="auto"/>
        <w:jc w:val="left"/>
        <w:rPr>
          <w:b w:val="0"/>
          <w:szCs w:val="24"/>
        </w:rPr>
      </w:pPr>
    </w:p>
    <w:p w14:paraId="3A44AA57" w14:textId="77777777" w:rsidR="00C01C10" w:rsidRDefault="00C01C10" w:rsidP="00C01C10">
      <w:pPr>
        <w:spacing w:line="360" w:lineRule="auto"/>
        <w:jc w:val="left"/>
        <w:rPr>
          <w:b w:val="0"/>
          <w:szCs w:val="24"/>
        </w:rPr>
      </w:pPr>
      <w:r w:rsidRPr="00C01C10">
        <w:rPr>
          <w:b w:val="0"/>
          <w:szCs w:val="24"/>
        </w:rPr>
        <w:t>The residential energy model predicts energy consumption for 22 major household end-uses:</w:t>
      </w:r>
    </w:p>
    <w:tbl>
      <w:tblPr>
        <w:tblW w:w="9950" w:type="dxa"/>
        <w:tblLayout w:type="fixed"/>
        <w:tblLook w:val="0000" w:firstRow="0" w:lastRow="0" w:firstColumn="0" w:lastColumn="0" w:noHBand="0" w:noVBand="0"/>
      </w:tblPr>
      <w:tblGrid>
        <w:gridCol w:w="4624"/>
        <w:gridCol w:w="5326"/>
      </w:tblGrid>
      <w:tr w:rsidR="00C01C10" w:rsidRPr="00C01C10" w14:paraId="60CECFB6" w14:textId="77777777" w:rsidTr="00670EB3">
        <w:trPr>
          <w:trHeight w:val="262"/>
        </w:trPr>
        <w:tc>
          <w:tcPr>
            <w:tcW w:w="4624" w:type="dxa"/>
          </w:tcPr>
          <w:p w14:paraId="115B26D5" w14:textId="77777777" w:rsidR="00C01C10" w:rsidRPr="00BC7C3C" w:rsidRDefault="00C01C10" w:rsidP="00774360">
            <w:pPr>
              <w:spacing w:line="276" w:lineRule="auto"/>
              <w:jc w:val="left"/>
            </w:pPr>
            <w:r w:rsidRPr="00BC7C3C">
              <w:t xml:space="preserve">  1.  Cooling</w:t>
            </w:r>
          </w:p>
        </w:tc>
        <w:tc>
          <w:tcPr>
            <w:tcW w:w="5326" w:type="dxa"/>
          </w:tcPr>
          <w:p w14:paraId="70ED75D8" w14:textId="77777777" w:rsidR="00C01C10" w:rsidRPr="00BC7C3C" w:rsidRDefault="00C01C10" w:rsidP="00774360">
            <w:pPr>
              <w:spacing w:line="276" w:lineRule="auto"/>
              <w:jc w:val="left"/>
            </w:pPr>
            <w:r w:rsidRPr="00BC7C3C">
              <w:t>12.  Dishwasher</w:t>
            </w:r>
          </w:p>
        </w:tc>
      </w:tr>
      <w:tr w:rsidR="00C01C10" w:rsidRPr="00C01C10" w14:paraId="61C812B3" w14:textId="77777777" w:rsidTr="00670EB3">
        <w:trPr>
          <w:trHeight w:val="262"/>
        </w:trPr>
        <w:tc>
          <w:tcPr>
            <w:tcW w:w="4624" w:type="dxa"/>
          </w:tcPr>
          <w:p w14:paraId="790356D9" w14:textId="77777777" w:rsidR="00C01C10" w:rsidRPr="00BC7C3C" w:rsidRDefault="00C01C10" w:rsidP="00774360">
            <w:pPr>
              <w:spacing w:line="276" w:lineRule="auto"/>
              <w:jc w:val="left"/>
            </w:pPr>
            <w:r w:rsidRPr="00BC7C3C">
              <w:t xml:space="preserve">  2.  Heating</w:t>
            </w:r>
          </w:p>
        </w:tc>
        <w:tc>
          <w:tcPr>
            <w:tcW w:w="5326" w:type="dxa"/>
          </w:tcPr>
          <w:p w14:paraId="1027CBF4" w14:textId="77777777" w:rsidR="00C01C10" w:rsidRPr="00BC7C3C" w:rsidRDefault="00C01C10" w:rsidP="00774360">
            <w:pPr>
              <w:spacing w:line="276" w:lineRule="auto"/>
              <w:jc w:val="left"/>
            </w:pPr>
            <w:r w:rsidRPr="00BC7C3C">
              <w:t>13.  Clothes Washer</w:t>
            </w:r>
          </w:p>
        </w:tc>
      </w:tr>
      <w:tr w:rsidR="00C01C10" w:rsidRPr="00C01C10" w14:paraId="293FE55D" w14:textId="77777777" w:rsidTr="00670EB3">
        <w:trPr>
          <w:trHeight w:val="262"/>
        </w:trPr>
        <w:tc>
          <w:tcPr>
            <w:tcW w:w="4624" w:type="dxa"/>
          </w:tcPr>
          <w:p w14:paraId="53824CAB" w14:textId="77777777" w:rsidR="00C01C10" w:rsidRPr="00BC7C3C" w:rsidRDefault="00C01C10" w:rsidP="00774360">
            <w:pPr>
              <w:spacing w:line="276" w:lineRule="auto"/>
              <w:jc w:val="left"/>
            </w:pPr>
            <w:r w:rsidRPr="00BC7C3C">
              <w:t xml:space="preserve">  3.  Water Heating</w:t>
            </w:r>
          </w:p>
        </w:tc>
        <w:tc>
          <w:tcPr>
            <w:tcW w:w="5326" w:type="dxa"/>
          </w:tcPr>
          <w:p w14:paraId="48C42EB0" w14:textId="77777777" w:rsidR="00C01C10" w:rsidRPr="00BC7C3C" w:rsidRDefault="00C01C10" w:rsidP="00774360">
            <w:pPr>
              <w:spacing w:line="276" w:lineRule="auto"/>
              <w:jc w:val="left"/>
            </w:pPr>
            <w:r w:rsidRPr="00BC7C3C">
              <w:t>14.  Clothes Dryer</w:t>
            </w:r>
          </w:p>
        </w:tc>
      </w:tr>
      <w:tr w:rsidR="00C01C10" w:rsidRPr="00C01C10" w14:paraId="4255D64D" w14:textId="77777777" w:rsidTr="00670EB3">
        <w:trPr>
          <w:trHeight w:val="262"/>
        </w:trPr>
        <w:tc>
          <w:tcPr>
            <w:tcW w:w="4624" w:type="dxa"/>
          </w:tcPr>
          <w:p w14:paraId="134EE8F2" w14:textId="77777777" w:rsidR="00C01C10" w:rsidRPr="00BC7C3C" w:rsidRDefault="00C01C10" w:rsidP="00774360">
            <w:pPr>
              <w:spacing w:line="276" w:lineRule="auto"/>
              <w:jc w:val="left"/>
            </w:pPr>
            <w:r w:rsidRPr="00BC7C3C">
              <w:t xml:space="preserve">  4.  Interior Lighting</w:t>
            </w:r>
          </w:p>
        </w:tc>
        <w:tc>
          <w:tcPr>
            <w:tcW w:w="5326" w:type="dxa"/>
          </w:tcPr>
          <w:p w14:paraId="554B3C51" w14:textId="77777777" w:rsidR="00C01C10" w:rsidRPr="00BC7C3C" w:rsidRDefault="00C01C10" w:rsidP="00774360">
            <w:pPr>
              <w:spacing w:line="276" w:lineRule="auto"/>
              <w:jc w:val="left"/>
            </w:pPr>
            <w:r w:rsidRPr="00BC7C3C">
              <w:t>15.  Personal Computer</w:t>
            </w:r>
          </w:p>
        </w:tc>
      </w:tr>
      <w:tr w:rsidR="00C01C10" w:rsidRPr="00C01C10" w14:paraId="7801CD48" w14:textId="77777777" w:rsidTr="00670EB3">
        <w:trPr>
          <w:trHeight w:val="262"/>
        </w:trPr>
        <w:tc>
          <w:tcPr>
            <w:tcW w:w="4624" w:type="dxa"/>
          </w:tcPr>
          <w:p w14:paraId="720B30DF" w14:textId="77777777" w:rsidR="00C01C10" w:rsidRPr="00BC7C3C" w:rsidRDefault="00C01C10" w:rsidP="00774360">
            <w:pPr>
              <w:spacing w:line="276" w:lineRule="auto"/>
              <w:jc w:val="left"/>
            </w:pPr>
            <w:r w:rsidRPr="00BC7C3C">
              <w:t xml:space="preserve">  5.  Exterior Lighting</w:t>
            </w:r>
          </w:p>
        </w:tc>
        <w:tc>
          <w:tcPr>
            <w:tcW w:w="5326" w:type="dxa"/>
          </w:tcPr>
          <w:p w14:paraId="325EC03E" w14:textId="77777777" w:rsidR="00C01C10" w:rsidRPr="00BC7C3C" w:rsidRDefault="00C01C10" w:rsidP="00774360">
            <w:pPr>
              <w:spacing w:line="276" w:lineRule="auto"/>
              <w:jc w:val="left"/>
            </w:pPr>
            <w:r w:rsidRPr="00BC7C3C">
              <w:t>16.  Monitor</w:t>
            </w:r>
          </w:p>
        </w:tc>
      </w:tr>
      <w:tr w:rsidR="00C01C10" w:rsidRPr="00C01C10" w14:paraId="457B9AC8" w14:textId="77777777" w:rsidTr="00670EB3">
        <w:trPr>
          <w:trHeight w:val="262"/>
        </w:trPr>
        <w:tc>
          <w:tcPr>
            <w:tcW w:w="4624" w:type="dxa"/>
          </w:tcPr>
          <w:p w14:paraId="782D3D49" w14:textId="77777777" w:rsidR="00C01C10" w:rsidRPr="00BC7C3C" w:rsidRDefault="00C01C10" w:rsidP="00774360">
            <w:pPr>
              <w:spacing w:line="276" w:lineRule="auto"/>
              <w:jc w:val="left"/>
            </w:pPr>
            <w:r w:rsidRPr="00BC7C3C">
              <w:t xml:space="preserve">  6.  Refrigerator</w:t>
            </w:r>
          </w:p>
        </w:tc>
        <w:tc>
          <w:tcPr>
            <w:tcW w:w="5326" w:type="dxa"/>
          </w:tcPr>
          <w:p w14:paraId="7A951CB7" w14:textId="77777777" w:rsidR="00C01C10" w:rsidRPr="00BC7C3C" w:rsidRDefault="00C01C10" w:rsidP="00774360">
            <w:pPr>
              <w:spacing w:line="276" w:lineRule="auto"/>
              <w:jc w:val="left"/>
            </w:pPr>
            <w:r w:rsidRPr="00BC7C3C">
              <w:t>17.  DVR</w:t>
            </w:r>
          </w:p>
        </w:tc>
      </w:tr>
      <w:tr w:rsidR="00C01C10" w:rsidRPr="00C01C10" w14:paraId="17BC1E97" w14:textId="77777777" w:rsidTr="00670EB3">
        <w:trPr>
          <w:trHeight w:val="262"/>
        </w:trPr>
        <w:tc>
          <w:tcPr>
            <w:tcW w:w="4624" w:type="dxa"/>
          </w:tcPr>
          <w:p w14:paraId="31EDBFB3" w14:textId="77777777" w:rsidR="00C01C10" w:rsidRPr="00BC7C3C" w:rsidRDefault="00C01C10" w:rsidP="00774360">
            <w:pPr>
              <w:spacing w:line="276" w:lineRule="auto"/>
              <w:jc w:val="left"/>
            </w:pPr>
            <w:r w:rsidRPr="00BC7C3C">
              <w:t xml:space="preserve">  7.  Second Refrigerator</w:t>
            </w:r>
          </w:p>
        </w:tc>
        <w:tc>
          <w:tcPr>
            <w:tcW w:w="5326" w:type="dxa"/>
          </w:tcPr>
          <w:p w14:paraId="08E01617" w14:textId="77777777" w:rsidR="00C01C10" w:rsidRPr="00BC7C3C" w:rsidRDefault="00C01C10" w:rsidP="00774360">
            <w:pPr>
              <w:spacing w:line="276" w:lineRule="auto"/>
              <w:jc w:val="left"/>
            </w:pPr>
            <w:r w:rsidRPr="00BC7C3C">
              <w:t>18.  Television</w:t>
            </w:r>
          </w:p>
        </w:tc>
      </w:tr>
      <w:tr w:rsidR="00C01C10" w:rsidRPr="00C01C10" w14:paraId="66896891" w14:textId="77777777" w:rsidTr="00670EB3">
        <w:trPr>
          <w:trHeight w:val="262"/>
        </w:trPr>
        <w:tc>
          <w:tcPr>
            <w:tcW w:w="4624" w:type="dxa"/>
          </w:tcPr>
          <w:p w14:paraId="26EE3D1B" w14:textId="77777777" w:rsidR="00C01C10" w:rsidRPr="00BC7C3C" w:rsidRDefault="00C01C10" w:rsidP="00774360">
            <w:pPr>
              <w:spacing w:line="276" w:lineRule="auto"/>
              <w:jc w:val="left"/>
            </w:pPr>
            <w:r w:rsidRPr="00BC7C3C">
              <w:t xml:space="preserve">  8.  Freezer</w:t>
            </w:r>
          </w:p>
        </w:tc>
        <w:tc>
          <w:tcPr>
            <w:tcW w:w="5326" w:type="dxa"/>
          </w:tcPr>
          <w:p w14:paraId="1CAAFBC5" w14:textId="77777777" w:rsidR="00C01C10" w:rsidRPr="00BC7C3C" w:rsidRDefault="00C01C10" w:rsidP="00774360">
            <w:pPr>
              <w:spacing w:line="276" w:lineRule="auto"/>
              <w:jc w:val="left"/>
            </w:pPr>
            <w:r w:rsidRPr="00BC7C3C">
              <w:t>19.  Ceiling Fan</w:t>
            </w:r>
          </w:p>
        </w:tc>
      </w:tr>
      <w:tr w:rsidR="00C01C10" w:rsidRPr="00C01C10" w14:paraId="0C4C0D3D" w14:textId="77777777" w:rsidTr="00670EB3">
        <w:trPr>
          <w:trHeight w:val="262"/>
        </w:trPr>
        <w:tc>
          <w:tcPr>
            <w:tcW w:w="4624" w:type="dxa"/>
          </w:tcPr>
          <w:p w14:paraId="407D5EC3" w14:textId="77777777" w:rsidR="00C01C10" w:rsidRPr="00BC7C3C" w:rsidRDefault="00C01C10" w:rsidP="00774360">
            <w:pPr>
              <w:spacing w:line="276" w:lineRule="auto"/>
              <w:jc w:val="left"/>
            </w:pPr>
            <w:r w:rsidRPr="00BC7C3C">
              <w:t xml:space="preserve">  9.  Oven</w:t>
            </w:r>
          </w:p>
        </w:tc>
        <w:tc>
          <w:tcPr>
            <w:tcW w:w="5326" w:type="dxa"/>
          </w:tcPr>
          <w:p w14:paraId="24A941BF" w14:textId="77777777" w:rsidR="00C01C10" w:rsidRPr="00BC7C3C" w:rsidRDefault="00C01C10" w:rsidP="00774360">
            <w:pPr>
              <w:spacing w:line="276" w:lineRule="auto"/>
              <w:jc w:val="left"/>
            </w:pPr>
            <w:r w:rsidRPr="00BC7C3C">
              <w:t>20.  Well Pump</w:t>
            </w:r>
          </w:p>
        </w:tc>
      </w:tr>
      <w:tr w:rsidR="00C01C10" w:rsidRPr="00C01C10" w14:paraId="030F6268" w14:textId="77777777" w:rsidTr="00670EB3">
        <w:trPr>
          <w:trHeight w:val="262"/>
        </w:trPr>
        <w:tc>
          <w:tcPr>
            <w:tcW w:w="4624" w:type="dxa"/>
          </w:tcPr>
          <w:p w14:paraId="5CA49043" w14:textId="77777777" w:rsidR="00C01C10" w:rsidRPr="00BC7C3C" w:rsidRDefault="00C01C10" w:rsidP="00774360">
            <w:pPr>
              <w:spacing w:line="276" w:lineRule="auto"/>
              <w:jc w:val="left"/>
            </w:pPr>
            <w:r w:rsidRPr="00BC7C3C">
              <w:t>10.  Cooktop</w:t>
            </w:r>
          </w:p>
        </w:tc>
        <w:tc>
          <w:tcPr>
            <w:tcW w:w="5326" w:type="dxa"/>
          </w:tcPr>
          <w:p w14:paraId="303F2F89" w14:textId="77777777" w:rsidR="00C01C10" w:rsidRPr="00BC7C3C" w:rsidRDefault="00C01C10" w:rsidP="00774360">
            <w:pPr>
              <w:spacing w:line="276" w:lineRule="auto"/>
              <w:jc w:val="left"/>
            </w:pPr>
            <w:r w:rsidRPr="00BC7C3C">
              <w:t>21.  Pool Pump</w:t>
            </w:r>
          </w:p>
        </w:tc>
      </w:tr>
      <w:tr w:rsidR="00C01C10" w:rsidRPr="00C01C10" w14:paraId="43B8585F" w14:textId="77777777" w:rsidTr="00670EB3">
        <w:trPr>
          <w:trHeight w:val="262"/>
        </w:trPr>
        <w:tc>
          <w:tcPr>
            <w:tcW w:w="4624" w:type="dxa"/>
          </w:tcPr>
          <w:p w14:paraId="003ED5C6" w14:textId="77777777" w:rsidR="00C01C10" w:rsidRPr="00BC7C3C" w:rsidRDefault="00C01C10" w:rsidP="00774360">
            <w:pPr>
              <w:spacing w:line="276" w:lineRule="auto"/>
              <w:jc w:val="left"/>
            </w:pPr>
            <w:r w:rsidRPr="00BC7C3C">
              <w:t>11.  Microwave</w:t>
            </w:r>
          </w:p>
        </w:tc>
        <w:tc>
          <w:tcPr>
            <w:tcW w:w="5326" w:type="dxa"/>
          </w:tcPr>
          <w:p w14:paraId="059BC3EF" w14:textId="77777777" w:rsidR="00C01C10" w:rsidRPr="00BC7C3C" w:rsidRDefault="00C01C10" w:rsidP="00774360">
            <w:pPr>
              <w:spacing w:line="276" w:lineRule="auto"/>
              <w:jc w:val="left"/>
            </w:pPr>
            <w:r w:rsidRPr="00BC7C3C">
              <w:t>22.  Other (Remaining energy-consuming activity)</w:t>
            </w:r>
          </w:p>
        </w:tc>
      </w:tr>
    </w:tbl>
    <w:p w14:paraId="12231914" w14:textId="77777777" w:rsidR="00C01C10" w:rsidRPr="00C01C10" w:rsidRDefault="00C01C10" w:rsidP="00C01C10">
      <w:pPr>
        <w:spacing w:line="360" w:lineRule="auto"/>
        <w:jc w:val="left"/>
        <w:rPr>
          <w:b w:val="0"/>
          <w:szCs w:val="24"/>
        </w:rPr>
      </w:pPr>
    </w:p>
    <w:p w14:paraId="6785CDE2" w14:textId="77777777" w:rsidR="00C01C10" w:rsidRDefault="00C01C10" w:rsidP="00C01C10">
      <w:pPr>
        <w:spacing w:line="360" w:lineRule="auto"/>
        <w:jc w:val="left"/>
        <w:rPr>
          <w:b w:val="0"/>
          <w:szCs w:val="24"/>
        </w:rPr>
      </w:pPr>
    </w:p>
    <w:p w14:paraId="13384B18" w14:textId="32FA83B7" w:rsidR="00C01C10" w:rsidRPr="00C01C10" w:rsidRDefault="00C01C10" w:rsidP="00C01C10">
      <w:pPr>
        <w:spacing w:line="360" w:lineRule="auto"/>
        <w:jc w:val="both"/>
        <w:rPr>
          <w:b w:val="0"/>
          <w:szCs w:val="24"/>
        </w:rPr>
      </w:pPr>
      <w:r w:rsidRPr="00C01C10">
        <w:rPr>
          <w:b w:val="0"/>
          <w:szCs w:val="24"/>
        </w:rPr>
        <w:t>Additionally, the model is segmented by housing type (single-family, multi-family, and manufactured housing), and its logic distinguishes between new and existing housing behavior. Each customer group is described by the combinations of these attributes. As an example, new single</w:t>
      </w:r>
      <w:r w:rsidR="005A400B">
        <w:rPr>
          <w:b w:val="0"/>
          <w:szCs w:val="24"/>
        </w:rPr>
        <w:t>-</w:t>
      </w:r>
      <w:r w:rsidRPr="00C01C10">
        <w:rPr>
          <w:b w:val="0"/>
          <w:szCs w:val="24"/>
        </w:rPr>
        <w:t xml:space="preserve">family </w:t>
      </w:r>
      <w:r w:rsidR="005A400B">
        <w:rPr>
          <w:b w:val="0"/>
          <w:szCs w:val="24"/>
        </w:rPr>
        <w:t xml:space="preserve">housing </w:t>
      </w:r>
      <w:r w:rsidRPr="00C01C10">
        <w:rPr>
          <w:b w:val="0"/>
          <w:szCs w:val="24"/>
        </w:rPr>
        <w:t xml:space="preserve">demonstrates characteristic choice behaviors in the selection of the alternative appliances and fuel technologies available to the market. This choice behavior or demonstrated preference for a particular fuel choice technology in a given end-use category is measured by residential surveys.  </w:t>
      </w:r>
    </w:p>
    <w:p w14:paraId="71A59216" w14:textId="77777777" w:rsidR="00C01C10" w:rsidRPr="00C01C10" w:rsidRDefault="00C01C10" w:rsidP="00C01C10">
      <w:pPr>
        <w:spacing w:line="360" w:lineRule="auto"/>
        <w:jc w:val="both"/>
        <w:rPr>
          <w:b w:val="0"/>
          <w:szCs w:val="24"/>
        </w:rPr>
      </w:pPr>
    </w:p>
    <w:p w14:paraId="77E242EF" w14:textId="4FEC4DA9" w:rsidR="00C01C10" w:rsidRPr="00C01C10" w:rsidRDefault="00A54A9E" w:rsidP="00C01C10">
      <w:pPr>
        <w:spacing w:line="360" w:lineRule="auto"/>
        <w:jc w:val="both"/>
        <w:rPr>
          <w:b w:val="0"/>
          <w:szCs w:val="24"/>
        </w:rPr>
      </w:pPr>
      <w:r>
        <w:rPr>
          <w:b w:val="0"/>
          <w:szCs w:val="24"/>
        </w:rPr>
        <w:t xml:space="preserve">For each of the end </w:t>
      </w:r>
      <w:r w:rsidR="00C01C10" w:rsidRPr="00C01C10">
        <w:rPr>
          <w:b w:val="0"/>
          <w:szCs w:val="24"/>
        </w:rPr>
        <w:t xml:space="preserve">uses, LoadMAP forecasts equipment purchases, efficiency, and utilization choices.  Within the simulation, the probability of installing a given technology in a dwelling is dependent upon the operating and performance characteristics of the competing alternatives, as well as household and dwelling features. Certain end-uses are highly interdependent, such as heating and water heating, which typically use the same fuel type.  </w:t>
      </w:r>
    </w:p>
    <w:p w14:paraId="3E2ECF39" w14:textId="77777777" w:rsidR="00C01C10" w:rsidRPr="00C01C10" w:rsidRDefault="00C01C10" w:rsidP="00C01C10">
      <w:pPr>
        <w:spacing w:line="360" w:lineRule="auto"/>
        <w:jc w:val="left"/>
        <w:rPr>
          <w:b w:val="0"/>
          <w:szCs w:val="24"/>
        </w:rPr>
      </w:pPr>
    </w:p>
    <w:p w14:paraId="24D0960D" w14:textId="7FE8E008" w:rsidR="00C01C10" w:rsidRPr="00C01C10" w:rsidRDefault="00C01C10" w:rsidP="00A027E8">
      <w:pPr>
        <w:spacing w:line="360" w:lineRule="auto"/>
        <w:jc w:val="both"/>
        <w:rPr>
          <w:b w:val="0"/>
          <w:szCs w:val="24"/>
        </w:rPr>
      </w:pPr>
      <w:r w:rsidRPr="00C01C10">
        <w:rPr>
          <w:b w:val="0"/>
          <w:szCs w:val="24"/>
        </w:rPr>
        <w:t xml:space="preserve">Average annual end-use consumption levels (often referred to as unit energy consumption or UEC) are from </w:t>
      </w:r>
      <w:r w:rsidR="00B814AA">
        <w:rPr>
          <w:b w:val="0"/>
          <w:szCs w:val="24"/>
        </w:rPr>
        <w:t xml:space="preserve">various national and regional sources including: </w:t>
      </w:r>
      <w:r w:rsidRPr="00C01C10">
        <w:rPr>
          <w:b w:val="0"/>
          <w:szCs w:val="24"/>
        </w:rPr>
        <w:t xml:space="preserve"> Energy Data Sourcebook for the U</w:t>
      </w:r>
      <w:r w:rsidR="00755920">
        <w:rPr>
          <w:b w:val="0"/>
          <w:szCs w:val="24"/>
        </w:rPr>
        <w:t>.</w:t>
      </w:r>
      <w:r w:rsidRPr="00C01C10">
        <w:rPr>
          <w:b w:val="0"/>
          <w:szCs w:val="24"/>
        </w:rPr>
        <w:t>S</w:t>
      </w:r>
      <w:r w:rsidR="00755920">
        <w:rPr>
          <w:b w:val="0"/>
          <w:szCs w:val="24"/>
        </w:rPr>
        <w:t>.</w:t>
      </w:r>
      <w:r w:rsidRPr="00C01C10">
        <w:rPr>
          <w:b w:val="0"/>
          <w:szCs w:val="24"/>
        </w:rPr>
        <w:t xml:space="preserve"> Residential Sector, Lawrence Berkeley National Laboratory, the 2005 Residential Energy Consumption Survey</w:t>
      </w:r>
      <w:r w:rsidR="00EC364E">
        <w:rPr>
          <w:b w:val="0"/>
          <w:szCs w:val="24"/>
        </w:rPr>
        <w:t xml:space="preserve"> (“RECS”)</w:t>
      </w:r>
      <w:r w:rsidRPr="00C01C10">
        <w:rPr>
          <w:b w:val="0"/>
          <w:szCs w:val="24"/>
        </w:rPr>
        <w:t xml:space="preserve"> conducted by the </w:t>
      </w:r>
      <w:r w:rsidR="00A27BE8">
        <w:rPr>
          <w:b w:val="0"/>
          <w:szCs w:val="24"/>
        </w:rPr>
        <w:t>U.S. Department of Energy (“DOE”)</w:t>
      </w:r>
      <w:r w:rsidRPr="00C01C10">
        <w:rPr>
          <w:b w:val="0"/>
          <w:szCs w:val="24"/>
        </w:rPr>
        <w:t xml:space="preserve">, the 2008 Appliance Efficiency Rulemaking report by the California Energy Commission, the DOE’s 2009 Buildings Energy Data Book, and </w:t>
      </w:r>
      <w:r w:rsidR="009E61CD">
        <w:rPr>
          <w:b w:val="0"/>
          <w:szCs w:val="24"/>
        </w:rPr>
        <w:t>e</w:t>
      </w:r>
      <w:r w:rsidRPr="00C01C10">
        <w:rPr>
          <w:b w:val="0"/>
          <w:szCs w:val="24"/>
        </w:rPr>
        <w:t>ner</w:t>
      </w:r>
      <w:r w:rsidR="009E61CD">
        <w:rPr>
          <w:b w:val="0"/>
          <w:szCs w:val="24"/>
        </w:rPr>
        <w:t>gy s</w:t>
      </w:r>
      <w:r w:rsidRPr="00C01C10">
        <w:rPr>
          <w:b w:val="0"/>
          <w:szCs w:val="24"/>
        </w:rPr>
        <w:t>im</w:t>
      </w:r>
      <w:r w:rsidR="009E61CD">
        <w:rPr>
          <w:b w:val="0"/>
          <w:szCs w:val="24"/>
        </w:rPr>
        <w:t>ulation tools</w:t>
      </w:r>
      <w:r w:rsidRPr="00C01C10">
        <w:rPr>
          <w:b w:val="0"/>
          <w:szCs w:val="24"/>
        </w:rPr>
        <w:t>. Final UECs are then calibrated to the base year. Average appliance size and efficiency by appliance vintage are from survey results and national shipment data compiled by Itron.</w:t>
      </w:r>
    </w:p>
    <w:p w14:paraId="71192A1D" w14:textId="77777777" w:rsidR="00C01C10" w:rsidRPr="00C01C10" w:rsidRDefault="00C01C10" w:rsidP="00A027E8">
      <w:pPr>
        <w:spacing w:line="360" w:lineRule="auto"/>
        <w:jc w:val="both"/>
        <w:rPr>
          <w:b w:val="0"/>
          <w:szCs w:val="24"/>
        </w:rPr>
      </w:pPr>
    </w:p>
    <w:p w14:paraId="6D719FFB" w14:textId="3FE92AFA" w:rsidR="00C01C10" w:rsidRPr="00C01C10" w:rsidRDefault="00C01C10" w:rsidP="00A027E8">
      <w:pPr>
        <w:spacing w:line="360" w:lineRule="auto"/>
        <w:jc w:val="both"/>
        <w:rPr>
          <w:b w:val="0"/>
          <w:szCs w:val="24"/>
        </w:rPr>
      </w:pPr>
      <w:r w:rsidRPr="00C01C10">
        <w:rPr>
          <w:b w:val="0"/>
          <w:szCs w:val="24"/>
        </w:rPr>
        <w:t>Appliance operating efficiency and utilization rates are simulated as interdependent decisions. Efficiency choice is dependent on operating cost at the planned utilization rate, while actual utilization depends on operating cost given the appliance efficiency. The sensitivity of efficiency and utilization decisions to costs, climate, household and dwelling size and income have been estimated from historical survey data.</w:t>
      </w:r>
    </w:p>
    <w:p w14:paraId="3B134D5B" w14:textId="77777777" w:rsidR="00C01C10" w:rsidRPr="00C01C10" w:rsidRDefault="00C01C10" w:rsidP="00A027E8">
      <w:pPr>
        <w:spacing w:line="360" w:lineRule="auto"/>
        <w:jc w:val="both"/>
        <w:rPr>
          <w:b w:val="0"/>
          <w:szCs w:val="24"/>
        </w:rPr>
      </w:pPr>
    </w:p>
    <w:p w14:paraId="6E8B688F" w14:textId="4AAE611F" w:rsidR="00C01C10" w:rsidRPr="00C01C10" w:rsidRDefault="00C01C10" w:rsidP="00A027E8">
      <w:pPr>
        <w:spacing w:line="360" w:lineRule="auto"/>
        <w:jc w:val="both"/>
        <w:rPr>
          <w:b w:val="0"/>
          <w:szCs w:val="24"/>
        </w:rPr>
      </w:pPr>
      <w:r w:rsidRPr="00C01C10">
        <w:rPr>
          <w:b w:val="0"/>
          <w:szCs w:val="24"/>
        </w:rPr>
        <w:t xml:space="preserve">Other exogenous variables include fuel prices (electricity and natural gas), average household income, household size, weather (measured in degree </w:t>
      </w:r>
      <w:r w:rsidR="001D3FA5">
        <w:rPr>
          <w:b w:val="0"/>
          <w:szCs w:val="24"/>
        </w:rPr>
        <w:t>hour</w:t>
      </w:r>
      <w:r w:rsidR="001D3FA5" w:rsidRPr="00C01C10">
        <w:rPr>
          <w:b w:val="0"/>
          <w:szCs w:val="24"/>
        </w:rPr>
        <w:t>s</w:t>
      </w:r>
      <w:r w:rsidRPr="00C01C10">
        <w:rPr>
          <w:b w:val="0"/>
          <w:szCs w:val="24"/>
        </w:rPr>
        <w:t>), natural gas availability, technology availability, and efficiency standards by end</w:t>
      </w:r>
      <w:r w:rsidR="00A54A9E">
        <w:rPr>
          <w:b w:val="0"/>
          <w:szCs w:val="24"/>
        </w:rPr>
        <w:t xml:space="preserve"> </w:t>
      </w:r>
      <w:r w:rsidRPr="00C01C10">
        <w:rPr>
          <w:b w:val="0"/>
          <w:szCs w:val="24"/>
        </w:rPr>
        <w:t xml:space="preserve">use. Saturation and penetration rates are from </w:t>
      </w:r>
      <w:r w:rsidR="00EB1DE2">
        <w:rPr>
          <w:b w:val="0"/>
          <w:szCs w:val="24"/>
        </w:rPr>
        <w:t xml:space="preserve">Georgia Power residential </w:t>
      </w:r>
      <w:r w:rsidRPr="00C01C10">
        <w:rPr>
          <w:b w:val="0"/>
          <w:szCs w:val="24"/>
        </w:rPr>
        <w:t>saturation surveys. Surveys, field observations, and other information are used to estimate gas availability.</w:t>
      </w:r>
    </w:p>
    <w:p w14:paraId="7537213E" w14:textId="77777777" w:rsidR="00C01C10" w:rsidRPr="00C01C10" w:rsidRDefault="00C01C10" w:rsidP="00A027E8">
      <w:pPr>
        <w:spacing w:line="360" w:lineRule="auto"/>
        <w:jc w:val="both"/>
        <w:rPr>
          <w:b w:val="0"/>
          <w:szCs w:val="24"/>
        </w:rPr>
      </w:pPr>
    </w:p>
    <w:p w14:paraId="3C381CAA" w14:textId="4F9BC1D2" w:rsidR="00EA6783" w:rsidRDefault="00C01C10" w:rsidP="00A027E8">
      <w:pPr>
        <w:spacing w:line="360" w:lineRule="auto"/>
        <w:jc w:val="both"/>
        <w:rPr>
          <w:b w:val="0"/>
          <w:szCs w:val="24"/>
        </w:rPr>
      </w:pPr>
      <w:r w:rsidRPr="00C01C10">
        <w:rPr>
          <w:b w:val="0"/>
          <w:szCs w:val="24"/>
        </w:rPr>
        <w:t>The sources of inputs are varied. Historical natural gas prices are from the EIA State Energy Data System.</w:t>
      </w:r>
    </w:p>
    <w:p w14:paraId="5F034BEC" w14:textId="49A14B7C" w:rsidR="00C01C10" w:rsidRPr="00C01C10" w:rsidRDefault="00AB75B0" w:rsidP="00A027E8">
      <w:pPr>
        <w:spacing w:line="360" w:lineRule="auto"/>
        <w:jc w:val="both"/>
        <w:rPr>
          <w:b w:val="0"/>
          <w:szCs w:val="24"/>
        </w:rPr>
      </w:pPr>
      <w:bookmarkStart w:id="238" w:name="_Hlk531776707"/>
      <w:r>
        <w:rPr>
          <w:b w:val="0"/>
          <w:bCs/>
        </w:rPr>
        <w:t>Forecasts of residential natural gas prices are developed by SCS Forecasting using the commodity price forecasts from SCS Fuel Services and SCS Resource Planning.</w:t>
      </w:r>
      <w:bookmarkEnd w:id="238"/>
      <w:r w:rsidR="00C01C10" w:rsidRPr="00C01C10">
        <w:rPr>
          <w:b w:val="0"/>
          <w:szCs w:val="24"/>
        </w:rPr>
        <w:t xml:space="preserve"> Historical electricity prices are from Georgia Power’s records while projected electricity prices are based on the retail price from the 10-year financial model and extrapolated based on historical trends for the remaining years. LoadMAP uses a normal weather condition of cooling and heating degree </w:t>
      </w:r>
      <w:r w:rsidR="0085174B">
        <w:rPr>
          <w:b w:val="0"/>
          <w:szCs w:val="24"/>
        </w:rPr>
        <w:t>hour</w:t>
      </w:r>
      <w:r w:rsidR="00C72524" w:rsidRPr="00C01C10">
        <w:rPr>
          <w:b w:val="0"/>
          <w:szCs w:val="24"/>
        </w:rPr>
        <w:t xml:space="preserve">s </w:t>
      </w:r>
      <w:r w:rsidR="00C01C10" w:rsidRPr="00C01C10">
        <w:rPr>
          <w:b w:val="0"/>
          <w:szCs w:val="24"/>
        </w:rPr>
        <w:t xml:space="preserve">in deriving the forecast. This weather condition is a </w:t>
      </w:r>
      <w:r w:rsidR="00EA6783">
        <w:rPr>
          <w:b w:val="0"/>
          <w:szCs w:val="24"/>
        </w:rPr>
        <w:t>thirty-eight-year</w:t>
      </w:r>
      <w:r w:rsidR="00C01C10" w:rsidRPr="00C01C10">
        <w:rPr>
          <w:b w:val="0"/>
          <w:szCs w:val="24"/>
        </w:rPr>
        <w:t xml:space="preserve"> average of cooling and heating degree </w:t>
      </w:r>
      <w:r w:rsidR="0085174B">
        <w:rPr>
          <w:b w:val="0"/>
          <w:szCs w:val="24"/>
        </w:rPr>
        <w:t>hour</w:t>
      </w:r>
      <w:r w:rsidR="0085174B" w:rsidRPr="00C01C10">
        <w:rPr>
          <w:b w:val="0"/>
          <w:szCs w:val="24"/>
        </w:rPr>
        <w:t xml:space="preserve">s </w:t>
      </w:r>
      <w:r w:rsidR="00C01C10" w:rsidRPr="00C01C10">
        <w:rPr>
          <w:b w:val="0"/>
          <w:szCs w:val="24"/>
        </w:rPr>
        <w:t xml:space="preserve">from </w:t>
      </w:r>
      <w:r w:rsidR="0085174B" w:rsidRPr="00C01C10">
        <w:rPr>
          <w:b w:val="0"/>
          <w:szCs w:val="24"/>
        </w:rPr>
        <w:t>19</w:t>
      </w:r>
      <w:r w:rsidR="0085174B">
        <w:rPr>
          <w:b w:val="0"/>
          <w:szCs w:val="24"/>
        </w:rPr>
        <w:t>80</w:t>
      </w:r>
      <w:r w:rsidR="0085174B" w:rsidRPr="00C01C10">
        <w:rPr>
          <w:b w:val="0"/>
          <w:szCs w:val="24"/>
        </w:rPr>
        <w:t xml:space="preserve"> </w:t>
      </w:r>
      <w:r w:rsidR="00C01C10" w:rsidRPr="00C01C10">
        <w:rPr>
          <w:b w:val="0"/>
          <w:szCs w:val="24"/>
        </w:rPr>
        <w:t xml:space="preserve">through </w:t>
      </w:r>
      <w:r w:rsidR="0085174B" w:rsidRPr="00C01C10">
        <w:rPr>
          <w:b w:val="0"/>
          <w:szCs w:val="24"/>
        </w:rPr>
        <w:t>20</w:t>
      </w:r>
      <w:r w:rsidR="0085174B">
        <w:rPr>
          <w:b w:val="0"/>
          <w:szCs w:val="24"/>
        </w:rPr>
        <w:t>17</w:t>
      </w:r>
      <w:r w:rsidR="00C01C10" w:rsidRPr="00C01C10">
        <w:rPr>
          <w:b w:val="0"/>
          <w:szCs w:val="24"/>
        </w:rPr>
        <w:t>. Efficiency data are from the national default database developed by Itron, SCS Market Intelligence, EIA’s Technology Forecast Update</w:t>
      </w:r>
      <w:r w:rsidR="00B814AA">
        <w:rPr>
          <w:b w:val="0"/>
          <w:szCs w:val="24"/>
        </w:rPr>
        <w:t xml:space="preserve"> and from several sources by </w:t>
      </w:r>
      <w:r w:rsidR="009C2F8A">
        <w:rPr>
          <w:b w:val="0"/>
          <w:szCs w:val="24"/>
        </w:rPr>
        <w:t>AEG</w:t>
      </w:r>
      <w:r w:rsidR="00B814AA">
        <w:rPr>
          <w:b w:val="0"/>
          <w:szCs w:val="24"/>
        </w:rPr>
        <w:t>, including RECS</w:t>
      </w:r>
      <w:r w:rsidR="00EC364E">
        <w:rPr>
          <w:b w:val="0"/>
          <w:szCs w:val="24"/>
        </w:rPr>
        <w:t xml:space="preserve"> data</w:t>
      </w:r>
      <w:r w:rsidR="00B814AA">
        <w:rPr>
          <w:b w:val="0"/>
          <w:szCs w:val="24"/>
        </w:rPr>
        <w:t xml:space="preserve">, and other national and regional data. LoadMAP data leverages </w:t>
      </w:r>
      <w:r w:rsidR="00826251">
        <w:rPr>
          <w:b w:val="0"/>
          <w:szCs w:val="24"/>
        </w:rPr>
        <w:t xml:space="preserve">AEG’s </w:t>
      </w:r>
      <w:r w:rsidR="00B814AA">
        <w:rPr>
          <w:b w:val="0"/>
          <w:szCs w:val="24"/>
        </w:rPr>
        <w:t>expertise providing the latest intelligence in efficiencies and technologies.</w:t>
      </w:r>
      <w:r w:rsidR="00C01C10" w:rsidRPr="00C01C10">
        <w:rPr>
          <w:b w:val="0"/>
          <w:szCs w:val="24"/>
        </w:rPr>
        <w:t xml:space="preserve"> Economic data are purchased from </w:t>
      </w:r>
      <w:r w:rsidR="00C02C14">
        <w:rPr>
          <w:b w:val="0"/>
          <w:szCs w:val="24"/>
        </w:rPr>
        <w:t>IHS Markit</w:t>
      </w:r>
      <w:r w:rsidR="00C01C10" w:rsidRPr="00C01C10">
        <w:rPr>
          <w:b w:val="0"/>
          <w:szCs w:val="24"/>
        </w:rPr>
        <w:t xml:space="preserve"> on an annual basis. Customers are separately forecasted at an aggregate level using the model presented in Section 4.2.1. This forecast is then disaggregated to single family, multi-family, and manufactured home using housing type trends from</w:t>
      </w:r>
      <w:r w:rsidR="00826251">
        <w:rPr>
          <w:b w:val="0"/>
          <w:szCs w:val="24"/>
        </w:rPr>
        <w:t xml:space="preserve"> the</w:t>
      </w:r>
      <w:r w:rsidR="00C01C10" w:rsidRPr="00C01C10">
        <w:rPr>
          <w:b w:val="0"/>
          <w:szCs w:val="24"/>
        </w:rPr>
        <w:t xml:space="preserve"> </w:t>
      </w:r>
      <w:r w:rsidR="00826251">
        <w:rPr>
          <w:b w:val="0"/>
          <w:szCs w:val="24"/>
        </w:rPr>
        <w:t>IHS Markit</w:t>
      </w:r>
      <w:r w:rsidR="00C01C10" w:rsidRPr="00C01C10">
        <w:rPr>
          <w:b w:val="0"/>
          <w:szCs w:val="24"/>
        </w:rPr>
        <w:t xml:space="preserve"> housing stock forecast and calibrated to 2007 Georgia Power Residential Saturation Survey splits.</w:t>
      </w:r>
    </w:p>
    <w:p w14:paraId="1C847514" w14:textId="77777777" w:rsidR="00C01C10" w:rsidRPr="00C01C10" w:rsidRDefault="00C01C10" w:rsidP="00A027E8">
      <w:pPr>
        <w:spacing w:line="360" w:lineRule="auto"/>
        <w:jc w:val="both"/>
        <w:rPr>
          <w:b w:val="0"/>
          <w:szCs w:val="24"/>
        </w:rPr>
      </w:pPr>
    </w:p>
    <w:p w14:paraId="208C39AA" w14:textId="535B5DCC" w:rsidR="00C01C10" w:rsidRPr="00C01C10" w:rsidRDefault="00C01C10" w:rsidP="00A027E8">
      <w:pPr>
        <w:spacing w:line="360" w:lineRule="auto"/>
        <w:jc w:val="both"/>
        <w:rPr>
          <w:b w:val="0"/>
          <w:szCs w:val="24"/>
        </w:rPr>
      </w:pPr>
      <w:r w:rsidRPr="00C01C10">
        <w:rPr>
          <w:b w:val="0"/>
          <w:szCs w:val="24"/>
        </w:rPr>
        <w:t xml:space="preserve">The residential long-term forecast is modeled on a billing basis. Budget </w:t>
      </w:r>
      <w:r w:rsidR="00826251" w:rsidRPr="00C01C10">
        <w:rPr>
          <w:b w:val="0"/>
          <w:szCs w:val="24"/>
        </w:rPr>
        <w:t>20</w:t>
      </w:r>
      <w:r w:rsidR="00826251">
        <w:rPr>
          <w:b w:val="0"/>
          <w:szCs w:val="24"/>
        </w:rPr>
        <w:t>19</w:t>
      </w:r>
      <w:r w:rsidR="00826251" w:rsidRPr="00C01C10">
        <w:rPr>
          <w:b w:val="0"/>
          <w:szCs w:val="24"/>
        </w:rPr>
        <w:t xml:space="preserve"> </w:t>
      </w:r>
      <w:r w:rsidRPr="00C01C10">
        <w:rPr>
          <w:b w:val="0"/>
          <w:szCs w:val="24"/>
        </w:rPr>
        <w:t>is presented as a calendar</w:t>
      </w:r>
      <w:r w:rsidR="001655DA">
        <w:rPr>
          <w:b w:val="0"/>
          <w:szCs w:val="24"/>
        </w:rPr>
        <w:t>-</w:t>
      </w:r>
      <w:r w:rsidRPr="00C01C10">
        <w:rPr>
          <w:b w:val="0"/>
          <w:szCs w:val="24"/>
        </w:rPr>
        <w:t>based forecast. The long-term billing forecast is integrated with the short-term billing forecast and then both are converted to a calendar basis.</w:t>
      </w:r>
      <w:r w:rsidR="00636F94">
        <w:rPr>
          <w:b w:val="0"/>
          <w:szCs w:val="24"/>
        </w:rPr>
        <w:t xml:space="preserve"> Attachment 5.1.1-1 shows the unadjusted long-term billing forecast, as well as the adjusted bill</w:t>
      </w:r>
      <w:r w:rsidR="002C7A3E">
        <w:rPr>
          <w:b w:val="0"/>
          <w:szCs w:val="24"/>
        </w:rPr>
        <w:t>ed</w:t>
      </w:r>
      <w:r w:rsidR="00636F94">
        <w:rPr>
          <w:b w:val="0"/>
          <w:szCs w:val="24"/>
        </w:rPr>
        <w:t xml:space="preserve"> and calendar forecasts, which are adjusted for reductions in sales resulting from DSM and </w:t>
      </w:r>
      <w:r w:rsidR="00170F15">
        <w:rPr>
          <w:b w:val="0"/>
          <w:szCs w:val="24"/>
        </w:rPr>
        <w:t>B</w:t>
      </w:r>
      <w:r w:rsidR="00C20E21">
        <w:rPr>
          <w:b w:val="0"/>
          <w:szCs w:val="24"/>
        </w:rPr>
        <w:t>ehind</w:t>
      </w:r>
      <w:r w:rsidR="00170F15">
        <w:rPr>
          <w:b w:val="0"/>
          <w:szCs w:val="24"/>
        </w:rPr>
        <w:t>-</w:t>
      </w:r>
      <w:r w:rsidR="00C20E21">
        <w:rPr>
          <w:b w:val="0"/>
          <w:szCs w:val="24"/>
        </w:rPr>
        <w:t>the</w:t>
      </w:r>
      <w:r w:rsidR="00170F15">
        <w:rPr>
          <w:b w:val="0"/>
          <w:szCs w:val="24"/>
        </w:rPr>
        <w:t>-M</w:t>
      </w:r>
      <w:r w:rsidR="00C20E21">
        <w:rPr>
          <w:b w:val="0"/>
          <w:szCs w:val="24"/>
        </w:rPr>
        <w:t>eter</w:t>
      </w:r>
      <w:r w:rsidR="00661934">
        <w:rPr>
          <w:b w:val="0"/>
          <w:szCs w:val="24"/>
        </w:rPr>
        <w:t xml:space="preserve"> </w:t>
      </w:r>
      <w:r w:rsidR="00170F15">
        <w:rPr>
          <w:b w:val="0"/>
          <w:szCs w:val="24"/>
        </w:rPr>
        <w:t xml:space="preserve">(“BTM”) </w:t>
      </w:r>
      <w:r w:rsidR="00636F94">
        <w:rPr>
          <w:b w:val="0"/>
          <w:szCs w:val="24"/>
        </w:rPr>
        <w:t>solar, and for the additional sales resulting from electric vehicles.</w:t>
      </w:r>
    </w:p>
    <w:p w14:paraId="3E8CE77B" w14:textId="77777777" w:rsidR="00253B5E" w:rsidRDefault="00253B5E" w:rsidP="00BC0F80">
      <w:pPr>
        <w:pStyle w:val="BodyTextIndent"/>
        <w:spacing w:line="360" w:lineRule="auto"/>
        <w:ind w:left="0"/>
        <w:jc w:val="left"/>
        <w:rPr>
          <w:b/>
        </w:rPr>
      </w:pPr>
    </w:p>
    <w:p w14:paraId="3E99206B" w14:textId="3A94B0A9" w:rsidR="00DB7B2F" w:rsidRPr="00253B5E" w:rsidRDefault="00253B5E" w:rsidP="00BC0F80">
      <w:pPr>
        <w:pStyle w:val="BodyTextIndent"/>
        <w:spacing w:line="360" w:lineRule="auto"/>
        <w:ind w:left="0"/>
        <w:jc w:val="left"/>
      </w:pPr>
      <w:r w:rsidRPr="00253B5E">
        <w:t xml:space="preserve">Several attachments follow which comprise the Budget </w:t>
      </w:r>
      <w:r w:rsidR="00826251" w:rsidRPr="00253B5E">
        <w:t>20</w:t>
      </w:r>
      <w:r w:rsidR="00826251">
        <w:t>19</w:t>
      </w:r>
      <w:r w:rsidR="00826251" w:rsidRPr="00253B5E">
        <w:t xml:space="preserve"> </w:t>
      </w:r>
      <w:r>
        <w:t>Resident</w:t>
      </w:r>
      <w:r w:rsidRPr="00253B5E">
        <w:t>ial Long-term Forecast.</w:t>
      </w:r>
      <w:r w:rsidR="00636F94" w:rsidRPr="00253B5E">
        <w:t xml:space="preserve"> </w:t>
      </w:r>
    </w:p>
    <w:p w14:paraId="137D6E55" w14:textId="77777777" w:rsidR="00253B5E" w:rsidRDefault="00253B5E" w:rsidP="00BC0F80">
      <w:pPr>
        <w:pStyle w:val="BodyTextIndent"/>
        <w:spacing w:line="360" w:lineRule="auto"/>
        <w:ind w:left="0"/>
        <w:jc w:val="left"/>
        <w:rPr>
          <w:b/>
        </w:rPr>
        <w:sectPr w:rsidR="00253B5E" w:rsidSect="00DB7B2F">
          <w:footerReference w:type="default" r:id="rId46"/>
          <w:footnotePr>
            <w:numRestart w:val="eachSect"/>
          </w:footnotePr>
          <w:pgSz w:w="12240" w:h="15840"/>
          <w:pgMar w:top="1440" w:right="1440" w:bottom="1440" w:left="1440" w:header="720" w:footer="720" w:gutter="0"/>
          <w:cols w:space="720"/>
          <w:docGrid w:linePitch="273"/>
        </w:sectPr>
      </w:pPr>
    </w:p>
    <w:p w14:paraId="4DFE74F7" w14:textId="77777777" w:rsidR="00715024" w:rsidRDefault="00BC0F80" w:rsidP="00BC0F80">
      <w:pPr>
        <w:pStyle w:val="BodyTextIndent"/>
        <w:spacing w:line="360" w:lineRule="auto"/>
        <w:ind w:left="0"/>
        <w:jc w:val="left"/>
        <w:rPr>
          <w:b/>
        </w:rPr>
      </w:pPr>
      <w:r w:rsidRPr="00BC0F80">
        <w:rPr>
          <w:b/>
        </w:rPr>
        <w:t xml:space="preserve">Attachment 5.1.1-1: </w:t>
      </w:r>
      <w:r w:rsidR="002C7A3E">
        <w:rPr>
          <w:b/>
        </w:rPr>
        <w:t xml:space="preserve"> </w:t>
      </w:r>
      <w:r w:rsidRPr="00BC0F80">
        <w:rPr>
          <w:b/>
        </w:rPr>
        <w:t>Total Residential Energy Sales</w:t>
      </w:r>
      <w:r w:rsidR="002C7A3E">
        <w:rPr>
          <w:b/>
        </w:rPr>
        <w:t xml:space="preserve"> (GWh)</w:t>
      </w:r>
    </w:p>
    <w:p w14:paraId="35DA0983" w14:textId="77777777" w:rsidR="002300F7" w:rsidRDefault="002300F7" w:rsidP="002300F7">
      <w:pPr>
        <w:pStyle w:val="BodyTextIndent"/>
        <w:spacing w:after="0"/>
        <w:ind w:left="0"/>
        <w:rPr>
          <w:b/>
        </w:rPr>
      </w:pPr>
      <w:r>
        <w:rPr>
          <w:b/>
        </w:rPr>
        <w:t xml:space="preserve">Residential Long-Term Forecast </w:t>
      </w:r>
    </w:p>
    <w:p w14:paraId="08ABC202" w14:textId="754A20E7" w:rsidR="002300F7" w:rsidRDefault="002300F7" w:rsidP="002300F7">
      <w:pPr>
        <w:pStyle w:val="BodyTextIndent"/>
        <w:spacing w:after="0"/>
        <w:ind w:left="0"/>
        <w:rPr>
          <w:b/>
        </w:rPr>
      </w:pPr>
      <w:r>
        <w:rPr>
          <w:b/>
        </w:rPr>
        <w:t xml:space="preserve">Budget </w:t>
      </w:r>
      <w:r w:rsidR="00826251">
        <w:rPr>
          <w:b/>
        </w:rPr>
        <w:t>2019</w:t>
      </w:r>
    </w:p>
    <w:p w14:paraId="403E6AEB" w14:textId="77777777" w:rsidR="002300F7" w:rsidRDefault="002300F7" w:rsidP="002300F7">
      <w:pPr>
        <w:pStyle w:val="BodyTextIndent"/>
        <w:spacing w:after="0"/>
        <w:ind w:left="0"/>
        <w:rPr>
          <w:b/>
        </w:rPr>
      </w:pPr>
    </w:p>
    <w:p w14:paraId="247AA08D" w14:textId="4B15ADAB" w:rsidR="00E1223B" w:rsidRDefault="00F56D12" w:rsidP="00DB7B2F">
      <w:pPr>
        <w:pStyle w:val="BodyTextIndent"/>
        <w:spacing w:line="360" w:lineRule="auto"/>
        <w:ind w:left="0"/>
        <w:rPr>
          <w:noProof/>
        </w:rPr>
      </w:pPr>
      <w:r w:rsidRPr="00F56D12">
        <w:rPr>
          <w:noProof/>
        </w:rPr>
        <w:drawing>
          <wp:inline distT="0" distB="0" distL="0" distR="0" wp14:anchorId="2E1B293A" wp14:editId="4C35E818">
            <wp:extent cx="5429250" cy="4257675"/>
            <wp:effectExtent l="0" t="0" r="0"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429250" cy="4257675"/>
                    </a:xfrm>
                    <a:prstGeom prst="rect">
                      <a:avLst/>
                    </a:prstGeom>
                    <a:noFill/>
                    <a:ln>
                      <a:noFill/>
                    </a:ln>
                  </pic:spPr>
                </pic:pic>
              </a:graphicData>
            </a:graphic>
          </wp:inline>
        </w:drawing>
      </w:r>
    </w:p>
    <w:p w14:paraId="37CA8202" w14:textId="77777777" w:rsidR="00BC7C3C" w:rsidRDefault="00BC7C3C">
      <w:pPr>
        <w:spacing w:after="200" w:line="276" w:lineRule="auto"/>
        <w:jc w:val="left"/>
        <w:rPr>
          <w:b w:val="0"/>
        </w:rPr>
      </w:pPr>
    </w:p>
    <w:p w14:paraId="6EEA5540" w14:textId="256773ED" w:rsidR="00DB7B2F" w:rsidRDefault="00BC7C3C" w:rsidP="00BC7C3C">
      <w:pPr>
        <w:pStyle w:val="ListBullet4"/>
        <w:numPr>
          <w:ilvl w:val="0"/>
          <w:numId w:val="0"/>
        </w:numPr>
      </w:pPr>
      <w:r>
        <w:t>*In the following tables, values are based on the long-term billed end-use model. No external adjustments were made.</w:t>
      </w:r>
      <w:r w:rsidR="00DB7B2F">
        <w:br w:type="page"/>
      </w:r>
    </w:p>
    <w:p w14:paraId="2ED55FE1" w14:textId="77777777" w:rsidR="00BC0F80" w:rsidRDefault="00BC0F80" w:rsidP="00BC0F80">
      <w:pPr>
        <w:pStyle w:val="BodyTextIndent"/>
        <w:spacing w:line="360" w:lineRule="auto"/>
        <w:ind w:left="0"/>
        <w:jc w:val="left"/>
        <w:rPr>
          <w:b/>
        </w:rPr>
      </w:pPr>
      <w:r>
        <w:rPr>
          <w:b/>
        </w:rPr>
        <w:t>Attachment 5.1.1-2: GWh/BBtu Sales by End Use</w:t>
      </w:r>
    </w:p>
    <w:p w14:paraId="4ACBF64E" w14:textId="77777777" w:rsidR="0009393F" w:rsidRDefault="0009393F" w:rsidP="00EA25E2">
      <w:pPr>
        <w:pStyle w:val="BodyTextIndent"/>
        <w:spacing w:after="0"/>
        <w:ind w:left="0"/>
        <w:rPr>
          <w:b/>
        </w:rPr>
      </w:pPr>
      <w:r>
        <w:rPr>
          <w:b/>
        </w:rPr>
        <w:t xml:space="preserve">Residential </w:t>
      </w:r>
      <w:r w:rsidR="005078FC">
        <w:rPr>
          <w:b/>
        </w:rPr>
        <w:t>L</w:t>
      </w:r>
      <w:r>
        <w:rPr>
          <w:b/>
        </w:rPr>
        <w:t>ong-Term Forecast</w:t>
      </w:r>
      <w:r w:rsidR="002300F7">
        <w:rPr>
          <w:b/>
        </w:rPr>
        <w:t xml:space="preserve"> (LoadMAP-R)</w:t>
      </w:r>
      <w:r>
        <w:rPr>
          <w:b/>
        </w:rPr>
        <w:t xml:space="preserve"> </w:t>
      </w:r>
      <w:r w:rsidR="007A36A6">
        <w:rPr>
          <w:b/>
        </w:rPr>
        <w:t>U</w:t>
      </w:r>
      <w:r>
        <w:rPr>
          <w:b/>
        </w:rPr>
        <w:t>nadjusted</w:t>
      </w:r>
    </w:p>
    <w:p w14:paraId="0DB4F7B0" w14:textId="38707378" w:rsidR="0009393F" w:rsidRDefault="0009393F" w:rsidP="00EA25E2">
      <w:pPr>
        <w:pStyle w:val="BodyTextIndent"/>
        <w:spacing w:after="0"/>
        <w:ind w:left="0"/>
        <w:rPr>
          <w:b/>
        </w:rPr>
      </w:pPr>
      <w:r>
        <w:rPr>
          <w:b/>
        </w:rPr>
        <w:t xml:space="preserve">Budget </w:t>
      </w:r>
      <w:r w:rsidR="00826251">
        <w:rPr>
          <w:b/>
        </w:rPr>
        <w:t>2019</w:t>
      </w:r>
    </w:p>
    <w:p w14:paraId="34FC1DB5" w14:textId="77777777" w:rsidR="00A1727D" w:rsidRDefault="00A1727D" w:rsidP="00EA25E2">
      <w:pPr>
        <w:pStyle w:val="BodyTextIndent"/>
        <w:spacing w:after="0"/>
        <w:ind w:left="0"/>
        <w:rPr>
          <w:b/>
        </w:rPr>
      </w:pPr>
    </w:p>
    <w:p w14:paraId="728EDD3F" w14:textId="25F078CC" w:rsidR="00EA25E2" w:rsidRDefault="00E71DF9" w:rsidP="00EA25E2">
      <w:pPr>
        <w:pStyle w:val="BodyTextIndent"/>
        <w:spacing w:after="0"/>
        <w:ind w:left="0"/>
        <w:rPr>
          <w:b/>
        </w:rPr>
      </w:pPr>
      <w:r w:rsidRPr="00E71DF9">
        <w:rPr>
          <w:b/>
          <w:noProof/>
        </w:rPr>
        <w:drawing>
          <wp:inline distT="0" distB="0" distL="0" distR="0" wp14:anchorId="3330F837" wp14:editId="518D06E7">
            <wp:extent cx="8229600" cy="3036229"/>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229600" cy="3036229"/>
                    </a:xfrm>
                    <a:prstGeom prst="rect">
                      <a:avLst/>
                    </a:prstGeom>
                    <a:noFill/>
                    <a:ln>
                      <a:noFill/>
                    </a:ln>
                  </pic:spPr>
                </pic:pic>
              </a:graphicData>
            </a:graphic>
          </wp:inline>
        </w:drawing>
      </w:r>
    </w:p>
    <w:p w14:paraId="6DCAB092" w14:textId="4D0A838E" w:rsidR="0009393F" w:rsidRDefault="0009393F" w:rsidP="009D23F6">
      <w:pPr>
        <w:pStyle w:val="BodyTextIndent"/>
        <w:spacing w:line="360" w:lineRule="auto"/>
        <w:ind w:left="0"/>
      </w:pPr>
    </w:p>
    <w:p w14:paraId="13E4C674" w14:textId="77777777" w:rsidR="0009393F" w:rsidRDefault="0009393F">
      <w:pPr>
        <w:spacing w:after="200" w:line="276" w:lineRule="auto"/>
        <w:jc w:val="left"/>
        <w:sectPr w:rsidR="0009393F" w:rsidSect="00B213A7">
          <w:footnotePr>
            <w:numRestart w:val="eachSect"/>
          </w:footnotePr>
          <w:pgSz w:w="15840" w:h="12240" w:orient="landscape"/>
          <w:pgMar w:top="1440" w:right="1440" w:bottom="1440" w:left="1440" w:header="720" w:footer="720" w:gutter="0"/>
          <w:cols w:space="720"/>
          <w:docGrid w:linePitch="273"/>
        </w:sectPr>
      </w:pPr>
    </w:p>
    <w:p w14:paraId="4A9E1BE5" w14:textId="77777777" w:rsidR="0009393F" w:rsidRDefault="0009393F" w:rsidP="0009393F">
      <w:pPr>
        <w:pStyle w:val="BodyTextIndent"/>
        <w:spacing w:line="360" w:lineRule="auto"/>
        <w:ind w:left="0"/>
        <w:jc w:val="left"/>
        <w:rPr>
          <w:b/>
        </w:rPr>
      </w:pPr>
      <w:r>
        <w:rPr>
          <w:b/>
        </w:rPr>
        <w:t>Attachment 5.1.1-2: GWh/BBtu Sales by End Use (cont’d)</w:t>
      </w:r>
    </w:p>
    <w:p w14:paraId="2EA0EC2C" w14:textId="77777777" w:rsidR="00EA25E2" w:rsidRDefault="00EA25E2" w:rsidP="00EA25E2">
      <w:pPr>
        <w:pStyle w:val="BodyTextIndent"/>
        <w:spacing w:after="0"/>
        <w:ind w:left="0"/>
        <w:rPr>
          <w:b/>
        </w:rPr>
      </w:pPr>
      <w:r>
        <w:rPr>
          <w:b/>
        </w:rPr>
        <w:t xml:space="preserve">Residential </w:t>
      </w:r>
      <w:r w:rsidR="005078FC">
        <w:rPr>
          <w:b/>
        </w:rPr>
        <w:t>L</w:t>
      </w:r>
      <w:r>
        <w:rPr>
          <w:b/>
        </w:rPr>
        <w:t xml:space="preserve">ong-Term Forecast </w:t>
      </w:r>
      <w:r w:rsidR="002300F7">
        <w:rPr>
          <w:b/>
        </w:rPr>
        <w:t xml:space="preserve">(LoadMAP-R) </w:t>
      </w:r>
      <w:r w:rsidR="007A36A6">
        <w:rPr>
          <w:b/>
        </w:rPr>
        <w:t>U</w:t>
      </w:r>
      <w:r>
        <w:rPr>
          <w:b/>
        </w:rPr>
        <w:t>nadjusted</w:t>
      </w:r>
    </w:p>
    <w:p w14:paraId="6EAF584C" w14:textId="0726FF54" w:rsidR="00930BB0" w:rsidRDefault="00EA25E2" w:rsidP="00EA25E2">
      <w:pPr>
        <w:pStyle w:val="BodyTextIndent"/>
        <w:ind w:left="0"/>
        <w:rPr>
          <w:b/>
        </w:rPr>
      </w:pPr>
      <w:r>
        <w:rPr>
          <w:b/>
        </w:rPr>
        <w:t xml:space="preserve">Budget </w:t>
      </w:r>
      <w:r w:rsidR="00826251">
        <w:rPr>
          <w:b/>
        </w:rPr>
        <w:t>2019</w:t>
      </w:r>
    </w:p>
    <w:p w14:paraId="0F85AFE1" w14:textId="20EED752" w:rsidR="00A1727D" w:rsidRDefault="00C02B24" w:rsidP="0009393F">
      <w:pPr>
        <w:pStyle w:val="BodyTextIndent"/>
        <w:ind w:left="0"/>
        <w:rPr>
          <w:noProof/>
        </w:rPr>
      </w:pPr>
      <w:r w:rsidRPr="00C02B24">
        <w:rPr>
          <w:noProof/>
        </w:rPr>
        <w:drawing>
          <wp:inline distT="0" distB="0" distL="0" distR="0" wp14:anchorId="7B532B04" wp14:editId="51096C82">
            <wp:extent cx="8229600" cy="2859977"/>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8229600" cy="2859977"/>
                    </a:xfrm>
                    <a:prstGeom prst="rect">
                      <a:avLst/>
                    </a:prstGeom>
                    <a:noFill/>
                    <a:ln>
                      <a:noFill/>
                    </a:ln>
                  </pic:spPr>
                </pic:pic>
              </a:graphicData>
            </a:graphic>
          </wp:inline>
        </w:drawing>
      </w:r>
    </w:p>
    <w:p w14:paraId="4DE63F62" w14:textId="06876AEF" w:rsidR="0009393F" w:rsidRDefault="0009393F" w:rsidP="0009393F">
      <w:pPr>
        <w:pStyle w:val="BodyTextIndent"/>
        <w:ind w:left="0"/>
      </w:pPr>
    </w:p>
    <w:p w14:paraId="151A683F" w14:textId="77777777" w:rsidR="0009393F" w:rsidRDefault="0009393F">
      <w:pPr>
        <w:spacing w:after="200" w:line="276" w:lineRule="auto"/>
        <w:jc w:val="left"/>
      </w:pPr>
      <w:r>
        <w:br w:type="page"/>
      </w:r>
    </w:p>
    <w:p w14:paraId="311E03F7" w14:textId="77777777" w:rsidR="0009393F" w:rsidRDefault="0009393F" w:rsidP="0009393F">
      <w:pPr>
        <w:pStyle w:val="BodyTextIndent"/>
        <w:spacing w:line="360" w:lineRule="auto"/>
        <w:ind w:left="0"/>
        <w:jc w:val="left"/>
        <w:rPr>
          <w:b/>
        </w:rPr>
      </w:pPr>
      <w:r>
        <w:rPr>
          <w:b/>
        </w:rPr>
        <w:t>Attachment 5.1.1-2: GWh/BBtu Sales by End Use (cont’d)</w:t>
      </w:r>
    </w:p>
    <w:p w14:paraId="678AF4B8" w14:textId="77777777" w:rsidR="00EA25E2" w:rsidRDefault="00EA25E2" w:rsidP="00EA25E2">
      <w:pPr>
        <w:pStyle w:val="BodyTextIndent"/>
        <w:spacing w:after="0"/>
        <w:ind w:left="0"/>
        <w:rPr>
          <w:b/>
        </w:rPr>
      </w:pPr>
      <w:r>
        <w:rPr>
          <w:b/>
        </w:rPr>
        <w:t xml:space="preserve">Residential </w:t>
      </w:r>
      <w:r w:rsidR="005078FC">
        <w:rPr>
          <w:b/>
        </w:rPr>
        <w:t>L</w:t>
      </w:r>
      <w:r>
        <w:rPr>
          <w:b/>
        </w:rPr>
        <w:t xml:space="preserve">ong-Term Forecast </w:t>
      </w:r>
      <w:r w:rsidR="002300F7">
        <w:rPr>
          <w:b/>
        </w:rPr>
        <w:t xml:space="preserve">(LoadMAP-R) </w:t>
      </w:r>
      <w:r w:rsidR="007A36A6">
        <w:rPr>
          <w:b/>
        </w:rPr>
        <w:t>U</w:t>
      </w:r>
      <w:r>
        <w:rPr>
          <w:b/>
        </w:rPr>
        <w:t>nadjusted</w:t>
      </w:r>
    </w:p>
    <w:p w14:paraId="58DB1673" w14:textId="141E19A2" w:rsidR="0009393F" w:rsidRDefault="00EA25E2" w:rsidP="00EA25E2">
      <w:pPr>
        <w:pStyle w:val="BodyTextIndent"/>
        <w:ind w:left="0"/>
        <w:rPr>
          <w:b/>
        </w:rPr>
      </w:pPr>
      <w:r>
        <w:rPr>
          <w:b/>
        </w:rPr>
        <w:t xml:space="preserve">Budget </w:t>
      </w:r>
      <w:r w:rsidR="00826251">
        <w:rPr>
          <w:b/>
        </w:rPr>
        <w:t>2019</w:t>
      </w:r>
    </w:p>
    <w:p w14:paraId="5107B4E1" w14:textId="1FF71315" w:rsidR="00E1223B" w:rsidRDefault="00C02B24" w:rsidP="0009393F">
      <w:pPr>
        <w:pStyle w:val="BodyTextIndent"/>
        <w:ind w:left="0"/>
        <w:rPr>
          <w:noProof/>
        </w:rPr>
      </w:pPr>
      <w:r w:rsidRPr="00C02B24">
        <w:rPr>
          <w:noProof/>
        </w:rPr>
        <w:drawing>
          <wp:inline distT="0" distB="0" distL="0" distR="0" wp14:anchorId="34E1B179" wp14:editId="2CB6A94B">
            <wp:extent cx="8229600" cy="3408755"/>
            <wp:effectExtent l="0" t="0" r="0" b="127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8229600" cy="3408755"/>
                    </a:xfrm>
                    <a:prstGeom prst="rect">
                      <a:avLst/>
                    </a:prstGeom>
                    <a:noFill/>
                    <a:ln>
                      <a:noFill/>
                    </a:ln>
                  </pic:spPr>
                </pic:pic>
              </a:graphicData>
            </a:graphic>
          </wp:inline>
        </w:drawing>
      </w:r>
    </w:p>
    <w:p w14:paraId="67F93149" w14:textId="562DC427" w:rsidR="0009393F" w:rsidRDefault="00DB1CF8" w:rsidP="0009393F">
      <w:pPr>
        <w:pStyle w:val="BodyTextIndent"/>
        <w:ind w:left="0"/>
      </w:pPr>
      <w:r w:rsidRPr="00DB1CF8">
        <w:t xml:space="preserve"> </w:t>
      </w:r>
      <w:r w:rsidR="0009393F">
        <w:br w:type="page"/>
      </w:r>
    </w:p>
    <w:p w14:paraId="5DE4B2DB" w14:textId="77777777" w:rsidR="0009393F" w:rsidRDefault="0009393F">
      <w:pPr>
        <w:spacing w:after="200" w:line="276" w:lineRule="auto"/>
        <w:jc w:val="left"/>
        <w:sectPr w:rsidR="0009393F" w:rsidSect="0009393F">
          <w:footnotePr>
            <w:numRestart w:val="eachSect"/>
          </w:footnotePr>
          <w:pgSz w:w="15840" w:h="12240" w:orient="landscape"/>
          <w:pgMar w:top="1440" w:right="1440" w:bottom="1440" w:left="1440" w:header="720" w:footer="720" w:gutter="0"/>
          <w:cols w:space="720"/>
          <w:docGrid w:linePitch="273"/>
        </w:sectPr>
      </w:pPr>
    </w:p>
    <w:p w14:paraId="29AE66A2" w14:textId="77777777" w:rsidR="00EA25E2" w:rsidRDefault="00EA25E2" w:rsidP="00EA25E2">
      <w:pPr>
        <w:pStyle w:val="BodyTextIndent"/>
        <w:spacing w:line="360" w:lineRule="auto"/>
        <w:ind w:left="0"/>
        <w:jc w:val="left"/>
      </w:pPr>
      <w:r>
        <w:rPr>
          <w:b/>
        </w:rPr>
        <w:t>Attachment 5.1.1-3: GWh/BBtu Sales by End Use – Single Family</w:t>
      </w:r>
    </w:p>
    <w:p w14:paraId="22A41DFC" w14:textId="77777777" w:rsidR="00EA25E2" w:rsidRDefault="00EA25E2" w:rsidP="003E1B33">
      <w:pPr>
        <w:pStyle w:val="BodyTextIndent"/>
        <w:spacing w:after="0"/>
        <w:ind w:left="0"/>
        <w:rPr>
          <w:b/>
        </w:rPr>
      </w:pPr>
      <w:r>
        <w:rPr>
          <w:b/>
        </w:rPr>
        <w:t xml:space="preserve">Residential </w:t>
      </w:r>
      <w:r w:rsidR="005078FC">
        <w:rPr>
          <w:b/>
        </w:rPr>
        <w:t>L</w:t>
      </w:r>
      <w:r>
        <w:rPr>
          <w:b/>
        </w:rPr>
        <w:t xml:space="preserve">ong-Term Forecast </w:t>
      </w:r>
      <w:r w:rsidR="002300F7">
        <w:rPr>
          <w:b/>
        </w:rPr>
        <w:t xml:space="preserve">(LoadMAP-R) </w:t>
      </w:r>
      <w:r w:rsidR="004D1E5D">
        <w:rPr>
          <w:b/>
        </w:rPr>
        <w:t>U</w:t>
      </w:r>
      <w:r>
        <w:rPr>
          <w:b/>
        </w:rPr>
        <w:t>nadjusted</w:t>
      </w:r>
    </w:p>
    <w:p w14:paraId="0D1F0AD1" w14:textId="34CADD9E" w:rsidR="003E1B33" w:rsidRDefault="00EA25E2" w:rsidP="003E1B33">
      <w:pPr>
        <w:spacing w:after="200" w:line="276" w:lineRule="auto"/>
      </w:pPr>
      <w:r>
        <w:t xml:space="preserve">Budget </w:t>
      </w:r>
      <w:r w:rsidR="00826251">
        <w:t>2019</w:t>
      </w:r>
    </w:p>
    <w:p w14:paraId="625E4711" w14:textId="1251E690" w:rsidR="00E1223B" w:rsidRDefault="00C02B24" w:rsidP="00B21D6F">
      <w:pPr>
        <w:pStyle w:val="BodyTextIndent"/>
        <w:spacing w:line="360" w:lineRule="auto"/>
        <w:ind w:left="0"/>
        <w:rPr>
          <w:noProof/>
        </w:rPr>
      </w:pPr>
      <w:r w:rsidRPr="00C02B24">
        <w:rPr>
          <w:noProof/>
        </w:rPr>
        <w:drawing>
          <wp:inline distT="0" distB="0" distL="0" distR="0" wp14:anchorId="0DEA652E" wp14:editId="7C89598A">
            <wp:extent cx="8229600" cy="2734351"/>
            <wp:effectExtent l="0" t="0" r="0" b="889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8229600" cy="2734351"/>
                    </a:xfrm>
                    <a:prstGeom prst="rect">
                      <a:avLst/>
                    </a:prstGeom>
                    <a:noFill/>
                    <a:ln>
                      <a:noFill/>
                    </a:ln>
                  </pic:spPr>
                </pic:pic>
              </a:graphicData>
            </a:graphic>
          </wp:inline>
        </w:drawing>
      </w:r>
    </w:p>
    <w:p w14:paraId="7AEEA53A" w14:textId="68BB1755" w:rsidR="003E1B33" w:rsidRDefault="0007361E" w:rsidP="00B21D6F">
      <w:pPr>
        <w:pStyle w:val="BodyTextIndent"/>
        <w:spacing w:line="360" w:lineRule="auto"/>
        <w:ind w:left="0"/>
      </w:pPr>
      <w:r w:rsidRPr="0007361E">
        <w:t xml:space="preserve"> </w:t>
      </w:r>
      <w:r w:rsidR="001A370B">
        <w:br w:type="page"/>
      </w:r>
      <w:r w:rsidR="003E1B33">
        <w:rPr>
          <w:b/>
        </w:rPr>
        <w:t>Attachment 5.1.1-3: GWh/BBtu Sales by End Use – Single Family (cont’d)</w:t>
      </w:r>
    </w:p>
    <w:p w14:paraId="30458FD7" w14:textId="77777777" w:rsidR="003E1B33" w:rsidRDefault="003E1B33" w:rsidP="003E1B33">
      <w:pPr>
        <w:pStyle w:val="BodyTextIndent"/>
        <w:spacing w:after="0"/>
        <w:ind w:left="0"/>
        <w:rPr>
          <w:b/>
        </w:rPr>
      </w:pPr>
      <w:r>
        <w:rPr>
          <w:b/>
        </w:rPr>
        <w:t xml:space="preserve">Residential </w:t>
      </w:r>
      <w:r w:rsidR="005078FC">
        <w:rPr>
          <w:b/>
        </w:rPr>
        <w:t>L</w:t>
      </w:r>
      <w:r>
        <w:rPr>
          <w:b/>
        </w:rPr>
        <w:t xml:space="preserve">ong-Term Forecast </w:t>
      </w:r>
      <w:r w:rsidR="002300F7">
        <w:rPr>
          <w:b/>
        </w:rPr>
        <w:t xml:space="preserve">(LoadMAP-R) </w:t>
      </w:r>
      <w:r w:rsidR="004D1E5D">
        <w:rPr>
          <w:b/>
        </w:rPr>
        <w:t>U</w:t>
      </w:r>
      <w:r>
        <w:rPr>
          <w:b/>
        </w:rPr>
        <w:t>nadjusted</w:t>
      </w:r>
    </w:p>
    <w:p w14:paraId="77AC08FD" w14:textId="6C7B0D24" w:rsidR="003E1B33" w:rsidRDefault="003E1B33" w:rsidP="003E1B33">
      <w:pPr>
        <w:spacing w:after="200" w:line="276" w:lineRule="auto"/>
      </w:pPr>
      <w:r>
        <w:t xml:space="preserve">Budget </w:t>
      </w:r>
      <w:r w:rsidR="00826251">
        <w:t>2019</w:t>
      </w:r>
    </w:p>
    <w:p w14:paraId="3B7147C7" w14:textId="27AD45A8" w:rsidR="00E1223B" w:rsidRDefault="00C02B24" w:rsidP="00B21D6F">
      <w:pPr>
        <w:spacing w:after="200" w:line="276" w:lineRule="auto"/>
        <w:rPr>
          <w:noProof/>
        </w:rPr>
      </w:pPr>
      <w:r w:rsidRPr="00C02B24">
        <w:rPr>
          <w:noProof/>
        </w:rPr>
        <w:drawing>
          <wp:inline distT="0" distB="0" distL="0" distR="0" wp14:anchorId="18F39AD1" wp14:editId="07AA854D">
            <wp:extent cx="8229600" cy="2770094"/>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8229600" cy="2770094"/>
                    </a:xfrm>
                    <a:prstGeom prst="rect">
                      <a:avLst/>
                    </a:prstGeom>
                    <a:noFill/>
                    <a:ln>
                      <a:noFill/>
                    </a:ln>
                  </pic:spPr>
                </pic:pic>
              </a:graphicData>
            </a:graphic>
          </wp:inline>
        </w:drawing>
      </w:r>
    </w:p>
    <w:p w14:paraId="1DE1C29B" w14:textId="19F4841C" w:rsidR="003E1B33" w:rsidRDefault="003E1B33" w:rsidP="00B21D6F">
      <w:pPr>
        <w:spacing w:after="200" w:line="276" w:lineRule="auto"/>
      </w:pPr>
    </w:p>
    <w:p w14:paraId="78F36EF9" w14:textId="77777777" w:rsidR="003E1B33" w:rsidRDefault="003E1B33">
      <w:pPr>
        <w:spacing w:after="200" w:line="276" w:lineRule="auto"/>
        <w:jc w:val="left"/>
      </w:pPr>
      <w:r>
        <w:br w:type="page"/>
      </w:r>
    </w:p>
    <w:p w14:paraId="2DF54F47" w14:textId="77777777" w:rsidR="003E1B33" w:rsidRDefault="003E1B33" w:rsidP="003E1B33">
      <w:pPr>
        <w:pStyle w:val="BodyTextIndent"/>
        <w:spacing w:line="360" w:lineRule="auto"/>
        <w:ind w:left="0"/>
        <w:jc w:val="left"/>
      </w:pPr>
      <w:r>
        <w:rPr>
          <w:b/>
        </w:rPr>
        <w:t>Attachment 5.1.1-3: GWh/BBtu Sales by End Use – Single Family (cont’d)</w:t>
      </w:r>
    </w:p>
    <w:p w14:paraId="36EF2458" w14:textId="77777777" w:rsidR="003E1B33" w:rsidRDefault="005078FC" w:rsidP="003E1B33">
      <w:pPr>
        <w:pStyle w:val="BodyTextIndent"/>
        <w:spacing w:after="0"/>
        <w:ind w:left="0"/>
        <w:rPr>
          <w:b/>
        </w:rPr>
      </w:pPr>
      <w:r>
        <w:rPr>
          <w:b/>
        </w:rPr>
        <w:t>Residential L</w:t>
      </w:r>
      <w:r w:rsidR="003E1B33">
        <w:rPr>
          <w:b/>
        </w:rPr>
        <w:t xml:space="preserve">ong-Term Forecast </w:t>
      </w:r>
      <w:r w:rsidR="002300F7">
        <w:rPr>
          <w:b/>
        </w:rPr>
        <w:t xml:space="preserve">(LoadMAP-R) </w:t>
      </w:r>
      <w:r w:rsidR="004D1E5D">
        <w:rPr>
          <w:b/>
        </w:rPr>
        <w:t>U</w:t>
      </w:r>
      <w:r w:rsidR="003E1B33">
        <w:rPr>
          <w:b/>
        </w:rPr>
        <w:t>nadjusted</w:t>
      </w:r>
    </w:p>
    <w:p w14:paraId="0F521DBC" w14:textId="547CDBBF" w:rsidR="003E1B33" w:rsidRDefault="003E1B33" w:rsidP="003E1B33">
      <w:pPr>
        <w:spacing w:after="200" w:line="276" w:lineRule="auto"/>
      </w:pPr>
      <w:r>
        <w:t xml:space="preserve">Budget </w:t>
      </w:r>
      <w:r w:rsidR="00826251">
        <w:t>2019</w:t>
      </w:r>
    </w:p>
    <w:p w14:paraId="377EA3BC" w14:textId="2FD6EDFB" w:rsidR="00E1223B" w:rsidRDefault="00C02B24" w:rsidP="00B21D6F">
      <w:pPr>
        <w:spacing w:after="200" w:line="276" w:lineRule="auto"/>
        <w:rPr>
          <w:noProof/>
        </w:rPr>
      </w:pPr>
      <w:r w:rsidRPr="00C02B24">
        <w:rPr>
          <w:noProof/>
        </w:rPr>
        <w:drawing>
          <wp:inline distT="0" distB="0" distL="0" distR="0" wp14:anchorId="60F9029C" wp14:editId="7B4F5C5E">
            <wp:extent cx="8229600" cy="3222999"/>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8229600" cy="3222999"/>
                    </a:xfrm>
                    <a:prstGeom prst="rect">
                      <a:avLst/>
                    </a:prstGeom>
                    <a:noFill/>
                    <a:ln>
                      <a:noFill/>
                    </a:ln>
                  </pic:spPr>
                </pic:pic>
              </a:graphicData>
            </a:graphic>
          </wp:inline>
        </w:drawing>
      </w:r>
    </w:p>
    <w:p w14:paraId="5C4B8000" w14:textId="5507035B" w:rsidR="0009393F" w:rsidRDefault="0007361E" w:rsidP="00B21D6F">
      <w:pPr>
        <w:spacing w:after="200" w:line="276" w:lineRule="auto"/>
      </w:pPr>
      <w:r w:rsidRPr="0007361E">
        <w:t xml:space="preserve"> </w:t>
      </w:r>
      <w:r w:rsidR="0009393F">
        <w:br w:type="page"/>
      </w:r>
    </w:p>
    <w:p w14:paraId="577A5D82" w14:textId="77777777" w:rsidR="00EA25E2" w:rsidRDefault="00EA25E2">
      <w:pPr>
        <w:spacing w:after="200" w:line="276" w:lineRule="auto"/>
        <w:jc w:val="left"/>
        <w:rPr>
          <w:b w:val="0"/>
        </w:rPr>
        <w:sectPr w:rsidR="00EA25E2" w:rsidSect="00EA25E2">
          <w:footnotePr>
            <w:numRestart w:val="eachSect"/>
          </w:footnotePr>
          <w:pgSz w:w="15840" w:h="12240" w:orient="landscape"/>
          <w:pgMar w:top="1440" w:right="1440" w:bottom="1440" w:left="1440" w:header="720" w:footer="720" w:gutter="0"/>
          <w:cols w:space="720"/>
          <w:docGrid w:linePitch="273"/>
        </w:sectPr>
      </w:pPr>
    </w:p>
    <w:p w14:paraId="0C623872" w14:textId="77777777" w:rsidR="00BC0F80" w:rsidRDefault="00BC0F80" w:rsidP="00BC0F80">
      <w:pPr>
        <w:pStyle w:val="BodyTextIndent"/>
        <w:spacing w:line="360" w:lineRule="auto"/>
        <w:ind w:left="0"/>
        <w:jc w:val="left"/>
      </w:pPr>
      <w:r>
        <w:rPr>
          <w:b/>
        </w:rPr>
        <w:t>Attachment 5.1.1-4: GWh/BBtu Sales by End Use – Multi Family</w:t>
      </w:r>
    </w:p>
    <w:p w14:paraId="2F1C1654" w14:textId="77777777" w:rsidR="003E1B33" w:rsidRDefault="003E1B33" w:rsidP="003E1B33">
      <w:pPr>
        <w:pStyle w:val="BodyTextIndent"/>
        <w:spacing w:after="0"/>
        <w:ind w:left="0"/>
        <w:rPr>
          <w:b/>
        </w:rPr>
      </w:pPr>
      <w:r>
        <w:rPr>
          <w:b/>
        </w:rPr>
        <w:t xml:space="preserve">Residential </w:t>
      </w:r>
      <w:r w:rsidR="005078FC">
        <w:rPr>
          <w:b/>
        </w:rPr>
        <w:t>L</w:t>
      </w:r>
      <w:r>
        <w:rPr>
          <w:b/>
        </w:rPr>
        <w:t xml:space="preserve">ong-Term Forecast </w:t>
      </w:r>
      <w:r w:rsidR="002300F7">
        <w:rPr>
          <w:b/>
        </w:rPr>
        <w:t xml:space="preserve">(LoadMAP-R) </w:t>
      </w:r>
      <w:r w:rsidR="004D1E5D">
        <w:rPr>
          <w:b/>
        </w:rPr>
        <w:t>U</w:t>
      </w:r>
      <w:r>
        <w:rPr>
          <w:b/>
        </w:rPr>
        <w:t>nadjusted</w:t>
      </w:r>
    </w:p>
    <w:p w14:paraId="63914EBC" w14:textId="09189327" w:rsidR="003E1B33" w:rsidRDefault="003E1B33" w:rsidP="003E1B33">
      <w:pPr>
        <w:spacing w:after="200" w:line="276" w:lineRule="auto"/>
      </w:pPr>
      <w:r>
        <w:t xml:space="preserve">Budget </w:t>
      </w:r>
      <w:r w:rsidR="00826251">
        <w:t>2019</w:t>
      </w:r>
    </w:p>
    <w:p w14:paraId="3A9A1C4E" w14:textId="4C636DFB" w:rsidR="00E1223B" w:rsidRDefault="00C02B24" w:rsidP="00C72F53">
      <w:pPr>
        <w:pStyle w:val="BodyTextIndent"/>
        <w:spacing w:line="360" w:lineRule="auto"/>
        <w:ind w:left="0"/>
        <w:rPr>
          <w:noProof/>
        </w:rPr>
      </w:pPr>
      <w:r w:rsidRPr="00C02B24">
        <w:rPr>
          <w:noProof/>
        </w:rPr>
        <w:drawing>
          <wp:inline distT="0" distB="0" distL="0" distR="0" wp14:anchorId="549518BB" wp14:editId="227ABAED">
            <wp:extent cx="8229600" cy="2855045"/>
            <wp:effectExtent l="0" t="0" r="0" b="254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8229600" cy="2855045"/>
                    </a:xfrm>
                    <a:prstGeom prst="rect">
                      <a:avLst/>
                    </a:prstGeom>
                    <a:noFill/>
                    <a:ln>
                      <a:noFill/>
                    </a:ln>
                  </pic:spPr>
                </pic:pic>
              </a:graphicData>
            </a:graphic>
          </wp:inline>
        </w:drawing>
      </w:r>
    </w:p>
    <w:p w14:paraId="5886614E" w14:textId="6E0F2BDE" w:rsidR="003E1B33" w:rsidRDefault="003E1B33" w:rsidP="00C72F53">
      <w:pPr>
        <w:pStyle w:val="BodyTextIndent"/>
        <w:spacing w:line="360" w:lineRule="auto"/>
        <w:ind w:left="0"/>
      </w:pPr>
      <w:r>
        <w:br w:type="page"/>
      </w:r>
      <w:r>
        <w:rPr>
          <w:b/>
        </w:rPr>
        <w:t>Attachment 5.1.1-4: GWh/BBtu Sales by End Use – Multi Family (cont’d)</w:t>
      </w:r>
    </w:p>
    <w:p w14:paraId="364FD377" w14:textId="77777777" w:rsidR="003E1B33" w:rsidRDefault="003E1B33" w:rsidP="003E1B33">
      <w:pPr>
        <w:pStyle w:val="BodyTextIndent"/>
        <w:spacing w:after="0"/>
        <w:ind w:left="0"/>
        <w:rPr>
          <w:b/>
        </w:rPr>
      </w:pPr>
      <w:r>
        <w:rPr>
          <w:b/>
        </w:rPr>
        <w:t xml:space="preserve">Residential </w:t>
      </w:r>
      <w:r w:rsidR="005078FC">
        <w:rPr>
          <w:b/>
        </w:rPr>
        <w:t>L</w:t>
      </w:r>
      <w:r>
        <w:rPr>
          <w:b/>
        </w:rPr>
        <w:t xml:space="preserve">ong-Term Forecast </w:t>
      </w:r>
      <w:r w:rsidR="002300F7">
        <w:rPr>
          <w:b/>
        </w:rPr>
        <w:t xml:space="preserve">(LoadMAP-R) </w:t>
      </w:r>
      <w:r w:rsidR="004D1E5D">
        <w:rPr>
          <w:b/>
        </w:rPr>
        <w:t>U</w:t>
      </w:r>
      <w:r>
        <w:rPr>
          <w:b/>
        </w:rPr>
        <w:t>nadjusted</w:t>
      </w:r>
    </w:p>
    <w:p w14:paraId="2F7045D0" w14:textId="5712D829" w:rsidR="003E1B33" w:rsidRDefault="003E1B33" w:rsidP="003E1B33">
      <w:pPr>
        <w:spacing w:after="200" w:line="276" w:lineRule="auto"/>
      </w:pPr>
      <w:r>
        <w:t xml:space="preserve">Budget </w:t>
      </w:r>
      <w:r w:rsidR="00826251">
        <w:t>2019</w:t>
      </w:r>
    </w:p>
    <w:p w14:paraId="5495B1AB" w14:textId="40902C8E" w:rsidR="00E1223B" w:rsidRDefault="00C02B24" w:rsidP="00B21D6F">
      <w:pPr>
        <w:spacing w:after="200" w:line="276" w:lineRule="auto"/>
        <w:rPr>
          <w:b w:val="0"/>
          <w:noProof/>
        </w:rPr>
      </w:pPr>
      <w:r w:rsidRPr="00C02B24">
        <w:rPr>
          <w:b w:val="0"/>
          <w:noProof/>
        </w:rPr>
        <w:drawing>
          <wp:inline distT="0" distB="0" distL="0" distR="0" wp14:anchorId="70B56ACC" wp14:editId="29FF0233">
            <wp:extent cx="8229600" cy="2829182"/>
            <wp:effectExtent l="0" t="0" r="0"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8229600" cy="2829182"/>
                    </a:xfrm>
                    <a:prstGeom prst="rect">
                      <a:avLst/>
                    </a:prstGeom>
                    <a:noFill/>
                    <a:ln>
                      <a:noFill/>
                    </a:ln>
                  </pic:spPr>
                </pic:pic>
              </a:graphicData>
            </a:graphic>
          </wp:inline>
        </w:drawing>
      </w:r>
    </w:p>
    <w:p w14:paraId="1C51A8BC" w14:textId="77777777" w:rsidR="003E1B33" w:rsidRDefault="003E1B33">
      <w:pPr>
        <w:spacing w:after="200" w:line="276" w:lineRule="auto"/>
        <w:jc w:val="left"/>
        <w:rPr>
          <w:b w:val="0"/>
        </w:rPr>
      </w:pPr>
      <w:r>
        <w:br w:type="page"/>
      </w:r>
    </w:p>
    <w:p w14:paraId="03C2FDF5" w14:textId="77777777" w:rsidR="003E1B33" w:rsidRDefault="003E1B33" w:rsidP="003E1B33">
      <w:pPr>
        <w:pStyle w:val="BodyTextIndent"/>
        <w:spacing w:line="360" w:lineRule="auto"/>
        <w:ind w:left="0"/>
        <w:jc w:val="left"/>
      </w:pPr>
      <w:r>
        <w:rPr>
          <w:b/>
        </w:rPr>
        <w:t>Attachment 5.1.1-4: GWh/BBtu Sales by End Use – Multi Family (cont’d)</w:t>
      </w:r>
    </w:p>
    <w:p w14:paraId="6A954DD2" w14:textId="77777777" w:rsidR="003E1B33" w:rsidRDefault="003E1B33" w:rsidP="003E1B33">
      <w:pPr>
        <w:pStyle w:val="BodyTextIndent"/>
        <w:spacing w:after="0"/>
        <w:ind w:left="0"/>
        <w:rPr>
          <w:b/>
        </w:rPr>
      </w:pPr>
      <w:r>
        <w:rPr>
          <w:b/>
        </w:rPr>
        <w:t xml:space="preserve">Residential </w:t>
      </w:r>
      <w:r w:rsidR="005078FC">
        <w:rPr>
          <w:b/>
        </w:rPr>
        <w:t>L</w:t>
      </w:r>
      <w:r>
        <w:rPr>
          <w:b/>
        </w:rPr>
        <w:t xml:space="preserve">ong-Term Forecast </w:t>
      </w:r>
      <w:r w:rsidR="002300F7">
        <w:rPr>
          <w:b/>
        </w:rPr>
        <w:t xml:space="preserve">(LoadMAP-R) </w:t>
      </w:r>
      <w:r w:rsidR="0065117D">
        <w:rPr>
          <w:b/>
        </w:rPr>
        <w:t>U</w:t>
      </w:r>
      <w:r>
        <w:rPr>
          <w:b/>
        </w:rPr>
        <w:t>nadjusted</w:t>
      </w:r>
    </w:p>
    <w:p w14:paraId="7CD7611E" w14:textId="65CF9358" w:rsidR="003E1B33" w:rsidRDefault="003E1B33" w:rsidP="003E1B33">
      <w:pPr>
        <w:spacing w:after="200" w:line="276" w:lineRule="auto"/>
      </w:pPr>
      <w:r>
        <w:t xml:space="preserve">Budget </w:t>
      </w:r>
      <w:r w:rsidR="00826251">
        <w:t>2019</w:t>
      </w:r>
    </w:p>
    <w:p w14:paraId="6DB5ACBD" w14:textId="5FC66562" w:rsidR="003E1B33" w:rsidRDefault="00C02B24" w:rsidP="00B21D6F">
      <w:pPr>
        <w:spacing w:after="200" w:line="276" w:lineRule="auto"/>
        <w:rPr>
          <w:b w:val="0"/>
        </w:rPr>
      </w:pPr>
      <w:r w:rsidRPr="00C02B24">
        <w:rPr>
          <w:noProof/>
        </w:rPr>
        <w:drawing>
          <wp:inline distT="0" distB="0" distL="0" distR="0" wp14:anchorId="4AC36BB1" wp14:editId="5B6C23C5">
            <wp:extent cx="8229600" cy="3139440"/>
            <wp:effectExtent l="0" t="0" r="0" b="381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8229600" cy="3139440"/>
                    </a:xfrm>
                    <a:prstGeom prst="rect">
                      <a:avLst/>
                    </a:prstGeom>
                    <a:noFill/>
                    <a:ln>
                      <a:noFill/>
                    </a:ln>
                  </pic:spPr>
                </pic:pic>
              </a:graphicData>
            </a:graphic>
          </wp:inline>
        </w:drawing>
      </w:r>
      <w:r w:rsidRPr="00C02B24">
        <w:t xml:space="preserve"> </w:t>
      </w:r>
      <w:r w:rsidR="003E1B33">
        <w:br w:type="page"/>
      </w:r>
    </w:p>
    <w:p w14:paraId="6DB0BDC7" w14:textId="77777777" w:rsidR="00455968" w:rsidRDefault="00455968" w:rsidP="00BC0F80">
      <w:pPr>
        <w:pStyle w:val="BodyTextIndent"/>
        <w:spacing w:line="360" w:lineRule="auto"/>
        <w:ind w:left="0"/>
        <w:jc w:val="left"/>
        <w:sectPr w:rsidR="00455968" w:rsidSect="00455968">
          <w:footnotePr>
            <w:numRestart w:val="eachSect"/>
          </w:footnotePr>
          <w:pgSz w:w="15840" w:h="12240" w:orient="landscape"/>
          <w:pgMar w:top="1440" w:right="1440" w:bottom="1440" w:left="1440" w:header="720" w:footer="720" w:gutter="0"/>
          <w:cols w:space="720"/>
          <w:docGrid w:linePitch="273"/>
        </w:sectPr>
      </w:pPr>
    </w:p>
    <w:p w14:paraId="306D6385" w14:textId="77777777" w:rsidR="00BC0F80" w:rsidRDefault="00BC0F80" w:rsidP="00BC0F80">
      <w:pPr>
        <w:pStyle w:val="BodyTextIndent"/>
        <w:spacing w:line="360" w:lineRule="auto"/>
        <w:ind w:left="0"/>
        <w:jc w:val="left"/>
      </w:pPr>
      <w:r>
        <w:rPr>
          <w:b/>
        </w:rPr>
        <w:t>Attachment 5.1.1-5: GWh/BBtu Sales by End Use – Manufactured Home</w:t>
      </w:r>
    </w:p>
    <w:p w14:paraId="6F8FB244" w14:textId="77777777" w:rsidR="001467C2" w:rsidRDefault="001467C2" w:rsidP="001467C2">
      <w:pPr>
        <w:pStyle w:val="BodyTextIndent"/>
        <w:spacing w:after="0"/>
        <w:ind w:left="0"/>
        <w:rPr>
          <w:b/>
        </w:rPr>
      </w:pPr>
      <w:r>
        <w:rPr>
          <w:b/>
        </w:rPr>
        <w:t xml:space="preserve">Residential </w:t>
      </w:r>
      <w:r w:rsidR="005078FC">
        <w:rPr>
          <w:b/>
        </w:rPr>
        <w:t>L</w:t>
      </w:r>
      <w:r>
        <w:rPr>
          <w:b/>
        </w:rPr>
        <w:t xml:space="preserve">ong-Term Forecast </w:t>
      </w:r>
      <w:r w:rsidR="002300F7">
        <w:rPr>
          <w:b/>
        </w:rPr>
        <w:t xml:space="preserve">(LoadMAP-R) </w:t>
      </w:r>
      <w:r w:rsidR="0065117D">
        <w:rPr>
          <w:b/>
        </w:rPr>
        <w:t>U</w:t>
      </w:r>
      <w:r>
        <w:rPr>
          <w:b/>
        </w:rPr>
        <w:t>nadjusted</w:t>
      </w:r>
    </w:p>
    <w:p w14:paraId="76B6C972" w14:textId="5BAB653C" w:rsidR="001467C2" w:rsidRDefault="001467C2" w:rsidP="001467C2">
      <w:pPr>
        <w:spacing w:after="200" w:line="276" w:lineRule="auto"/>
      </w:pPr>
      <w:r>
        <w:t xml:space="preserve">Budget </w:t>
      </w:r>
      <w:r w:rsidR="00826251">
        <w:t>2019</w:t>
      </w:r>
    </w:p>
    <w:p w14:paraId="5D3769A9" w14:textId="3BD9F6E2" w:rsidR="00E1223B" w:rsidRDefault="0084502C" w:rsidP="00B21D6F">
      <w:pPr>
        <w:spacing w:after="200" w:line="276" w:lineRule="auto"/>
        <w:rPr>
          <w:noProof/>
        </w:rPr>
      </w:pPr>
      <w:r w:rsidRPr="0084502C">
        <w:rPr>
          <w:noProof/>
        </w:rPr>
        <w:drawing>
          <wp:inline distT="0" distB="0" distL="0" distR="0" wp14:anchorId="6C4E997B" wp14:editId="054808C7">
            <wp:extent cx="8229600" cy="2856441"/>
            <wp:effectExtent l="0" t="0" r="0" b="127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8229600" cy="2856441"/>
                    </a:xfrm>
                    <a:prstGeom prst="rect">
                      <a:avLst/>
                    </a:prstGeom>
                    <a:noFill/>
                    <a:ln>
                      <a:noFill/>
                    </a:ln>
                  </pic:spPr>
                </pic:pic>
              </a:graphicData>
            </a:graphic>
          </wp:inline>
        </w:drawing>
      </w:r>
    </w:p>
    <w:p w14:paraId="5D5B063C" w14:textId="210E4166" w:rsidR="001467C2" w:rsidRDefault="001467C2" w:rsidP="00B21D6F">
      <w:pPr>
        <w:spacing w:after="200" w:line="276" w:lineRule="auto"/>
        <w:rPr>
          <w:b w:val="0"/>
        </w:rPr>
      </w:pPr>
      <w:r>
        <w:br w:type="page"/>
      </w:r>
    </w:p>
    <w:p w14:paraId="080B1453" w14:textId="77777777" w:rsidR="001467C2" w:rsidRDefault="001467C2" w:rsidP="001467C2">
      <w:pPr>
        <w:pStyle w:val="BodyTextIndent"/>
        <w:spacing w:line="360" w:lineRule="auto"/>
        <w:ind w:left="0"/>
        <w:jc w:val="left"/>
      </w:pPr>
      <w:r>
        <w:rPr>
          <w:b/>
        </w:rPr>
        <w:t>Attachment 5.1.1-5: GWh/BBtu Sales by End Use – Manufactured Home (cont’d)</w:t>
      </w:r>
    </w:p>
    <w:p w14:paraId="2C17768A" w14:textId="77777777" w:rsidR="001467C2" w:rsidRDefault="005078FC" w:rsidP="001467C2">
      <w:pPr>
        <w:pStyle w:val="BodyTextIndent"/>
        <w:spacing w:after="0"/>
        <w:ind w:left="0"/>
        <w:rPr>
          <w:b/>
        </w:rPr>
      </w:pPr>
      <w:r>
        <w:rPr>
          <w:b/>
        </w:rPr>
        <w:t>Residential L</w:t>
      </w:r>
      <w:r w:rsidR="001467C2">
        <w:rPr>
          <w:b/>
        </w:rPr>
        <w:t>ong-Term Forecast</w:t>
      </w:r>
      <w:r w:rsidR="002300F7">
        <w:rPr>
          <w:b/>
        </w:rPr>
        <w:t xml:space="preserve"> (LoadMAP-R)</w:t>
      </w:r>
      <w:r w:rsidR="001467C2">
        <w:rPr>
          <w:b/>
        </w:rPr>
        <w:t xml:space="preserve"> </w:t>
      </w:r>
      <w:r w:rsidR="0065117D">
        <w:rPr>
          <w:b/>
        </w:rPr>
        <w:t>U</w:t>
      </w:r>
      <w:r w:rsidR="001467C2">
        <w:rPr>
          <w:b/>
        </w:rPr>
        <w:t>nadjusted</w:t>
      </w:r>
    </w:p>
    <w:p w14:paraId="1B2B636D" w14:textId="3AEFACCA" w:rsidR="001467C2" w:rsidRDefault="001467C2" w:rsidP="001467C2">
      <w:pPr>
        <w:spacing w:after="200" w:line="276" w:lineRule="auto"/>
      </w:pPr>
      <w:r>
        <w:t xml:space="preserve">Budget </w:t>
      </w:r>
      <w:r w:rsidR="00826251">
        <w:t>2019</w:t>
      </w:r>
    </w:p>
    <w:p w14:paraId="493A4E46" w14:textId="6BDA11D1" w:rsidR="00E1223B" w:rsidRDefault="0084502C" w:rsidP="00B21D6F">
      <w:pPr>
        <w:spacing w:after="200" w:line="276" w:lineRule="auto"/>
        <w:rPr>
          <w:noProof/>
        </w:rPr>
      </w:pPr>
      <w:r w:rsidRPr="0084502C">
        <w:rPr>
          <w:noProof/>
        </w:rPr>
        <w:drawing>
          <wp:inline distT="0" distB="0" distL="0" distR="0" wp14:anchorId="44FD4B74" wp14:editId="55832D31">
            <wp:extent cx="8229600" cy="2866099"/>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8229600" cy="2866099"/>
                    </a:xfrm>
                    <a:prstGeom prst="rect">
                      <a:avLst/>
                    </a:prstGeom>
                    <a:noFill/>
                    <a:ln>
                      <a:noFill/>
                    </a:ln>
                  </pic:spPr>
                </pic:pic>
              </a:graphicData>
            </a:graphic>
          </wp:inline>
        </w:drawing>
      </w:r>
    </w:p>
    <w:p w14:paraId="6A921786" w14:textId="730622DD" w:rsidR="001467C2" w:rsidRDefault="001467C2" w:rsidP="00B21D6F">
      <w:pPr>
        <w:spacing w:after="200" w:line="276" w:lineRule="auto"/>
        <w:rPr>
          <w:b w:val="0"/>
        </w:rPr>
      </w:pPr>
      <w:r>
        <w:br w:type="page"/>
      </w:r>
    </w:p>
    <w:p w14:paraId="019D6219" w14:textId="77777777" w:rsidR="001467C2" w:rsidRDefault="001467C2" w:rsidP="001467C2">
      <w:pPr>
        <w:pStyle w:val="BodyTextIndent"/>
        <w:spacing w:line="360" w:lineRule="auto"/>
        <w:ind w:left="0"/>
        <w:jc w:val="left"/>
      </w:pPr>
      <w:r>
        <w:rPr>
          <w:b/>
        </w:rPr>
        <w:t>Attachment 5.1.1-5: GWh/BBtu Sales by End Use – Manufactured Home (cont’d)</w:t>
      </w:r>
    </w:p>
    <w:p w14:paraId="0DC91A93" w14:textId="77777777" w:rsidR="001467C2" w:rsidRDefault="001467C2" w:rsidP="001467C2">
      <w:pPr>
        <w:pStyle w:val="BodyTextIndent"/>
        <w:spacing w:after="0"/>
        <w:ind w:left="0"/>
        <w:rPr>
          <w:b/>
        </w:rPr>
      </w:pPr>
      <w:r>
        <w:rPr>
          <w:b/>
        </w:rPr>
        <w:t xml:space="preserve">Residential </w:t>
      </w:r>
      <w:r w:rsidR="005078FC">
        <w:rPr>
          <w:b/>
        </w:rPr>
        <w:t>L</w:t>
      </w:r>
      <w:r>
        <w:rPr>
          <w:b/>
        </w:rPr>
        <w:t xml:space="preserve">ong-Term Forecast </w:t>
      </w:r>
      <w:r w:rsidR="002300F7">
        <w:rPr>
          <w:b/>
        </w:rPr>
        <w:t xml:space="preserve">(LoadMAP-R) </w:t>
      </w:r>
      <w:r w:rsidR="0065117D">
        <w:rPr>
          <w:b/>
        </w:rPr>
        <w:t>U</w:t>
      </w:r>
      <w:r>
        <w:rPr>
          <w:b/>
        </w:rPr>
        <w:t>nadjusted</w:t>
      </w:r>
    </w:p>
    <w:p w14:paraId="770D236F" w14:textId="4D746E39" w:rsidR="001467C2" w:rsidRDefault="001467C2" w:rsidP="001467C2">
      <w:pPr>
        <w:spacing w:after="200" w:line="276" w:lineRule="auto"/>
      </w:pPr>
      <w:r>
        <w:t xml:space="preserve">Budget </w:t>
      </w:r>
      <w:r w:rsidR="00826251">
        <w:t>2019</w:t>
      </w:r>
    </w:p>
    <w:p w14:paraId="50BC6E7B" w14:textId="752AC256" w:rsidR="00E1223B" w:rsidRDefault="0084502C" w:rsidP="00B21D6F">
      <w:pPr>
        <w:spacing w:after="200" w:line="276" w:lineRule="auto"/>
        <w:rPr>
          <w:noProof/>
        </w:rPr>
      </w:pPr>
      <w:r w:rsidRPr="0084502C">
        <w:rPr>
          <w:noProof/>
        </w:rPr>
        <w:drawing>
          <wp:inline distT="0" distB="0" distL="0" distR="0" wp14:anchorId="4798F0CD" wp14:editId="43A695B2">
            <wp:extent cx="8229600" cy="3207753"/>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8229600" cy="3207753"/>
                    </a:xfrm>
                    <a:prstGeom prst="rect">
                      <a:avLst/>
                    </a:prstGeom>
                    <a:noFill/>
                    <a:ln>
                      <a:noFill/>
                    </a:ln>
                  </pic:spPr>
                </pic:pic>
              </a:graphicData>
            </a:graphic>
          </wp:inline>
        </w:drawing>
      </w:r>
    </w:p>
    <w:p w14:paraId="4E156135" w14:textId="7AABED3D" w:rsidR="001467C2" w:rsidRDefault="001467C2" w:rsidP="00B21D6F">
      <w:pPr>
        <w:spacing w:after="200" w:line="276" w:lineRule="auto"/>
        <w:rPr>
          <w:b w:val="0"/>
        </w:rPr>
      </w:pPr>
      <w:r>
        <w:br w:type="page"/>
      </w:r>
    </w:p>
    <w:p w14:paraId="253F0480" w14:textId="77777777" w:rsidR="001467C2" w:rsidRDefault="001467C2" w:rsidP="00BC0F80">
      <w:pPr>
        <w:pStyle w:val="BodyTextIndent"/>
        <w:spacing w:line="360" w:lineRule="auto"/>
        <w:ind w:left="0"/>
        <w:jc w:val="left"/>
        <w:sectPr w:rsidR="001467C2" w:rsidSect="001467C2">
          <w:footnotePr>
            <w:numRestart w:val="eachSect"/>
          </w:footnotePr>
          <w:pgSz w:w="15840" w:h="12240" w:orient="landscape"/>
          <w:pgMar w:top="1440" w:right="1440" w:bottom="1440" w:left="1440" w:header="720" w:footer="720" w:gutter="0"/>
          <w:cols w:space="720"/>
          <w:docGrid w:linePitch="273"/>
        </w:sectPr>
      </w:pPr>
    </w:p>
    <w:p w14:paraId="7D9C5898" w14:textId="77777777" w:rsidR="00850F01" w:rsidRDefault="00850F01" w:rsidP="00850F01">
      <w:pPr>
        <w:pStyle w:val="BodyTextIndent"/>
        <w:spacing w:line="360" w:lineRule="auto"/>
        <w:ind w:left="0"/>
        <w:jc w:val="left"/>
      </w:pPr>
      <w:r>
        <w:rPr>
          <w:b/>
        </w:rPr>
        <w:t>Attachment 5.1.1-6: GWh/BBtu Sales by Fuel</w:t>
      </w:r>
    </w:p>
    <w:p w14:paraId="71FFC4F7" w14:textId="77777777" w:rsidR="005078FC" w:rsidRDefault="005078FC" w:rsidP="005078FC">
      <w:pPr>
        <w:pStyle w:val="BodyTextIndent"/>
        <w:spacing w:after="0"/>
        <w:ind w:left="0"/>
        <w:rPr>
          <w:b/>
        </w:rPr>
      </w:pPr>
      <w:r>
        <w:rPr>
          <w:b/>
        </w:rPr>
        <w:t xml:space="preserve">Residential Long-Term Forecast </w:t>
      </w:r>
      <w:r w:rsidR="002300F7">
        <w:rPr>
          <w:b/>
        </w:rPr>
        <w:t xml:space="preserve">(LoadMAP-R) </w:t>
      </w:r>
      <w:r w:rsidR="0065117D">
        <w:rPr>
          <w:b/>
        </w:rPr>
        <w:t>U</w:t>
      </w:r>
      <w:r>
        <w:rPr>
          <w:b/>
        </w:rPr>
        <w:t>nadjusted</w:t>
      </w:r>
    </w:p>
    <w:p w14:paraId="7C341A68" w14:textId="30B930C7" w:rsidR="005078FC" w:rsidRDefault="005078FC" w:rsidP="005078FC">
      <w:pPr>
        <w:spacing w:after="200" w:line="276" w:lineRule="auto"/>
      </w:pPr>
      <w:r>
        <w:t xml:space="preserve">Budget </w:t>
      </w:r>
      <w:r w:rsidR="00826251">
        <w:t>2019</w:t>
      </w:r>
    </w:p>
    <w:p w14:paraId="4E2C6AC3" w14:textId="28964044" w:rsidR="00E1223B" w:rsidRDefault="0084502C" w:rsidP="005078FC">
      <w:pPr>
        <w:spacing w:after="200" w:line="276" w:lineRule="auto"/>
        <w:rPr>
          <w:noProof/>
        </w:rPr>
      </w:pPr>
      <w:r w:rsidRPr="0084502C">
        <w:rPr>
          <w:noProof/>
        </w:rPr>
        <w:drawing>
          <wp:inline distT="0" distB="0" distL="0" distR="0" wp14:anchorId="0336D91C" wp14:editId="3399A686">
            <wp:extent cx="2305050" cy="3581400"/>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305050" cy="3581400"/>
                    </a:xfrm>
                    <a:prstGeom prst="rect">
                      <a:avLst/>
                    </a:prstGeom>
                    <a:noFill/>
                    <a:ln>
                      <a:noFill/>
                    </a:ln>
                  </pic:spPr>
                </pic:pic>
              </a:graphicData>
            </a:graphic>
          </wp:inline>
        </w:drawing>
      </w:r>
    </w:p>
    <w:p w14:paraId="75E61086" w14:textId="4B910042" w:rsidR="00EF3EF3" w:rsidRDefault="00EF3EF3" w:rsidP="005078FC">
      <w:pPr>
        <w:spacing w:after="200" w:line="276" w:lineRule="auto"/>
        <w:rPr>
          <w:b w:val="0"/>
        </w:rPr>
      </w:pPr>
      <w:r>
        <w:br w:type="page"/>
      </w:r>
    </w:p>
    <w:p w14:paraId="1614D18E" w14:textId="77777777" w:rsidR="005078FC" w:rsidRDefault="005078FC" w:rsidP="00850F01">
      <w:pPr>
        <w:pStyle w:val="BodyTextIndent"/>
        <w:spacing w:line="360" w:lineRule="auto"/>
        <w:ind w:left="0"/>
        <w:jc w:val="left"/>
        <w:sectPr w:rsidR="005078FC" w:rsidSect="005078FC">
          <w:footnotePr>
            <w:numRestart w:val="eachSect"/>
          </w:footnotePr>
          <w:pgSz w:w="15840" w:h="12240" w:orient="landscape"/>
          <w:pgMar w:top="1440" w:right="1440" w:bottom="1440" w:left="1440" w:header="720" w:footer="720" w:gutter="0"/>
          <w:cols w:space="720"/>
          <w:docGrid w:linePitch="273"/>
        </w:sectPr>
      </w:pPr>
    </w:p>
    <w:p w14:paraId="37B7E537" w14:textId="77777777" w:rsidR="00850F01" w:rsidRDefault="00850F01" w:rsidP="00850F01">
      <w:pPr>
        <w:pStyle w:val="BodyTextIndent"/>
        <w:spacing w:line="360" w:lineRule="auto"/>
        <w:ind w:left="0"/>
        <w:jc w:val="left"/>
      </w:pPr>
      <w:r>
        <w:rPr>
          <w:b/>
        </w:rPr>
        <w:t>Attachment 5.1.1-7: Average UEC (kWh/BBtu)</w:t>
      </w:r>
    </w:p>
    <w:p w14:paraId="24E14467" w14:textId="77777777" w:rsidR="005078FC" w:rsidRDefault="005078FC" w:rsidP="005078FC">
      <w:pPr>
        <w:pStyle w:val="BodyTextIndent"/>
        <w:spacing w:after="0"/>
        <w:ind w:left="0"/>
        <w:rPr>
          <w:b/>
        </w:rPr>
      </w:pPr>
      <w:r>
        <w:rPr>
          <w:b/>
        </w:rPr>
        <w:t xml:space="preserve">Residential Long-Term Forecast </w:t>
      </w:r>
      <w:r w:rsidR="002300F7">
        <w:rPr>
          <w:b/>
        </w:rPr>
        <w:t xml:space="preserve">(LoadMAP-R) </w:t>
      </w:r>
      <w:r w:rsidR="0065117D">
        <w:rPr>
          <w:b/>
        </w:rPr>
        <w:t>U</w:t>
      </w:r>
      <w:r>
        <w:rPr>
          <w:b/>
        </w:rPr>
        <w:t>nadjusted</w:t>
      </w:r>
    </w:p>
    <w:p w14:paraId="7109D997" w14:textId="14C3C623" w:rsidR="005078FC" w:rsidRDefault="005078FC" w:rsidP="005078FC">
      <w:pPr>
        <w:spacing w:after="200" w:line="276" w:lineRule="auto"/>
      </w:pPr>
      <w:r>
        <w:t xml:space="preserve">Budget </w:t>
      </w:r>
      <w:r w:rsidR="00826251">
        <w:t>2019</w:t>
      </w:r>
    </w:p>
    <w:p w14:paraId="54AC5CDD" w14:textId="55A78370" w:rsidR="00E1223B" w:rsidRDefault="0084502C" w:rsidP="00B21D6F">
      <w:pPr>
        <w:spacing w:after="200" w:line="276" w:lineRule="auto"/>
        <w:rPr>
          <w:noProof/>
        </w:rPr>
      </w:pPr>
      <w:r w:rsidRPr="0084502C">
        <w:rPr>
          <w:noProof/>
        </w:rPr>
        <w:drawing>
          <wp:inline distT="0" distB="0" distL="0" distR="0" wp14:anchorId="5042B974" wp14:editId="3E401F5E">
            <wp:extent cx="8229600" cy="2910382"/>
            <wp:effectExtent l="0" t="0" r="0" b="4445"/>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8229600" cy="2910382"/>
                    </a:xfrm>
                    <a:prstGeom prst="rect">
                      <a:avLst/>
                    </a:prstGeom>
                    <a:noFill/>
                    <a:ln>
                      <a:noFill/>
                    </a:ln>
                  </pic:spPr>
                </pic:pic>
              </a:graphicData>
            </a:graphic>
          </wp:inline>
        </w:drawing>
      </w:r>
    </w:p>
    <w:p w14:paraId="21ED5C36" w14:textId="4F5D2E1B" w:rsidR="005078FC" w:rsidRDefault="005078FC" w:rsidP="00B21D6F">
      <w:pPr>
        <w:spacing w:after="200" w:line="276" w:lineRule="auto"/>
        <w:rPr>
          <w:b w:val="0"/>
        </w:rPr>
      </w:pPr>
      <w:r>
        <w:br w:type="page"/>
      </w:r>
    </w:p>
    <w:p w14:paraId="29F73BE4" w14:textId="77777777" w:rsidR="005078FC" w:rsidRDefault="005078FC" w:rsidP="005078FC">
      <w:pPr>
        <w:pStyle w:val="BodyTextIndent"/>
        <w:spacing w:line="360" w:lineRule="auto"/>
        <w:ind w:left="0"/>
        <w:jc w:val="left"/>
      </w:pPr>
      <w:r>
        <w:rPr>
          <w:b/>
        </w:rPr>
        <w:t xml:space="preserve">Attachment 5.1.1-7: Average UEC (cont’d) </w:t>
      </w:r>
    </w:p>
    <w:p w14:paraId="0CC15D1E" w14:textId="77777777" w:rsidR="005078FC" w:rsidRDefault="005078FC" w:rsidP="005078FC">
      <w:pPr>
        <w:pStyle w:val="BodyTextIndent"/>
        <w:spacing w:after="0"/>
        <w:ind w:left="0"/>
        <w:rPr>
          <w:b/>
        </w:rPr>
      </w:pPr>
      <w:r>
        <w:rPr>
          <w:b/>
        </w:rPr>
        <w:t xml:space="preserve">Residential Long-Term Forecast </w:t>
      </w:r>
      <w:r w:rsidR="002300F7">
        <w:rPr>
          <w:b/>
        </w:rPr>
        <w:t xml:space="preserve">(LoadMAP-R) </w:t>
      </w:r>
      <w:r w:rsidR="0065117D">
        <w:rPr>
          <w:b/>
        </w:rPr>
        <w:t>U</w:t>
      </w:r>
      <w:r>
        <w:rPr>
          <w:b/>
        </w:rPr>
        <w:t>nadjusted</w:t>
      </w:r>
    </w:p>
    <w:p w14:paraId="711DFFB8" w14:textId="44BEB2E0" w:rsidR="005078FC" w:rsidRDefault="005078FC" w:rsidP="005078FC">
      <w:pPr>
        <w:spacing w:after="200" w:line="276" w:lineRule="auto"/>
      </w:pPr>
      <w:r>
        <w:t xml:space="preserve">Budget </w:t>
      </w:r>
      <w:r w:rsidR="00826251">
        <w:t>2019</w:t>
      </w:r>
    </w:p>
    <w:p w14:paraId="38E4AFAC" w14:textId="2466A9CF" w:rsidR="00E1223B" w:rsidRDefault="0084502C" w:rsidP="00B21D6F">
      <w:pPr>
        <w:spacing w:after="200" w:line="276" w:lineRule="auto"/>
        <w:rPr>
          <w:noProof/>
        </w:rPr>
      </w:pPr>
      <w:r w:rsidRPr="0084502C">
        <w:rPr>
          <w:noProof/>
        </w:rPr>
        <w:drawing>
          <wp:inline distT="0" distB="0" distL="0" distR="0" wp14:anchorId="1FA4286C" wp14:editId="2D8192E1">
            <wp:extent cx="8229600" cy="2888071"/>
            <wp:effectExtent l="0" t="0" r="0" b="762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8229600" cy="2888071"/>
                    </a:xfrm>
                    <a:prstGeom prst="rect">
                      <a:avLst/>
                    </a:prstGeom>
                    <a:noFill/>
                    <a:ln>
                      <a:noFill/>
                    </a:ln>
                  </pic:spPr>
                </pic:pic>
              </a:graphicData>
            </a:graphic>
          </wp:inline>
        </w:drawing>
      </w:r>
    </w:p>
    <w:p w14:paraId="26E81C0C" w14:textId="18CEBA6D" w:rsidR="005078FC" w:rsidRDefault="005078FC" w:rsidP="00B21D6F">
      <w:pPr>
        <w:spacing w:after="200" w:line="276" w:lineRule="auto"/>
        <w:rPr>
          <w:b w:val="0"/>
        </w:rPr>
      </w:pPr>
      <w:r>
        <w:br w:type="page"/>
      </w:r>
    </w:p>
    <w:p w14:paraId="3188C8E9" w14:textId="77777777" w:rsidR="005078FC" w:rsidRDefault="005078FC" w:rsidP="005078FC">
      <w:pPr>
        <w:pStyle w:val="BodyTextIndent"/>
        <w:spacing w:line="360" w:lineRule="auto"/>
        <w:ind w:left="0"/>
        <w:jc w:val="left"/>
      </w:pPr>
      <w:r>
        <w:rPr>
          <w:b/>
        </w:rPr>
        <w:t xml:space="preserve">Attachment 5.1.1-7: Average UEC (cont’d) </w:t>
      </w:r>
    </w:p>
    <w:p w14:paraId="6790503C" w14:textId="77777777" w:rsidR="005078FC" w:rsidRDefault="005078FC" w:rsidP="005078FC">
      <w:pPr>
        <w:pStyle w:val="BodyTextIndent"/>
        <w:spacing w:after="0"/>
        <w:ind w:left="0"/>
        <w:rPr>
          <w:b/>
        </w:rPr>
      </w:pPr>
      <w:r>
        <w:rPr>
          <w:b/>
        </w:rPr>
        <w:t xml:space="preserve">Residential Long-Term Forecast </w:t>
      </w:r>
      <w:r w:rsidR="002300F7">
        <w:rPr>
          <w:b/>
        </w:rPr>
        <w:t xml:space="preserve">(LoadMAP-R) </w:t>
      </w:r>
      <w:r w:rsidR="0065117D">
        <w:rPr>
          <w:b/>
        </w:rPr>
        <w:t>U</w:t>
      </w:r>
      <w:r>
        <w:rPr>
          <w:b/>
        </w:rPr>
        <w:t>nadjusted</w:t>
      </w:r>
    </w:p>
    <w:p w14:paraId="2662F37A" w14:textId="4DD29F1E" w:rsidR="005078FC" w:rsidRDefault="005078FC" w:rsidP="005078FC">
      <w:pPr>
        <w:spacing w:after="200" w:line="276" w:lineRule="auto"/>
      </w:pPr>
      <w:r>
        <w:t xml:space="preserve">Budget </w:t>
      </w:r>
      <w:r w:rsidR="00826251">
        <w:t>2019</w:t>
      </w:r>
    </w:p>
    <w:p w14:paraId="26BDD02B" w14:textId="791789BA" w:rsidR="00E1223B" w:rsidRDefault="0084502C" w:rsidP="00B21D6F">
      <w:pPr>
        <w:spacing w:after="200" w:line="276" w:lineRule="auto"/>
        <w:rPr>
          <w:noProof/>
        </w:rPr>
      </w:pPr>
      <w:r w:rsidRPr="0084502C">
        <w:rPr>
          <w:noProof/>
        </w:rPr>
        <w:drawing>
          <wp:inline distT="0" distB="0" distL="0" distR="0" wp14:anchorId="046B30E8" wp14:editId="76A36127">
            <wp:extent cx="8229600" cy="3183657"/>
            <wp:effectExtent l="0" t="0" r="0"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8229600" cy="3183657"/>
                    </a:xfrm>
                    <a:prstGeom prst="rect">
                      <a:avLst/>
                    </a:prstGeom>
                    <a:noFill/>
                    <a:ln>
                      <a:noFill/>
                    </a:ln>
                  </pic:spPr>
                </pic:pic>
              </a:graphicData>
            </a:graphic>
          </wp:inline>
        </w:drawing>
      </w:r>
    </w:p>
    <w:p w14:paraId="3D235574" w14:textId="12B3968C" w:rsidR="005078FC" w:rsidRDefault="005078FC" w:rsidP="00B21D6F">
      <w:pPr>
        <w:spacing w:after="200" w:line="276" w:lineRule="auto"/>
        <w:rPr>
          <w:b w:val="0"/>
        </w:rPr>
      </w:pPr>
      <w:r>
        <w:br w:type="page"/>
      </w:r>
    </w:p>
    <w:p w14:paraId="0F921D95" w14:textId="77777777" w:rsidR="00850F01" w:rsidRDefault="00850F01" w:rsidP="00850F01">
      <w:pPr>
        <w:pStyle w:val="BodyTextIndent"/>
        <w:spacing w:line="360" w:lineRule="auto"/>
        <w:ind w:left="0"/>
        <w:jc w:val="left"/>
      </w:pPr>
      <w:r>
        <w:rPr>
          <w:b/>
        </w:rPr>
        <w:t>Attachment 5.1.1-8: Average Share of Market</w:t>
      </w:r>
    </w:p>
    <w:p w14:paraId="738599D1" w14:textId="77777777" w:rsidR="002C0DD5" w:rsidRDefault="002C0DD5" w:rsidP="002C0DD5">
      <w:pPr>
        <w:pStyle w:val="BodyTextIndent"/>
        <w:spacing w:after="0"/>
        <w:ind w:left="0"/>
        <w:rPr>
          <w:b/>
        </w:rPr>
      </w:pPr>
      <w:r>
        <w:rPr>
          <w:b/>
        </w:rPr>
        <w:t xml:space="preserve">Residential Long-Term Forecast </w:t>
      </w:r>
      <w:r w:rsidR="002300F7">
        <w:rPr>
          <w:b/>
        </w:rPr>
        <w:t xml:space="preserve">(LoadMAP-R) </w:t>
      </w:r>
      <w:r w:rsidR="0065117D">
        <w:rPr>
          <w:b/>
        </w:rPr>
        <w:t>U</w:t>
      </w:r>
      <w:r>
        <w:rPr>
          <w:b/>
        </w:rPr>
        <w:t>nadjusted</w:t>
      </w:r>
    </w:p>
    <w:p w14:paraId="676AEC12" w14:textId="0EA32572" w:rsidR="002C0DD5" w:rsidRDefault="002C0DD5" w:rsidP="002C0DD5">
      <w:pPr>
        <w:spacing w:after="200" w:line="276" w:lineRule="auto"/>
      </w:pPr>
      <w:r>
        <w:t xml:space="preserve">Budget </w:t>
      </w:r>
      <w:r w:rsidR="00826251">
        <w:t>2019</w:t>
      </w:r>
    </w:p>
    <w:p w14:paraId="0BEF6634" w14:textId="1B8D1C2F" w:rsidR="005078FC" w:rsidRDefault="0084502C" w:rsidP="00B21D6F">
      <w:pPr>
        <w:spacing w:after="200" w:line="276" w:lineRule="auto"/>
        <w:rPr>
          <w:b w:val="0"/>
        </w:rPr>
      </w:pPr>
      <w:r w:rsidRPr="0084502C">
        <w:rPr>
          <w:noProof/>
        </w:rPr>
        <w:drawing>
          <wp:inline distT="0" distB="0" distL="0" distR="0" wp14:anchorId="2D50DF9E" wp14:editId="7A47CBD6">
            <wp:extent cx="8229600" cy="3269992"/>
            <wp:effectExtent l="0" t="0" r="0" b="698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8229600" cy="3269992"/>
                    </a:xfrm>
                    <a:prstGeom prst="rect">
                      <a:avLst/>
                    </a:prstGeom>
                    <a:noFill/>
                    <a:ln>
                      <a:noFill/>
                    </a:ln>
                  </pic:spPr>
                </pic:pic>
              </a:graphicData>
            </a:graphic>
          </wp:inline>
        </w:drawing>
      </w:r>
      <w:r w:rsidRPr="0084502C">
        <w:t xml:space="preserve"> </w:t>
      </w:r>
      <w:r w:rsidR="005078FC">
        <w:br w:type="page"/>
      </w:r>
    </w:p>
    <w:p w14:paraId="7A308F6F" w14:textId="77777777" w:rsidR="002C0DD5" w:rsidRDefault="002C0DD5" w:rsidP="002C0DD5">
      <w:pPr>
        <w:pStyle w:val="BodyTextIndent"/>
        <w:spacing w:line="360" w:lineRule="auto"/>
        <w:ind w:left="0"/>
        <w:jc w:val="left"/>
      </w:pPr>
      <w:r>
        <w:rPr>
          <w:b/>
        </w:rPr>
        <w:t>Attachment 5.1.1-8: Average Share of Market (cont’d)</w:t>
      </w:r>
    </w:p>
    <w:p w14:paraId="33FB9E85" w14:textId="77777777" w:rsidR="002C0DD5" w:rsidRDefault="002C0DD5" w:rsidP="002C0DD5">
      <w:pPr>
        <w:pStyle w:val="BodyTextIndent"/>
        <w:spacing w:after="0"/>
        <w:ind w:left="0"/>
        <w:rPr>
          <w:b/>
        </w:rPr>
      </w:pPr>
      <w:r>
        <w:rPr>
          <w:b/>
        </w:rPr>
        <w:t>Residential Long-Term Forecast</w:t>
      </w:r>
      <w:r w:rsidR="002300F7">
        <w:rPr>
          <w:b/>
        </w:rPr>
        <w:t xml:space="preserve"> (LoadMAP-R)</w:t>
      </w:r>
      <w:r>
        <w:rPr>
          <w:b/>
        </w:rPr>
        <w:t xml:space="preserve"> </w:t>
      </w:r>
      <w:r w:rsidR="0065117D">
        <w:rPr>
          <w:b/>
        </w:rPr>
        <w:t>U</w:t>
      </w:r>
      <w:r>
        <w:rPr>
          <w:b/>
        </w:rPr>
        <w:t>nadjusted</w:t>
      </w:r>
    </w:p>
    <w:p w14:paraId="56FD1E45" w14:textId="4DA59F6D" w:rsidR="002C0DD5" w:rsidRDefault="002C0DD5" w:rsidP="002C0DD5">
      <w:pPr>
        <w:spacing w:after="200" w:line="276" w:lineRule="auto"/>
      </w:pPr>
      <w:r>
        <w:t xml:space="preserve">Budget </w:t>
      </w:r>
      <w:r w:rsidR="00826251">
        <w:t>2019</w:t>
      </w:r>
    </w:p>
    <w:p w14:paraId="3C06DD14" w14:textId="7252A320" w:rsidR="00E1223B" w:rsidRDefault="007766D5" w:rsidP="00B21D6F">
      <w:pPr>
        <w:spacing w:after="200" w:line="276" w:lineRule="auto"/>
        <w:rPr>
          <w:noProof/>
        </w:rPr>
      </w:pPr>
      <w:r w:rsidRPr="007766D5">
        <w:rPr>
          <w:noProof/>
        </w:rPr>
        <w:drawing>
          <wp:inline distT="0" distB="0" distL="0" distR="0" wp14:anchorId="76344849" wp14:editId="4F7312B4">
            <wp:extent cx="8229600" cy="3272888"/>
            <wp:effectExtent l="0" t="0" r="0" b="381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8229600" cy="3272888"/>
                    </a:xfrm>
                    <a:prstGeom prst="rect">
                      <a:avLst/>
                    </a:prstGeom>
                    <a:noFill/>
                    <a:ln>
                      <a:noFill/>
                    </a:ln>
                  </pic:spPr>
                </pic:pic>
              </a:graphicData>
            </a:graphic>
          </wp:inline>
        </w:drawing>
      </w:r>
    </w:p>
    <w:p w14:paraId="477F219F" w14:textId="4D6DDBD9" w:rsidR="00590C86" w:rsidRDefault="00590C86" w:rsidP="00B21D6F">
      <w:pPr>
        <w:spacing w:after="200" w:line="276" w:lineRule="auto"/>
      </w:pPr>
      <w:r>
        <w:br w:type="page"/>
      </w:r>
    </w:p>
    <w:p w14:paraId="7339A175" w14:textId="77777777" w:rsidR="00590C86" w:rsidRDefault="00590C86" w:rsidP="00590C86">
      <w:pPr>
        <w:pStyle w:val="BodyTextIndent"/>
        <w:spacing w:line="360" w:lineRule="auto"/>
        <w:ind w:left="0"/>
        <w:jc w:val="left"/>
      </w:pPr>
      <w:r>
        <w:rPr>
          <w:b/>
        </w:rPr>
        <w:t>Attachment 5.1.1-8: Average Share of Market (cont’d)</w:t>
      </w:r>
    </w:p>
    <w:p w14:paraId="04F3F766" w14:textId="77777777" w:rsidR="00590C86" w:rsidRDefault="00590C86" w:rsidP="00590C86">
      <w:pPr>
        <w:pStyle w:val="BodyTextIndent"/>
        <w:spacing w:after="0"/>
        <w:ind w:left="0"/>
        <w:rPr>
          <w:b/>
        </w:rPr>
      </w:pPr>
      <w:r>
        <w:rPr>
          <w:b/>
        </w:rPr>
        <w:t xml:space="preserve">Residential Long-Term Forecast </w:t>
      </w:r>
      <w:r w:rsidR="002300F7">
        <w:rPr>
          <w:b/>
        </w:rPr>
        <w:t xml:space="preserve">(LoadMAP-R) </w:t>
      </w:r>
      <w:r w:rsidR="0065117D">
        <w:rPr>
          <w:b/>
        </w:rPr>
        <w:t>U</w:t>
      </w:r>
      <w:r>
        <w:rPr>
          <w:b/>
        </w:rPr>
        <w:t>nadjusted</w:t>
      </w:r>
    </w:p>
    <w:p w14:paraId="1E66BB21" w14:textId="295A04F8" w:rsidR="00590C86" w:rsidRDefault="00590C86" w:rsidP="00590C86">
      <w:pPr>
        <w:spacing w:after="200" w:line="276" w:lineRule="auto"/>
      </w:pPr>
      <w:r>
        <w:t xml:space="preserve">Budget </w:t>
      </w:r>
      <w:r w:rsidR="00826251">
        <w:t>2019</w:t>
      </w:r>
    </w:p>
    <w:p w14:paraId="51D53E59" w14:textId="2725744A" w:rsidR="00E1223B" w:rsidRDefault="00913677" w:rsidP="00913677">
      <w:pPr>
        <w:spacing w:after="200" w:line="276" w:lineRule="auto"/>
        <w:rPr>
          <w:noProof/>
        </w:rPr>
      </w:pPr>
      <w:r w:rsidRPr="00913677">
        <w:rPr>
          <w:noProof/>
        </w:rPr>
        <w:drawing>
          <wp:inline distT="0" distB="0" distL="0" distR="0" wp14:anchorId="12CC2779" wp14:editId="5989BC29">
            <wp:extent cx="8229600" cy="3762821"/>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8229600" cy="3762821"/>
                    </a:xfrm>
                    <a:prstGeom prst="rect">
                      <a:avLst/>
                    </a:prstGeom>
                    <a:noFill/>
                    <a:ln>
                      <a:noFill/>
                    </a:ln>
                  </pic:spPr>
                </pic:pic>
              </a:graphicData>
            </a:graphic>
          </wp:inline>
        </w:drawing>
      </w:r>
    </w:p>
    <w:p w14:paraId="6625A7DE" w14:textId="1EEA4C8B" w:rsidR="005078FC" w:rsidRDefault="005078FC" w:rsidP="00B21D6F">
      <w:pPr>
        <w:spacing w:after="200" w:line="276" w:lineRule="auto"/>
        <w:rPr>
          <w:b w:val="0"/>
        </w:rPr>
      </w:pPr>
      <w:r>
        <w:br w:type="page"/>
      </w:r>
    </w:p>
    <w:p w14:paraId="4DA5E968" w14:textId="77777777" w:rsidR="001B5EC7" w:rsidRDefault="001B5EC7" w:rsidP="002C0DD5">
      <w:pPr>
        <w:pStyle w:val="BodyTextIndent"/>
        <w:spacing w:line="360" w:lineRule="auto"/>
        <w:ind w:left="0"/>
        <w:jc w:val="left"/>
        <w:rPr>
          <w:b/>
        </w:rPr>
        <w:sectPr w:rsidR="001B5EC7" w:rsidSect="005078FC">
          <w:footnotePr>
            <w:numRestart w:val="eachSect"/>
          </w:footnotePr>
          <w:pgSz w:w="15840" w:h="12240" w:orient="landscape"/>
          <w:pgMar w:top="1440" w:right="1440" w:bottom="1440" w:left="1440" w:header="720" w:footer="720" w:gutter="0"/>
          <w:cols w:space="720"/>
          <w:docGrid w:linePitch="273"/>
        </w:sectPr>
      </w:pPr>
    </w:p>
    <w:p w14:paraId="70F81AFD" w14:textId="77777777" w:rsidR="00850F01" w:rsidRPr="00850F01" w:rsidRDefault="00850F01" w:rsidP="00850F01">
      <w:pPr>
        <w:pStyle w:val="Heading2"/>
        <w:jc w:val="left"/>
        <w:rPr>
          <w:rFonts w:ascii="Arial" w:hAnsi="Arial" w:cs="Arial"/>
          <w:b/>
          <w:color w:val="auto"/>
          <w:sz w:val="20"/>
          <w:szCs w:val="20"/>
        </w:rPr>
      </w:pPr>
      <w:bookmarkStart w:id="239" w:name="_Toc114629526"/>
      <w:bookmarkStart w:id="240" w:name="_Toc138581533"/>
      <w:bookmarkStart w:id="241" w:name="_Toc347120419"/>
      <w:bookmarkStart w:id="242" w:name="_Toc535495644"/>
      <w:r w:rsidRPr="00850F01">
        <w:rPr>
          <w:rFonts w:ascii="Arial" w:hAnsi="Arial" w:cs="Arial"/>
          <w:b/>
          <w:color w:val="auto"/>
          <w:sz w:val="20"/>
          <w:szCs w:val="20"/>
        </w:rPr>
        <w:t>5.1.2</w:t>
      </w:r>
      <w:r w:rsidRPr="00850F01">
        <w:rPr>
          <w:rFonts w:ascii="Arial" w:hAnsi="Arial" w:cs="Arial"/>
          <w:b/>
          <w:color w:val="auto"/>
          <w:sz w:val="20"/>
          <w:szCs w:val="20"/>
        </w:rPr>
        <w:tab/>
        <w:t>Commercial Long-Term Energy Sales</w:t>
      </w:r>
      <w:bookmarkEnd w:id="239"/>
      <w:bookmarkEnd w:id="240"/>
      <w:bookmarkEnd w:id="241"/>
      <w:bookmarkEnd w:id="242"/>
    </w:p>
    <w:p w14:paraId="79303E70" w14:textId="77777777" w:rsidR="00460DCE" w:rsidRDefault="00460DCE" w:rsidP="00850F01">
      <w:pPr>
        <w:pStyle w:val="BodyText"/>
      </w:pPr>
    </w:p>
    <w:p w14:paraId="4AD8497F" w14:textId="1D40A930" w:rsidR="00AA59CB" w:rsidRPr="00AA59CB" w:rsidRDefault="00AA59CB" w:rsidP="00AA59CB">
      <w:pPr>
        <w:pStyle w:val="BodyText"/>
        <w:spacing w:line="360" w:lineRule="auto"/>
        <w:jc w:val="both"/>
        <w:rPr>
          <w:b w:val="0"/>
        </w:rPr>
      </w:pPr>
      <w:r w:rsidRPr="00AA59CB">
        <w:rPr>
          <w:b w:val="0"/>
        </w:rPr>
        <w:t xml:space="preserve">The long-term forecast of electric energy sales for Georgia Power’s commercial class was produced using LoadMAP. The Commercial LoadMAP model uses floor space by building type and fuel price forecasts to produce a commercial </w:t>
      </w:r>
      <w:r w:rsidR="00FC0BC0">
        <w:rPr>
          <w:b w:val="0"/>
        </w:rPr>
        <w:t xml:space="preserve">energy sales </w:t>
      </w:r>
      <w:r w:rsidRPr="00AA59CB">
        <w:rPr>
          <w:b w:val="0"/>
        </w:rPr>
        <w:t>forecast by diff</w:t>
      </w:r>
      <w:r w:rsidR="00C85644">
        <w:rPr>
          <w:b w:val="0"/>
        </w:rPr>
        <w:t xml:space="preserve">erent technologies for each end </w:t>
      </w:r>
      <w:r w:rsidRPr="00AA59CB">
        <w:rPr>
          <w:b w:val="0"/>
        </w:rPr>
        <w:t>use and building type.</w:t>
      </w:r>
    </w:p>
    <w:p w14:paraId="66885BE2" w14:textId="77777777" w:rsidR="00AA59CB" w:rsidRPr="00AA59CB" w:rsidRDefault="00AA59CB" w:rsidP="00AA59CB">
      <w:pPr>
        <w:pStyle w:val="BodyText"/>
        <w:spacing w:line="360" w:lineRule="auto"/>
        <w:jc w:val="both"/>
      </w:pPr>
    </w:p>
    <w:p w14:paraId="1839E9A3" w14:textId="54A75F7E" w:rsidR="00AA59CB" w:rsidRPr="00AA59CB" w:rsidRDefault="00AA59CB" w:rsidP="00AA59CB">
      <w:pPr>
        <w:pStyle w:val="BodyText"/>
        <w:spacing w:line="360" w:lineRule="auto"/>
        <w:jc w:val="both"/>
        <w:rPr>
          <w:b w:val="0"/>
        </w:rPr>
      </w:pPr>
      <w:r w:rsidRPr="00AA59CB">
        <w:rPr>
          <w:b w:val="0"/>
        </w:rPr>
        <w:t>The commercial sector is segmented into t</w:t>
      </w:r>
      <w:r w:rsidR="00C85644">
        <w:rPr>
          <w:b w:val="0"/>
        </w:rPr>
        <w:t xml:space="preserve">hirteen building types, ten end </w:t>
      </w:r>
      <w:r w:rsidRPr="00AA59CB">
        <w:rPr>
          <w:b w:val="0"/>
        </w:rPr>
        <w:t>uses, and two fuel types. The thirteen building types are:</w:t>
      </w:r>
    </w:p>
    <w:tbl>
      <w:tblPr>
        <w:tblW w:w="0" w:type="auto"/>
        <w:tblLayout w:type="fixed"/>
        <w:tblLook w:val="0000" w:firstRow="0" w:lastRow="0" w:firstColumn="0" w:lastColumn="0" w:noHBand="0" w:noVBand="0"/>
      </w:tblPr>
      <w:tblGrid>
        <w:gridCol w:w="4305"/>
        <w:gridCol w:w="4505"/>
      </w:tblGrid>
      <w:tr w:rsidR="00AA59CB" w:rsidRPr="00AA59CB" w14:paraId="12103FCD" w14:textId="77777777" w:rsidTr="00774360">
        <w:trPr>
          <w:trHeight w:val="216"/>
        </w:trPr>
        <w:tc>
          <w:tcPr>
            <w:tcW w:w="4305" w:type="dxa"/>
          </w:tcPr>
          <w:p w14:paraId="173A307A" w14:textId="77777777" w:rsidR="00AA59CB" w:rsidRPr="00AA59CB" w:rsidRDefault="00AA59CB" w:rsidP="00774360">
            <w:pPr>
              <w:pStyle w:val="BodyText"/>
              <w:spacing w:after="0" w:line="276" w:lineRule="auto"/>
              <w:jc w:val="both"/>
            </w:pPr>
            <w:r w:rsidRPr="00AA59CB">
              <w:t>1.</w:t>
            </w:r>
            <w:r w:rsidRPr="00AA59CB">
              <w:tab/>
              <w:t>Office</w:t>
            </w:r>
          </w:p>
        </w:tc>
        <w:tc>
          <w:tcPr>
            <w:tcW w:w="4505" w:type="dxa"/>
          </w:tcPr>
          <w:p w14:paraId="2E627431" w14:textId="77777777" w:rsidR="00AA59CB" w:rsidRPr="00AA59CB" w:rsidRDefault="00AA59CB" w:rsidP="00774360">
            <w:pPr>
              <w:pStyle w:val="BodyText"/>
              <w:spacing w:after="0" w:line="276" w:lineRule="auto"/>
              <w:jc w:val="both"/>
            </w:pPr>
            <w:r w:rsidRPr="00AA59CB">
              <w:t xml:space="preserve"> 8.</w:t>
            </w:r>
            <w:r w:rsidRPr="00AA59CB">
              <w:tab/>
              <w:t xml:space="preserve"> Healthcare</w:t>
            </w:r>
          </w:p>
        </w:tc>
      </w:tr>
      <w:tr w:rsidR="00AA59CB" w:rsidRPr="00AA59CB" w14:paraId="382DB4B3" w14:textId="77777777" w:rsidTr="00774360">
        <w:trPr>
          <w:trHeight w:val="216"/>
        </w:trPr>
        <w:tc>
          <w:tcPr>
            <w:tcW w:w="4305" w:type="dxa"/>
          </w:tcPr>
          <w:p w14:paraId="146C5BF4" w14:textId="77777777" w:rsidR="00AA59CB" w:rsidRPr="00AA59CB" w:rsidRDefault="00AA59CB" w:rsidP="00774360">
            <w:pPr>
              <w:pStyle w:val="BodyText"/>
              <w:spacing w:after="0" w:line="276" w:lineRule="auto"/>
              <w:jc w:val="both"/>
            </w:pPr>
            <w:r w:rsidRPr="00AA59CB">
              <w:t>2.</w:t>
            </w:r>
            <w:r w:rsidRPr="00AA59CB">
              <w:tab/>
              <w:t>Restaurant</w:t>
            </w:r>
          </w:p>
        </w:tc>
        <w:tc>
          <w:tcPr>
            <w:tcW w:w="4505" w:type="dxa"/>
          </w:tcPr>
          <w:p w14:paraId="1C104B83" w14:textId="77777777" w:rsidR="00AA59CB" w:rsidRPr="00AA59CB" w:rsidRDefault="00AA59CB" w:rsidP="00774360">
            <w:pPr>
              <w:pStyle w:val="BodyText"/>
              <w:spacing w:after="0" w:line="276" w:lineRule="auto"/>
              <w:jc w:val="both"/>
            </w:pPr>
            <w:r w:rsidRPr="00AA59CB">
              <w:t xml:space="preserve"> 9.</w:t>
            </w:r>
            <w:r w:rsidRPr="00AA59CB">
              <w:tab/>
              <w:t xml:space="preserve"> Lodging</w:t>
            </w:r>
          </w:p>
        </w:tc>
      </w:tr>
      <w:tr w:rsidR="00AA59CB" w:rsidRPr="00AA59CB" w14:paraId="3D12684D" w14:textId="77777777" w:rsidTr="00774360">
        <w:trPr>
          <w:trHeight w:val="216"/>
        </w:trPr>
        <w:tc>
          <w:tcPr>
            <w:tcW w:w="4305" w:type="dxa"/>
          </w:tcPr>
          <w:p w14:paraId="4C79F987" w14:textId="77777777" w:rsidR="00AA59CB" w:rsidRPr="00AA59CB" w:rsidRDefault="00AA59CB" w:rsidP="00774360">
            <w:pPr>
              <w:pStyle w:val="BodyText"/>
              <w:spacing w:after="0" w:line="276" w:lineRule="auto"/>
              <w:jc w:val="both"/>
            </w:pPr>
            <w:r w:rsidRPr="00AA59CB">
              <w:t>3.</w:t>
            </w:r>
            <w:r w:rsidRPr="00AA59CB">
              <w:tab/>
              <w:t>Retail</w:t>
            </w:r>
          </w:p>
        </w:tc>
        <w:tc>
          <w:tcPr>
            <w:tcW w:w="4505" w:type="dxa"/>
          </w:tcPr>
          <w:p w14:paraId="7E667E90" w14:textId="77777777" w:rsidR="00AA59CB" w:rsidRPr="00AA59CB" w:rsidRDefault="00AA59CB" w:rsidP="00774360">
            <w:pPr>
              <w:pStyle w:val="BodyText"/>
              <w:spacing w:after="0" w:line="276" w:lineRule="auto"/>
              <w:jc w:val="both"/>
            </w:pPr>
            <w:r w:rsidRPr="00AA59CB">
              <w:t>10.         Miscellaneous Buildings</w:t>
            </w:r>
          </w:p>
        </w:tc>
      </w:tr>
      <w:tr w:rsidR="00AA59CB" w:rsidRPr="00AA59CB" w14:paraId="762C2F60" w14:textId="77777777" w:rsidTr="00774360">
        <w:trPr>
          <w:trHeight w:val="216"/>
        </w:trPr>
        <w:tc>
          <w:tcPr>
            <w:tcW w:w="4305" w:type="dxa"/>
          </w:tcPr>
          <w:p w14:paraId="063833E8" w14:textId="77777777" w:rsidR="00AA59CB" w:rsidRPr="00AA59CB" w:rsidRDefault="00AA59CB" w:rsidP="00774360">
            <w:pPr>
              <w:pStyle w:val="BodyText"/>
              <w:spacing w:after="0" w:line="276" w:lineRule="auto"/>
              <w:jc w:val="both"/>
            </w:pPr>
            <w:r w:rsidRPr="00AA59CB">
              <w:t>4.</w:t>
            </w:r>
            <w:r w:rsidRPr="00AA59CB">
              <w:tab/>
              <w:t>Grocery</w:t>
            </w:r>
          </w:p>
        </w:tc>
        <w:tc>
          <w:tcPr>
            <w:tcW w:w="4505" w:type="dxa"/>
          </w:tcPr>
          <w:p w14:paraId="352C0E45" w14:textId="77777777" w:rsidR="00AA59CB" w:rsidRPr="00AA59CB" w:rsidRDefault="00AA59CB" w:rsidP="00774360">
            <w:pPr>
              <w:pStyle w:val="BodyText"/>
              <w:spacing w:after="0" w:line="276" w:lineRule="auto"/>
              <w:jc w:val="both"/>
            </w:pPr>
            <w:r w:rsidRPr="00AA59CB">
              <w:t>11.</w:t>
            </w:r>
            <w:r w:rsidRPr="00AA59CB">
              <w:tab/>
              <w:t xml:space="preserve"> Religion</w:t>
            </w:r>
          </w:p>
        </w:tc>
      </w:tr>
      <w:tr w:rsidR="00AA59CB" w:rsidRPr="00AA59CB" w14:paraId="020D7E78" w14:textId="77777777" w:rsidTr="00774360">
        <w:trPr>
          <w:trHeight w:val="216"/>
        </w:trPr>
        <w:tc>
          <w:tcPr>
            <w:tcW w:w="4305" w:type="dxa"/>
          </w:tcPr>
          <w:p w14:paraId="18226C90" w14:textId="77777777" w:rsidR="00AA59CB" w:rsidRPr="00AA59CB" w:rsidRDefault="00AA59CB" w:rsidP="00774360">
            <w:pPr>
              <w:pStyle w:val="BodyText"/>
              <w:spacing w:after="0" w:line="276" w:lineRule="auto"/>
              <w:jc w:val="both"/>
            </w:pPr>
            <w:r w:rsidRPr="00AA59CB">
              <w:t>5.</w:t>
            </w:r>
            <w:r w:rsidRPr="00AA59CB">
              <w:tab/>
              <w:t>Warehouse</w:t>
            </w:r>
          </w:p>
        </w:tc>
        <w:tc>
          <w:tcPr>
            <w:tcW w:w="4505" w:type="dxa"/>
          </w:tcPr>
          <w:p w14:paraId="7BAB9F5C" w14:textId="77777777" w:rsidR="00AA59CB" w:rsidRPr="00AA59CB" w:rsidRDefault="00AA59CB" w:rsidP="00774360">
            <w:pPr>
              <w:pStyle w:val="BodyText"/>
              <w:spacing w:after="0" w:line="276" w:lineRule="auto"/>
              <w:jc w:val="both"/>
            </w:pPr>
            <w:r w:rsidRPr="00AA59CB">
              <w:t>12.</w:t>
            </w:r>
            <w:r w:rsidRPr="00AA59CB">
              <w:tab/>
              <w:t xml:space="preserve"> Public</w:t>
            </w:r>
          </w:p>
        </w:tc>
      </w:tr>
      <w:tr w:rsidR="00AA59CB" w:rsidRPr="00AA59CB" w14:paraId="4B63AF30" w14:textId="77777777" w:rsidTr="00774360">
        <w:trPr>
          <w:trHeight w:val="216"/>
        </w:trPr>
        <w:tc>
          <w:tcPr>
            <w:tcW w:w="4305" w:type="dxa"/>
          </w:tcPr>
          <w:p w14:paraId="5AB96063" w14:textId="77777777" w:rsidR="00AA59CB" w:rsidRPr="00AA59CB" w:rsidRDefault="00AA59CB" w:rsidP="00774360">
            <w:pPr>
              <w:pStyle w:val="BodyText"/>
              <w:spacing w:after="0" w:line="276" w:lineRule="auto"/>
              <w:jc w:val="both"/>
            </w:pPr>
            <w:r w:rsidRPr="00AA59CB">
              <w:t>6.</w:t>
            </w:r>
            <w:r w:rsidRPr="00AA59CB">
              <w:tab/>
              <w:t>Education</w:t>
            </w:r>
          </w:p>
        </w:tc>
        <w:tc>
          <w:tcPr>
            <w:tcW w:w="4505" w:type="dxa"/>
          </w:tcPr>
          <w:p w14:paraId="14B3A8E9" w14:textId="77777777" w:rsidR="00AA59CB" w:rsidRPr="00AA59CB" w:rsidRDefault="00AA59CB" w:rsidP="00774360">
            <w:pPr>
              <w:pStyle w:val="BodyText"/>
              <w:spacing w:after="0" w:line="276" w:lineRule="auto"/>
              <w:jc w:val="both"/>
            </w:pPr>
            <w:r w:rsidRPr="00AA59CB">
              <w:t>13.</w:t>
            </w:r>
            <w:r w:rsidRPr="00AA59CB">
              <w:tab/>
              <w:t xml:space="preserve"> Data</w:t>
            </w:r>
            <w:r w:rsidR="00EE7E68">
              <w:t xml:space="preserve"> C</w:t>
            </w:r>
            <w:r w:rsidRPr="00AA59CB">
              <w:t>enter</w:t>
            </w:r>
          </w:p>
        </w:tc>
      </w:tr>
      <w:tr w:rsidR="00AA59CB" w:rsidRPr="00AA59CB" w14:paraId="17869ABE" w14:textId="77777777" w:rsidTr="00774360">
        <w:trPr>
          <w:trHeight w:val="216"/>
        </w:trPr>
        <w:tc>
          <w:tcPr>
            <w:tcW w:w="4305" w:type="dxa"/>
          </w:tcPr>
          <w:p w14:paraId="4A449549" w14:textId="77777777" w:rsidR="00AA59CB" w:rsidRPr="00AA59CB" w:rsidRDefault="00AA59CB" w:rsidP="00774360">
            <w:pPr>
              <w:pStyle w:val="BodyText"/>
              <w:spacing w:after="0" w:line="276" w:lineRule="auto"/>
              <w:jc w:val="both"/>
            </w:pPr>
            <w:r w:rsidRPr="00AA59CB">
              <w:t>7.</w:t>
            </w:r>
            <w:r w:rsidRPr="00AA59CB">
              <w:tab/>
              <w:t>Amusement</w:t>
            </w:r>
          </w:p>
        </w:tc>
        <w:tc>
          <w:tcPr>
            <w:tcW w:w="4505" w:type="dxa"/>
          </w:tcPr>
          <w:p w14:paraId="441FEAFC" w14:textId="77777777" w:rsidR="00AA59CB" w:rsidRPr="00AA59CB" w:rsidRDefault="00AA59CB" w:rsidP="00774360">
            <w:pPr>
              <w:pStyle w:val="BodyText"/>
              <w:spacing w:after="0" w:line="276" w:lineRule="auto"/>
              <w:jc w:val="both"/>
            </w:pPr>
          </w:p>
        </w:tc>
      </w:tr>
    </w:tbl>
    <w:p w14:paraId="21EB32A8" w14:textId="77777777" w:rsidR="00AA59CB" w:rsidRPr="00AA59CB" w:rsidRDefault="00AA59CB" w:rsidP="00AA59CB">
      <w:pPr>
        <w:pStyle w:val="BodyText"/>
        <w:spacing w:after="0"/>
        <w:jc w:val="both"/>
      </w:pPr>
    </w:p>
    <w:p w14:paraId="57032362" w14:textId="77777777" w:rsidR="00AA59CB" w:rsidRPr="00AA59CB" w:rsidRDefault="00AA59CB" w:rsidP="00AA59CB">
      <w:pPr>
        <w:pStyle w:val="BodyText"/>
        <w:spacing w:line="360" w:lineRule="auto"/>
        <w:jc w:val="both"/>
        <w:rPr>
          <w:b w:val="0"/>
        </w:rPr>
      </w:pPr>
      <w:r w:rsidRPr="00AA59CB">
        <w:rPr>
          <w:b w:val="0"/>
        </w:rPr>
        <w:t>The ten end</w:t>
      </w:r>
      <w:r w:rsidR="00C85644">
        <w:rPr>
          <w:b w:val="0"/>
        </w:rPr>
        <w:t xml:space="preserve"> </w:t>
      </w:r>
      <w:r w:rsidRPr="00AA59CB">
        <w:rPr>
          <w:b w:val="0"/>
        </w:rPr>
        <w:t>uses modeled for each of the building types listed above are:</w:t>
      </w:r>
    </w:p>
    <w:tbl>
      <w:tblPr>
        <w:tblW w:w="0" w:type="auto"/>
        <w:tblLayout w:type="fixed"/>
        <w:tblLook w:val="0000" w:firstRow="0" w:lastRow="0" w:firstColumn="0" w:lastColumn="0" w:noHBand="0" w:noVBand="0"/>
      </w:tblPr>
      <w:tblGrid>
        <w:gridCol w:w="4377"/>
        <w:gridCol w:w="4000"/>
      </w:tblGrid>
      <w:tr w:rsidR="00AA59CB" w:rsidRPr="00AA59CB" w14:paraId="3CE17F56" w14:textId="77777777" w:rsidTr="00774360">
        <w:trPr>
          <w:trHeight w:val="296"/>
        </w:trPr>
        <w:tc>
          <w:tcPr>
            <w:tcW w:w="4377" w:type="dxa"/>
          </w:tcPr>
          <w:p w14:paraId="4A491AA5" w14:textId="77777777" w:rsidR="00AA59CB" w:rsidRPr="00AA59CB" w:rsidRDefault="00AA59CB" w:rsidP="00774360">
            <w:pPr>
              <w:pStyle w:val="BodyText"/>
              <w:spacing w:after="0" w:line="276" w:lineRule="auto"/>
              <w:jc w:val="left"/>
            </w:pPr>
            <w:r w:rsidRPr="00AA59CB">
              <w:t>1.</w:t>
            </w:r>
            <w:r w:rsidRPr="00AA59CB">
              <w:tab/>
              <w:t>Primary Heat (Space Heating)</w:t>
            </w:r>
          </w:p>
        </w:tc>
        <w:tc>
          <w:tcPr>
            <w:tcW w:w="4000" w:type="dxa"/>
          </w:tcPr>
          <w:p w14:paraId="71900374" w14:textId="77777777" w:rsidR="00AA59CB" w:rsidRPr="00AA59CB" w:rsidRDefault="00AA59CB" w:rsidP="00774360">
            <w:pPr>
              <w:pStyle w:val="BodyText"/>
              <w:spacing w:after="0" w:line="276" w:lineRule="auto"/>
              <w:jc w:val="left"/>
            </w:pPr>
            <w:r w:rsidRPr="00AA59CB">
              <w:t xml:space="preserve"> 6.</w:t>
            </w:r>
            <w:r w:rsidRPr="00AA59CB">
              <w:tab/>
              <w:t xml:space="preserve"> Outdoor Lighting</w:t>
            </w:r>
          </w:p>
        </w:tc>
      </w:tr>
      <w:tr w:rsidR="00AA59CB" w:rsidRPr="00AA59CB" w14:paraId="4708D46E" w14:textId="77777777" w:rsidTr="00774360">
        <w:trPr>
          <w:trHeight w:val="296"/>
        </w:trPr>
        <w:tc>
          <w:tcPr>
            <w:tcW w:w="4377" w:type="dxa"/>
          </w:tcPr>
          <w:p w14:paraId="31DEEC5F" w14:textId="77777777" w:rsidR="00AA59CB" w:rsidRPr="00AA59CB" w:rsidRDefault="00AA59CB" w:rsidP="00774360">
            <w:pPr>
              <w:pStyle w:val="BodyText"/>
              <w:spacing w:after="0" w:line="276" w:lineRule="auto"/>
              <w:jc w:val="left"/>
            </w:pPr>
            <w:r w:rsidRPr="00AA59CB">
              <w:t>2.</w:t>
            </w:r>
            <w:r w:rsidRPr="00AA59CB">
              <w:tab/>
              <w:t>Cooling (Air Conditioning)</w:t>
            </w:r>
          </w:p>
        </w:tc>
        <w:tc>
          <w:tcPr>
            <w:tcW w:w="4000" w:type="dxa"/>
          </w:tcPr>
          <w:p w14:paraId="501EC217" w14:textId="77777777" w:rsidR="00AA59CB" w:rsidRPr="00AA59CB" w:rsidRDefault="00AA59CB" w:rsidP="00774360">
            <w:pPr>
              <w:pStyle w:val="BodyText"/>
              <w:spacing w:after="0" w:line="276" w:lineRule="auto"/>
              <w:jc w:val="left"/>
            </w:pPr>
            <w:r w:rsidRPr="00AA59CB">
              <w:t xml:space="preserve"> 7.</w:t>
            </w:r>
            <w:r w:rsidRPr="00AA59CB">
              <w:tab/>
              <w:t xml:space="preserve"> Indoor Lighting</w:t>
            </w:r>
          </w:p>
        </w:tc>
      </w:tr>
      <w:tr w:rsidR="00AA59CB" w:rsidRPr="00AA59CB" w14:paraId="3A09B11A" w14:textId="77777777" w:rsidTr="00774360">
        <w:trPr>
          <w:trHeight w:val="296"/>
        </w:trPr>
        <w:tc>
          <w:tcPr>
            <w:tcW w:w="4377" w:type="dxa"/>
          </w:tcPr>
          <w:p w14:paraId="38CA6544" w14:textId="77777777" w:rsidR="00AA59CB" w:rsidRPr="00AA59CB" w:rsidRDefault="00AA59CB" w:rsidP="00774360">
            <w:pPr>
              <w:pStyle w:val="BodyText"/>
              <w:spacing w:after="0" w:line="276" w:lineRule="auto"/>
              <w:jc w:val="left"/>
            </w:pPr>
            <w:r w:rsidRPr="00AA59CB">
              <w:t>3.          Water Heating</w:t>
            </w:r>
          </w:p>
        </w:tc>
        <w:tc>
          <w:tcPr>
            <w:tcW w:w="4000" w:type="dxa"/>
          </w:tcPr>
          <w:p w14:paraId="479BAB5C" w14:textId="77777777" w:rsidR="00AA59CB" w:rsidRPr="00AA59CB" w:rsidRDefault="00AA59CB" w:rsidP="00774360">
            <w:pPr>
              <w:pStyle w:val="BodyText"/>
              <w:spacing w:after="0" w:line="276" w:lineRule="auto"/>
              <w:jc w:val="left"/>
            </w:pPr>
            <w:r w:rsidRPr="00AA59CB">
              <w:t xml:space="preserve"> 8.</w:t>
            </w:r>
            <w:r w:rsidRPr="00AA59CB">
              <w:tab/>
              <w:t xml:space="preserve"> Office Equipment</w:t>
            </w:r>
          </w:p>
        </w:tc>
      </w:tr>
      <w:tr w:rsidR="00AA59CB" w:rsidRPr="00AA59CB" w14:paraId="6617A079" w14:textId="77777777" w:rsidTr="00774360">
        <w:trPr>
          <w:trHeight w:val="296"/>
        </w:trPr>
        <w:tc>
          <w:tcPr>
            <w:tcW w:w="4377" w:type="dxa"/>
          </w:tcPr>
          <w:p w14:paraId="20DC13A1" w14:textId="77777777" w:rsidR="00AA59CB" w:rsidRPr="00AA59CB" w:rsidRDefault="00AA59CB" w:rsidP="00774360">
            <w:pPr>
              <w:pStyle w:val="BodyText"/>
              <w:spacing w:after="0" w:line="276" w:lineRule="auto"/>
              <w:jc w:val="left"/>
            </w:pPr>
            <w:r w:rsidRPr="00AA59CB">
              <w:t>4.          Cooking</w:t>
            </w:r>
          </w:p>
        </w:tc>
        <w:tc>
          <w:tcPr>
            <w:tcW w:w="4000" w:type="dxa"/>
          </w:tcPr>
          <w:p w14:paraId="35E9D185" w14:textId="77777777" w:rsidR="00AA59CB" w:rsidRPr="00AA59CB" w:rsidRDefault="00AA59CB" w:rsidP="00774360">
            <w:pPr>
              <w:pStyle w:val="BodyText"/>
              <w:spacing w:after="0" w:line="276" w:lineRule="auto"/>
              <w:jc w:val="left"/>
            </w:pPr>
            <w:r w:rsidRPr="00AA59CB">
              <w:t xml:space="preserve"> 9.</w:t>
            </w:r>
            <w:r w:rsidRPr="00AA59CB">
              <w:tab/>
              <w:t xml:space="preserve"> Ventilation</w:t>
            </w:r>
          </w:p>
        </w:tc>
      </w:tr>
      <w:tr w:rsidR="00AA59CB" w:rsidRPr="00AA59CB" w14:paraId="7BDC8D6A" w14:textId="77777777" w:rsidTr="00774360">
        <w:trPr>
          <w:trHeight w:val="296"/>
        </w:trPr>
        <w:tc>
          <w:tcPr>
            <w:tcW w:w="4377" w:type="dxa"/>
          </w:tcPr>
          <w:p w14:paraId="337434E6" w14:textId="77777777" w:rsidR="00AA59CB" w:rsidRPr="00AA59CB" w:rsidRDefault="00AA59CB" w:rsidP="00774360">
            <w:pPr>
              <w:pStyle w:val="BodyText"/>
              <w:spacing w:after="0" w:line="276" w:lineRule="auto"/>
              <w:jc w:val="left"/>
            </w:pPr>
            <w:r w:rsidRPr="00AA59CB">
              <w:t>5.</w:t>
            </w:r>
            <w:r w:rsidRPr="00AA59CB">
              <w:tab/>
              <w:t>Refrigeration</w:t>
            </w:r>
          </w:p>
        </w:tc>
        <w:tc>
          <w:tcPr>
            <w:tcW w:w="4000" w:type="dxa"/>
          </w:tcPr>
          <w:p w14:paraId="0C1E2776" w14:textId="77777777" w:rsidR="00AA59CB" w:rsidRPr="00AA59CB" w:rsidRDefault="00AA59CB" w:rsidP="00774360">
            <w:pPr>
              <w:pStyle w:val="BodyText"/>
              <w:spacing w:after="0" w:line="276" w:lineRule="auto"/>
              <w:jc w:val="left"/>
            </w:pPr>
            <w:r w:rsidRPr="00AA59CB">
              <w:t>10.</w:t>
            </w:r>
            <w:r w:rsidRPr="00AA59CB">
              <w:tab/>
              <w:t xml:space="preserve"> Miscellaneous</w:t>
            </w:r>
          </w:p>
        </w:tc>
      </w:tr>
    </w:tbl>
    <w:p w14:paraId="572A1A83" w14:textId="77777777" w:rsidR="00AA59CB" w:rsidRPr="00AA59CB" w:rsidRDefault="00AA59CB" w:rsidP="00AA59CB">
      <w:pPr>
        <w:pStyle w:val="BodyText"/>
        <w:spacing w:line="360" w:lineRule="auto"/>
        <w:jc w:val="both"/>
      </w:pPr>
    </w:p>
    <w:p w14:paraId="0547E8F0" w14:textId="77777777" w:rsidR="00AA59CB" w:rsidRPr="00AA59CB" w:rsidRDefault="00AA59CB" w:rsidP="00AA59CB">
      <w:pPr>
        <w:pStyle w:val="BodyText"/>
        <w:jc w:val="both"/>
        <w:rPr>
          <w:b w:val="0"/>
        </w:rPr>
      </w:pPr>
      <w:r w:rsidRPr="00AA59CB">
        <w:rPr>
          <w:b w:val="0"/>
        </w:rPr>
        <w:t>The two fuel types used for the commercial market are electricity and natural gas.</w:t>
      </w:r>
    </w:p>
    <w:p w14:paraId="32BFEE65" w14:textId="77777777" w:rsidR="008B4AA0" w:rsidRPr="008B4AA0" w:rsidRDefault="008B4AA0" w:rsidP="008B4AA0">
      <w:pPr>
        <w:pStyle w:val="BodyText"/>
        <w:spacing w:line="360" w:lineRule="auto"/>
        <w:jc w:val="both"/>
        <w:rPr>
          <w:b w:val="0"/>
        </w:rPr>
      </w:pPr>
    </w:p>
    <w:p w14:paraId="08295CCE" w14:textId="48E8B791" w:rsidR="00393EA7" w:rsidRPr="00634EA8" w:rsidRDefault="00393EA7" w:rsidP="00393EA7">
      <w:pPr>
        <w:pStyle w:val="BodyText"/>
        <w:spacing w:line="360" w:lineRule="auto"/>
        <w:jc w:val="both"/>
      </w:pPr>
      <w:r w:rsidRPr="00634EA8">
        <w:rPr>
          <w:b w:val="0"/>
        </w:rPr>
        <w:t>The Commercial LoadMAP model forecasts the energy consumption f</w:t>
      </w:r>
      <w:r w:rsidR="00C85644">
        <w:rPr>
          <w:b w:val="0"/>
        </w:rPr>
        <w:t xml:space="preserve">or each technology, in each end </w:t>
      </w:r>
      <w:r w:rsidRPr="00634EA8">
        <w:rPr>
          <w:b w:val="0"/>
        </w:rPr>
        <w:t>use in each market segment in the commercial class. Energy consumption is d</w:t>
      </w:r>
      <w:r w:rsidR="00C85644">
        <w:rPr>
          <w:b w:val="0"/>
        </w:rPr>
        <w:t xml:space="preserve">etermined by building type, end </w:t>
      </w:r>
      <w:r w:rsidRPr="00634EA8">
        <w:rPr>
          <w:b w:val="0"/>
        </w:rPr>
        <w:t>use, and fuel type. Energy use patterns and end-use composition vary considerably between building types; therefore, building type is the primary differentiation of the commercial market. This segmentation is done to group together market segments with relatively common characteristics while separately identifying segments with distinctly different characteristics</w:t>
      </w:r>
      <w:r w:rsidRPr="00634EA8">
        <w:t xml:space="preserve">.  </w:t>
      </w:r>
    </w:p>
    <w:p w14:paraId="35DA0295" w14:textId="77777777" w:rsidR="00393EA7" w:rsidRPr="00634EA8" w:rsidRDefault="00393EA7" w:rsidP="00393EA7">
      <w:pPr>
        <w:pStyle w:val="BodyText"/>
        <w:spacing w:line="360" w:lineRule="auto"/>
      </w:pPr>
    </w:p>
    <w:p w14:paraId="07A1ED5E" w14:textId="36605A39" w:rsidR="00393EA7" w:rsidRPr="00634EA8" w:rsidRDefault="00393EA7" w:rsidP="00393EA7">
      <w:pPr>
        <w:pStyle w:val="BodyText"/>
        <w:spacing w:line="360" w:lineRule="auto"/>
        <w:jc w:val="both"/>
        <w:rPr>
          <w:b w:val="0"/>
        </w:rPr>
      </w:pPr>
      <w:r w:rsidRPr="00634EA8">
        <w:rPr>
          <w:b w:val="0"/>
        </w:rPr>
        <w:t>The differences in building type reflect differences in operating characteristics as well as differences in the composition and choice of energy consumption activities and energy consuming equipment and technology. These energy-consuming activities that deliver service to the occupants by various devices and equipment are called end</w:t>
      </w:r>
      <w:r w:rsidR="00C85644">
        <w:rPr>
          <w:b w:val="0"/>
        </w:rPr>
        <w:t xml:space="preserve"> </w:t>
      </w:r>
      <w:r w:rsidRPr="00634EA8">
        <w:rPr>
          <w:b w:val="0"/>
        </w:rPr>
        <w:t xml:space="preserve">uses. </w:t>
      </w:r>
      <w:r w:rsidR="00170F15">
        <w:rPr>
          <w:b w:val="0"/>
        </w:rPr>
        <w:t xml:space="preserve">As identified above, examples of end uses include </w:t>
      </w:r>
      <w:r w:rsidRPr="00634EA8">
        <w:rPr>
          <w:b w:val="0"/>
        </w:rPr>
        <w:t xml:space="preserve">lighting, cooking, </w:t>
      </w:r>
      <w:r w:rsidR="00170F15">
        <w:rPr>
          <w:b w:val="0"/>
        </w:rPr>
        <w:t xml:space="preserve">and heating and </w:t>
      </w:r>
      <w:r w:rsidRPr="00634EA8">
        <w:rPr>
          <w:b w:val="0"/>
        </w:rPr>
        <w:t>air conditioning. The composition and intensity of energy usage and the energy consuming activities within each building type vary according to the consumer activity and behavior resulting from the business purpose associated with the building. For example, a grocery store contains relatively more refrigeration and lighting while a restaurant has more energy consuming devices related to cooking. Therefore, the relative con</w:t>
      </w:r>
      <w:r w:rsidR="00C85644">
        <w:rPr>
          <w:b w:val="0"/>
        </w:rPr>
        <w:t xml:space="preserve">centration of the different end </w:t>
      </w:r>
      <w:r w:rsidRPr="00634EA8">
        <w:rPr>
          <w:b w:val="0"/>
        </w:rPr>
        <w:t>uses varies by building type. Also, the energy consumption characteristics of each end</w:t>
      </w:r>
      <w:r w:rsidR="00C85644">
        <w:rPr>
          <w:b w:val="0"/>
        </w:rPr>
        <w:t xml:space="preserve"> </w:t>
      </w:r>
      <w:r w:rsidRPr="00634EA8">
        <w:rPr>
          <w:b w:val="0"/>
        </w:rPr>
        <w:t>use will vary by building type because the selection of equipment to deliver that end-use service is made as appropriate to the function of the activities inside the building.</w:t>
      </w:r>
    </w:p>
    <w:p w14:paraId="6A1BDD74" w14:textId="77777777" w:rsidR="00393EA7" w:rsidRPr="00634EA8" w:rsidRDefault="00393EA7" w:rsidP="00393EA7">
      <w:pPr>
        <w:pStyle w:val="BodyText"/>
      </w:pPr>
    </w:p>
    <w:p w14:paraId="4A0B8EB8" w14:textId="4B7DBB8B" w:rsidR="00393EA7" w:rsidRPr="00634EA8" w:rsidRDefault="00393EA7" w:rsidP="00393EA7">
      <w:pPr>
        <w:pStyle w:val="BodyText"/>
        <w:spacing w:line="360" w:lineRule="auto"/>
        <w:jc w:val="both"/>
        <w:rPr>
          <w:b w:val="0"/>
        </w:rPr>
      </w:pPr>
      <w:r w:rsidRPr="00634EA8">
        <w:rPr>
          <w:b w:val="0"/>
        </w:rPr>
        <w:t>Consumers have the opportunity to select alternative energy consuming equipment (devices and appliances) that deliver the same service (for example, water heating or cooking) but vary by fuel. Since capital and operating costs vary for similar devices of different fuel types, and consumer preference varies by fuel, fuel costs also have an impact in the selection of end-use equipment.</w:t>
      </w:r>
    </w:p>
    <w:p w14:paraId="386F120B" w14:textId="77777777" w:rsidR="00E71F2D" w:rsidRPr="00E71F2D" w:rsidRDefault="00E71F2D" w:rsidP="00E71F2D">
      <w:pPr>
        <w:pStyle w:val="BodyTextIndent"/>
        <w:spacing w:line="360" w:lineRule="auto"/>
        <w:jc w:val="both"/>
        <w:rPr>
          <w:b/>
        </w:rPr>
      </w:pPr>
    </w:p>
    <w:p w14:paraId="18140ABD" w14:textId="162F2F60" w:rsidR="00E71F2D" w:rsidRPr="00E71F2D" w:rsidRDefault="00306010" w:rsidP="00E71F2D">
      <w:pPr>
        <w:pStyle w:val="BodyTextIndent"/>
        <w:spacing w:line="360" w:lineRule="auto"/>
        <w:ind w:left="0"/>
        <w:jc w:val="both"/>
      </w:pPr>
      <w:r w:rsidRPr="00634EA8">
        <w:t xml:space="preserve">The Commercial LoadMAP model uses information about the operating characteristics, ownership decisions, and behavioral characteristics to determine energy consumption patterns of </w:t>
      </w:r>
      <w:r w:rsidR="00170F15">
        <w:t xml:space="preserve">commercial </w:t>
      </w:r>
      <w:r w:rsidRPr="00634EA8">
        <w:t>customers. Factors influencing the energy consumption within a building include the operating characteristics of the building, preferences in the construction of the building, consumer behavior of the occupants of the building, and operational design and influences in the building such as energy management systems and controls.</w:t>
      </w:r>
    </w:p>
    <w:p w14:paraId="53ECA6DC" w14:textId="77777777" w:rsidR="00E71F2D" w:rsidRDefault="00E71F2D" w:rsidP="001F165C">
      <w:pPr>
        <w:pStyle w:val="BodyTextIndent"/>
        <w:spacing w:line="360" w:lineRule="auto"/>
        <w:ind w:left="0"/>
        <w:jc w:val="both"/>
      </w:pPr>
    </w:p>
    <w:p w14:paraId="38CA3A96" w14:textId="2D01B898" w:rsidR="001F165C" w:rsidRPr="00634EA8" w:rsidRDefault="001F165C" w:rsidP="001F165C">
      <w:pPr>
        <w:pStyle w:val="BodyText"/>
        <w:spacing w:line="360" w:lineRule="auto"/>
        <w:jc w:val="both"/>
        <w:rPr>
          <w:b w:val="0"/>
        </w:rPr>
      </w:pPr>
      <w:r w:rsidRPr="00634EA8">
        <w:rPr>
          <w:b w:val="0"/>
        </w:rPr>
        <w:t>It also models energy consumption using four main components:  building floor space, share of the floor space served by appliance end</w:t>
      </w:r>
      <w:r w:rsidR="00C85644">
        <w:rPr>
          <w:b w:val="0"/>
        </w:rPr>
        <w:t xml:space="preserve"> </w:t>
      </w:r>
      <w:r w:rsidRPr="00634EA8">
        <w:rPr>
          <w:b w:val="0"/>
        </w:rPr>
        <w:t>use and fuel type, energy consumption per square foot of floor space, and an index reflecting changes in energy usage of a fuel type. Appliance end-use by fuel type refers to an end-use class of appliances that consume a particular fuel (electricity or natural gas) such as electric cooking or gas room heating. The equation that uses these four main components to determine energy consumption, or sales, is called the central energy equation for the commercial class:</w:t>
      </w:r>
    </w:p>
    <w:p w14:paraId="41365F37" w14:textId="77777777" w:rsidR="001F165C" w:rsidRPr="00634EA8" w:rsidRDefault="00017DFD" w:rsidP="001F165C">
      <w:pPr>
        <w:spacing w:line="360" w:lineRule="auto"/>
        <w:jc w:val="both"/>
      </w:pPr>
      <w:r>
        <w:rPr>
          <w:noProof/>
        </w:rPr>
        <w:object w:dxaOrig="1440" w:dyaOrig="1440" w14:anchorId="40ED12B7">
          <v:shape id="Object 1" o:spid="_x0000_s1033" type="#_x0000_t75" style="position:absolute;left:0;text-align:left;margin-left:2.5pt;margin-top:3.4pt;width:185pt;height:27pt;z-index:251668480;visibility:visible">
            <v:imagedata r:id="rId44" o:title=""/>
          </v:shape>
          <o:OLEObject Type="Embed" ProgID="Equation.3" ShapeID="Object 1" DrawAspect="Content" ObjectID="_1610277855" r:id="rId67"/>
        </w:object>
      </w:r>
      <w:r w:rsidR="001F165C" w:rsidRPr="00634EA8">
        <w:tab/>
      </w:r>
    </w:p>
    <w:p w14:paraId="5DEF88D6" w14:textId="77777777" w:rsidR="001F165C" w:rsidRPr="00634EA8" w:rsidRDefault="001F165C" w:rsidP="001F165C">
      <w:pPr>
        <w:pStyle w:val="BodyText"/>
        <w:tabs>
          <w:tab w:val="left" w:pos="6540"/>
        </w:tabs>
        <w:jc w:val="left"/>
      </w:pPr>
    </w:p>
    <w:p w14:paraId="49615B00" w14:textId="77777777" w:rsidR="001F165C" w:rsidRPr="001F165C" w:rsidRDefault="001F165C" w:rsidP="001B5EC7">
      <w:pPr>
        <w:pStyle w:val="BodyText"/>
        <w:spacing w:after="0" w:line="360" w:lineRule="auto"/>
        <w:ind w:left="1368" w:hanging="1008"/>
        <w:jc w:val="left"/>
        <w:rPr>
          <w:b w:val="0"/>
          <w:color w:val="000000" w:themeColor="text1"/>
        </w:rPr>
      </w:pPr>
      <w:r w:rsidRPr="001F165C">
        <w:rPr>
          <w:b w:val="0"/>
          <w:color w:val="000000" w:themeColor="text1"/>
        </w:rPr>
        <w:t xml:space="preserve">Energy = </w:t>
      </w:r>
      <w:r w:rsidRPr="001F165C">
        <w:rPr>
          <w:b w:val="0"/>
          <w:color w:val="000000" w:themeColor="text1"/>
        </w:rPr>
        <w:tab/>
        <w:t>annual energy use in a particular segment (e.g., commercial restaurant)</w:t>
      </w:r>
    </w:p>
    <w:p w14:paraId="36ECE000" w14:textId="77777777" w:rsidR="001F165C" w:rsidRPr="001F165C" w:rsidRDefault="001F165C" w:rsidP="001B5EC7">
      <w:pPr>
        <w:pStyle w:val="BodyText"/>
        <w:spacing w:after="0" w:line="360" w:lineRule="auto"/>
        <w:ind w:left="1368" w:hanging="1008"/>
        <w:jc w:val="left"/>
        <w:rPr>
          <w:b w:val="0"/>
          <w:color w:val="000000" w:themeColor="text1"/>
        </w:rPr>
      </w:pPr>
      <w:r w:rsidRPr="001F165C">
        <w:rPr>
          <w:b w:val="0"/>
          <w:color w:val="000000" w:themeColor="text1"/>
        </w:rPr>
        <w:t xml:space="preserve">t           = </w:t>
      </w:r>
      <w:r w:rsidRPr="001F165C">
        <w:rPr>
          <w:b w:val="0"/>
          <w:color w:val="000000" w:themeColor="text1"/>
        </w:rPr>
        <w:tab/>
        <w:t>technology</w:t>
      </w:r>
    </w:p>
    <w:p w14:paraId="385A210A" w14:textId="77777777" w:rsidR="001F165C" w:rsidRPr="001F165C" w:rsidRDefault="001F165C" w:rsidP="001B5EC7">
      <w:pPr>
        <w:pStyle w:val="BodyText"/>
        <w:spacing w:after="0" w:line="360" w:lineRule="auto"/>
        <w:ind w:left="1368" w:hanging="1008"/>
        <w:jc w:val="left"/>
        <w:rPr>
          <w:b w:val="0"/>
          <w:color w:val="000000" w:themeColor="text1"/>
        </w:rPr>
      </w:pPr>
      <w:r w:rsidRPr="001F165C">
        <w:rPr>
          <w:b w:val="0"/>
          <w:color w:val="000000" w:themeColor="text1"/>
        </w:rPr>
        <w:t xml:space="preserve">e          = </w:t>
      </w:r>
      <w:r w:rsidRPr="001F165C">
        <w:rPr>
          <w:b w:val="0"/>
          <w:color w:val="000000" w:themeColor="text1"/>
        </w:rPr>
        <w:tab/>
        <w:t xml:space="preserve">end use </w:t>
      </w:r>
    </w:p>
    <w:p w14:paraId="74B24995" w14:textId="77777777" w:rsidR="001F165C" w:rsidRPr="001F165C" w:rsidRDefault="001F165C" w:rsidP="001B5EC7">
      <w:pPr>
        <w:pStyle w:val="BodyText"/>
        <w:spacing w:after="0" w:line="360" w:lineRule="auto"/>
        <w:ind w:left="1368" w:hanging="1008"/>
        <w:jc w:val="left"/>
        <w:rPr>
          <w:b w:val="0"/>
          <w:color w:val="000000" w:themeColor="text1"/>
        </w:rPr>
      </w:pPr>
      <w:r w:rsidRPr="001F165C">
        <w:rPr>
          <w:b w:val="0"/>
          <w:color w:val="000000" w:themeColor="text1"/>
        </w:rPr>
        <w:t xml:space="preserve">N         = </w:t>
      </w:r>
      <w:r w:rsidRPr="001F165C">
        <w:rPr>
          <w:b w:val="0"/>
          <w:color w:val="000000" w:themeColor="text1"/>
        </w:rPr>
        <w:tab/>
        <w:t xml:space="preserve">market size (e.g., amount of restaurant square footage) </w:t>
      </w:r>
    </w:p>
    <w:p w14:paraId="76BDC7DF" w14:textId="77777777" w:rsidR="001F165C" w:rsidRPr="001F165C" w:rsidRDefault="001F165C" w:rsidP="001B5EC7">
      <w:pPr>
        <w:pStyle w:val="BodyText"/>
        <w:spacing w:after="0" w:line="360" w:lineRule="auto"/>
        <w:ind w:left="1368" w:hanging="1008"/>
        <w:jc w:val="left"/>
        <w:rPr>
          <w:b w:val="0"/>
          <w:color w:val="000000" w:themeColor="text1"/>
        </w:rPr>
      </w:pPr>
      <w:r w:rsidRPr="001F165C">
        <w:rPr>
          <w:b w:val="0"/>
          <w:color w:val="000000" w:themeColor="text1"/>
        </w:rPr>
        <w:t>Share</w:t>
      </w:r>
      <w:r w:rsidRPr="001F165C">
        <w:rPr>
          <w:b w:val="0"/>
          <w:color w:val="000000" w:themeColor="text1"/>
          <w:vertAlign w:val="subscript"/>
        </w:rPr>
        <w:t>t</w:t>
      </w:r>
      <w:r w:rsidRPr="001F165C">
        <w:rPr>
          <w:b w:val="0"/>
          <w:color w:val="000000" w:themeColor="text1"/>
        </w:rPr>
        <w:t xml:space="preserve">  = </w:t>
      </w:r>
      <w:r w:rsidRPr="001F165C">
        <w:rPr>
          <w:b w:val="0"/>
          <w:color w:val="000000" w:themeColor="text1"/>
        </w:rPr>
        <w:tab/>
        <w:t>share of market with the end use (e.g., restaurant floor space with the end use). This is also referred to as the end-use saturation.</w:t>
      </w:r>
    </w:p>
    <w:p w14:paraId="69A9A1D5" w14:textId="77777777" w:rsidR="001F165C" w:rsidRPr="001F165C" w:rsidRDefault="001F165C" w:rsidP="001B5EC7">
      <w:pPr>
        <w:pStyle w:val="BodyText"/>
        <w:spacing w:after="0" w:line="360" w:lineRule="auto"/>
        <w:ind w:left="1368" w:hanging="1008"/>
        <w:jc w:val="left"/>
        <w:rPr>
          <w:b w:val="0"/>
          <w:color w:val="000000" w:themeColor="text1"/>
        </w:rPr>
      </w:pPr>
      <w:r w:rsidRPr="001F165C">
        <w:rPr>
          <w:b w:val="0"/>
          <w:color w:val="000000" w:themeColor="text1"/>
        </w:rPr>
        <w:t>UEC</w:t>
      </w:r>
      <w:r w:rsidRPr="001F165C">
        <w:rPr>
          <w:b w:val="0"/>
          <w:color w:val="000000" w:themeColor="text1"/>
          <w:vertAlign w:val="subscript"/>
        </w:rPr>
        <w:t>t</w:t>
      </w:r>
      <w:r w:rsidRPr="001F165C">
        <w:rPr>
          <w:b w:val="0"/>
          <w:color w:val="000000" w:themeColor="text1"/>
        </w:rPr>
        <w:t xml:space="preserve">   = </w:t>
      </w:r>
      <w:r w:rsidRPr="001F165C">
        <w:rPr>
          <w:b w:val="0"/>
          <w:color w:val="000000" w:themeColor="text1"/>
        </w:rPr>
        <w:tab/>
        <w:t>unit energy consumption in unit of market size (e.g., restaurant square footage) with the end use</w:t>
      </w:r>
    </w:p>
    <w:p w14:paraId="2BB250E8" w14:textId="77777777" w:rsidR="001F165C" w:rsidRPr="001F165C" w:rsidRDefault="001F165C" w:rsidP="001B5EC7">
      <w:pPr>
        <w:pStyle w:val="BodyText"/>
        <w:spacing w:after="0" w:line="360" w:lineRule="auto"/>
        <w:ind w:left="1368" w:hanging="1008"/>
        <w:jc w:val="left"/>
        <w:rPr>
          <w:b w:val="0"/>
          <w:color w:val="000000" w:themeColor="text1"/>
        </w:rPr>
      </w:pPr>
      <w:r w:rsidRPr="001F165C">
        <w:rPr>
          <w:b w:val="0"/>
          <w:color w:val="000000" w:themeColor="text1"/>
        </w:rPr>
        <w:t>U</w:t>
      </w:r>
      <w:r w:rsidRPr="001F165C">
        <w:rPr>
          <w:b w:val="0"/>
          <w:color w:val="000000" w:themeColor="text1"/>
          <w:vertAlign w:val="subscript"/>
        </w:rPr>
        <w:t>e</w:t>
      </w:r>
      <w:r w:rsidRPr="001F165C">
        <w:rPr>
          <w:b w:val="0"/>
          <w:color w:val="000000" w:themeColor="text1"/>
        </w:rPr>
        <w:t xml:space="preserve">        = </w:t>
      </w:r>
      <w:r w:rsidRPr="001F165C">
        <w:rPr>
          <w:b w:val="0"/>
          <w:color w:val="000000" w:themeColor="text1"/>
        </w:rPr>
        <w:tab/>
        <w:t>utilization index (equals 1.0 in base year)</w:t>
      </w:r>
      <w:r w:rsidRPr="001F165C">
        <w:tab/>
      </w:r>
    </w:p>
    <w:p w14:paraId="72D696AA" w14:textId="77777777" w:rsidR="001F165C" w:rsidRDefault="001F165C" w:rsidP="001F165C">
      <w:pPr>
        <w:pStyle w:val="BodyText"/>
      </w:pPr>
    </w:p>
    <w:p w14:paraId="2D5EF56A" w14:textId="77777777" w:rsidR="001B5EC7" w:rsidRPr="001B5EC7" w:rsidRDefault="001B5EC7" w:rsidP="001B5EC7">
      <w:pPr>
        <w:pStyle w:val="BodyText"/>
        <w:spacing w:after="0"/>
        <w:ind w:left="1008" w:hanging="1008"/>
        <w:jc w:val="left"/>
        <w:rPr>
          <w:b w:val="0"/>
        </w:rPr>
      </w:pPr>
      <w:r w:rsidRPr="001B5EC7">
        <w:rPr>
          <w:b w:val="0"/>
        </w:rPr>
        <w:t xml:space="preserve">The elements of the central energy equation in the base year are contained in an </w:t>
      </w:r>
      <w:r w:rsidRPr="001B5EC7">
        <w:rPr>
          <w:b w:val="0"/>
          <w:iCs/>
        </w:rPr>
        <w:t>energy</w:t>
      </w:r>
      <w:r w:rsidRPr="001B5EC7">
        <w:rPr>
          <w:iCs/>
        </w:rPr>
        <w:t xml:space="preserve"> </w:t>
      </w:r>
      <w:r w:rsidRPr="001B5EC7">
        <w:rPr>
          <w:b w:val="0"/>
          <w:iCs/>
        </w:rPr>
        <w:t>market</w:t>
      </w:r>
      <w:r w:rsidRPr="001B5EC7">
        <w:rPr>
          <w:iCs/>
        </w:rPr>
        <w:t xml:space="preserve"> </w:t>
      </w:r>
      <w:r w:rsidRPr="001B5EC7">
        <w:rPr>
          <w:b w:val="0"/>
          <w:iCs/>
        </w:rPr>
        <w:t>profile</w:t>
      </w:r>
      <w:r w:rsidRPr="001B5EC7">
        <w:rPr>
          <w:b w:val="0"/>
        </w:rPr>
        <w:t>.</w:t>
      </w:r>
    </w:p>
    <w:p w14:paraId="2EF9AE83" w14:textId="77777777" w:rsidR="001F165C" w:rsidRDefault="001F165C" w:rsidP="001F165C">
      <w:pPr>
        <w:pStyle w:val="BodyText"/>
        <w:spacing w:line="360" w:lineRule="auto"/>
        <w:jc w:val="both"/>
        <w:rPr>
          <w:b w:val="0"/>
        </w:rPr>
      </w:pPr>
    </w:p>
    <w:p w14:paraId="3BA8AA9C" w14:textId="7A676035" w:rsidR="001F165C" w:rsidRPr="00634EA8" w:rsidRDefault="001F165C" w:rsidP="001F165C">
      <w:pPr>
        <w:pStyle w:val="BodyText"/>
        <w:spacing w:line="360" w:lineRule="auto"/>
        <w:jc w:val="both"/>
        <w:rPr>
          <w:b w:val="0"/>
        </w:rPr>
      </w:pPr>
      <w:r w:rsidRPr="00634EA8">
        <w:rPr>
          <w:b w:val="0"/>
        </w:rPr>
        <w:t>The Commercial LoadMAP model uses economic, fuel price, market data, operating characteristics, and weather information to produce the energy forecast for the commercial class. The economic variable used is floor space by building type. The square footage forecast is done in</w:t>
      </w:r>
      <w:r>
        <w:rPr>
          <w:b w:val="0"/>
        </w:rPr>
        <w:t>-</w:t>
      </w:r>
      <w:r w:rsidRPr="00634EA8">
        <w:rPr>
          <w:b w:val="0"/>
        </w:rPr>
        <w:t xml:space="preserve">house </w:t>
      </w:r>
      <w:r>
        <w:rPr>
          <w:b w:val="0"/>
        </w:rPr>
        <w:t xml:space="preserve">by SCS </w:t>
      </w:r>
      <w:r w:rsidRPr="00634EA8">
        <w:rPr>
          <w:b w:val="0"/>
        </w:rPr>
        <w:t xml:space="preserve">and utilizes historical and short-term forecast square footage data from </w:t>
      </w:r>
      <w:r w:rsidR="007F7F3D">
        <w:rPr>
          <w:b w:val="0"/>
        </w:rPr>
        <w:t>McGraw-Hill</w:t>
      </w:r>
      <w:r w:rsidRPr="00634EA8">
        <w:rPr>
          <w:b w:val="0"/>
        </w:rPr>
        <w:t xml:space="preserve"> </w:t>
      </w:r>
      <w:r w:rsidR="007F7F3D">
        <w:rPr>
          <w:b w:val="0"/>
        </w:rPr>
        <w:t xml:space="preserve">Construction </w:t>
      </w:r>
      <w:r w:rsidRPr="00634EA8">
        <w:rPr>
          <w:b w:val="0"/>
        </w:rPr>
        <w:t xml:space="preserve">and economic data from </w:t>
      </w:r>
      <w:r w:rsidR="003B428E">
        <w:rPr>
          <w:b w:val="0"/>
        </w:rPr>
        <w:t>IHS Markit</w:t>
      </w:r>
      <w:r w:rsidRPr="00634EA8">
        <w:rPr>
          <w:b w:val="0"/>
        </w:rPr>
        <w:t xml:space="preserve">. It is the primary driver of energy consumption in the commercial class. Floor space is measured in square footage of building space.  </w:t>
      </w:r>
    </w:p>
    <w:p w14:paraId="50A60667" w14:textId="77777777" w:rsidR="001F165C" w:rsidRDefault="001F165C" w:rsidP="001F165C">
      <w:pPr>
        <w:pStyle w:val="BodyTextIndent"/>
        <w:spacing w:line="360" w:lineRule="auto"/>
        <w:ind w:left="0"/>
        <w:jc w:val="both"/>
      </w:pPr>
    </w:p>
    <w:p w14:paraId="0C506E32" w14:textId="4FCEDD8C" w:rsidR="007F7F3D" w:rsidRPr="00E71F2D" w:rsidRDefault="007F7F3D" w:rsidP="001F165C">
      <w:pPr>
        <w:pStyle w:val="BodyTextIndent"/>
        <w:spacing w:line="360" w:lineRule="auto"/>
        <w:ind w:left="0"/>
        <w:jc w:val="both"/>
      </w:pPr>
      <w:r w:rsidRPr="00634EA8">
        <w:t>There are two types of share definitions. The whole building concept measures the share of floor</w:t>
      </w:r>
      <w:r w:rsidR="00C85644">
        <w:t xml:space="preserve"> space in buildings with an end </w:t>
      </w:r>
      <w:r w:rsidRPr="00634EA8">
        <w:t>use regardless of the portion of each building that is served by the end</w:t>
      </w:r>
      <w:r w:rsidR="00C85644">
        <w:t xml:space="preserve"> </w:t>
      </w:r>
      <w:r w:rsidRPr="00634EA8">
        <w:t>use (for example, refrigeration in an office building). The second share concept refers to conditioned floor space and accounts for the fraction of each building that is conditioned by the end</w:t>
      </w:r>
      <w:r w:rsidR="00C85644">
        <w:t xml:space="preserve"> </w:t>
      </w:r>
      <w:r w:rsidRPr="00634EA8">
        <w:t xml:space="preserve">use (for example, air conditioning). The </w:t>
      </w:r>
      <w:r w:rsidR="00A27BE8">
        <w:t>Energy Usage Index (“</w:t>
      </w:r>
      <w:r w:rsidRPr="00634EA8">
        <w:t>EUI</w:t>
      </w:r>
      <w:r w:rsidR="00A27BE8">
        <w:t>”)</w:t>
      </w:r>
      <w:r w:rsidRPr="00634EA8">
        <w:t xml:space="preserve"> is the average annual energy per square foot of floor space tha</w:t>
      </w:r>
      <w:r w:rsidR="00C85644">
        <w:t xml:space="preserve">t is served by a particular end </w:t>
      </w:r>
      <w:r w:rsidRPr="00634EA8">
        <w:t>use and fuel type. The usage index (“UI”) is an index measured relative to the base year that indicates the relative amount of energy service (e.g. lighting) delivered for a specified end</w:t>
      </w:r>
      <w:r w:rsidR="00C85644">
        <w:t xml:space="preserve"> </w:t>
      </w:r>
      <w:r w:rsidRPr="00634EA8">
        <w:t>use and fuel type within a particular building type. The UI is determined by consumer (occupant) behavior, equipment controls, weather, and other operating characteristics. Consumer behavior and choice decisions such as changes in thermostat settings or operating hours can result in changes in energy usage.</w:t>
      </w:r>
    </w:p>
    <w:p w14:paraId="04A0204D" w14:textId="77777777" w:rsidR="007F7F3D" w:rsidRDefault="007F7F3D" w:rsidP="00E71F2D">
      <w:pPr>
        <w:pStyle w:val="BodyTextIndent"/>
        <w:spacing w:line="360" w:lineRule="auto"/>
        <w:ind w:left="0"/>
        <w:jc w:val="both"/>
      </w:pPr>
    </w:p>
    <w:p w14:paraId="0E03DCED" w14:textId="66B5DC2B" w:rsidR="00E71F2D" w:rsidRPr="00E71F2D" w:rsidRDefault="007F7F3D" w:rsidP="00E71F2D">
      <w:pPr>
        <w:pStyle w:val="BodyTextIndent"/>
        <w:spacing w:line="360" w:lineRule="auto"/>
        <w:ind w:left="0"/>
        <w:jc w:val="both"/>
      </w:pPr>
      <w:r w:rsidRPr="00634EA8">
        <w:t>The information for each technology’s saturation, energy use intensity, intensity per square foot, and sales for each end</w:t>
      </w:r>
      <w:r w:rsidR="00C85644">
        <w:t xml:space="preserve"> </w:t>
      </w:r>
      <w:r w:rsidRPr="00634EA8">
        <w:t xml:space="preserve">use comprise the market profile of energy use for a particular building type/fuel type combination. Market profiles of energy use for a building type are developed for each fuel type. End-use energy consumption by technology, or sales, is the product of intensity per square foot and floor space. The product of the saturation and EUI is called the building intensity or intensity per square foot. Market profiles show this decomposition of energy use. The information for the market profiles in the current Georgia Power commercial model is derived from the 2004 Georgia Power Commercial Saturation Survey, national and regional data, and additional substitutes as developed by </w:t>
      </w:r>
      <w:r w:rsidR="003B428E">
        <w:t>AEG</w:t>
      </w:r>
      <w:r w:rsidR="00CD0701">
        <w:t>.</w:t>
      </w:r>
      <w:r w:rsidRPr="00634EA8">
        <w:t xml:space="preserve"> </w:t>
      </w:r>
    </w:p>
    <w:p w14:paraId="453F375B" w14:textId="77777777" w:rsidR="00E71F2D" w:rsidRPr="00E71F2D" w:rsidRDefault="00E71F2D" w:rsidP="00E71F2D">
      <w:pPr>
        <w:pStyle w:val="BodyTextIndent"/>
        <w:spacing w:line="360" w:lineRule="auto"/>
        <w:jc w:val="both"/>
      </w:pPr>
    </w:p>
    <w:p w14:paraId="253B6DEF" w14:textId="5B729049" w:rsidR="005212DF" w:rsidRPr="00634EA8" w:rsidRDefault="005212DF" w:rsidP="005212DF">
      <w:pPr>
        <w:pStyle w:val="BodyText"/>
        <w:spacing w:line="360" w:lineRule="auto"/>
        <w:jc w:val="both"/>
        <w:rPr>
          <w:b w:val="0"/>
        </w:rPr>
      </w:pPr>
      <w:r w:rsidRPr="00634EA8">
        <w:rPr>
          <w:b w:val="0"/>
        </w:rPr>
        <w:t>The numerical values of the components in this definition change over time. These changes reflect the economic decisions made in the commercial marketplace concerning the choice of building construction and building materials, installation of energy consuming end-use equipment, and usage patterns resulting from the consumer behavior of the occupants in the finished building. End-use modeling is concerned with capturing the effects of the primary influences on these decisions and projects the trend of each of these components throughout the forecast horizon.</w:t>
      </w:r>
    </w:p>
    <w:p w14:paraId="73F5356D" w14:textId="77777777" w:rsidR="005212DF" w:rsidRPr="00634EA8" w:rsidRDefault="005212DF" w:rsidP="005212DF">
      <w:pPr>
        <w:pStyle w:val="BodyText"/>
        <w:spacing w:line="360" w:lineRule="auto"/>
        <w:jc w:val="both"/>
        <w:rPr>
          <w:b w:val="0"/>
        </w:rPr>
      </w:pPr>
    </w:p>
    <w:p w14:paraId="210F7B01" w14:textId="24C74123" w:rsidR="005212DF" w:rsidRPr="00634EA8" w:rsidRDefault="005212DF" w:rsidP="005212DF">
      <w:pPr>
        <w:pStyle w:val="BodyText"/>
        <w:spacing w:line="360" w:lineRule="auto"/>
        <w:jc w:val="both"/>
        <w:rPr>
          <w:b w:val="0"/>
        </w:rPr>
      </w:pPr>
      <w:r w:rsidRPr="00634EA8">
        <w:rPr>
          <w:b w:val="0"/>
        </w:rPr>
        <w:t>Fuel share and EUIs reflect the choices among building and energy technology of investment decisions made by building owners, architects, and contractors at the time of new building construction or replacement of equipment. The choice of whether to include end-use equipment, along with which fuel</w:t>
      </w:r>
      <w:r>
        <w:rPr>
          <w:b w:val="0"/>
        </w:rPr>
        <w:t xml:space="preserve"> powers the</w:t>
      </w:r>
      <w:r w:rsidRPr="00634EA8">
        <w:rPr>
          <w:b w:val="0"/>
        </w:rPr>
        <w:t xml:space="preserve"> equipment or technology, affects fuel shares, end-use penetration, and energy consumption. Selection of building design options, energy-using equipment choice, building characteristics, and usage patterns determine the EUI for each fuel. Owner preferences, consumer behavior of the occupants of a building, and decisions made about the frequency and intensity of energy equipment use affect usage levels.  </w:t>
      </w:r>
    </w:p>
    <w:p w14:paraId="69EE981F" w14:textId="77777777" w:rsidR="005212DF" w:rsidRPr="00634EA8" w:rsidRDefault="005212DF" w:rsidP="005212DF">
      <w:pPr>
        <w:pStyle w:val="BodyText"/>
      </w:pPr>
    </w:p>
    <w:p w14:paraId="014ED766" w14:textId="1A2FA036" w:rsidR="005212DF" w:rsidRPr="00634EA8" w:rsidRDefault="005212DF" w:rsidP="005212DF">
      <w:pPr>
        <w:pStyle w:val="BodyText"/>
        <w:spacing w:line="360" w:lineRule="auto"/>
        <w:jc w:val="both"/>
        <w:rPr>
          <w:b w:val="0"/>
        </w:rPr>
      </w:pPr>
      <w:r w:rsidRPr="00634EA8">
        <w:rPr>
          <w:b w:val="0"/>
        </w:rPr>
        <w:t>The Commercial LoadMAP model explicitly identifies some factors influencing the usage, such as fuel prices, weather data, operating hours, occupancy rates, and other information. Fuel prices and weather data are specific to the Georgia Power territory. Where Georgia Power data were not available, national and regional data were substituted.</w:t>
      </w:r>
    </w:p>
    <w:p w14:paraId="48AA1A61" w14:textId="77777777" w:rsidR="00E71F2D" w:rsidRPr="00E71F2D" w:rsidRDefault="00E71F2D" w:rsidP="00E71F2D">
      <w:pPr>
        <w:pStyle w:val="BodyTextIndent"/>
        <w:spacing w:line="360" w:lineRule="auto"/>
        <w:jc w:val="both"/>
      </w:pPr>
    </w:p>
    <w:p w14:paraId="40C2C92A" w14:textId="51FD9C02" w:rsidR="005212DF" w:rsidRPr="00634EA8" w:rsidRDefault="005212DF" w:rsidP="000C7AAB">
      <w:pPr>
        <w:pStyle w:val="BodyText"/>
        <w:spacing w:line="360" w:lineRule="auto"/>
        <w:jc w:val="both"/>
      </w:pPr>
      <w:r w:rsidRPr="00634EA8">
        <w:rPr>
          <w:b w:val="0"/>
        </w:rPr>
        <w:t xml:space="preserve">Commercial LoadMAP models the economic investment decision process of a building owner. Investment decisions in the commercial market have a major role in the energy consumption within a building. The decisions regarding construction or equipment replacement for a building represent a trade-off between capital and operating costs of equipment. This trade-off is then reduced to decisions related to the fuel and equipment efficiency decisions of operating equipment and capital costs. </w:t>
      </w:r>
      <w:r w:rsidR="00AD7D97">
        <w:rPr>
          <w:b w:val="0"/>
        </w:rPr>
        <w:t>LoadMAP</w:t>
      </w:r>
      <w:r w:rsidRPr="00634EA8">
        <w:rPr>
          <w:b w:val="0"/>
        </w:rPr>
        <w:t xml:space="preserve"> uses a probabilistic method to model the decision process regarding which equipment system will be installed in a building. This method depends on factors such as the capital and operating costs of alternative options and building characteristics.  </w:t>
      </w:r>
    </w:p>
    <w:p w14:paraId="0BAC31F8" w14:textId="77777777" w:rsidR="005212DF" w:rsidRPr="00634EA8" w:rsidRDefault="005212DF" w:rsidP="005212DF">
      <w:pPr>
        <w:pStyle w:val="BodyText"/>
      </w:pPr>
    </w:p>
    <w:p w14:paraId="6805A52C" w14:textId="77777777" w:rsidR="000C7AAB" w:rsidRDefault="005212DF" w:rsidP="005212DF">
      <w:pPr>
        <w:pStyle w:val="BodyText"/>
        <w:spacing w:line="360" w:lineRule="auto"/>
        <w:jc w:val="both"/>
        <w:rPr>
          <w:b w:val="0"/>
        </w:rPr>
      </w:pPr>
      <w:r w:rsidRPr="00634EA8">
        <w:rPr>
          <w:b w:val="0"/>
        </w:rPr>
        <w:t xml:space="preserve">The historical energies for the commercial class are derived from Georgia Power specific data, distinguishing each segment using </w:t>
      </w:r>
      <w:r w:rsidR="00352D1C">
        <w:rPr>
          <w:b w:val="0"/>
        </w:rPr>
        <w:t>North American Industry Classification System (“</w:t>
      </w:r>
      <w:r w:rsidRPr="00634EA8">
        <w:rPr>
          <w:b w:val="0"/>
        </w:rPr>
        <w:t>NAICS</w:t>
      </w:r>
      <w:r w:rsidR="00352D1C">
        <w:rPr>
          <w:b w:val="0"/>
        </w:rPr>
        <w:t>”)</w:t>
      </w:r>
      <w:r w:rsidRPr="00634EA8">
        <w:rPr>
          <w:b w:val="0"/>
        </w:rPr>
        <w:t xml:space="preserve"> codes.</w:t>
      </w:r>
    </w:p>
    <w:p w14:paraId="3B9E7E06" w14:textId="77777777" w:rsidR="005212DF" w:rsidRPr="009A578C" w:rsidRDefault="005212DF" w:rsidP="005212DF">
      <w:pPr>
        <w:pStyle w:val="BodyText"/>
        <w:spacing w:line="360" w:lineRule="auto"/>
        <w:jc w:val="both"/>
        <w:rPr>
          <w:b w:val="0"/>
        </w:rPr>
      </w:pPr>
      <w:r>
        <w:rPr>
          <w:b w:val="0"/>
        </w:rPr>
        <w:t xml:space="preserve"> </w:t>
      </w:r>
    </w:p>
    <w:p w14:paraId="4A557B61" w14:textId="62B37807" w:rsidR="000C7AAB" w:rsidRPr="009A578C" w:rsidRDefault="000C7AAB" w:rsidP="000C7AAB">
      <w:pPr>
        <w:pStyle w:val="BodyText"/>
        <w:spacing w:line="360" w:lineRule="auto"/>
        <w:jc w:val="both"/>
        <w:rPr>
          <w:b w:val="0"/>
        </w:rPr>
      </w:pPr>
      <w:r w:rsidRPr="009A578C">
        <w:rPr>
          <w:b w:val="0"/>
        </w:rPr>
        <w:t>Customers have the opportunity to purchase appliances and equipment that use a variety of fuels. The price of the fuel affects the usage patterns and purchasing habits of the decision maker. Electricity and natural gas prices are forecasted for the commercial sector and used in</w:t>
      </w:r>
      <w:r>
        <w:rPr>
          <w:b w:val="0"/>
        </w:rPr>
        <w:t xml:space="preserve"> the Commercial LoadMAP model.</w:t>
      </w:r>
    </w:p>
    <w:p w14:paraId="4C6B11DA" w14:textId="77777777" w:rsidR="000C7AAB" w:rsidRPr="009A578C" w:rsidRDefault="000C7AAB" w:rsidP="000C7AAB">
      <w:pPr>
        <w:pStyle w:val="BodyText"/>
        <w:spacing w:line="360" w:lineRule="auto"/>
        <w:jc w:val="both"/>
        <w:rPr>
          <w:b w:val="0"/>
        </w:rPr>
      </w:pPr>
    </w:p>
    <w:p w14:paraId="4298BB53" w14:textId="1A108D25" w:rsidR="000C7AAB" w:rsidRPr="009A578C" w:rsidRDefault="000C7AAB" w:rsidP="000C7AAB">
      <w:pPr>
        <w:pStyle w:val="BodyText"/>
        <w:spacing w:line="360" w:lineRule="auto"/>
        <w:jc w:val="both"/>
        <w:rPr>
          <w:b w:val="0"/>
        </w:rPr>
      </w:pPr>
      <w:r>
        <w:rPr>
          <w:b w:val="0"/>
        </w:rPr>
        <w:t xml:space="preserve">The model </w:t>
      </w:r>
      <w:r w:rsidRPr="009A578C">
        <w:rPr>
          <w:b w:val="0"/>
        </w:rPr>
        <w:t>calibrates to the historical energy and segment information of the commercial class for the base year of 2007. Additionally, the long-term forecast produced is calibrated to anticipate changes in use-per-square foot in the commercial class.</w:t>
      </w:r>
    </w:p>
    <w:p w14:paraId="785744E7" w14:textId="77777777" w:rsidR="000C7AAB" w:rsidRPr="009A578C" w:rsidRDefault="000C7AAB" w:rsidP="000C7AAB">
      <w:pPr>
        <w:pStyle w:val="BodyText"/>
        <w:spacing w:line="360" w:lineRule="auto"/>
        <w:jc w:val="both"/>
        <w:rPr>
          <w:b w:val="0"/>
        </w:rPr>
      </w:pPr>
    </w:p>
    <w:p w14:paraId="46FB4562" w14:textId="51AAA666" w:rsidR="000C7AAB" w:rsidRPr="009A578C" w:rsidRDefault="000C7AAB" w:rsidP="000C7AAB">
      <w:pPr>
        <w:pStyle w:val="BodyText"/>
        <w:spacing w:line="360" w:lineRule="auto"/>
        <w:jc w:val="both"/>
        <w:rPr>
          <w:b w:val="0"/>
        </w:rPr>
      </w:pPr>
      <w:r w:rsidRPr="009A578C">
        <w:rPr>
          <w:b w:val="0"/>
        </w:rPr>
        <w:t xml:space="preserve">The commercial long-term forecast is modeled on a billing basis. Budget </w:t>
      </w:r>
      <w:r w:rsidR="005C48FB" w:rsidRPr="009A578C">
        <w:rPr>
          <w:b w:val="0"/>
        </w:rPr>
        <w:t>20</w:t>
      </w:r>
      <w:r w:rsidR="005C48FB">
        <w:rPr>
          <w:b w:val="0"/>
        </w:rPr>
        <w:t>19</w:t>
      </w:r>
      <w:r w:rsidR="005C48FB" w:rsidRPr="009A578C">
        <w:rPr>
          <w:b w:val="0"/>
        </w:rPr>
        <w:t xml:space="preserve"> </w:t>
      </w:r>
      <w:r w:rsidRPr="009A578C">
        <w:rPr>
          <w:b w:val="0"/>
        </w:rPr>
        <w:t>is presented as a calendar</w:t>
      </w:r>
      <w:r w:rsidR="001655DA">
        <w:rPr>
          <w:b w:val="0"/>
        </w:rPr>
        <w:t>-</w:t>
      </w:r>
      <w:r w:rsidRPr="009A578C">
        <w:rPr>
          <w:b w:val="0"/>
        </w:rPr>
        <w:t>based forecast. The long-term billing forecast is integrated with the short-term billing forecast and then both are converted to a calendar basis.</w:t>
      </w:r>
      <w:r w:rsidR="002C7A3E">
        <w:rPr>
          <w:b w:val="0"/>
        </w:rPr>
        <w:t xml:space="preserve"> </w:t>
      </w:r>
      <w:r w:rsidR="002C7A3E">
        <w:rPr>
          <w:b w:val="0"/>
          <w:szCs w:val="24"/>
        </w:rPr>
        <w:t>Attachment 5.1.2-1 shows the unadjusted long-term billing forecast, as well as the adjusted billing and calendar forecasts, which are adjusted for reductions in sales resulting from DSM</w:t>
      </w:r>
      <w:r w:rsidR="00813915">
        <w:rPr>
          <w:b w:val="0"/>
          <w:szCs w:val="24"/>
        </w:rPr>
        <w:t xml:space="preserve">, cogeneration </w:t>
      </w:r>
      <w:r w:rsidR="002C7A3E">
        <w:rPr>
          <w:b w:val="0"/>
          <w:szCs w:val="24"/>
        </w:rPr>
        <w:t>and solar, and for the additional sales resulting from electric vehicles.</w:t>
      </w:r>
    </w:p>
    <w:p w14:paraId="30A196FF" w14:textId="77777777" w:rsidR="000C7AAB" w:rsidRPr="009A578C" w:rsidRDefault="000C7AAB" w:rsidP="000C7AAB">
      <w:pPr>
        <w:pStyle w:val="BodyText"/>
        <w:spacing w:line="360" w:lineRule="auto"/>
        <w:jc w:val="both"/>
        <w:rPr>
          <w:b w:val="0"/>
        </w:rPr>
      </w:pPr>
    </w:p>
    <w:p w14:paraId="422A78AC" w14:textId="1ABE6A4D" w:rsidR="000C7AAB" w:rsidRPr="009A578C" w:rsidRDefault="000C7AAB" w:rsidP="000C7AAB">
      <w:pPr>
        <w:pStyle w:val="BodyText"/>
        <w:spacing w:line="360" w:lineRule="auto"/>
        <w:jc w:val="both"/>
        <w:rPr>
          <w:b w:val="0"/>
        </w:rPr>
      </w:pPr>
      <w:r w:rsidRPr="009A578C">
        <w:rPr>
          <w:b w:val="0"/>
        </w:rPr>
        <w:t xml:space="preserve">Several attachments follow which comprise the Budget </w:t>
      </w:r>
      <w:r w:rsidR="005C48FB" w:rsidRPr="009A578C">
        <w:rPr>
          <w:b w:val="0"/>
        </w:rPr>
        <w:t>20</w:t>
      </w:r>
      <w:r w:rsidR="005C48FB">
        <w:rPr>
          <w:b w:val="0"/>
        </w:rPr>
        <w:t>19</w:t>
      </w:r>
      <w:r w:rsidR="005C48FB" w:rsidRPr="009A578C">
        <w:rPr>
          <w:b w:val="0"/>
        </w:rPr>
        <w:t xml:space="preserve"> </w:t>
      </w:r>
      <w:r w:rsidRPr="009A578C">
        <w:rPr>
          <w:b w:val="0"/>
        </w:rPr>
        <w:t>Commercial Long-term Forecast.</w:t>
      </w:r>
    </w:p>
    <w:p w14:paraId="726435A0" w14:textId="77777777" w:rsidR="0068575E" w:rsidRDefault="0068575E">
      <w:pPr>
        <w:spacing w:after="200" w:line="276" w:lineRule="auto"/>
        <w:jc w:val="left"/>
        <w:rPr>
          <w:b w:val="0"/>
        </w:rPr>
      </w:pPr>
      <w:r>
        <w:br w:type="page"/>
      </w:r>
    </w:p>
    <w:p w14:paraId="096A1E7C" w14:textId="77777777" w:rsidR="0068575E" w:rsidRDefault="0068575E" w:rsidP="004971A6">
      <w:pPr>
        <w:pStyle w:val="BodyTextIndent"/>
        <w:spacing w:line="360" w:lineRule="auto"/>
        <w:ind w:left="0"/>
        <w:jc w:val="left"/>
        <w:rPr>
          <w:b/>
        </w:rPr>
        <w:sectPr w:rsidR="0068575E" w:rsidSect="00CE15CB">
          <w:footnotePr>
            <w:numRestart w:val="eachSect"/>
          </w:footnotePr>
          <w:pgSz w:w="12240" w:h="15840"/>
          <w:pgMar w:top="1440" w:right="1440" w:bottom="1440" w:left="1440" w:header="720" w:footer="720" w:gutter="0"/>
          <w:cols w:space="720"/>
          <w:docGrid w:linePitch="273"/>
        </w:sectPr>
      </w:pPr>
    </w:p>
    <w:p w14:paraId="47202921" w14:textId="77777777" w:rsidR="005A29F9" w:rsidRDefault="005A29F9" w:rsidP="004971A6">
      <w:pPr>
        <w:pStyle w:val="BodyTextIndent"/>
        <w:spacing w:line="360" w:lineRule="auto"/>
        <w:ind w:left="0"/>
        <w:jc w:val="left"/>
        <w:rPr>
          <w:b/>
        </w:rPr>
      </w:pPr>
      <w:r>
        <w:rPr>
          <w:b/>
        </w:rPr>
        <w:t>Attachment 5.1.2-1: Total Commercial Energy Sales (GWh)</w:t>
      </w:r>
    </w:p>
    <w:p w14:paraId="37D6A5AA" w14:textId="77777777" w:rsidR="0068575E" w:rsidRDefault="0068575E" w:rsidP="0068575E">
      <w:pPr>
        <w:pStyle w:val="BodyTextIndent"/>
        <w:spacing w:after="0"/>
        <w:ind w:left="0"/>
        <w:rPr>
          <w:b/>
        </w:rPr>
      </w:pPr>
      <w:r>
        <w:rPr>
          <w:b/>
        </w:rPr>
        <w:t>Commercial Long-Term Forecast</w:t>
      </w:r>
    </w:p>
    <w:p w14:paraId="409E39F5" w14:textId="5E86AF6C" w:rsidR="0068575E" w:rsidRDefault="0068575E" w:rsidP="0068575E">
      <w:pPr>
        <w:pStyle w:val="BodyTextIndent"/>
        <w:spacing w:after="0"/>
        <w:ind w:left="0"/>
        <w:rPr>
          <w:b/>
        </w:rPr>
      </w:pPr>
      <w:r w:rsidRPr="0068575E">
        <w:rPr>
          <w:b/>
        </w:rPr>
        <w:t xml:space="preserve">Budget </w:t>
      </w:r>
      <w:r w:rsidR="004E1C02" w:rsidRPr="0068575E">
        <w:rPr>
          <w:b/>
        </w:rPr>
        <w:t>20</w:t>
      </w:r>
      <w:r w:rsidR="004E1C02">
        <w:rPr>
          <w:b/>
        </w:rPr>
        <w:t>19</w:t>
      </w:r>
    </w:p>
    <w:p w14:paraId="1122459F" w14:textId="77777777" w:rsidR="0068575E" w:rsidRPr="0068575E" w:rsidRDefault="0068575E" w:rsidP="0068575E">
      <w:pPr>
        <w:pStyle w:val="BodyTextIndent"/>
        <w:spacing w:after="0"/>
        <w:ind w:left="0"/>
        <w:rPr>
          <w:b/>
        </w:rPr>
      </w:pPr>
    </w:p>
    <w:p w14:paraId="7C48E2BC" w14:textId="197D4700" w:rsidR="00AA3A96" w:rsidRDefault="00D21489" w:rsidP="0068575E">
      <w:pPr>
        <w:pStyle w:val="BodyTextIndent"/>
        <w:spacing w:line="360" w:lineRule="auto"/>
        <w:ind w:left="0"/>
        <w:rPr>
          <w:noProof/>
        </w:rPr>
      </w:pPr>
      <w:r w:rsidRPr="00D21489">
        <w:rPr>
          <w:noProof/>
        </w:rPr>
        <w:drawing>
          <wp:inline distT="0" distB="0" distL="0" distR="0" wp14:anchorId="2021DBC2" wp14:editId="5319A289">
            <wp:extent cx="5276850" cy="4048125"/>
            <wp:effectExtent l="0" t="0" r="0" b="9525"/>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276850" cy="4048125"/>
                    </a:xfrm>
                    <a:prstGeom prst="rect">
                      <a:avLst/>
                    </a:prstGeom>
                    <a:noFill/>
                    <a:ln>
                      <a:noFill/>
                    </a:ln>
                  </pic:spPr>
                </pic:pic>
              </a:graphicData>
            </a:graphic>
          </wp:inline>
        </w:drawing>
      </w:r>
    </w:p>
    <w:p w14:paraId="20A29DCC" w14:textId="77777777" w:rsidR="005A29F9" w:rsidRDefault="005A29F9" w:rsidP="004971A6">
      <w:pPr>
        <w:pStyle w:val="BodyTextIndent"/>
        <w:spacing w:line="360" w:lineRule="auto"/>
        <w:ind w:left="0"/>
        <w:jc w:val="left"/>
      </w:pPr>
    </w:p>
    <w:p w14:paraId="198C685D" w14:textId="0CD70E63" w:rsidR="00BC7C3C" w:rsidRDefault="00BC7C3C" w:rsidP="004971A6">
      <w:pPr>
        <w:pStyle w:val="BodyTextIndent"/>
        <w:spacing w:line="360" w:lineRule="auto"/>
        <w:ind w:left="0"/>
        <w:jc w:val="left"/>
      </w:pPr>
      <w:r>
        <w:t>*In the following tables, values are based on the long-term billed end-use model. No external adjustments were made.</w:t>
      </w:r>
    </w:p>
    <w:p w14:paraId="3A8C75AD" w14:textId="77777777" w:rsidR="0068575E" w:rsidRDefault="0068575E">
      <w:pPr>
        <w:spacing w:after="200" w:line="276" w:lineRule="auto"/>
        <w:jc w:val="left"/>
      </w:pPr>
      <w:r>
        <w:rPr>
          <w:b w:val="0"/>
        </w:rPr>
        <w:br w:type="page"/>
      </w:r>
    </w:p>
    <w:p w14:paraId="398B4909" w14:textId="77777777" w:rsidR="0068575E" w:rsidRDefault="0068575E" w:rsidP="004971A6">
      <w:pPr>
        <w:pStyle w:val="BodyTextIndent"/>
        <w:spacing w:line="360" w:lineRule="auto"/>
        <w:ind w:left="0"/>
        <w:jc w:val="left"/>
        <w:rPr>
          <w:b/>
        </w:rPr>
        <w:sectPr w:rsidR="0068575E" w:rsidSect="0068575E">
          <w:footnotePr>
            <w:numRestart w:val="eachSect"/>
          </w:footnotePr>
          <w:pgSz w:w="15840" w:h="12240" w:orient="landscape"/>
          <w:pgMar w:top="1440" w:right="1440" w:bottom="1440" w:left="1440" w:header="720" w:footer="720" w:gutter="0"/>
          <w:cols w:space="720"/>
          <w:docGrid w:linePitch="273"/>
        </w:sectPr>
      </w:pPr>
    </w:p>
    <w:p w14:paraId="2F7DBA48" w14:textId="77777777" w:rsidR="005A29F9" w:rsidRDefault="005A29F9" w:rsidP="004971A6">
      <w:pPr>
        <w:pStyle w:val="BodyTextIndent"/>
        <w:spacing w:line="360" w:lineRule="auto"/>
        <w:ind w:left="0"/>
        <w:jc w:val="left"/>
      </w:pPr>
      <w:r>
        <w:rPr>
          <w:b/>
        </w:rPr>
        <w:t>Attachment 5.1.2-2: Sales by Building Type and Percentage of Class (GWh and Percentages)</w:t>
      </w:r>
    </w:p>
    <w:p w14:paraId="05603819" w14:textId="3321589D" w:rsidR="0068575E" w:rsidRDefault="0068575E" w:rsidP="0068575E">
      <w:pPr>
        <w:pStyle w:val="BodyTextIndent"/>
        <w:spacing w:after="0"/>
        <w:ind w:left="0"/>
        <w:rPr>
          <w:b/>
        </w:rPr>
      </w:pPr>
      <w:r>
        <w:rPr>
          <w:b/>
        </w:rPr>
        <w:t>Commercial Long-Term Forecast</w:t>
      </w:r>
      <w:r w:rsidR="007D3ADD">
        <w:rPr>
          <w:b/>
        </w:rPr>
        <w:t xml:space="preserve"> (LoadMAP-C)</w:t>
      </w:r>
      <w:r w:rsidR="00FC6AF5">
        <w:rPr>
          <w:b/>
        </w:rPr>
        <w:t xml:space="preserve"> Unadjusted</w:t>
      </w:r>
    </w:p>
    <w:p w14:paraId="5754C5B0" w14:textId="26A11879" w:rsidR="0068575E" w:rsidRDefault="0068575E" w:rsidP="0068575E">
      <w:pPr>
        <w:pStyle w:val="BodyTextIndent"/>
        <w:spacing w:after="0"/>
        <w:ind w:left="0"/>
        <w:rPr>
          <w:b/>
        </w:rPr>
      </w:pPr>
      <w:r w:rsidRPr="0068575E">
        <w:rPr>
          <w:b/>
        </w:rPr>
        <w:t xml:space="preserve">Budget </w:t>
      </w:r>
      <w:r w:rsidR="004E1C02" w:rsidRPr="0068575E">
        <w:rPr>
          <w:b/>
        </w:rPr>
        <w:t>20</w:t>
      </w:r>
      <w:r w:rsidR="004E1C02">
        <w:rPr>
          <w:b/>
        </w:rPr>
        <w:t>19</w:t>
      </w:r>
    </w:p>
    <w:p w14:paraId="6A30CA06" w14:textId="77777777" w:rsidR="0065416F" w:rsidRDefault="0065416F" w:rsidP="0068575E">
      <w:pPr>
        <w:pStyle w:val="BodyTextIndent"/>
        <w:spacing w:after="0"/>
        <w:ind w:left="0"/>
        <w:rPr>
          <w:b/>
        </w:rPr>
      </w:pPr>
    </w:p>
    <w:p w14:paraId="09FC56BC" w14:textId="667BD54F" w:rsidR="00AA3A96" w:rsidRDefault="00D21489" w:rsidP="0068575E">
      <w:pPr>
        <w:pStyle w:val="BodyTextIndent"/>
        <w:spacing w:after="0"/>
        <w:ind w:left="0"/>
        <w:rPr>
          <w:b/>
          <w:noProof/>
        </w:rPr>
      </w:pPr>
      <w:r w:rsidRPr="00D21489">
        <w:rPr>
          <w:b/>
          <w:noProof/>
        </w:rPr>
        <w:drawing>
          <wp:inline distT="0" distB="0" distL="0" distR="0" wp14:anchorId="7918D818" wp14:editId="6686ED23">
            <wp:extent cx="8229600" cy="2020724"/>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8229600" cy="2020724"/>
                    </a:xfrm>
                    <a:prstGeom prst="rect">
                      <a:avLst/>
                    </a:prstGeom>
                    <a:noFill/>
                    <a:ln>
                      <a:noFill/>
                    </a:ln>
                  </pic:spPr>
                </pic:pic>
              </a:graphicData>
            </a:graphic>
          </wp:inline>
        </w:drawing>
      </w:r>
    </w:p>
    <w:p w14:paraId="6CC34741" w14:textId="54E823C6" w:rsidR="0068575E" w:rsidRDefault="0068575E" w:rsidP="0068575E">
      <w:pPr>
        <w:pStyle w:val="BodyTextIndent"/>
        <w:spacing w:after="0"/>
        <w:ind w:left="0"/>
        <w:rPr>
          <w:b/>
        </w:rPr>
      </w:pPr>
    </w:p>
    <w:p w14:paraId="1A918B37" w14:textId="77777777" w:rsidR="0068575E" w:rsidRDefault="0068575E" w:rsidP="004971A6">
      <w:pPr>
        <w:pStyle w:val="BodyTextIndent"/>
        <w:spacing w:line="360" w:lineRule="auto"/>
        <w:ind w:left="0"/>
        <w:jc w:val="left"/>
        <w:sectPr w:rsidR="0068575E" w:rsidSect="0068575E">
          <w:footnotePr>
            <w:numRestart w:val="eachSect"/>
          </w:footnotePr>
          <w:pgSz w:w="15840" w:h="12240" w:orient="landscape"/>
          <w:pgMar w:top="1440" w:right="1440" w:bottom="1440" w:left="1440" w:header="720" w:footer="720" w:gutter="0"/>
          <w:cols w:space="720"/>
          <w:docGrid w:linePitch="273"/>
        </w:sectPr>
      </w:pPr>
    </w:p>
    <w:p w14:paraId="5C968788" w14:textId="77777777" w:rsidR="005A29F9" w:rsidRDefault="005A29F9" w:rsidP="004971A6">
      <w:pPr>
        <w:pStyle w:val="BodyTextIndent"/>
        <w:spacing w:line="360" w:lineRule="auto"/>
        <w:ind w:left="0"/>
        <w:jc w:val="left"/>
      </w:pPr>
      <w:r>
        <w:rPr>
          <w:b/>
        </w:rPr>
        <w:t>Attachment 5.1.2-3: Total Sales by End Use and Percentage (GWh and Percentages)</w:t>
      </w:r>
    </w:p>
    <w:p w14:paraId="15DA6259" w14:textId="26917F12" w:rsidR="007D3ADD" w:rsidRDefault="007D3ADD" w:rsidP="007D3ADD">
      <w:pPr>
        <w:pStyle w:val="BodyTextIndent"/>
        <w:spacing w:after="0"/>
        <w:ind w:left="0"/>
        <w:rPr>
          <w:b/>
        </w:rPr>
      </w:pPr>
      <w:r>
        <w:rPr>
          <w:b/>
        </w:rPr>
        <w:t>Commercial Long-Term Forecast (LoadMAP-C)</w:t>
      </w:r>
      <w:r w:rsidR="00FC6AF5">
        <w:rPr>
          <w:b/>
        </w:rPr>
        <w:t xml:space="preserve"> Unadjusted</w:t>
      </w:r>
    </w:p>
    <w:p w14:paraId="75FBA00F" w14:textId="68B13918" w:rsidR="007D3ADD" w:rsidRDefault="007D3ADD" w:rsidP="007D3ADD">
      <w:pPr>
        <w:pStyle w:val="BodyTextIndent"/>
        <w:spacing w:after="0"/>
        <w:ind w:left="0"/>
        <w:rPr>
          <w:b/>
        </w:rPr>
      </w:pPr>
      <w:r w:rsidRPr="0068575E">
        <w:rPr>
          <w:b/>
        </w:rPr>
        <w:t xml:space="preserve">Budget </w:t>
      </w:r>
      <w:r w:rsidR="004E1C02" w:rsidRPr="0068575E">
        <w:rPr>
          <w:b/>
        </w:rPr>
        <w:t>20</w:t>
      </w:r>
      <w:r w:rsidR="004E1C02">
        <w:rPr>
          <w:b/>
        </w:rPr>
        <w:t>19</w:t>
      </w:r>
    </w:p>
    <w:p w14:paraId="51385456" w14:textId="77777777" w:rsidR="007D3ADD" w:rsidRDefault="007D3ADD" w:rsidP="007D3ADD">
      <w:pPr>
        <w:pStyle w:val="BodyTextIndent"/>
        <w:spacing w:after="0"/>
        <w:ind w:left="0"/>
        <w:rPr>
          <w:b/>
        </w:rPr>
      </w:pPr>
    </w:p>
    <w:p w14:paraId="6206AD13" w14:textId="2D88916D" w:rsidR="00FD5F54" w:rsidRDefault="00E254B2" w:rsidP="000E6669">
      <w:pPr>
        <w:spacing w:after="200" w:line="276" w:lineRule="auto"/>
        <w:rPr>
          <w:b w:val="0"/>
          <w:noProof/>
        </w:rPr>
      </w:pPr>
      <w:r w:rsidRPr="00E254B2">
        <w:rPr>
          <w:b w:val="0"/>
          <w:noProof/>
        </w:rPr>
        <w:drawing>
          <wp:inline distT="0" distB="0" distL="0" distR="0" wp14:anchorId="00A59456" wp14:editId="103DC6CE">
            <wp:extent cx="8229600" cy="2178815"/>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8229600" cy="2178815"/>
                    </a:xfrm>
                    <a:prstGeom prst="rect">
                      <a:avLst/>
                    </a:prstGeom>
                    <a:noFill/>
                    <a:ln>
                      <a:noFill/>
                    </a:ln>
                  </pic:spPr>
                </pic:pic>
              </a:graphicData>
            </a:graphic>
          </wp:inline>
        </w:drawing>
      </w:r>
    </w:p>
    <w:p w14:paraId="79084EDD" w14:textId="6967F4D6" w:rsidR="002300F7" w:rsidRDefault="002300F7" w:rsidP="000E6669">
      <w:pPr>
        <w:spacing w:after="200" w:line="276" w:lineRule="auto"/>
      </w:pPr>
      <w:r>
        <w:rPr>
          <w:b w:val="0"/>
        </w:rPr>
        <w:br w:type="page"/>
      </w:r>
    </w:p>
    <w:p w14:paraId="4EC67C81" w14:textId="77777777" w:rsidR="005A29F9" w:rsidRDefault="005A29F9" w:rsidP="004971A6">
      <w:pPr>
        <w:pStyle w:val="BodyTextIndent"/>
        <w:spacing w:line="360" w:lineRule="auto"/>
        <w:ind w:left="0"/>
        <w:jc w:val="left"/>
      </w:pPr>
      <w:r>
        <w:rPr>
          <w:b/>
        </w:rPr>
        <w:t>Attachment 5.1.2-4: Average Share of Market</w:t>
      </w:r>
    </w:p>
    <w:p w14:paraId="2FA34365" w14:textId="1EB5410E" w:rsidR="00484BD8" w:rsidRDefault="00484BD8" w:rsidP="00484BD8">
      <w:pPr>
        <w:pStyle w:val="BodyTextIndent"/>
        <w:spacing w:after="0"/>
        <w:ind w:left="0"/>
        <w:rPr>
          <w:b/>
        </w:rPr>
      </w:pPr>
      <w:r>
        <w:rPr>
          <w:b/>
        </w:rPr>
        <w:t>Commercial Long-Term Forecast (LoadMAP-C)</w:t>
      </w:r>
      <w:r w:rsidR="00115478">
        <w:rPr>
          <w:b/>
        </w:rPr>
        <w:t xml:space="preserve"> Unadjusted</w:t>
      </w:r>
    </w:p>
    <w:p w14:paraId="255D4E10" w14:textId="5428A9CE" w:rsidR="00484BD8" w:rsidRDefault="00484BD8" w:rsidP="00484BD8">
      <w:pPr>
        <w:pStyle w:val="BodyTextIndent"/>
        <w:spacing w:after="0"/>
        <w:ind w:left="0"/>
        <w:rPr>
          <w:b/>
        </w:rPr>
      </w:pPr>
      <w:r w:rsidRPr="0068575E">
        <w:rPr>
          <w:b/>
        </w:rPr>
        <w:t xml:space="preserve">Budget </w:t>
      </w:r>
      <w:r w:rsidR="004E1C02" w:rsidRPr="0068575E">
        <w:rPr>
          <w:b/>
        </w:rPr>
        <w:t>20</w:t>
      </w:r>
      <w:r w:rsidR="004E1C02">
        <w:rPr>
          <w:b/>
        </w:rPr>
        <w:t>19</w:t>
      </w:r>
    </w:p>
    <w:p w14:paraId="07888386" w14:textId="77777777" w:rsidR="00484BD8" w:rsidRDefault="00484BD8" w:rsidP="00484BD8">
      <w:pPr>
        <w:pStyle w:val="BodyTextIndent"/>
        <w:spacing w:after="0"/>
        <w:ind w:left="0"/>
        <w:rPr>
          <w:b/>
        </w:rPr>
      </w:pPr>
    </w:p>
    <w:p w14:paraId="4748D3D5" w14:textId="14DB4C20" w:rsidR="000065CF" w:rsidRDefault="00E254B2" w:rsidP="000E6669">
      <w:pPr>
        <w:spacing w:after="200" w:line="276" w:lineRule="auto"/>
        <w:rPr>
          <w:b w:val="0"/>
          <w:noProof/>
        </w:rPr>
      </w:pPr>
      <w:r w:rsidRPr="00E254B2">
        <w:rPr>
          <w:b w:val="0"/>
          <w:noProof/>
        </w:rPr>
        <w:drawing>
          <wp:inline distT="0" distB="0" distL="0" distR="0" wp14:anchorId="17782BD2" wp14:editId="6CBC74D7">
            <wp:extent cx="8006715" cy="3585845"/>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8006715" cy="3585845"/>
                    </a:xfrm>
                    <a:prstGeom prst="rect">
                      <a:avLst/>
                    </a:prstGeom>
                    <a:noFill/>
                    <a:ln>
                      <a:noFill/>
                    </a:ln>
                  </pic:spPr>
                </pic:pic>
              </a:graphicData>
            </a:graphic>
          </wp:inline>
        </w:drawing>
      </w:r>
    </w:p>
    <w:p w14:paraId="1B2A58A4" w14:textId="786FC733" w:rsidR="002300F7" w:rsidRDefault="002300F7" w:rsidP="000E6669">
      <w:pPr>
        <w:spacing w:after="200" w:line="276" w:lineRule="auto"/>
      </w:pPr>
      <w:r>
        <w:rPr>
          <w:b w:val="0"/>
        </w:rPr>
        <w:br w:type="page"/>
      </w:r>
    </w:p>
    <w:p w14:paraId="42973E74" w14:textId="77777777" w:rsidR="001B5EC7" w:rsidRDefault="001B5EC7" w:rsidP="005A29F9">
      <w:pPr>
        <w:pStyle w:val="BodyTextIndent"/>
        <w:spacing w:line="360" w:lineRule="auto"/>
        <w:ind w:left="0"/>
        <w:jc w:val="left"/>
        <w:rPr>
          <w:b/>
        </w:rPr>
        <w:sectPr w:rsidR="001B5EC7" w:rsidSect="00DB7B2F">
          <w:footnotePr>
            <w:numRestart w:val="eachSect"/>
          </w:footnotePr>
          <w:pgSz w:w="15840" w:h="12240" w:orient="landscape"/>
          <w:pgMar w:top="1440" w:right="1440" w:bottom="1440" w:left="1440" w:header="720" w:footer="720" w:gutter="0"/>
          <w:cols w:space="720"/>
          <w:docGrid w:linePitch="273"/>
        </w:sectPr>
      </w:pPr>
    </w:p>
    <w:p w14:paraId="3F43CECB" w14:textId="77777777" w:rsidR="005A29F9" w:rsidRDefault="005A29F9" w:rsidP="005A29F9">
      <w:pPr>
        <w:pStyle w:val="BodyTextIndent"/>
        <w:spacing w:line="360" w:lineRule="auto"/>
        <w:ind w:left="0"/>
        <w:jc w:val="left"/>
      </w:pPr>
      <w:r>
        <w:rPr>
          <w:b/>
        </w:rPr>
        <w:t>Attachment 5.1.2-</w:t>
      </w:r>
      <w:r w:rsidR="008B111A">
        <w:rPr>
          <w:b/>
        </w:rPr>
        <w:t>5</w:t>
      </w:r>
      <w:r>
        <w:rPr>
          <w:b/>
        </w:rPr>
        <w:t>: Cogeneration</w:t>
      </w:r>
    </w:p>
    <w:p w14:paraId="276115BE" w14:textId="77777777" w:rsidR="00484BD8" w:rsidRDefault="00484BD8" w:rsidP="00484BD8">
      <w:pPr>
        <w:pStyle w:val="BodyTextIndent"/>
        <w:spacing w:after="0"/>
        <w:ind w:left="0"/>
        <w:rPr>
          <w:b/>
        </w:rPr>
      </w:pPr>
      <w:r>
        <w:rPr>
          <w:b/>
        </w:rPr>
        <w:t>Commercial Long-Term Forecast</w:t>
      </w:r>
    </w:p>
    <w:p w14:paraId="528BE540" w14:textId="7339DF64" w:rsidR="005A29F9" w:rsidRDefault="00484BD8" w:rsidP="00484BD8">
      <w:pPr>
        <w:pStyle w:val="BodyTextIndent"/>
        <w:spacing w:after="0"/>
        <w:ind w:left="0"/>
        <w:rPr>
          <w:b/>
        </w:rPr>
      </w:pPr>
      <w:r w:rsidRPr="0068575E">
        <w:rPr>
          <w:b/>
        </w:rPr>
        <w:t xml:space="preserve">Budget </w:t>
      </w:r>
      <w:r w:rsidR="004E1C02" w:rsidRPr="0068575E">
        <w:rPr>
          <w:b/>
        </w:rPr>
        <w:t>20</w:t>
      </w:r>
      <w:r w:rsidR="004E1C02">
        <w:rPr>
          <w:b/>
        </w:rPr>
        <w:t>19</w:t>
      </w:r>
    </w:p>
    <w:p w14:paraId="5BE6B02D" w14:textId="77777777" w:rsidR="00484BD8" w:rsidRDefault="00484BD8" w:rsidP="00484BD8">
      <w:pPr>
        <w:pStyle w:val="BodyTextIndent"/>
        <w:spacing w:after="0"/>
        <w:ind w:left="0"/>
      </w:pPr>
    </w:p>
    <w:p w14:paraId="092061B6" w14:textId="77777777" w:rsidR="00F96648" w:rsidRDefault="00E254B2" w:rsidP="00484BD8">
      <w:pPr>
        <w:pStyle w:val="BodyTextIndent"/>
        <w:spacing w:line="360" w:lineRule="auto"/>
        <w:ind w:left="0"/>
        <w:rPr>
          <w:noProof/>
        </w:rPr>
      </w:pPr>
      <w:r w:rsidRPr="00E254B2">
        <w:rPr>
          <w:noProof/>
        </w:rPr>
        <w:drawing>
          <wp:inline distT="0" distB="0" distL="0" distR="0" wp14:anchorId="139DA6B2" wp14:editId="57A54C53">
            <wp:extent cx="1351915" cy="4063365"/>
            <wp:effectExtent l="0" t="0" r="635"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351915" cy="4063365"/>
                    </a:xfrm>
                    <a:prstGeom prst="rect">
                      <a:avLst/>
                    </a:prstGeom>
                    <a:noFill/>
                    <a:ln>
                      <a:noFill/>
                    </a:ln>
                  </pic:spPr>
                </pic:pic>
              </a:graphicData>
            </a:graphic>
          </wp:inline>
        </w:drawing>
      </w:r>
    </w:p>
    <w:p w14:paraId="3C0185B7" w14:textId="64FE6717" w:rsidR="00484BD8" w:rsidRDefault="00484BD8" w:rsidP="00484BD8">
      <w:pPr>
        <w:pStyle w:val="BodyTextIndent"/>
        <w:spacing w:line="360" w:lineRule="auto"/>
        <w:ind w:left="0"/>
      </w:pPr>
    </w:p>
    <w:p w14:paraId="21738F61" w14:textId="77777777" w:rsidR="002300F7" w:rsidRDefault="002300F7">
      <w:pPr>
        <w:spacing w:after="200" w:line="276" w:lineRule="auto"/>
        <w:jc w:val="left"/>
        <w:rPr>
          <w:rFonts w:eastAsiaTheme="majorEastAsia"/>
          <w:bCs/>
        </w:rPr>
      </w:pPr>
      <w:bookmarkStart w:id="243" w:name="_Toc114629530"/>
      <w:bookmarkStart w:id="244" w:name="_Toc138581540"/>
      <w:bookmarkStart w:id="245" w:name="_Toc347120426"/>
      <w:r>
        <w:rPr>
          <w:b w:val="0"/>
        </w:rPr>
        <w:br w:type="page"/>
      </w:r>
    </w:p>
    <w:p w14:paraId="6950442B" w14:textId="77777777" w:rsidR="005A29F9" w:rsidRPr="005A29F9" w:rsidRDefault="005A29F9" w:rsidP="005A29F9">
      <w:pPr>
        <w:pStyle w:val="Heading2"/>
        <w:jc w:val="left"/>
        <w:rPr>
          <w:rFonts w:ascii="Arial" w:hAnsi="Arial" w:cs="Arial"/>
          <w:b/>
          <w:color w:val="auto"/>
          <w:sz w:val="20"/>
          <w:szCs w:val="20"/>
        </w:rPr>
      </w:pPr>
      <w:bookmarkStart w:id="246" w:name="_Toc535495645"/>
      <w:r w:rsidRPr="005A29F9">
        <w:rPr>
          <w:rFonts w:ascii="Arial" w:hAnsi="Arial" w:cs="Arial"/>
          <w:b/>
          <w:color w:val="auto"/>
          <w:sz w:val="20"/>
          <w:szCs w:val="20"/>
        </w:rPr>
        <w:t>5.1.3</w:t>
      </w:r>
      <w:r w:rsidRPr="005A29F9">
        <w:rPr>
          <w:rFonts w:ascii="Arial" w:hAnsi="Arial" w:cs="Arial"/>
          <w:b/>
          <w:color w:val="auto"/>
          <w:sz w:val="20"/>
          <w:szCs w:val="20"/>
        </w:rPr>
        <w:tab/>
        <w:t>Industrial Long-Term Energy Sales</w:t>
      </w:r>
      <w:bookmarkEnd w:id="243"/>
      <w:bookmarkEnd w:id="244"/>
      <w:bookmarkEnd w:id="245"/>
      <w:bookmarkEnd w:id="246"/>
    </w:p>
    <w:p w14:paraId="47540DD9" w14:textId="77777777" w:rsidR="005A29F9" w:rsidRDefault="005A29F9" w:rsidP="00602686">
      <w:pPr>
        <w:pStyle w:val="BodyText"/>
        <w:jc w:val="both"/>
      </w:pPr>
    </w:p>
    <w:p w14:paraId="7EA40AB4" w14:textId="4A8FAC38" w:rsidR="00AC6029" w:rsidRDefault="00AC6029" w:rsidP="00AC6029">
      <w:pPr>
        <w:pStyle w:val="BodyText"/>
        <w:spacing w:line="360" w:lineRule="auto"/>
        <w:jc w:val="both"/>
        <w:rPr>
          <w:b w:val="0"/>
        </w:rPr>
      </w:pPr>
      <w:r w:rsidRPr="00634EA8">
        <w:rPr>
          <w:b w:val="0"/>
        </w:rPr>
        <w:t>The long-term forecast of electric</w:t>
      </w:r>
      <w:r w:rsidR="00383F00">
        <w:rPr>
          <w:b w:val="0"/>
        </w:rPr>
        <w:t xml:space="preserve"> energy sales for Georgia Power</w:t>
      </w:r>
      <w:r w:rsidRPr="00634EA8">
        <w:rPr>
          <w:b w:val="0"/>
        </w:rPr>
        <w:t xml:space="preserve">’s </w:t>
      </w:r>
      <w:r>
        <w:rPr>
          <w:b w:val="0"/>
        </w:rPr>
        <w:t>industrial</w:t>
      </w:r>
      <w:r w:rsidRPr="00634EA8">
        <w:rPr>
          <w:b w:val="0"/>
        </w:rPr>
        <w:t xml:space="preserve"> class was produced using LoadMAP. </w:t>
      </w:r>
      <w:r>
        <w:rPr>
          <w:b w:val="0"/>
        </w:rPr>
        <w:t xml:space="preserve">The </w:t>
      </w:r>
      <w:r w:rsidR="00170F15">
        <w:rPr>
          <w:b w:val="0"/>
        </w:rPr>
        <w:t>I</w:t>
      </w:r>
      <w:r>
        <w:rPr>
          <w:b w:val="0"/>
        </w:rPr>
        <w:t>ndustrial LoadMAP model</w:t>
      </w:r>
      <w:r w:rsidRPr="00FB4548">
        <w:rPr>
          <w:b w:val="0"/>
        </w:rPr>
        <w:t xml:space="preserve"> </w:t>
      </w:r>
      <w:r w:rsidR="00E014D4">
        <w:rPr>
          <w:b w:val="0"/>
        </w:rPr>
        <w:t>is used</w:t>
      </w:r>
      <w:r w:rsidRPr="00FB4548">
        <w:rPr>
          <w:b w:val="0"/>
        </w:rPr>
        <w:t xml:space="preserve"> because of its capability to forecast at the end-use level and the increased effectiveness of resource utilization from using the </w:t>
      </w:r>
      <w:r>
        <w:rPr>
          <w:b w:val="0"/>
        </w:rPr>
        <w:t>LoadMAP</w:t>
      </w:r>
      <w:r w:rsidRPr="00FB4548">
        <w:rPr>
          <w:b w:val="0"/>
        </w:rPr>
        <w:t xml:space="preserve"> family of long-term forecasting models.</w:t>
      </w:r>
      <w:r w:rsidRPr="003A3426">
        <w:t xml:space="preserve"> </w:t>
      </w:r>
      <w:r w:rsidR="001F6715">
        <w:rPr>
          <w:b w:val="0"/>
        </w:rPr>
        <w:t xml:space="preserve">The </w:t>
      </w:r>
      <w:r w:rsidR="00170F15">
        <w:rPr>
          <w:b w:val="0"/>
        </w:rPr>
        <w:t>I</w:t>
      </w:r>
      <w:r w:rsidR="001F6715">
        <w:rPr>
          <w:b w:val="0"/>
        </w:rPr>
        <w:t>ndustrial LoadMAP model</w:t>
      </w:r>
      <w:r w:rsidRPr="00634EA8">
        <w:rPr>
          <w:b w:val="0"/>
        </w:rPr>
        <w:t xml:space="preserve"> maintain</w:t>
      </w:r>
      <w:r w:rsidR="001F6715">
        <w:rPr>
          <w:b w:val="0"/>
        </w:rPr>
        <w:t>s</w:t>
      </w:r>
      <w:r w:rsidRPr="00634EA8">
        <w:rPr>
          <w:b w:val="0"/>
        </w:rPr>
        <w:t xml:space="preserve"> consistency with the conceptual framework of the residential and </w:t>
      </w:r>
      <w:r>
        <w:rPr>
          <w:b w:val="0"/>
        </w:rPr>
        <w:t>commercial</w:t>
      </w:r>
      <w:r w:rsidRPr="00634EA8">
        <w:rPr>
          <w:b w:val="0"/>
        </w:rPr>
        <w:t xml:space="preserve"> long-term models</w:t>
      </w:r>
      <w:r w:rsidR="001F6715">
        <w:rPr>
          <w:b w:val="0"/>
        </w:rPr>
        <w:t xml:space="preserve">, while providing information appropriate to the industrial class. </w:t>
      </w:r>
    </w:p>
    <w:p w14:paraId="763BA987" w14:textId="77777777" w:rsidR="00AC6029" w:rsidRPr="00634EA8" w:rsidRDefault="00AC6029" w:rsidP="00AC6029">
      <w:pPr>
        <w:pStyle w:val="BodyText"/>
        <w:spacing w:line="360" w:lineRule="auto"/>
        <w:jc w:val="both"/>
      </w:pPr>
    </w:p>
    <w:p w14:paraId="69E38FE9" w14:textId="77777777" w:rsidR="00AC6029" w:rsidRPr="00634EA8" w:rsidRDefault="00AC6029" w:rsidP="00AC6029">
      <w:pPr>
        <w:pStyle w:val="BodyText"/>
        <w:spacing w:line="360" w:lineRule="auto"/>
        <w:jc w:val="both"/>
        <w:rPr>
          <w:b w:val="0"/>
        </w:rPr>
      </w:pPr>
      <w:r w:rsidRPr="00634EA8">
        <w:rPr>
          <w:b w:val="0"/>
        </w:rPr>
        <w:t xml:space="preserve">The </w:t>
      </w:r>
      <w:r>
        <w:rPr>
          <w:b w:val="0"/>
        </w:rPr>
        <w:t>industrial</w:t>
      </w:r>
      <w:r w:rsidRPr="00634EA8">
        <w:rPr>
          <w:b w:val="0"/>
        </w:rPr>
        <w:t xml:space="preserve"> sector is segmented into </w:t>
      </w:r>
      <w:r>
        <w:rPr>
          <w:b w:val="0"/>
        </w:rPr>
        <w:t>fourteen categories</w:t>
      </w:r>
      <w:r w:rsidRPr="00634EA8">
        <w:rPr>
          <w:b w:val="0"/>
        </w:rPr>
        <w:t>,</w:t>
      </w:r>
      <w:r>
        <w:rPr>
          <w:b w:val="0"/>
        </w:rPr>
        <w:t xml:space="preserve"> based on </w:t>
      </w:r>
      <w:r w:rsidR="00103783">
        <w:rPr>
          <w:b w:val="0"/>
        </w:rPr>
        <w:t xml:space="preserve">the </w:t>
      </w:r>
      <w:r>
        <w:rPr>
          <w:b w:val="0"/>
        </w:rPr>
        <w:t xml:space="preserve">NAICS and </w:t>
      </w:r>
      <w:r w:rsidR="001F6715">
        <w:rPr>
          <w:b w:val="0"/>
        </w:rPr>
        <w:t>nine</w:t>
      </w:r>
      <w:r w:rsidRPr="00634EA8">
        <w:rPr>
          <w:b w:val="0"/>
        </w:rPr>
        <w:t xml:space="preserve"> end</w:t>
      </w:r>
      <w:r w:rsidR="00C85644">
        <w:rPr>
          <w:b w:val="0"/>
        </w:rPr>
        <w:t xml:space="preserve"> </w:t>
      </w:r>
      <w:r w:rsidRPr="00634EA8">
        <w:rPr>
          <w:b w:val="0"/>
        </w:rPr>
        <w:t>uses</w:t>
      </w:r>
      <w:r>
        <w:rPr>
          <w:b w:val="0"/>
        </w:rPr>
        <w:t xml:space="preserve">. </w:t>
      </w:r>
      <w:r w:rsidRPr="00634EA8">
        <w:rPr>
          <w:b w:val="0"/>
        </w:rPr>
        <w:t xml:space="preserve">The </w:t>
      </w:r>
      <w:r>
        <w:rPr>
          <w:b w:val="0"/>
        </w:rPr>
        <w:t>fourteen</w:t>
      </w:r>
      <w:r w:rsidRPr="00634EA8">
        <w:rPr>
          <w:b w:val="0"/>
        </w:rPr>
        <w:t xml:space="preserve"> </w:t>
      </w:r>
      <w:r>
        <w:rPr>
          <w:b w:val="0"/>
        </w:rPr>
        <w:t xml:space="preserve">categories </w:t>
      </w:r>
      <w:r w:rsidRPr="00634EA8">
        <w:rPr>
          <w:b w:val="0"/>
        </w:rPr>
        <w:t>are:</w:t>
      </w:r>
    </w:p>
    <w:tbl>
      <w:tblPr>
        <w:tblW w:w="10238" w:type="dxa"/>
        <w:jc w:val="center"/>
        <w:tblLayout w:type="fixed"/>
        <w:tblLook w:val="0000" w:firstRow="0" w:lastRow="0" w:firstColumn="0" w:lastColumn="0" w:noHBand="0" w:noVBand="0"/>
      </w:tblPr>
      <w:tblGrid>
        <w:gridCol w:w="5005"/>
        <w:gridCol w:w="5233"/>
      </w:tblGrid>
      <w:tr w:rsidR="00AC6029" w:rsidRPr="0062030F" w14:paraId="165864E5" w14:textId="77777777" w:rsidTr="0062030F">
        <w:trPr>
          <w:trHeight w:val="329"/>
          <w:jc w:val="center"/>
        </w:trPr>
        <w:tc>
          <w:tcPr>
            <w:tcW w:w="5005" w:type="dxa"/>
          </w:tcPr>
          <w:p w14:paraId="68E9950B" w14:textId="77777777" w:rsidR="00AC6029" w:rsidRPr="0062030F" w:rsidRDefault="00AC6029" w:rsidP="00CB79EC">
            <w:pPr>
              <w:jc w:val="left"/>
              <w:rPr>
                <w:sz w:val="18"/>
              </w:rPr>
            </w:pPr>
            <w:r w:rsidRPr="0062030F">
              <w:rPr>
                <w:sz w:val="18"/>
              </w:rPr>
              <w:t>1.</w:t>
            </w:r>
            <w:r w:rsidRPr="0062030F">
              <w:rPr>
                <w:sz w:val="18"/>
              </w:rPr>
              <w:tab/>
              <w:t xml:space="preserve">NAICS 311 – SIC 20 Food </w:t>
            </w:r>
          </w:p>
        </w:tc>
        <w:tc>
          <w:tcPr>
            <w:tcW w:w="5233" w:type="dxa"/>
          </w:tcPr>
          <w:p w14:paraId="6407B284" w14:textId="77777777" w:rsidR="00AC6029" w:rsidRPr="0062030F" w:rsidRDefault="00AC6029" w:rsidP="00471B6D">
            <w:pPr>
              <w:jc w:val="left"/>
              <w:rPr>
                <w:sz w:val="18"/>
              </w:rPr>
            </w:pPr>
            <w:r w:rsidRPr="0062030F">
              <w:rPr>
                <w:sz w:val="18"/>
              </w:rPr>
              <w:t xml:space="preserve"> 8.</w:t>
            </w:r>
            <w:r w:rsidRPr="0062030F">
              <w:rPr>
                <w:sz w:val="18"/>
              </w:rPr>
              <w:tab/>
              <w:t>NAICS 327 – SIC 32 Stone, Clay &amp; Glass</w:t>
            </w:r>
          </w:p>
        </w:tc>
      </w:tr>
      <w:tr w:rsidR="00AC6029" w:rsidRPr="0062030F" w14:paraId="0E4B427F" w14:textId="77777777" w:rsidTr="0062030F">
        <w:trPr>
          <w:trHeight w:val="312"/>
          <w:jc w:val="center"/>
        </w:trPr>
        <w:tc>
          <w:tcPr>
            <w:tcW w:w="5005" w:type="dxa"/>
          </w:tcPr>
          <w:p w14:paraId="58237118" w14:textId="2BAD1089" w:rsidR="00AC6029" w:rsidRPr="0062030F" w:rsidRDefault="00AC6029" w:rsidP="00CB79EC">
            <w:pPr>
              <w:jc w:val="left"/>
              <w:rPr>
                <w:sz w:val="18"/>
              </w:rPr>
            </w:pPr>
            <w:r w:rsidRPr="0062030F">
              <w:rPr>
                <w:sz w:val="18"/>
              </w:rPr>
              <w:t>2.</w:t>
            </w:r>
            <w:r w:rsidRPr="0062030F">
              <w:rPr>
                <w:sz w:val="18"/>
              </w:rPr>
              <w:tab/>
              <w:t>NAICS 313 &amp; 314 – SIC 22 Textiles</w:t>
            </w:r>
          </w:p>
        </w:tc>
        <w:tc>
          <w:tcPr>
            <w:tcW w:w="5233" w:type="dxa"/>
          </w:tcPr>
          <w:p w14:paraId="62B67FA2" w14:textId="77777777" w:rsidR="00AC6029" w:rsidRPr="0062030F" w:rsidRDefault="00AC6029" w:rsidP="00471B6D">
            <w:pPr>
              <w:jc w:val="left"/>
              <w:rPr>
                <w:sz w:val="18"/>
              </w:rPr>
            </w:pPr>
            <w:r w:rsidRPr="0062030F">
              <w:rPr>
                <w:sz w:val="18"/>
              </w:rPr>
              <w:t xml:space="preserve"> 9.</w:t>
            </w:r>
            <w:r w:rsidRPr="0062030F">
              <w:rPr>
                <w:sz w:val="18"/>
              </w:rPr>
              <w:tab/>
              <w:t>NAICS 331 – SIC 33 Primary Metal</w:t>
            </w:r>
          </w:p>
        </w:tc>
      </w:tr>
      <w:tr w:rsidR="00AC6029" w:rsidRPr="0062030F" w14:paraId="4CA5D2E3" w14:textId="77777777" w:rsidTr="0062030F">
        <w:trPr>
          <w:trHeight w:val="312"/>
          <w:jc w:val="center"/>
        </w:trPr>
        <w:tc>
          <w:tcPr>
            <w:tcW w:w="5005" w:type="dxa"/>
          </w:tcPr>
          <w:p w14:paraId="7842B10A" w14:textId="77777777" w:rsidR="00AC6029" w:rsidRPr="0062030F" w:rsidRDefault="00AC6029" w:rsidP="00CB79EC">
            <w:pPr>
              <w:jc w:val="left"/>
              <w:rPr>
                <w:sz w:val="18"/>
              </w:rPr>
            </w:pPr>
            <w:r w:rsidRPr="0062030F">
              <w:rPr>
                <w:sz w:val="18"/>
              </w:rPr>
              <w:t>3.</w:t>
            </w:r>
            <w:r w:rsidRPr="0062030F">
              <w:rPr>
                <w:sz w:val="18"/>
              </w:rPr>
              <w:tab/>
              <w:t>NAICS 321 – SIC 24 Lumber &amp; Wood</w:t>
            </w:r>
          </w:p>
        </w:tc>
        <w:tc>
          <w:tcPr>
            <w:tcW w:w="5233" w:type="dxa"/>
          </w:tcPr>
          <w:p w14:paraId="318EC199" w14:textId="77777777" w:rsidR="00AC6029" w:rsidRPr="0062030F" w:rsidRDefault="00AC6029" w:rsidP="00471B6D">
            <w:pPr>
              <w:jc w:val="left"/>
              <w:rPr>
                <w:sz w:val="18"/>
              </w:rPr>
            </w:pPr>
            <w:r w:rsidRPr="0062030F">
              <w:rPr>
                <w:sz w:val="18"/>
              </w:rPr>
              <w:t>10.</w:t>
            </w:r>
            <w:r w:rsidR="00471B6D">
              <w:rPr>
                <w:sz w:val="18"/>
              </w:rPr>
              <w:tab/>
            </w:r>
            <w:r w:rsidRPr="0062030F">
              <w:rPr>
                <w:sz w:val="18"/>
              </w:rPr>
              <w:t>NAICS 332 – SIC 34 Fabricated Metal</w:t>
            </w:r>
          </w:p>
        </w:tc>
      </w:tr>
      <w:tr w:rsidR="00AC6029" w:rsidRPr="0062030F" w14:paraId="4121C243" w14:textId="77777777" w:rsidTr="0062030F">
        <w:trPr>
          <w:trHeight w:val="280"/>
          <w:jc w:val="center"/>
        </w:trPr>
        <w:tc>
          <w:tcPr>
            <w:tcW w:w="5005" w:type="dxa"/>
          </w:tcPr>
          <w:p w14:paraId="1098332C" w14:textId="77777777" w:rsidR="00AC6029" w:rsidRPr="0062030F" w:rsidRDefault="00AC6029" w:rsidP="00CB79EC">
            <w:pPr>
              <w:jc w:val="left"/>
              <w:rPr>
                <w:sz w:val="18"/>
              </w:rPr>
            </w:pPr>
            <w:r w:rsidRPr="0062030F">
              <w:rPr>
                <w:sz w:val="18"/>
              </w:rPr>
              <w:t>4.</w:t>
            </w:r>
            <w:r w:rsidRPr="0062030F">
              <w:rPr>
                <w:sz w:val="18"/>
              </w:rPr>
              <w:tab/>
              <w:t>NAICS 322 – SIC 26 Paper</w:t>
            </w:r>
          </w:p>
        </w:tc>
        <w:tc>
          <w:tcPr>
            <w:tcW w:w="5233" w:type="dxa"/>
          </w:tcPr>
          <w:p w14:paraId="39EFD742" w14:textId="77777777" w:rsidR="00AC6029" w:rsidRPr="0062030F" w:rsidRDefault="00AC6029" w:rsidP="00C53E23">
            <w:pPr>
              <w:jc w:val="left"/>
              <w:rPr>
                <w:sz w:val="18"/>
              </w:rPr>
            </w:pPr>
            <w:r w:rsidRPr="0062030F">
              <w:rPr>
                <w:sz w:val="18"/>
              </w:rPr>
              <w:t>11.</w:t>
            </w:r>
            <w:r w:rsidRPr="0062030F">
              <w:rPr>
                <w:sz w:val="18"/>
              </w:rPr>
              <w:tab/>
              <w:t>NAICS 335 – SIC 36 Electronic Equipment</w:t>
            </w:r>
          </w:p>
        </w:tc>
      </w:tr>
      <w:tr w:rsidR="00AC6029" w:rsidRPr="0062030F" w14:paraId="2CC272A7" w14:textId="77777777" w:rsidTr="0062030F">
        <w:trPr>
          <w:trHeight w:val="312"/>
          <w:jc w:val="center"/>
        </w:trPr>
        <w:tc>
          <w:tcPr>
            <w:tcW w:w="5005" w:type="dxa"/>
          </w:tcPr>
          <w:p w14:paraId="47266286" w14:textId="77777777" w:rsidR="00AC6029" w:rsidRPr="0062030F" w:rsidRDefault="00AC6029" w:rsidP="00CB79EC">
            <w:pPr>
              <w:jc w:val="left"/>
              <w:rPr>
                <w:sz w:val="18"/>
              </w:rPr>
            </w:pPr>
            <w:r w:rsidRPr="0062030F">
              <w:rPr>
                <w:sz w:val="18"/>
              </w:rPr>
              <w:t>5.</w:t>
            </w:r>
            <w:r w:rsidRPr="0062030F">
              <w:rPr>
                <w:sz w:val="18"/>
              </w:rPr>
              <w:tab/>
              <w:t>NAICS 325 – SIC 28 Chemicals</w:t>
            </w:r>
          </w:p>
        </w:tc>
        <w:tc>
          <w:tcPr>
            <w:tcW w:w="5233" w:type="dxa"/>
          </w:tcPr>
          <w:p w14:paraId="269E94E2" w14:textId="77777777" w:rsidR="00AC6029" w:rsidRPr="0062030F" w:rsidRDefault="00AC6029" w:rsidP="00C53E23">
            <w:pPr>
              <w:jc w:val="left"/>
              <w:rPr>
                <w:sz w:val="18"/>
              </w:rPr>
            </w:pPr>
            <w:r w:rsidRPr="0062030F">
              <w:rPr>
                <w:sz w:val="18"/>
              </w:rPr>
              <w:t>12.</w:t>
            </w:r>
            <w:r w:rsidRPr="0062030F">
              <w:rPr>
                <w:sz w:val="18"/>
              </w:rPr>
              <w:tab/>
              <w:t>NAICS 336 – SIC 37 Transportation Equipment</w:t>
            </w:r>
          </w:p>
        </w:tc>
      </w:tr>
      <w:tr w:rsidR="00AC6029" w:rsidRPr="0062030F" w14:paraId="017A162B" w14:textId="77777777" w:rsidTr="0062030F">
        <w:trPr>
          <w:trHeight w:val="329"/>
          <w:jc w:val="center"/>
        </w:trPr>
        <w:tc>
          <w:tcPr>
            <w:tcW w:w="5005" w:type="dxa"/>
          </w:tcPr>
          <w:p w14:paraId="3AB52E42" w14:textId="77777777" w:rsidR="00AC6029" w:rsidRPr="0062030F" w:rsidRDefault="00AC6029" w:rsidP="00CB79EC">
            <w:pPr>
              <w:jc w:val="left"/>
              <w:rPr>
                <w:sz w:val="18"/>
              </w:rPr>
            </w:pPr>
            <w:r w:rsidRPr="0062030F">
              <w:rPr>
                <w:sz w:val="18"/>
              </w:rPr>
              <w:t>6.</w:t>
            </w:r>
            <w:r w:rsidRPr="0062030F">
              <w:rPr>
                <w:sz w:val="18"/>
              </w:rPr>
              <w:tab/>
              <w:t>NAICS 324 – SIC 29 Petroleum</w:t>
            </w:r>
          </w:p>
        </w:tc>
        <w:tc>
          <w:tcPr>
            <w:tcW w:w="5233" w:type="dxa"/>
          </w:tcPr>
          <w:p w14:paraId="53BC7FA7" w14:textId="77777777" w:rsidR="00AC6029" w:rsidRPr="0062030F" w:rsidRDefault="00AC6029" w:rsidP="00C53E23">
            <w:pPr>
              <w:jc w:val="left"/>
              <w:rPr>
                <w:sz w:val="18"/>
              </w:rPr>
            </w:pPr>
            <w:r w:rsidRPr="0062030F">
              <w:rPr>
                <w:sz w:val="18"/>
              </w:rPr>
              <w:t>13.</w:t>
            </w:r>
            <w:r w:rsidRPr="0062030F">
              <w:rPr>
                <w:sz w:val="18"/>
              </w:rPr>
              <w:tab/>
              <w:t xml:space="preserve">Other Industrial </w:t>
            </w:r>
          </w:p>
        </w:tc>
      </w:tr>
      <w:tr w:rsidR="00AC6029" w:rsidRPr="0062030F" w14:paraId="61ACEB17" w14:textId="77777777" w:rsidTr="0062030F">
        <w:trPr>
          <w:trHeight w:val="312"/>
          <w:jc w:val="center"/>
        </w:trPr>
        <w:tc>
          <w:tcPr>
            <w:tcW w:w="5005" w:type="dxa"/>
          </w:tcPr>
          <w:p w14:paraId="43B123B2" w14:textId="77777777" w:rsidR="00AC6029" w:rsidRPr="0062030F" w:rsidRDefault="00AC6029" w:rsidP="00CB79EC">
            <w:pPr>
              <w:jc w:val="left"/>
              <w:rPr>
                <w:sz w:val="18"/>
              </w:rPr>
            </w:pPr>
            <w:r w:rsidRPr="0062030F">
              <w:rPr>
                <w:sz w:val="18"/>
              </w:rPr>
              <w:t>7.</w:t>
            </w:r>
            <w:r w:rsidRPr="0062030F">
              <w:rPr>
                <w:sz w:val="18"/>
              </w:rPr>
              <w:tab/>
              <w:t>NAICS 326 – SIC 30 Rubber &amp; Plastic</w:t>
            </w:r>
          </w:p>
        </w:tc>
        <w:tc>
          <w:tcPr>
            <w:tcW w:w="5233" w:type="dxa"/>
          </w:tcPr>
          <w:p w14:paraId="7DB346B8" w14:textId="77777777" w:rsidR="00AC6029" w:rsidRPr="0062030F" w:rsidRDefault="00AC6029" w:rsidP="00471B6D">
            <w:pPr>
              <w:jc w:val="left"/>
              <w:rPr>
                <w:sz w:val="18"/>
              </w:rPr>
            </w:pPr>
            <w:r w:rsidRPr="0062030F">
              <w:rPr>
                <w:sz w:val="18"/>
              </w:rPr>
              <w:t>14.</w:t>
            </w:r>
            <w:r w:rsidR="00471B6D">
              <w:rPr>
                <w:sz w:val="18"/>
              </w:rPr>
              <w:tab/>
            </w:r>
            <w:r w:rsidRPr="0062030F">
              <w:rPr>
                <w:sz w:val="18"/>
              </w:rPr>
              <w:t>Unspecified</w:t>
            </w:r>
          </w:p>
        </w:tc>
      </w:tr>
    </w:tbl>
    <w:p w14:paraId="41C3C113" w14:textId="77777777" w:rsidR="00AC6029" w:rsidRPr="00634EA8" w:rsidRDefault="00AC6029" w:rsidP="00AC6029"/>
    <w:p w14:paraId="0DD2C913" w14:textId="77777777" w:rsidR="00AC6029" w:rsidRPr="002E122A" w:rsidRDefault="00AC6029" w:rsidP="0090066B">
      <w:pPr>
        <w:spacing w:line="360" w:lineRule="auto"/>
        <w:jc w:val="both"/>
        <w:rPr>
          <w:b w:val="0"/>
        </w:rPr>
      </w:pPr>
      <w:r w:rsidRPr="002E122A">
        <w:rPr>
          <w:b w:val="0"/>
        </w:rPr>
        <w:t>Segment 13, “Other Industrial”, is comprised of multiple segments: Apparel (</w:t>
      </w:r>
      <w:r>
        <w:rPr>
          <w:b w:val="0"/>
        </w:rPr>
        <w:t xml:space="preserve">NAICS 315 – SIC </w:t>
      </w:r>
      <w:r w:rsidRPr="002E122A">
        <w:rPr>
          <w:b w:val="0"/>
        </w:rPr>
        <w:t>23), Printing</w:t>
      </w:r>
      <w:r>
        <w:rPr>
          <w:b w:val="0"/>
        </w:rPr>
        <w:t xml:space="preserve"> (NAICS 323 – SIC </w:t>
      </w:r>
      <w:r w:rsidRPr="002E122A">
        <w:rPr>
          <w:b w:val="0"/>
        </w:rPr>
        <w:t xml:space="preserve">27), Industrial </w:t>
      </w:r>
      <w:r>
        <w:rPr>
          <w:b w:val="0"/>
        </w:rPr>
        <w:t>Machinery</w:t>
      </w:r>
      <w:r w:rsidRPr="002E122A">
        <w:rPr>
          <w:b w:val="0"/>
        </w:rPr>
        <w:t xml:space="preserve"> (</w:t>
      </w:r>
      <w:r>
        <w:rPr>
          <w:b w:val="0"/>
        </w:rPr>
        <w:t xml:space="preserve">NAICS 333 – SIC </w:t>
      </w:r>
      <w:r w:rsidRPr="002E122A">
        <w:rPr>
          <w:b w:val="0"/>
        </w:rPr>
        <w:t>35), Instruments</w:t>
      </w:r>
      <w:r>
        <w:rPr>
          <w:b w:val="0"/>
        </w:rPr>
        <w:t xml:space="preserve"> (NAICS 334 – SIC </w:t>
      </w:r>
      <w:r w:rsidRPr="002E122A">
        <w:rPr>
          <w:b w:val="0"/>
        </w:rPr>
        <w:t>38), and Miscellaneous Manufacturing (</w:t>
      </w:r>
      <w:r>
        <w:rPr>
          <w:b w:val="0"/>
        </w:rPr>
        <w:t xml:space="preserve">NAICS 339 – SIC </w:t>
      </w:r>
      <w:r w:rsidRPr="002E122A">
        <w:rPr>
          <w:b w:val="0"/>
        </w:rPr>
        <w:t>39). Segment 14, the “Unspecified” category, compr</w:t>
      </w:r>
      <w:r w:rsidR="001F6715">
        <w:rPr>
          <w:b w:val="0"/>
        </w:rPr>
        <w:t>i</w:t>
      </w:r>
      <w:r w:rsidRPr="002E122A">
        <w:rPr>
          <w:b w:val="0"/>
        </w:rPr>
        <w:t>ses all remaining industrial activity.</w:t>
      </w:r>
    </w:p>
    <w:p w14:paraId="6A78A934" w14:textId="77777777" w:rsidR="00AC6029" w:rsidRDefault="00AC6029" w:rsidP="00471B6D">
      <w:pPr>
        <w:pStyle w:val="BodyText"/>
        <w:spacing w:line="360" w:lineRule="auto"/>
        <w:rPr>
          <w:b w:val="0"/>
        </w:rPr>
      </w:pPr>
    </w:p>
    <w:p w14:paraId="32001EC9" w14:textId="77777777" w:rsidR="00AC6029" w:rsidRDefault="00C85644" w:rsidP="00471B6D">
      <w:pPr>
        <w:pStyle w:val="BodyText"/>
        <w:spacing w:line="360" w:lineRule="auto"/>
        <w:jc w:val="left"/>
        <w:rPr>
          <w:b w:val="0"/>
        </w:rPr>
      </w:pPr>
      <w:r>
        <w:rPr>
          <w:b w:val="0"/>
        </w:rPr>
        <w:t xml:space="preserve">The nine end </w:t>
      </w:r>
      <w:r w:rsidR="00AC6029" w:rsidRPr="0027556E">
        <w:rPr>
          <w:b w:val="0"/>
        </w:rPr>
        <w:t xml:space="preserve">uses modeled for each of the </w:t>
      </w:r>
      <w:r w:rsidR="00AC6029">
        <w:rPr>
          <w:b w:val="0"/>
        </w:rPr>
        <w:t>NAICS</w:t>
      </w:r>
      <w:r w:rsidR="00AC6029" w:rsidRPr="0027556E">
        <w:rPr>
          <w:b w:val="0"/>
        </w:rPr>
        <w:t xml:space="preserve"> categories listed above are</w:t>
      </w:r>
      <w:r w:rsidR="00AC6029" w:rsidRPr="00634EA8">
        <w:rPr>
          <w:b w:val="0"/>
        </w:rPr>
        <w:t>:</w:t>
      </w:r>
    </w:p>
    <w:tbl>
      <w:tblPr>
        <w:tblW w:w="0" w:type="auto"/>
        <w:jc w:val="center"/>
        <w:tblLayout w:type="fixed"/>
        <w:tblLook w:val="0000" w:firstRow="0" w:lastRow="0" w:firstColumn="0" w:lastColumn="0" w:noHBand="0" w:noVBand="0"/>
      </w:tblPr>
      <w:tblGrid>
        <w:gridCol w:w="3960"/>
        <w:gridCol w:w="3618"/>
      </w:tblGrid>
      <w:tr w:rsidR="00AC6029" w:rsidRPr="00634EA8" w14:paraId="59B2E40D" w14:textId="77777777" w:rsidTr="00CB79EC">
        <w:trPr>
          <w:jc w:val="center"/>
        </w:trPr>
        <w:tc>
          <w:tcPr>
            <w:tcW w:w="3960" w:type="dxa"/>
          </w:tcPr>
          <w:p w14:paraId="13DA7AFA" w14:textId="77777777" w:rsidR="00AC6029" w:rsidRPr="00634EA8" w:rsidRDefault="00AC6029" w:rsidP="00CB79EC">
            <w:pPr>
              <w:jc w:val="left"/>
            </w:pPr>
            <w:r w:rsidRPr="00634EA8">
              <w:t>1.</w:t>
            </w:r>
            <w:r w:rsidRPr="00634EA8">
              <w:tab/>
              <w:t xml:space="preserve">Cooling </w:t>
            </w:r>
          </w:p>
        </w:tc>
        <w:tc>
          <w:tcPr>
            <w:tcW w:w="3618" w:type="dxa"/>
          </w:tcPr>
          <w:p w14:paraId="3FAC8D3B" w14:textId="77777777" w:rsidR="00AC6029" w:rsidRPr="00634EA8" w:rsidRDefault="00AC6029" w:rsidP="00CB79EC">
            <w:pPr>
              <w:jc w:val="left"/>
            </w:pPr>
            <w:r w:rsidRPr="00634EA8">
              <w:t xml:space="preserve"> 6.</w:t>
            </w:r>
            <w:r w:rsidRPr="00634EA8">
              <w:tab/>
              <w:t xml:space="preserve"> </w:t>
            </w:r>
            <w:r>
              <w:t>Process</w:t>
            </w:r>
          </w:p>
        </w:tc>
      </w:tr>
      <w:tr w:rsidR="00AC6029" w:rsidRPr="00634EA8" w14:paraId="2BA67E24" w14:textId="77777777" w:rsidTr="00CB79EC">
        <w:trPr>
          <w:jc w:val="center"/>
        </w:trPr>
        <w:tc>
          <w:tcPr>
            <w:tcW w:w="3960" w:type="dxa"/>
          </w:tcPr>
          <w:p w14:paraId="3EE3BBD6" w14:textId="77777777" w:rsidR="00AC6029" w:rsidRPr="00634EA8" w:rsidRDefault="00AC6029" w:rsidP="00CB79EC">
            <w:pPr>
              <w:jc w:val="left"/>
            </w:pPr>
            <w:r w:rsidRPr="00634EA8">
              <w:t>2.</w:t>
            </w:r>
            <w:r w:rsidRPr="00634EA8">
              <w:tab/>
            </w:r>
            <w:r>
              <w:t>Heating</w:t>
            </w:r>
          </w:p>
        </w:tc>
        <w:tc>
          <w:tcPr>
            <w:tcW w:w="3618" w:type="dxa"/>
          </w:tcPr>
          <w:p w14:paraId="41A9D6E9" w14:textId="77777777" w:rsidR="00AC6029" w:rsidRPr="00634EA8" w:rsidRDefault="00AC6029" w:rsidP="00CB79EC">
            <w:pPr>
              <w:jc w:val="left"/>
            </w:pPr>
            <w:r w:rsidRPr="00634EA8">
              <w:t xml:space="preserve"> 7.</w:t>
            </w:r>
            <w:r w:rsidRPr="00634EA8">
              <w:tab/>
              <w:t xml:space="preserve"> </w:t>
            </w:r>
            <w:r>
              <w:t>Ventilation</w:t>
            </w:r>
          </w:p>
        </w:tc>
      </w:tr>
      <w:tr w:rsidR="00AC6029" w:rsidRPr="00634EA8" w14:paraId="63487C42" w14:textId="77777777" w:rsidTr="00CB79EC">
        <w:trPr>
          <w:jc w:val="center"/>
        </w:trPr>
        <w:tc>
          <w:tcPr>
            <w:tcW w:w="3960" w:type="dxa"/>
          </w:tcPr>
          <w:p w14:paraId="2D41E839" w14:textId="77777777" w:rsidR="00AC6029" w:rsidRPr="00634EA8" w:rsidRDefault="00AC6029" w:rsidP="00CB79EC">
            <w:pPr>
              <w:jc w:val="left"/>
            </w:pPr>
            <w:r w:rsidRPr="00634EA8">
              <w:t>3.          Indoor Lighting</w:t>
            </w:r>
          </w:p>
        </w:tc>
        <w:tc>
          <w:tcPr>
            <w:tcW w:w="3618" w:type="dxa"/>
          </w:tcPr>
          <w:p w14:paraId="54768E93" w14:textId="77777777" w:rsidR="00AC6029" w:rsidRPr="00634EA8" w:rsidRDefault="00AC6029" w:rsidP="00CB79EC">
            <w:pPr>
              <w:jc w:val="left"/>
            </w:pPr>
            <w:r w:rsidRPr="00634EA8">
              <w:t xml:space="preserve"> 8.</w:t>
            </w:r>
            <w:r w:rsidRPr="00634EA8">
              <w:tab/>
              <w:t xml:space="preserve"> </w:t>
            </w:r>
            <w:r>
              <w:t>Miscellaneous</w:t>
            </w:r>
          </w:p>
        </w:tc>
      </w:tr>
      <w:tr w:rsidR="00AC6029" w:rsidRPr="00634EA8" w14:paraId="70D2FD65" w14:textId="77777777" w:rsidTr="00CB79EC">
        <w:trPr>
          <w:jc w:val="center"/>
        </w:trPr>
        <w:tc>
          <w:tcPr>
            <w:tcW w:w="3960" w:type="dxa"/>
          </w:tcPr>
          <w:p w14:paraId="6ED3EE87" w14:textId="77777777" w:rsidR="00AC6029" w:rsidRPr="00634EA8" w:rsidRDefault="00AC6029" w:rsidP="00CB79EC">
            <w:pPr>
              <w:jc w:val="left"/>
            </w:pPr>
            <w:r w:rsidRPr="00634EA8">
              <w:t xml:space="preserve">4.          </w:t>
            </w:r>
            <w:r>
              <w:t>Exterior</w:t>
            </w:r>
            <w:r w:rsidRPr="00634EA8">
              <w:t xml:space="preserve"> Lighting</w:t>
            </w:r>
          </w:p>
        </w:tc>
        <w:tc>
          <w:tcPr>
            <w:tcW w:w="3618" w:type="dxa"/>
          </w:tcPr>
          <w:p w14:paraId="5372A93A" w14:textId="77777777" w:rsidR="00AC6029" w:rsidRPr="00634EA8" w:rsidRDefault="00AC6029" w:rsidP="00CB79EC">
            <w:pPr>
              <w:jc w:val="left"/>
            </w:pPr>
            <w:r w:rsidRPr="00634EA8">
              <w:t xml:space="preserve"> 9.</w:t>
            </w:r>
            <w:r w:rsidRPr="00634EA8">
              <w:tab/>
              <w:t xml:space="preserve"> </w:t>
            </w:r>
            <w:r>
              <w:t>Unspecified</w:t>
            </w:r>
          </w:p>
        </w:tc>
      </w:tr>
      <w:tr w:rsidR="00AC6029" w:rsidRPr="00634EA8" w14:paraId="50731764" w14:textId="77777777" w:rsidTr="00CB79EC">
        <w:trPr>
          <w:jc w:val="center"/>
        </w:trPr>
        <w:tc>
          <w:tcPr>
            <w:tcW w:w="3960" w:type="dxa"/>
          </w:tcPr>
          <w:p w14:paraId="694FF809" w14:textId="77777777" w:rsidR="00AC6029" w:rsidRPr="00634EA8" w:rsidRDefault="00AC6029" w:rsidP="00CB79EC">
            <w:pPr>
              <w:jc w:val="left"/>
            </w:pPr>
            <w:r w:rsidRPr="00634EA8">
              <w:t>5.</w:t>
            </w:r>
            <w:r w:rsidRPr="00634EA8">
              <w:tab/>
            </w:r>
            <w:r>
              <w:t>Motors</w:t>
            </w:r>
          </w:p>
        </w:tc>
        <w:tc>
          <w:tcPr>
            <w:tcW w:w="3618" w:type="dxa"/>
          </w:tcPr>
          <w:p w14:paraId="3BEB6449" w14:textId="77777777" w:rsidR="00AC6029" w:rsidRPr="00634EA8" w:rsidRDefault="00AC6029" w:rsidP="00CB79EC">
            <w:pPr>
              <w:jc w:val="left"/>
            </w:pPr>
          </w:p>
        </w:tc>
      </w:tr>
    </w:tbl>
    <w:p w14:paraId="6A552D1E" w14:textId="77777777" w:rsidR="00AC6029" w:rsidRPr="00634EA8" w:rsidRDefault="00AC6029" w:rsidP="00AC6029"/>
    <w:p w14:paraId="60B0D746" w14:textId="77777777" w:rsidR="00C1690C" w:rsidRPr="00602686" w:rsidRDefault="00C1690C" w:rsidP="00C1690C">
      <w:pPr>
        <w:pStyle w:val="BodyTextIndent"/>
        <w:spacing w:line="360" w:lineRule="auto"/>
        <w:ind w:left="0"/>
        <w:jc w:val="both"/>
      </w:pPr>
    </w:p>
    <w:p w14:paraId="7B3F9089" w14:textId="165DAF62" w:rsidR="001F6715" w:rsidRPr="0027556E" w:rsidRDefault="001F6715" w:rsidP="001F6715">
      <w:pPr>
        <w:pStyle w:val="BodyText"/>
        <w:spacing w:line="360" w:lineRule="auto"/>
        <w:jc w:val="both"/>
        <w:rPr>
          <w:b w:val="0"/>
        </w:rPr>
      </w:pPr>
      <w:r w:rsidRPr="0027556E">
        <w:rPr>
          <w:b w:val="0"/>
        </w:rPr>
        <w:t>In the industrial sector, energy requirements are largely related to the energy-to-output relationship, augmented by the share of alternative equipment choices and fuel options. In the industrial sector, economic output is measured by the amount of industrial production. Energy is required to manufacture the product. For example, a plant requires a certain amount of motive power (i.e. work from motors) or process heat to produce its product. A textile mill requires a certain amount of motive force (work) to weave a yard of fabric or make a carpet. A plant that melts steel requires a certain amount of energy to melt a ton of steel, which is determined by the process efficiency of converting fuel sources into useful work. These energy requirements are supplied by energy consuming equipment. The amount of energy consumed by the equipment to meet this need is the amount of end-use sales. By installing more efficient equipment, a plant operator can lower the amount of energy needed to meet the requirements of the process. The end-use machinery that supplies the energy requirements of the plant needs a fuel source itself. This could be one of several fuels:  electricity, natural gas, oil, or some other fuel. The plant is typically designed and operated to use a combination of equipment that use</w:t>
      </w:r>
      <w:r w:rsidR="0073737E">
        <w:rPr>
          <w:b w:val="0"/>
        </w:rPr>
        <w:t>s</w:t>
      </w:r>
      <w:r w:rsidRPr="0027556E">
        <w:rPr>
          <w:b w:val="0"/>
        </w:rPr>
        <w:t xml:space="preserve"> different fuel sources and maximize</w:t>
      </w:r>
      <w:r w:rsidR="0073737E">
        <w:rPr>
          <w:b w:val="0"/>
        </w:rPr>
        <w:t>s</w:t>
      </w:r>
      <w:r w:rsidRPr="0027556E">
        <w:rPr>
          <w:b w:val="0"/>
        </w:rPr>
        <w:t xml:space="preserve"> efficient use of resources while providing end-use service economically and reliably.</w:t>
      </w:r>
    </w:p>
    <w:p w14:paraId="5098DE7D" w14:textId="77777777" w:rsidR="001F6715" w:rsidRPr="0027556E" w:rsidRDefault="001F6715" w:rsidP="001F6715">
      <w:pPr>
        <w:pStyle w:val="BodyText"/>
        <w:spacing w:line="360" w:lineRule="auto"/>
        <w:jc w:val="both"/>
        <w:rPr>
          <w:b w:val="0"/>
        </w:rPr>
      </w:pPr>
    </w:p>
    <w:p w14:paraId="139C5208" w14:textId="39F8CC2F" w:rsidR="001F6715" w:rsidRDefault="001F6715" w:rsidP="001F6715">
      <w:pPr>
        <w:pStyle w:val="BodyTextIndent"/>
        <w:spacing w:line="360" w:lineRule="auto"/>
        <w:ind w:left="0"/>
        <w:jc w:val="both"/>
      </w:pPr>
      <w:r w:rsidRPr="0027556E">
        <w:t>The long-term industrial model uses the elements of economic activity, industrial production operations, fuel choices, and equipment (or process) characteristics to model energy requirements arising from the supporting end</w:t>
      </w:r>
      <w:r w:rsidR="00C85644">
        <w:t xml:space="preserve"> </w:t>
      </w:r>
      <w:r w:rsidRPr="0027556E">
        <w:t>uses of an industrial activity. The description of the economic activity and production operations of an industry come from industrial production, capacity utilization rates, and output capacity. Output capacity measures the level of output of plants when they are operating at full capacity. From this, a description of the energy required to support a given level of production can be made. Fuel prices are used to model the choice of end-use equipment employed to provide end-use service. These choices, although influenced by the preferences of the decision maker, are largely economic and are captured through analyzing life-cycle costs. The capital costs of equipment also affect the selection of equipment. In addition, the model uses information about the mix of equipment options, sizes, and ratings to determine end-use consumption characteristics.</w:t>
      </w:r>
    </w:p>
    <w:p w14:paraId="6F03B09B" w14:textId="77777777" w:rsidR="001F6715" w:rsidRDefault="001F6715" w:rsidP="001F6715">
      <w:pPr>
        <w:pStyle w:val="BodyTextIndent"/>
        <w:spacing w:line="360" w:lineRule="auto"/>
        <w:ind w:left="0"/>
        <w:jc w:val="both"/>
      </w:pPr>
    </w:p>
    <w:p w14:paraId="7B9B10E2" w14:textId="1018DDFF" w:rsidR="00FA25AE" w:rsidRPr="0027556E" w:rsidRDefault="00FA25AE" w:rsidP="00FA25AE">
      <w:pPr>
        <w:pStyle w:val="BodyText"/>
        <w:spacing w:line="360" w:lineRule="auto"/>
        <w:jc w:val="both"/>
        <w:rPr>
          <w:b w:val="0"/>
        </w:rPr>
      </w:pPr>
      <w:r w:rsidRPr="0027556E">
        <w:rPr>
          <w:b w:val="0"/>
        </w:rPr>
        <w:t>Efficiencies, equipment size, and usage characteristics determine consumption. Equipment purchase decisions result in the stock and efficiency mix of new equipment. The first type of equipment replacement decision is made at the time of physical decay of a device and is modeled using assumptions about equipment lifetimes. The second type of equipment purchase decision results from plant construction or expansion and is modeled using changes in capacity. Share equations are used to compute market shares for the various efficiency options and are based on a logic function describing equipment purchases based on life cycle costs. Data from available surveys as well as national and regional information are used to describe these parameters for each industry.</w:t>
      </w:r>
    </w:p>
    <w:p w14:paraId="06E3A192" w14:textId="77777777" w:rsidR="00FA25AE" w:rsidRPr="0027556E" w:rsidRDefault="00FA25AE" w:rsidP="00FA25AE">
      <w:pPr>
        <w:pStyle w:val="BodyText"/>
        <w:spacing w:line="360" w:lineRule="auto"/>
        <w:jc w:val="both"/>
        <w:rPr>
          <w:b w:val="0"/>
        </w:rPr>
      </w:pPr>
    </w:p>
    <w:p w14:paraId="65BA0E11" w14:textId="77777777" w:rsidR="00FA25AE" w:rsidRDefault="00017DFD" w:rsidP="00FA25AE">
      <w:pPr>
        <w:pStyle w:val="BodyText"/>
        <w:spacing w:line="360" w:lineRule="auto"/>
        <w:jc w:val="both"/>
        <w:rPr>
          <w:b w:val="0"/>
        </w:rPr>
      </w:pPr>
      <w:r>
        <w:rPr>
          <w:noProof/>
        </w:rPr>
        <w:object w:dxaOrig="1440" w:dyaOrig="1440" w14:anchorId="30FBE027">
          <v:shape id="_x0000_s1034" type="#_x0000_t75" style="position:absolute;left:0;text-align:left;margin-left:1.5pt;margin-top:18.75pt;width:192pt;height:27pt;z-index:251670528;visibility:visible">
            <v:imagedata r:id="rId44" o:title=""/>
          </v:shape>
          <o:OLEObject Type="Embed" ProgID="Equation.3" ShapeID="_x0000_s1034" DrawAspect="Content" ObjectID="_1610277856" r:id="rId73"/>
        </w:object>
      </w:r>
      <w:r w:rsidR="00FA25AE" w:rsidRPr="0027556E">
        <w:rPr>
          <w:b w:val="0"/>
        </w:rPr>
        <w:t xml:space="preserve">The central energy equation for </w:t>
      </w:r>
      <w:r w:rsidR="00FA25AE">
        <w:rPr>
          <w:b w:val="0"/>
        </w:rPr>
        <w:t>the Industrial LoadMAP model</w:t>
      </w:r>
      <w:r w:rsidR="00FA25AE" w:rsidRPr="0027556E">
        <w:rPr>
          <w:b w:val="0"/>
        </w:rPr>
        <w:t xml:space="preserve"> is:</w:t>
      </w:r>
    </w:p>
    <w:p w14:paraId="2DBA8C93" w14:textId="77777777" w:rsidR="00FA25AE" w:rsidRDefault="00FA25AE" w:rsidP="00FA25AE">
      <w:pPr>
        <w:pStyle w:val="BodyText"/>
        <w:spacing w:line="360" w:lineRule="auto"/>
        <w:jc w:val="both"/>
        <w:rPr>
          <w:b w:val="0"/>
        </w:rPr>
      </w:pPr>
    </w:p>
    <w:p w14:paraId="68AFBA8B" w14:textId="77777777" w:rsidR="00FA25AE" w:rsidRDefault="00FA25AE" w:rsidP="00FA25AE">
      <w:pPr>
        <w:spacing w:line="360" w:lineRule="auto"/>
        <w:jc w:val="both"/>
      </w:pPr>
      <w:r w:rsidRPr="00634EA8">
        <w:tab/>
      </w:r>
    </w:p>
    <w:p w14:paraId="389449DA" w14:textId="77777777" w:rsidR="00FA25AE" w:rsidRPr="00634EA8" w:rsidRDefault="00FA25AE" w:rsidP="00FA25AE">
      <w:pPr>
        <w:spacing w:line="360" w:lineRule="auto"/>
        <w:jc w:val="both"/>
      </w:pPr>
    </w:p>
    <w:p w14:paraId="2BE2047E" w14:textId="77777777" w:rsidR="00FA25AE" w:rsidRPr="00FA25AE" w:rsidRDefault="00FA25AE" w:rsidP="001B5EC7">
      <w:pPr>
        <w:pStyle w:val="BodyText"/>
        <w:spacing w:after="0" w:line="360" w:lineRule="auto"/>
        <w:ind w:left="1368" w:hanging="1008"/>
        <w:jc w:val="left"/>
        <w:rPr>
          <w:b w:val="0"/>
          <w:color w:val="000000" w:themeColor="text1"/>
        </w:rPr>
      </w:pPr>
      <w:r w:rsidRPr="00FA25AE">
        <w:rPr>
          <w:b w:val="0"/>
          <w:color w:val="000000" w:themeColor="text1"/>
        </w:rPr>
        <w:t xml:space="preserve">Energy = </w:t>
      </w:r>
      <w:r w:rsidRPr="00FA25AE">
        <w:rPr>
          <w:b w:val="0"/>
          <w:color w:val="000000" w:themeColor="text1"/>
        </w:rPr>
        <w:tab/>
        <w:t>annual energy use in a particular segment (e.g., Chemicals)</w:t>
      </w:r>
    </w:p>
    <w:p w14:paraId="18D31684" w14:textId="77777777" w:rsidR="00FA25AE" w:rsidRPr="00FA25AE" w:rsidRDefault="00FA25AE" w:rsidP="001B5EC7">
      <w:pPr>
        <w:pStyle w:val="BodyText"/>
        <w:spacing w:after="0" w:line="360" w:lineRule="auto"/>
        <w:ind w:left="1368" w:hanging="1008"/>
        <w:jc w:val="left"/>
        <w:rPr>
          <w:b w:val="0"/>
          <w:color w:val="000000" w:themeColor="text1"/>
        </w:rPr>
      </w:pPr>
      <w:r w:rsidRPr="00FA25AE">
        <w:rPr>
          <w:b w:val="0"/>
          <w:color w:val="000000" w:themeColor="text1"/>
        </w:rPr>
        <w:t xml:space="preserve">t           = </w:t>
      </w:r>
      <w:r w:rsidRPr="00FA25AE">
        <w:rPr>
          <w:b w:val="0"/>
          <w:color w:val="000000" w:themeColor="text1"/>
        </w:rPr>
        <w:tab/>
        <w:t>technology</w:t>
      </w:r>
    </w:p>
    <w:p w14:paraId="75137707" w14:textId="77777777" w:rsidR="00FA25AE" w:rsidRPr="00FA25AE" w:rsidRDefault="00FA25AE" w:rsidP="001B5EC7">
      <w:pPr>
        <w:pStyle w:val="BodyText"/>
        <w:spacing w:after="0" w:line="360" w:lineRule="auto"/>
        <w:ind w:left="1368" w:hanging="1008"/>
        <w:jc w:val="left"/>
        <w:rPr>
          <w:b w:val="0"/>
          <w:color w:val="000000" w:themeColor="text1"/>
        </w:rPr>
      </w:pPr>
      <w:r w:rsidRPr="00FA25AE">
        <w:rPr>
          <w:b w:val="0"/>
          <w:color w:val="000000" w:themeColor="text1"/>
        </w:rPr>
        <w:t xml:space="preserve">e          = </w:t>
      </w:r>
      <w:r w:rsidRPr="00FA25AE">
        <w:rPr>
          <w:b w:val="0"/>
          <w:color w:val="000000" w:themeColor="text1"/>
        </w:rPr>
        <w:tab/>
        <w:t xml:space="preserve">end use </w:t>
      </w:r>
    </w:p>
    <w:p w14:paraId="06CA46C6" w14:textId="77777777" w:rsidR="00FA25AE" w:rsidRPr="00FA25AE" w:rsidRDefault="00FA25AE" w:rsidP="001B5EC7">
      <w:pPr>
        <w:pStyle w:val="BodyText"/>
        <w:spacing w:after="0" w:line="360" w:lineRule="auto"/>
        <w:ind w:left="1368" w:hanging="1008"/>
        <w:jc w:val="left"/>
        <w:rPr>
          <w:b w:val="0"/>
          <w:color w:val="000000" w:themeColor="text1"/>
        </w:rPr>
      </w:pPr>
      <w:r w:rsidRPr="00FA25AE">
        <w:rPr>
          <w:b w:val="0"/>
          <w:color w:val="000000" w:themeColor="text1"/>
        </w:rPr>
        <w:t xml:space="preserve">N         = </w:t>
      </w:r>
      <w:r w:rsidRPr="00FA25AE">
        <w:rPr>
          <w:b w:val="0"/>
          <w:color w:val="000000" w:themeColor="text1"/>
        </w:rPr>
        <w:tab/>
        <w:t xml:space="preserve">market size (e.g., Industrial Production Index level for Chemicals) </w:t>
      </w:r>
    </w:p>
    <w:p w14:paraId="1909DDE4" w14:textId="77777777" w:rsidR="00FA25AE" w:rsidRPr="00FA25AE" w:rsidRDefault="00FA25AE" w:rsidP="001B5EC7">
      <w:pPr>
        <w:pStyle w:val="BodyText"/>
        <w:spacing w:after="0" w:line="360" w:lineRule="auto"/>
        <w:ind w:left="1368" w:hanging="1008"/>
        <w:jc w:val="left"/>
        <w:rPr>
          <w:b w:val="0"/>
          <w:color w:val="000000" w:themeColor="text1"/>
        </w:rPr>
      </w:pPr>
      <w:r w:rsidRPr="00FA25AE">
        <w:rPr>
          <w:b w:val="0"/>
          <w:color w:val="000000" w:themeColor="text1"/>
        </w:rPr>
        <w:t>Share</w:t>
      </w:r>
      <w:r w:rsidRPr="00FA25AE">
        <w:rPr>
          <w:b w:val="0"/>
          <w:color w:val="000000" w:themeColor="text1"/>
          <w:vertAlign w:val="subscript"/>
        </w:rPr>
        <w:t>t</w:t>
      </w:r>
      <w:r w:rsidRPr="00FA25AE">
        <w:rPr>
          <w:b w:val="0"/>
          <w:color w:val="000000" w:themeColor="text1"/>
        </w:rPr>
        <w:t xml:space="preserve">  = </w:t>
      </w:r>
      <w:r w:rsidRPr="00FA25AE">
        <w:rPr>
          <w:b w:val="0"/>
          <w:color w:val="000000" w:themeColor="text1"/>
        </w:rPr>
        <w:tab/>
        <w:t>share of market with the end use (e.g., chemical IP index level with the end use). This is also referr</w:t>
      </w:r>
      <w:r w:rsidR="00E04058">
        <w:rPr>
          <w:b w:val="0"/>
          <w:color w:val="000000" w:themeColor="text1"/>
        </w:rPr>
        <w:t>ed to as the end-use saturation</w:t>
      </w:r>
    </w:p>
    <w:p w14:paraId="2A924401" w14:textId="77777777" w:rsidR="00FA25AE" w:rsidRPr="00FA25AE" w:rsidRDefault="00FA25AE" w:rsidP="001B5EC7">
      <w:pPr>
        <w:pStyle w:val="BodyText"/>
        <w:spacing w:after="0" w:line="360" w:lineRule="auto"/>
        <w:ind w:left="1368" w:hanging="1008"/>
        <w:jc w:val="left"/>
        <w:rPr>
          <w:b w:val="0"/>
          <w:color w:val="000000" w:themeColor="text1"/>
        </w:rPr>
      </w:pPr>
      <w:r w:rsidRPr="00FA25AE">
        <w:rPr>
          <w:b w:val="0"/>
          <w:color w:val="000000" w:themeColor="text1"/>
        </w:rPr>
        <w:t>UEC</w:t>
      </w:r>
      <w:r w:rsidRPr="00FA25AE">
        <w:rPr>
          <w:b w:val="0"/>
          <w:color w:val="000000" w:themeColor="text1"/>
          <w:vertAlign w:val="subscript"/>
        </w:rPr>
        <w:t>t</w:t>
      </w:r>
      <w:r w:rsidRPr="00FA25AE">
        <w:rPr>
          <w:b w:val="0"/>
          <w:color w:val="000000" w:themeColor="text1"/>
        </w:rPr>
        <w:t xml:space="preserve">   = </w:t>
      </w:r>
      <w:r w:rsidRPr="00FA25AE">
        <w:rPr>
          <w:b w:val="0"/>
          <w:color w:val="000000" w:themeColor="text1"/>
        </w:rPr>
        <w:tab/>
        <w:t>unit energy consumption in unit of market size (e.g., Chemical IP Index) with the end use</w:t>
      </w:r>
    </w:p>
    <w:p w14:paraId="48479B7A" w14:textId="77777777" w:rsidR="00FA25AE" w:rsidRPr="00FA25AE" w:rsidRDefault="00FA25AE" w:rsidP="001B5EC7">
      <w:pPr>
        <w:pStyle w:val="BodyText"/>
        <w:spacing w:after="0" w:line="360" w:lineRule="auto"/>
        <w:ind w:left="1368" w:hanging="1008"/>
        <w:jc w:val="left"/>
      </w:pPr>
      <w:r w:rsidRPr="00FA25AE">
        <w:rPr>
          <w:b w:val="0"/>
          <w:color w:val="000000" w:themeColor="text1"/>
        </w:rPr>
        <w:t>U</w:t>
      </w:r>
      <w:r w:rsidRPr="00FA25AE">
        <w:rPr>
          <w:b w:val="0"/>
          <w:color w:val="000000" w:themeColor="text1"/>
          <w:vertAlign w:val="subscript"/>
        </w:rPr>
        <w:t>e</w:t>
      </w:r>
      <w:r w:rsidRPr="00FA25AE">
        <w:rPr>
          <w:b w:val="0"/>
          <w:color w:val="000000" w:themeColor="text1"/>
        </w:rPr>
        <w:t xml:space="preserve">        = </w:t>
      </w:r>
      <w:r w:rsidRPr="00FA25AE">
        <w:rPr>
          <w:b w:val="0"/>
          <w:color w:val="000000" w:themeColor="text1"/>
        </w:rPr>
        <w:tab/>
        <w:t>utilization index (equals 1.0 in base year)</w:t>
      </w:r>
      <w:r w:rsidRPr="00FA25AE">
        <w:tab/>
      </w:r>
    </w:p>
    <w:p w14:paraId="7E246B3D" w14:textId="77777777" w:rsidR="00FA25AE" w:rsidRDefault="00FA25AE" w:rsidP="001B5EC7">
      <w:pPr>
        <w:pStyle w:val="BodyText"/>
        <w:spacing w:after="0" w:line="360" w:lineRule="auto"/>
        <w:ind w:left="1368" w:hanging="1008"/>
        <w:jc w:val="left"/>
        <w:rPr>
          <w:b w:val="0"/>
          <w:color w:val="000000" w:themeColor="text1"/>
        </w:rPr>
      </w:pPr>
    </w:p>
    <w:p w14:paraId="5632EDC8" w14:textId="77777777" w:rsidR="00FA25AE" w:rsidRPr="001B5EC7" w:rsidRDefault="00FA25AE" w:rsidP="001B5EC7">
      <w:pPr>
        <w:pStyle w:val="BodyText"/>
        <w:spacing w:after="0"/>
        <w:ind w:left="1008" w:hanging="1008"/>
        <w:jc w:val="left"/>
        <w:rPr>
          <w:b w:val="0"/>
        </w:rPr>
      </w:pPr>
      <w:r w:rsidRPr="001B5EC7">
        <w:rPr>
          <w:b w:val="0"/>
        </w:rPr>
        <w:t xml:space="preserve">The elements of the central energy equation in the base year are contained in an </w:t>
      </w:r>
      <w:r w:rsidRPr="001B5EC7">
        <w:rPr>
          <w:b w:val="0"/>
          <w:iCs/>
        </w:rPr>
        <w:t>energy</w:t>
      </w:r>
      <w:r w:rsidRPr="001B5EC7">
        <w:rPr>
          <w:iCs/>
        </w:rPr>
        <w:t xml:space="preserve"> </w:t>
      </w:r>
      <w:r w:rsidRPr="001B5EC7">
        <w:rPr>
          <w:b w:val="0"/>
          <w:iCs/>
        </w:rPr>
        <w:t>market</w:t>
      </w:r>
      <w:r w:rsidRPr="001B5EC7">
        <w:rPr>
          <w:iCs/>
        </w:rPr>
        <w:t xml:space="preserve"> </w:t>
      </w:r>
      <w:r w:rsidRPr="001B5EC7">
        <w:rPr>
          <w:b w:val="0"/>
          <w:iCs/>
        </w:rPr>
        <w:t>profile</w:t>
      </w:r>
      <w:r w:rsidRPr="001B5EC7">
        <w:rPr>
          <w:b w:val="0"/>
        </w:rPr>
        <w:t>.</w:t>
      </w:r>
    </w:p>
    <w:p w14:paraId="7AD8FDC6" w14:textId="77777777" w:rsidR="00FA25AE" w:rsidRPr="00FA25AE" w:rsidRDefault="00FA25AE" w:rsidP="00FA25AE">
      <w:pPr>
        <w:pStyle w:val="BodyText"/>
      </w:pPr>
    </w:p>
    <w:p w14:paraId="718C9940" w14:textId="77777777" w:rsidR="00FA25AE" w:rsidRDefault="00FA25AE" w:rsidP="00FA25AE">
      <w:pPr>
        <w:pStyle w:val="BodyText"/>
      </w:pPr>
    </w:p>
    <w:p w14:paraId="39E02410" w14:textId="181928CE" w:rsidR="00FA25AE" w:rsidRPr="00DE1C77" w:rsidRDefault="00FA25AE" w:rsidP="00FA25AE">
      <w:pPr>
        <w:pStyle w:val="BodyText"/>
        <w:spacing w:line="360" w:lineRule="auto"/>
        <w:jc w:val="both"/>
        <w:rPr>
          <w:b w:val="0"/>
        </w:rPr>
      </w:pPr>
      <w:r w:rsidRPr="00DE1C77">
        <w:rPr>
          <w:b w:val="0"/>
        </w:rPr>
        <w:t>The economic driver used to forecast long-term sales for each NAICS category in the industrial class is</w:t>
      </w:r>
      <w:r w:rsidR="00E04058">
        <w:rPr>
          <w:b w:val="0"/>
        </w:rPr>
        <w:t xml:space="preserve"> </w:t>
      </w:r>
      <w:r w:rsidR="00253B5E">
        <w:rPr>
          <w:b w:val="0"/>
        </w:rPr>
        <w:t>i</w:t>
      </w:r>
      <w:r w:rsidRPr="00DE1C77">
        <w:rPr>
          <w:b w:val="0"/>
        </w:rPr>
        <w:t xml:space="preserve">ndustrial </w:t>
      </w:r>
      <w:r w:rsidR="00253B5E">
        <w:rPr>
          <w:b w:val="0"/>
        </w:rPr>
        <w:t>p</w:t>
      </w:r>
      <w:r w:rsidRPr="00DE1C77">
        <w:rPr>
          <w:b w:val="0"/>
        </w:rPr>
        <w:t>roduction</w:t>
      </w:r>
      <w:r w:rsidR="00F57551">
        <w:rPr>
          <w:b w:val="0"/>
        </w:rPr>
        <w:t xml:space="preserve">, as measured and tracked by the </w:t>
      </w:r>
      <w:r w:rsidR="008D6B16">
        <w:rPr>
          <w:b w:val="0"/>
        </w:rPr>
        <w:t>Federal Reserve</w:t>
      </w:r>
      <w:r w:rsidRPr="00DE1C77">
        <w:rPr>
          <w:b w:val="0"/>
        </w:rPr>
        <w:t>. The use of industrial production allows for the explicit modeling of the input-output structure of the economy. Consequently, by using industrial production in the energy models, energy consumption is directly linked to a measure of industrial economic output. Section 8.2.4 addresses industrial activity.</w:t>
      </w:r>
    </w:p>
    <w:p w14:paraId="66D43E5F" w14:textId="77777777" w:rsidR="00602686" w:rsidRPr="00602686" w:rsidRDefault="00602686" w:rsidP="00602686">
      <w:pPr>
        <w:pStyle w:val="BodyTextIndent"/>
        <w:spacing w:line="360" w:lineRule="auto"/>
        <w:jc w:val="both"/>
      </w:pPr>
    </w:p>
    <w:p w14:paraId="7769A411" w14:textId="314FA3CA" w:rsidR="00FA25AE" w:rsidRPr="00DE1C77" w:rsidRDefault="00FA25AE" w:rsidP="00FA25AE">
      <w:pPr>
        <w:pStyle w:val="BodyText"/>
        <w:spacing w:line="360" w:lineRule="auto"/>
        <w:jc w:val="both"/>
        <w:rPr>
          <w:b w:val="0"/>
        </w:rPr>
      </w:pPr>
      <w:r w:rsidRPr="00634EA8">
        <w:rPr>
          <w:b w:val="0"/>
        </w:rPr>
        <w:t xml:space="preserve">The historical energies for the </w:t>
      </w:r>
      <w:r w:rsidR="00400BDC">
        <w:rPr>
          <w:b w:val="0"/>
        </w:rPr>
        <w:t>industrial</w:t>
      </w:r>
      <w:r w:rsidRPr="00634EA8">
        <w:rPr>
          <w:b w:val="0"/>
        </w:rPr>
        <w:t xml:space="preserve"> class are derived from Georgia Power specific data, distinguishing each segment using NAICS codes.</w:t>
      </w:r>
      <w:r>
        <w:rPr>
          <w:b w:val="0"/>
        </w:rPr>
        <w:t xml:space="preserve"> </w:t>
      </w:r>
      <w:r w:rsidRPr="00DE1C77">
        <w:rPr>
          <w:b w:val="0"/>
        </w:rPr>
        <w:t>Electricity</w:t>
      </w:r>
      <w:r w:rsidR="00DC05CA">
        <w:rPr>
          <w:b w:val="0"/>
        </w:rPr>
        <w:t xml:space="preserve"> and </w:t>
      </w:r>
      <w:r w:rsidRPr="00DE1C77">
        <w:rPr>
          <w:b w:val="0"/>
        </w:rPr>
        <w:t>natural gas prices are forecasted for the industrial class</w:t>
      </w:r>
      <w:r>
        <w:rPr>
          <w:b w:val="0"/>
        </w:rPr>
        <w:t xml:space="preserve">. </w:t>
      </w:r>
      <w:r w:rsidR="00400BDC">
        <w:rPr>
          <w:b w:val="0"/>
        </w:rPr>
        <w:t xml:space="preserve"> </w:t>
      </w:r>
      <w:r>
        <w:rPr>
          <w:b w:val="0"/>
        </w:rPr>
        <w:t xml:space="preserve">Other data, such as </w:t>
      </w:r>
      <w:r w:rsidRPr="00DE1C77">
        <w:rPr>
          <w:b w:val="0"/>
        </w:rPr>
        <w:t>fuel shares</w:t>
      </w:r>
      <w:r>
        <w:rPr>
          <w:b w:val="0"/>
        </w:rPr>
        <w:t>, efficiencies,</w:t>
      </w:r>
      <w:r w:rsidRPr="00DE1C77">
        <w:rPr>
          <w:b w:val="0"/>
        </w:rPr>
        <w:t xml:space="preserve"> </w:t>
      </w:r>
      <w:r>
        <w:rPr>
          <w:b w:val="0"/>
        </w:rPr>
        <w:t xml:space="preserve">technologies, etc. </w:t>
      </w:r>
      <w:r w:rsidRPr="00DE1C77">
        <w:rPr>
          <w:b w:val="0"/>
        </w:rPr>
        <w:t xml:space="preserve">were </w:t>
      </w:r>
      <w:r>
        <w:rPr>
          <w:b w:val="0"/>
        </w:rPr>
        <w:t xml:space="preserve">implemented </w:t>
      </w:r>
      <w:r w:rsidRPr="00DE1C77">
        <w:rPr>
          <w:b w:val="0"/>
        </w:rPr>
        <w:t>from several sources</w:t>
      </w:r>
      <w:r>
        <w:rPr>
          <w:b w:val="0"/>
        </w:rPr>
        <w:t xml:space="preserve"> </w:t>
      </w:r>
      <w:r w:rsidRPr="00634EA8">
        <w:rPr>
          <w:b w:val="0"/>
        </w:rPr>
        <w:t xml:space="preserve">by </w:t>
      </w:r>
      <w:r w:rsidR="008D6B16">
        <w:rPr>
          <w:b w:val="0"/>
        </w:rPr>
        <w:t>AEG</w:t>
      </w:r>
      <w:r>
        <w:rPr>
          <w:b w:val="0"/>
        </w:rPr>
        <w:t xml:space="preserve">, including the </w:t>
      </w:r>
      <w:r w:rsidR="00AA2476" w:rsidRPr="00DE1C77">
        <w:rPr>
          <w:b w:val="0"/>
        </w:rPr>
        <w:t>Manufactur</w:t>
      </w:r>
      <w:r w:rsidR="00AA2476">
        <w:rPr>
          <w:b w:val="0"/>
        </w:rPr>
        <w:t>ing</w:t>
      </w:r>
      <w:r w:rsidR="00AA2476" w:rsidRPr="00DE1C77">
        <w:rPr>
          <w:b w:val="0"/>
        </w:rPr>
        <w:t xml:space="preserve"> </w:t>
      </w:r>
      <w:r w:rsidRPr="00DE1C77">
        <w:rPr>
          <w:b w:val="0"/>
        </w:rPr>
        <w:t>Energy Consumption Survey (“MECS”)</w:t>
      </w:r>
      <w:r>
        <w:rPr>
          <w:b w:val="0"/>
        </w:rPr>
        <w:t>, and other national and regional data</w:t>
      </w:r>
      <w:r w:rsidRPr="00634EA8">
        <w:rPr>
          <w:b w:val="0"/>
        </w:rPr>
        <w:t xml:space="preserve">. </w:t>
      </w:r>
    </w:p>
    <w:p w14:paraId="2AC80D0C" w14:textId="77777777" w:rsidR="00602686" w:rsidRPr="00602686" w:rsidRDefault="00602686" w:rsidP="00602686">
      <w:pPr>
        <w:pStyle w:val="BodyTextIndent"/>
        <w:spacing w:line="360" w:lineRule="auto"/>
        <w:jc w:val="both"/>
      </w:pPr>
    </w:p>
    <w:p w14:paraId="57A95C5A" w14:textId="02C59E44" w:rsidR="00881002" w:rsidRPr="00DE1C77" w:rsidRDefault="00881002" w:rsidP="00881002">
      <w:pPr>
        <w:pStyle w:val="BodyText"/>
        <w:spacing w:line="360" w:lineRule="auto"/>
        <w:jc w:val="both"/>
        <w:rPr>
          <w:b w:val="0"/>
        </w:rPr>
      </w:pPr>
      <w:r>
        <w:rPr>
          <w:b w:val="0"/>
        </w:rPr>
        <w:t xml:space="preserve">The </w:t>
      </w:r>
      <w:r w:rsidR="00170F15">
        <w:rPr>
          <w:b w:val="0"/>
        </w:rPr>
        <w:t>I</w:t>
      </w:r>
      <w:r>
        <w:rPr>
          <w:b w:val="0"/>
        </w:rPr>
        <w:t>ndustrial LoadMAP model</w:t>
      </w:r>
      <w:r w:rsidRPr="00DE1C77">
        <w:rPr>
          <w:b w:val="0"/>
        </w:rPr>
        <w:t xml:space="preserve"> uses a base year of </w:t>
      </w:r>
      <w:r>
        <w:rPr>
          <w:b w:val="0"/>
        </w:rPr>
        <w:t>2007</w:t>
      </w:r>
      <w:r w:rsidRPr="00DE1C77">
        <w:rPr>
          <w:b w:val="0"/>
        </w:rPr>
        <w:t xml:space="preserve"> to establish initial calibration. The model also calibrates to historical energy through </w:t>
      </w:r>
      <w:r w:rsidR="008D6B16" w:rsidRPr="00DE1C77">
        <w:rPr>
          <w:b w:val="0"/>
        </w:rPr>
        <w:t>20</w:t>
      </w:r>
      <w:r w:rsidR="008D6B16">
        <w:rPr>
          <w:b w:val="0"/>
        </w:rPr>
        <w:t>17</w:t>
      </w:r>
      <w:r w:rsidRPr="00DE1C77">
        <w:rPr>
          <w:b w:val="0"/>
        </w:rPr>
        <w:t xml:space="preserve">. Additionally, </w:t>
      </w:r>
      <w:r>
        <w:rPr>
          <w:b w:val="0"/>
        </w:rPr>
        <w:t>it</w:t>
      </w:r>
      <w:r w:rsidRPr="00DE1C77">
        <w:rPr>
          <w:b w:val="0"/>
        </w:rPr>
        <w:t xml:space="preserve"> is calibrated to the energy of each economic category, according to NAICS, over the period of the short-term forecast, </w:t>
      </w:r>
      <w:r w:rsidR="008D6B16" w:rsidRPr="00DE1C77">
        <w:rPr>
          <w:b w:val="0"/>
        </w:rPr>
        <w:t>20</w:t>
      </w:r>
      <w:r w:rsidR="008D6B16">
        <w:rPr>
          <w:b w:val="0"/>
        </w:rPr>
        <w:t>18</w:t>
      </w:r>
      <w:r w:rsidR="008D6B16" w:rsidRPr="00DE1C77">
        <w:rPr>
          <w:b w:val="0"/>
        </w:rPr>
        <w:t xml:space="preserve"> </w:t>
      </w:r>
      <w:r w:rsidRPr="00DE1C77">
        <w:rPr>
          <w:b w:val="0"/>
        </w:rPr>
        <w:t xml:space="preserve">through </w:t>
      </w:r>
      <w:r w:rsidR="008D6B16" w:rsidRPr="00DE1C77">
        <w:rPr>
          <w:b w:val="0"/>
        </w:rPr>
        <w:t>20</w:t>
      </w:r>
      <w:r w:rsidR="008D6B16">
        <w:rPr>
          <w:b w:val="0"/>
        </w:rPr>
        <w:t>21</w:t>
      </w:r>
      <w:r w:rsidRPr="00DE1C77">
        <w:rPr>
          <w:b w:val="0"/>
        </w:rPr>
        <w:t>.</w:t>
      </w:r>
    </w:p>
    <w:p w14:paraId="1748BE1E" w14:textId="77777777" w:rsidR="00881002" w:rsidRPr="00DE1C77" w:rsidRDefault="00881002" w:rsidP="00881002">
      <w:pPr>
        <w:pStyle w:val="BodyText"/>
        <w:spacing w:line="360" w:lineRule="auto"/>
        <w:jc w:val="both"/>
        <w:rPr>
          <w:b w:val="0"/>
        </w:rPr>
      </w:pPr>
    </w:p>
    <w:p w14:paraId="5CB23B12" w14:textId="47973182" w:rsidR="00881002" w:rsidRPr="00DE1C77" w:rsidRDefault="00881002" w:rsidP="00881002">
      <w:pPr>
        <w:pStyle w:val="BodyText"/>
        <w:spacing w:line="360" w:lineRule="auto"/>
        <w:jc w:val="both"/>
        <w:rPr>
          <w:b w:val="0"/>
        </w:rPr>
      </w:pPr>
      <w:r w:rsidRPr="00DE1C77">
        <w:rPr>
          <w:b w:val="0"/>
        </w:rPr>
        <w:t>Cogeneration is a significant activity for certain industries. In the course of providing general manufacturing production processes, electricity is made available as a by-product. Georgia Power has assembled information to project the energy and demand changes from cogeneration for the near future. This cogeneration forecast is produced independently of the electricity sales forecast of the industrial class. See Section 8.4.2 for additional discussion on cogeneration.</w:t>
      </w:r>
      <w:r w:rsidR="00DC05CA">
        <w:rPr>
          <w:b w:val="0"/>
        </w:rPr>
        <w:t xml:space="preserve"> The amount of industrial cogeneration expected in the Budget </w:t>
      </w:r>
      <w:r w:rsidR="008D6B16">
        <w:rPr>
          <w:b w:val="0"/>
        </w:rPr>
        <w:t xml:space="preserve">2019 </w:t>
      </w:r>
      <w:r w:rsidR="00DC05CA">
        <w:rPr>
          <w:b w:val="0"/>
        </w:rPr>
        <w:t>is presented in Attachment 5.1.3-4</w:t>
      </w:r>
      <w:r w:rsidR="00B36C1C">
        <w:rPr>
          <w:b w:val="0"/>
        </w:rPr>
        <w:t>.</w:t>
      </w:r>
    </w:p>
    <w:p w14:paraId="3C9107E4" w14:textId="77777777" w:rsidR="00881002" w:rsidRPr="00DE1C77" w:rsidRDefault="00881002" w:rsidP="00881002">
      <w:pPr>
        <w:pStyle w:val="BodyText"/>
        <w:spacing w:line="360" w:lineRule="auto"/>
        <w:jc w:val="both"/>
        <w:rPr>
          <w:b w:val="0"/>
        </w:rPr>
      </w:pPr>
    </w:p>
    <w:p w14:paraId="22E89451" w14:textId="1A665D21" w:rsidR="00881002" w:rsidRPr="00DE1C77" w:rsidRDefault="00881002" w:rsidP="00881002">
      <w:pPr>
        <w:pStyle w:val="BodyText"/>
        <w:spacing w:line="360" w:lineRule="auto"/>
        <w:jc w:val="both"/>
        <w:rPr>
          <w:b w:val="0"/>
        </w:rPr>
      </w:pPr>
      <w:r w:rsidRPr="00DE1C77">
        <w:rPr>
          <w:b w:val="0"/>
        </w:rPr>
        <w:t xml:space="preserve">The industrial long-term forecast is modeled on a billing basis. Budget </w:t>
      </w:r>
      <w:r w:rsidR="008D6B16" w:rsidRPr="00DE1C77">
        <w:rPr>
          <w:b w:val="0"/>
        </w:rPr>
        <w:t>20</w:t>
      </w:r>
      <w:r w:rsidR="008D6B16">
        <w:rPr>
          <w:b w:val="0"/>
        </w:rPr>
        <w:t>19</w:t>
      </w:r>
      <w:r w:rsidR="008D6B16" w:rsidRPr="00DE1C77">
        <w:rPr>
          <w:b w:val="0"/>
        </w:rPr>
        <w:t xml:space="preserve"> </w:t>
      </w:r>
      <w:r w:rsidRPr="00DE1C77">
        <w:rPr>
          <w:b w:val="0"/>
        </w:rPr>
        <w:t>is presented as a calendar</w:t>
      </w:r>
      <w:r w:rsidR="001655DA">
        <w:rPr>
          <w:b w:val="0"/>
        </w:rPr>
        <w:t>-</w:t>
      </w:r>
      <w:r w:rsidRPr="00DE1C77">
        <w:rPr>
          <w:b w:val="0"/>
        </w:rPr>
        <w:t>based forecast. The long-term billing forecast is integrated with the short-term billing forecast and then both are converted to a calendar basis.</w:t>
      </w:r>
      <w:r w:rsidR="00253B5E">
        <w:rPr>
          <w:b w:val="0"/>
        </w:rPr>
        <w:t xml:space="preserve"> </w:t>
      </w:r>
      <w:r w:rsidR="00253B5E">
        <w:rPr>
          <w:b w:val="0"/>
          <w:szCs w:val="24"/>
        </w:rPr>
        <w:t>Attachment 5.1.3-1 shows the unadjusted long-term billing forecast, as well as the adjusted billing and calendar forecasts, which are adjusted for reductions in sales resulting from cogeneration and solar.</w:t>
      </w:r>
    </w:p>
    <w:p w14:paraId="4F8E9CC6" w14:textId="77777777" w:rsidR="00881002" w:rsidRPr="00DE1C77" w:rsidRDefault="00881002" w:rsidP="00881002">
      <w:pPr>
        <w:pStyle w:val="BodyText"/>
        <w:spacing w:line="360" w:lineRule="auto"/>
        <w:jc w:val="both"/>
        <w:rPr>
          <w:b w:val="0"/>
        </w:rPr>
      </w:pPr>
    </w:p>
    <w:p w14:paraId="2D213E5C" w14:textId="55226226" w:rsidR="00881002" w:rsidRPr="00DE1C77" w:rsidRDefault="00881002" w:rsidP="00881002">
      <w:pPr>
        <w:pStyle w:val="BodyText"/>
        <w:spacing w:line="360" w:lineRule="auto"/>
        <w:jc w:val="both"/>
        <w:rPr>
          <w:b w:val="0"/>
        </w:rPr>
      </w:pPr>
      <w:r w:rsidRPr="00DE1C77">
        <w:rPr>
          <w:b w:val="0"/>
        </w:rPr>
        <w:t xml:space="preserve">Several attachments follow which comprise the Budget </w:t>
      </w:r>
      <w:r w:rsidR="008D6B16" w:rsidRPr="00DE1C77">
        <w:rPr>
          <w:b w:val="0"/>
        </w:rPr>
        <w:t>20</w:t>
      </w:r>
      <w:r w:rsidR="008D6B16">
        <w:rPr>
          <w:b w:val="0"/>
        </w:rPr>
        <w:t>19</w:t>
      </w:r>
      <w:r w:rsidR="008D6B16" w:rsidRPr="00DE1C77">
        <w:rPr>
          <w:b w:val="0"/>
        </w:rPr>
        <w:t xml:space="preserve"> </w:t>
      </w:r>
      <w:r w:rsidRPr="00DE1C77">
        <w:rPr>
          <w:b w:val="0"/>
        </w:rPr>
        <w:t>Industrial Long-term Forecast.</w:t>
      </w:r>
    </w:p>
    <w:p w14:paraId="6F620E82" w14:textId="77777777" w:rsidR="00602686" w:rsidRPr="00602686" w:rsidRDefault="00602686" w:rsidP="00F119A6">
      <w:pPr>
        <w:pStyle w:val="BodyTextIndent"/>
        <w:spacing w:line="360" w:lineRule="auto"/>
        <w:ind w:left="0"/>
        <w:jc w:val="both"/>
        <w:rPr>
          <w:b/>
        </w:rPr>
      </w:pPr>
    </w:p>
    <w:p w14:paraId="1FD38F2F" w14:textId="77777777" w:rsidR="006D5135" w:rsidRDefault="006D5135" w:rsidP="009864D6">
      <w:pPr>
        <w:pStyle w:val="BodyTextIndent"/>
        <w:spacing w:line="360" w:lineRule="auto"/>
        <w:ind w:left="0"/>
        <w:jc w:val="left"/>
        <w:rPr>
          <w:b/>
        </w:rPr>
        <w:sectPr w:rsidR="006D5135" w:rsidSect="00CE15CB">
          <w:footnotePr>
            <w:numRestart w:val="eachSect"/>
          </w:footnotePr>
          <w:pgSz w:w="12240" w:h="15840"/>
          <w:pgMar w:top="1440" w:right="1440" w:bottom="1440" w:left="1440" w:header="720" w:footer="720" w:gutter="0"/>
          <w:cols w:space="720"/>
          <w:docGrid w:linePitch="273"/>
        </w:sectPr>
      </w:pPr>
    </w:p>
    <w:p w14:paraId="1228BE97" w14:textId="77777777" w:rsidR="005A29F9" w:rsidRDefault="00000F6C" w:rsidP="009864D6">
      <w:pPr>
        <w:pStyle w:val="BodyTextIndent"/>
        <w:spacing w:line="360" w:lineRule="auto"/>
        <w:ind w:left="0"/>
        <w:jc w:val="left"/>
      </w:pPr>
      <w:r>
        <w:rPr>
          <w:b/>
        </w:rPr>
        <w:t>Attachment 5.1.3-1: Total Industrial Energy Sales (GWh)</w:t>
      </w:r>
    </w:p>
    <w:p w14:paraId="40246964" w14:textId="77777777" w:rsidR="00235820" w:rsidRDefault="00235820" w:rsidP="00235820">
      <w:pPr>
        <w:pStyle w:val="BodyTextIndent"/>
        <w:spacing w:after="0"/>
        <w:ind w:left="0"/>
        <w:rPr>
          <w:b/>
        </w:rPr>
      </w:pPr>
      <w:r>
        <w:rPr>
          <w:b/>
        </w:rPr>
        <w:t>Industrial Long-Term Forecast</w:t>
      </w:r>
    </w:p>
    <w:p w14:paraId="4FEC068E" w14:textId="231C36A8" w:rsidR="00235820" w:rsidRDefault="00235820" w:rsidP="00235820">
      <w:pPr>
        <w:pStyle w:val="BodyTextIndent"/>
        <w:spacing w:after="0"/>
        <w:ind w:left="0"/>
        <w:rPr>
          <w:b/>
        </w:rPr>
      </w:pPr>
      <w:r w:rsidRPr="0068575E">
        <w:rPr>
          <w:b/>
        </w:rPr>
        <w:t xml:space="preserve">Budget </w:t>
      </w:r>
      <w:r w:rsidR="004E1C02" w:rsidRPr="0068575E">
        <w:rPr>
          <w:b/>
        </w:rPr>
        <w:t>20</w:t>
      </w:r>
      <w:r w:rsidR="004E1C02">
        <w:rPr>
          <w:b/>
        </w:rPr>
        <w:t>19</w:t>
      </w:r>
    </w:p>
    <w:p w14:paraId="2CC45EA3" w14:textId="77777777" w:rsidR="004D1E87" w:rsidRDefault="004D1E87" w:rsidP="00235820">
      <w:pPr>
        <w:pStyle w:val="BodyTextIndent"/>
        <w:spacing w:after="0"/>
        <w:ind w:left="0"/>
        <w:rPr>
          <w:b/>
        </w:rPr>
      </w:pPr>
    </w:p>
    <w:p w14:paraId="15A97331" w14:textId="1E341EF6" w:rsidR="00FC66D5" w:rsidRDefault="00A44BEE" w:rsidP="00235820">
      <w:pPr>
        <w:pStyle w:val="BodyTextIndent"/>
        <w:spacing w:line="360" w:lineRule="auto"/>
        <w:ind w:left="0"/>
        <w:rPr>
          <w:noProof/>
        </w:rPr>
      </w:pPr>
      <w:r w:rsidRPr="00A44BEE">
        <w:rPr>
          <w:noProof/>
        </w:rPr>
        <w:drawing>
          <wp:inline distT="0" distB="0" distL="0" distR="0" wp14:anchorId="5A678A55" wp14:editId="6C915343">
            <wp:extent cx="6896100" cy="4076700"/>
            <wp:effectExtent l="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6896100" cy="4076700"/>
                    </a:xfrm>
                    <a:prstGeom prst="rect">
                      <a:avLst/>
                    </a:prstGeom>
                    <a:noFill/>
                    <a:ln>
                      <a:noFill/>
                    </a:ln>
                  </pic:spPr>
                </pic:pic>
              </a:graphicData>
            </a:graphic>
          </wp:inline>
        </w:drawing>
      </w:r>
    </w:p>
    <w:p w14:paraId="3FC35A43" w14:textId="77777777" w:rsidR="00000F6C" w:rsidRPr="008D45D4" w:rsidRDefault="00000F6C" w:rsidP="009864D6">
      <w:pPr>
        <w:pStyle w:val="BodyTextIndent"/>
        <w:spacing w:line="360" w:lineRule="auto"/>
        <w:ind w:left="0"/>
        <w:jc w:val="left"/>
      </w:pPr>
    </w:p>
    <w:p w14:paraId="446A89E4" w14:textId="574B3C38" w:rsidR="00343C16" w:rsidRPr="008D45D4" w:rsidRDefault="008D45D4">
      <w:pPr>
        <w:spacing w:after="200" w:line="276" w:lineRule="auto"/>
        <w:jc w:val="left"/>
        <w:rPr>
          <w:b w:val="0"/>
        </w:rPr>
      </w:pPr>
      <w:r w:rsidRPr="008D45D4">
        <w:rPr>
          <w:b w:val="0"/>
        </w:rPr>
        <w:t>*In the following tables, values are based on the long-term billed end-use model. No external adjustments were made.</w:t>
      </w:r>
    </w:p>
    <w:p w14:paraId="4638C998" w14:textId="77777777" w:rsidR="008D45D4" w:rsidRDefault="008D45D4">
      <w:pPr>
        <w:spacing w:after="200" w:line="276" w:lineRule="auto"/>
        <w:jc w:val="left"/>
      </w:pPr>
      <w:r>
        <w:rPr>
          <w:b w:val="0"/>
        </w:rPr>
        <w:br w:type="page"/>
      </w:r>
    </w:p>
    <w:p w14:paraId="0B9A96ED" w14:textId="77777777" w:rsidR="00000F6C" w:rsidRDefault="00000F6C" w:rsidP="009864D6">
      <w:pPr>
        <w:pStyle w:val="BodyTextIndent"/>
        <w:spacing w:line="360" w:lineRule="auto"/>
        <w:ind w:left="0"/>
        <w:jc w:val="left"/>
      </w:pPr>
      <w:r>
        <w:rPr>
          <w:b/>
        </w:rPr>
        <w:t>Attachment 5.1.3-2: Industrial Sales by NAICS Category (GWh and Percentages)</w:t>
      </w:r>
    </w:p>
    <w:p w14:paraId="449CB93F" w14:textId="64C96383" w:rsidR="00235820" w:rsidRDefault="00235820" w:rsidP="00235820">
      <w:pPr>
        <w:pStyle w:val="BodyTextIndent"/>
        <w:spacing w:after="0"/>
        <w:ind w:left="0"/>
        <w:rPr>
          <w:b/>
        </w:rPr>
      </w:pPr>
      <w:r>
        <w:rPr>
          <w:b/>
        </w:rPr>
        <w:t>Industrial Long-Term Forecast (LoadMAP-I)</w:t>
      </w:r>
      <w:r w:rsidR="00115478">
        <w:rPr>
          <w:b/>
        </w:rPr>
        <w:t xml:space="preserve"> Unadjusted</w:t>
      </w:r>
    </w:p>
    <w:p w14:paraId="4B7B73BD" w14:textId="3946645B" w:rsidR="00235820" w:rsidRDefault="00235820" w:rsidP="00235820">
      <w:pPr>
        <w:pStyle w:val="BodyTextIndent"/>
        <w:spacing w:after="0"/>
        <w:ind w:left="0"/>
        <w:rPr>
          <w:b/>
        </w:rPr>
      </w:pPr>
      <w:r w:rsidRPr="0068575E">
        <w:rPr>
          <w:b/>
        </w:rPr>
        <w:t xml:space="preserve">Budget </w:t>
      </w:r>
      <w:r w:rsidR="004E1C02" w:rsidRPr="0068575E">
        <w:rPr>
          <w:b/>
        </w:rPr>
        <w:t>20</w:t>
      </w:r>
      <w:r w:rsidR="004E1C02">
        <w:rPr>
          <w:b/>
        </w:rPr>
        <w:t>19</w:t>
      </w:r>
    </w:p>
    <w:p w14:paraId="5A13E8EF" w14:textId="77777777" w:rsidR="00235820" w:rsidRDefault="00235820" w:rsidP="00235820">
      <w:pPr>
        <w:pStyle w:val="BodyTextIndent"/>
        <w:spacing w:after="0"/>
        <w:ind w:left="0"/>
        <w:rPr>
          <w:b/>
        </w:rPr>
      </w:pPr>
    </w:p>
    <w:p w14:paraId="48DBF968" w14:textId="77777777" w:rsidR="00235820" w:rsidRDefault="00235820" w:rsidP="00235820">
      <w:pPr>
        <w:pStyle w:val="BodyTextIndent"/>
        <w:spacing w:after="0"/>
        <w:ind w:left="0"/>
        <w:rPr>
          <w:b/>
        </w:rPr>
      </w:pPr>
      <w:r>
        <w:rPr>
          <w:b/>
        </w:rPr>
        <w:t>GWh Sales</w:t>
      </w:r>
    </w:p>
    <w:p w14:paraId="39FBE9CB" w14:textId="77777777" w:rsidR="00235820" w:rsidRDefault="00235820" w:rsidP="00235820">
      <w:pPr>
        <w:pStyle w:val="BodyTextIndent"/>
        <w:spacing w:after="0"/>
        <w:ind w:left="0"/>
        <w:rPr>
          <w:b/>
        </w:rPr>
      </w:pPr>
    </w:p>
    <w:p w14:paraId="28787756" w14:textId="41811212" w:rsidR="00F07515" w:rsidRDefault="00A44BEE" w:rsidP="00C0464B">
      <w:pPr>
        <w:spacing w:after="200" w:line="276" w:lineRule="auto"/>
        <w:rPr>
          <w:noProof/>
        </w:rPr>
      </w:pPr>
      <w:r w:rsidRPr="00A44BEE">
        <w:rPr>
          <w:noProof/>
        </w:rPr>
        <w:drawing>
          <wp:inline distT="0" distB="0" distL="0" distR="0" wp14:anchorId="031CCD22" wp14:editId="458F598A">
            <wp:extent cx="8229600" cy="2352136"/>
            <wp:effectExtent l="0" t="0" r="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8229600" cy="2352136"/>
                    </a:xfrm>
                    <a:prstGeom prst="rect">
                      <a:avLst/>
                    </a:prstGeom>
                    <a:noFill/>
                    <a:ln>
                      <a:noFill/>
                    </a:ln>
                  </pic:spPr>
                </pic:pic>
              </a:graphicData>
            </a:graphic>
          </wp:inline>
        </w:drawing>
      </w:r>
    </w:p>
    <w:p w14:paraId="1044D083" w14:textId="795B2DAB" w:rsidR="007712A2" w:rsidRDefault="007712A2" w:rsidP="00C0464B">
      <w:pPr>
        <w:spacing w:after="200" w:line="276" w:lineRule="auto"/>
        <w:rPr>
          <w:b w:val="0"/>
        </w:rPr>
      </w:pPr>
      <w:r>
        <w:br w:type="page"/>
      </w:r>
    </w:p>
    <w:p w14:paraId="3AFFFB2C" w14:textId="77777777" w:rsidR="007712A2" w:rsidRDefault="007712A2" w:rsidP="007712A2">
      <w:pPr>
        <w:pStyle w:val="BodyTextIndent"/>
        <w:spacing w:line="360" w:lineRule="auto"/>
        <w:ind w:left="0"/>
        <w:jc w:val="left"/>
      </w:pPr>
      <w:r>
        <w:rPr>
          <w:b/>
        </w:rPr>
        <w:t>Attachment 5.1.3-2: Industrial Sales by NAICS Category (GWh and Percentages) (cont’d)</w:t>
      </w:r>
    </w:p>
    <w:p w14:paraId="095388B3" w14:textId="6A93B3B5" w:rsidR="007712A2" w:rsidRDefault="007712A2" w:rsidP="007712A2">
      <w:pPr>
        <w:pStyle w:val="BodyTextIndent"/>
        <w:spacing w:after="0"/>
        <w:ind w:left="0"/>
        <w:rPr>
          <w:b/>
        </w:rPr>
      </w:pPr>
      <w:r>
        <w:rPr>
          <w:b/>
        </w:rPr>
        <w:t>Industrial Long-Term Forecast (LoadMAP-I)</w:t>
      </w:r>
      <w:r w:rsidR="00115478">
        <w:rPr>
          <w:b/>
        </w:rPr>
        <w:t xml:space="preserve"> Unadjusted</w:t>
      </w:r>
    </w:p>
    <w:p w14:paraId="64AFF9F7" w14:textId="39F3FE0B" w:rsidR="007712A2" w:rsidRDefault="007712A2" w:rsidP="007712A2">
      <w:pPr>
        <w:pStyle w:val="BodyTextIndent"/>
        <w:spacing w:after="0"/>
        <w:ind w:left="0"/>
        <w:rPr>
          <w:b/>
        </w:rPr>
      </w:pPr>
      <w:r w:rsidRPr="0068575E">
        <w:rPr>
          <w:b/>
        </w:rPr>
        <w:t xml:space="preserve">Budget </w:t>
      </w:r>
      <w:r w:rsidR="004E1C02" w:rsidRPr="0068575E">
        <w:rPr>
          <w:b/>
        </w:rPr>
        <w:t>20</w:t>
      </w:r>
      <w:r w:rsidR="004E1C02">
        <w:rPr>
          <w:b/>
        </w:rPr>
        <w:t>19</w:t>
      </w:r>
    </w:p>
    <w:p w14:paraId="4E1568BF" w14:textId="77777777" w:rsidR="007712A2" w:rsidRDefault="007712A2" w:rsidP="007712A2">
      <w:pPr>
        <w:pStyle w:val="BodyTextIndent"/>
        <w:spacing w:after="0"/>
        <w:ind w:left="0"/>
        <w:rPr>
          <w:b/>
        </w:rPr>
      </w:pPr>
    </w:p>
    <w:p w14:paraId="2660566F" w14:textId="77777777" w:rsidR="007712A2" w:rsidRDefault="007712A2" w:rsidP="007712A2">
      <w:pPr>
        <w:pStyle w:val="BodyTextIndent"/>
        <w:spacing w:after="0"/>
        <w:ind w:left="0"/>
        <w:rPr>
          <w:b/>
        </w:rPr>
      </w:pPr>
      <w:r>
        <w:rPr>
          <w:b/>
        </w:rPr>
        <w:t>Percentage of Total Sales</w:t>
      </w:r>
    </w:p>
    <w:p w14:paraId="58E09B24" w14:textId="77777777" w:rsidR="007712A2" w:rsidRDefault="007712A2" w:rsidP="007712A2">
      <w:pPr>
        <w:pStyle w:val="BodyTextIndent"/>
        <w:spacing w:after="0"/>
        <w:ind w:left="0"/>
        <w:rPr>
          <w:b/>
        </w:rPr>
      </w:pPr>
    </w:p>
    <w:p w14:paraId="07E6BA56" w14:textId="1BBDA1E9" w:rsidR="00F07515" w:rsidRDefault="00A44BEE" w:rsidP="00C0464B">
      <w:pPr>
        <w:pStyle w:val="BodyTextIndent"/>
        <w:spacing w:line="360" w:lineRule="auto"/>
        <w:ind w:left="0"/>
        <w:rPr>
          <w:noProof/>
        </w:rPr>
      </w:pPr>
      <w:r w:rsidRPr="00A44BEE">
        <w:rPr>
          <w:noProof/>
        </w:rPr>
        <w:drawing>
          <wp:inline distT="0" distB="0" distL="0" distR="0" wp14:anchorId="4CDBB854" wp14:editId="2DFEAF27">
            <wp:extent cx="8229600" cy="2352136"/>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8229600" cy="2352136"/>
                    </a:xfrm>
                    <a:prstGeom prst="rect">
                      <a:avLst/>
                    </a:prstGeom>
                    <a:noFill/>
                    <a:ln>
                      <a:noFill/>
                    </a:ln>
                  </pic:spPr>
                </pic:pic>
              </a:graphicData>
            </a:graphic>
          </wp:inline>
        </w:drawing>
      </w:r>
    </w:p>
    <w:p w14:paraId="3BACA479" w14:textId="1728E0B1" w:rsidR="00000F6C" w:rsidRDefault="00000F6C" w:rsidP="00C0464B">
      <w:pPr>
        <w:pStyle w:val="BodyTextIndent"/>
        <w:spacing w:line="360" w:lineRule="auto"/>
        <w:ind w:left="0"/>
      </w:pPr>
    </w:p>
    <w:p w14:paraId="692E7B1D" w14:textId="77777777" w:rsidR="00000F6C" w:rsidRDefault="00000F6C" w:rsidP="009864D6">
      <w:pPr>
        <w:pStyle w:val="BodyTextIndent"/>
        <w:spacing w:line="360" w:lineRule="auto"/>
        <w:ind w:left="0"/>
        <w:jc w:val="left"/>
      </w:pPr>
    </w:p>
    <w:p w14:paraId="3735FA7A" w14:textId="77777777" w:rsidR="00343C16" w:rsidRDefault="00343C16">
      <w:pPr>
        <w:spacing w:after="200" w:line="276" w:lineRule="auto"/>
        <w:jc w:val="left"/>
      </w:pPr>
      <w:r>
        <w:rPr>
          <w:b w:val="0"/>
        </w:rPr>
        <w:br w:type="page"/>
      </w:r>
    </w:p>
    <w:p w14:paraId="2CD6E639" w14:textId="77777777" w:rsidR="00000F6C" w:rsidRDefault="00000F6C" w:rsidP="00000F6C">
      <w:pPr>
        <w:pStyle w:val="BodyTextIndent"/>
        <w:spacing w:line="360" w:lineRule="auto"/>
        <w:ind w:left="0"/>
        <w:jc w:val="left"/>
      </w:pPr>
      <w:r>
        <w:rPr>
          <w:b/>
        </w:rPr>
        <w:t>Attachment 5.1.3-3: Industrial Sales by End Use (GWh and Percentages)</w:t>
      </w:r>
    </w:p>
    <w:p w14:paraId="4B4AF29F" w14:textId="2529BD51" w:rsidR="00235820" w:rsidRDefault="00235820" w:rsidP="00235820">
      <w:pPr>
        <w:pStyle w:val="BodyTextIndent"/>
        <w:spacing w:after="0"/>
        <w:ind w:left="0"/>
        <w:rPr>
          <w:b/>
        </w:rPr>
      </w:pPr>
      <w:r>
        <w:rPr>
          <w:b/>
        </w:rPr>
        <w:t>Industrial Long-Term Forecast (LoadMAP-I)</w:t>
      </w:r>
      <w:r w:rsidR="00115478">
        <w:rPr>
          <w:b/>
        </w:rPr>
        <w:t xml:space="preserve"> Unadjusted</w:t>
      </w:r>
    </w:p>
    <w:p w14:paraId="154A9668" w14:textId="1640A0E6" w:rsidR="00000F6C" w:rsidRDefault="00235820" w:rsidP="007712A2">
      <w:pPr>
        <w:pStyle w:val="BodyTextIndent"/>
        <w:spacing w:after="0"/>
        <w:ind w:left="0"/>
        <w:rPr>
          <w:b/>
        </w:rPr>
      </w:pPr>
      <w:r w:rsidRPr="0068575E">
        <w:rPr>
          <w:b/>
        </w:rPr>
        <w:t xml:space="preserve">Budget </w:t>
      </w:r>
      <w:r w:rsidR="002E73EE" w:rsidRPr="0068575E">
        <w:rPr>
          <w:b/>
        </w:rPr>
        <w:t>20</w:t>
      </w:r>
      <w:r w:rsidR="002E73EE">
        <w:rPr>
          <w:b/>
        </w:rPr>
        <w:t>19</w:t>
      </w:r>
    </w:p>
    <w:p w14:paraId="6978C2AF" w14:textId="77777777" w:rsidR="007712A2" w:rsidRDefault="007712A2" w:rsidP="007712A2">
      <w:pPr>
        <w:pStyle w:val="BodyTextIndent"/>
        <w:spacing w:after="0"/>
        <w:ind w:left="0"/>
      </w:pPr>
    </w:p>
    <w:p w14:paraId="157E6B17" w14:textId="7877AEF8" w:rsidR="00E17C05" w:rsidRDefault="00A44BEE" w:rsidP="004D1E87">
      <w:pPr>
        <w:spacing w:after="200" w:line="276" w:lineRule="auto"/>
        <w:rPr>
          <w:b w:val="0"/>
          <w:noProof/>
        </w:rPr>
      </w:pPr>
      <w:r w:rsidRPr="00A44BEE">
        <w:rPr>
          <w:b w:val="0"/>
          <w:noProof/>
        </w:rPr>
        <w:drawing>
          <wp:inline distT="0" distB="0" distL="0" distR="0" wp14:anchorId="58543603" wp14:editId="7A00D68F">
            <wp:extent cx="8229600" cy="2022746"/>
            <wp:effectExtent l="0" t="0" r="0"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8229600" cy="2022746"/>
                    </a:xfrm>
                    <a:prstGeom prst="rect">
                      <a:avLst/>
                    </a:prstGeom>
                    <a:noFill/>
                    <a:ln>
                      <a:noFill/>
                    </a:ln>
                  </pic:spPr>
                </pic:pic>
              </a:graphicData>
            </a:graphic>
          </wp:inline>
        </w:drawing>
      </w:r>
    </w:p>
    <w:p w14:paraId="58D1A889" w14:textId="524D4A59" w:rsidR="00343C16" w:rsidRDefault="00343C16" w:rsidP="004D1E87">
      <w:pPr>
        <w:spacing w:after="200" w:line="276" w:lineRule="auto"/>
      </w:pPr>
      <w:r>
        <w:rPr>
          <w:b w:val="0"/>
        </w:rPr>
        <w:br w:type="page"/>
      </w:r>
    </w:p>
    <w:p w14:paraId="7E3B7E5C" w14:textId="77777777" w:rsidR="001B5EC7" w:rsidRDefault="001B5EC7" w:rsidP="00000F6C">
      <w:pPr>
        <w:pStyle w:val="BodyTextIndent"/>
        <w:spacing w:line="360" w:lineRule="auto"/>
        <w:ind w:left="0"/>
        <w:jc w:val="left"/>
        <w:rPr>
          <w:b/>
        </w:rPr>
        <w:sectPr w:rsidR="001B5EC7" w:rsidSect="006D5135">
          <w:footnotePr>
            <w:numRestart w:val="eachSect"/>
          </w:footnotePr>
          <w:pgSz w:w="15840" w:h="12240" w:orient="landscape"/>
          <w:pgMar w:top="1440" w:right="1440" w:bottom="1440" w:left="1440" w:header="720" w:footer="720" w:gutter="0"/>
          <w:cols w:space="720"/>
          <w:docGrid w:linePitch="273"/>
        </w:sectPr>
      </w:pPr>
    </w:p>
    <w:p w14:paraId="4B6B9385" w14:textId="77777777" w:rsidR="00000F6C" w:rsidRPr="00000F6C" w:rsidRDefault="00000F6C" w:rsidP="00000F6C">
      <w:pPr>
        <w:pStyle w:val="BodyTextIndent"/>
        <w:spacing w:line="360" w:lineRule="auto"/>
        <w:ind w:left="0"/>
        <w:jc w:val="left"/>
      </w:pPr>
      <w:r>
        <w:rPr>
          <w:b/>
        </w:rPr>
        <w:t>Attachment 5.1.3-4: Cogeneration</w:t>
      </w:r>
    </w:p>
    <w:p w14:paraId="79073825" w14:textId="77777777" w:rsidR="006D5135" w:rsidRDefault="006D5135" w:rsidP="006D5135">
      <w:pPr>
        <w:pStyle w:val="BodyTextIndent"/>
        <w:spacing w:after="0"/>
        <w:ind w:left="0"/>
        <w:rPr>
          <w:b/>
        </w:rPr>
      </w:pPr>
      <w:r>
        <w:rPr>
          <w:b/>
        </w:rPr>
        <w:t>Industrial Long-Term Forecast</w:t>
      </w:r>
    </w:p>
    <w:p w14:paraId="2501D3B0" w14:textId="7A2A0B5A" w:rsidR="006D5135" w:rsidRDefault="006D5135" w:rsidP="006D5135">
      <w:pPr>
        <w:pStyle w:val="BodyTextIndent"/>
        <w:spacing w:after="0"/>
        <w:ind w:left="0"/>
        <w:rPr>
          <w:b/>
        </w:rPr>
      </w:pPr>
      <w:r w:rsidRPr="0068575E">
        <w:rPr>
          <w:b/>
        </w:rPr>
        <w:t xml:space="preserve">Budget </w:t>
      </w:r>
      <w:r w:rsidR="002E73EE" w:rsidRPr="0068575E">
        <w:rPr>
          <w:b/>
        </w:rPr>
        <w:t>20</w:t>
      </w:r>
      <w:r w:rsidR="002E73EE">
        <w:rPr>
          <w:b/>
        </w:rPr>
        <w:t>19</w:t>
      </w:r>
    </w:p>
    <w:p w14:paraId="5222BE4F" w14:textId="77777777" w:rsidR="006D5135" w:rsidRDefault="006D5135" w:rsidP="006D5135">
      <w:pPr>
        <w:pStyle w:val="BodyTextIndent"/>
        <w:spacing w:after="0"/>
        <w:ind w:left="0"/>
        <w:rPr>
          <w:b/>
        </w:rPr>
      </w:pPr>
    </w:p>
    <w:p w14:paraId="7D91699C" w14:textId="44689940" w:rsidR="00E17C05" w:rsidRDefault="00A44BEE" w:rsidP="001B5EC7">
      <w:pPr>
        <w:pStyle w:val="BodyTextIndent"/>
        <w:spacing w:line="360" w:lineRule="auto"/>
        <w:ind w:left="0"/>
        <w:rPr>
          <w:noProof/>
        </w:rPr>
      </w:pPr>
      <w:r w:rsidRPr="00A44BEE">
        <w:rPr>
          <w:noProof/>
        </w:rPr>
        <w:drawing>
          <wp:inline distT="0" distB="0" distL="0" distR="0" wp14:anchorId="6566DA82" wp14:editId="6C138880">
            <wp:extent cx="1323975" cy="4067175"/>
            <wp:effectExtent l="0" t="0" r="9525" b="9525"/>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323975" cy="4067175"/>
                    </a:xfrm>
                    <a:prstGeom prst="rect">
                      <a:avLst/>
                    </a:prstGeom>
                    <a:noFill/>
                    <a:ln>
                      <a:noFill/>
                    </a:ln>
                  </pic:spPr>
                </pic:pic>
              </a:graphicData>
            </a:graphic>
          </wp:inline>
        </w:drawing>
      </w:r>
    </w:p>
    <w:p w14:paraId="19EBBF75" w14:textId="1EB035F1" w:rsidR="005A29F9" w:rsidRDefault="005A29F9" w:rsidP="001B5EC7">
      <w:pPr>
        <w:pStyle w:val="BodyTextIndent"/>
        <w:spacing w:line="360" w:lineRule="auto"/>
        <w:ind w:left="0"/>
      </w:pPr>
    </w:p>
    <w:p w14:paraId="041CAE6B" w14:textId="77777777" w:rsidR="00343C16" w:rsidRDefault="00343C16">
      <w:pPr>
        <w:spacing w:after="200" w:line="276" w:lineRule="auto"/>
        <w:jc w:val="left"/>
        <w:rPr>
          <w:rFonts w:eastAsiaTheme="majorEastAsia"/>
          <w:bCs/>
          <w:sz w:val="28"/>
          <w:szCs w:val="28"/>
        </w:rPr>
      </w:pPr>
      <w:bookmarkStart w:id="247" w:name="_Toc114629535"/>
      <w:bookmarkStart w:id="248" w:name="_Toc138581545"/>
      <w:bookmarkStart w:id="249" w:name="_Toc347120431"/>
      <w:r>
        <w:rPr>
          <w:b w:val="0"/>
        </w:rPr>
        <w:br w:type="page"/>
      </w:r>
    </w:p>
    <w:p w14:paraId="5B5BFA37" w14:textId="77777777" w:rsidR="00000F6C" w:rsidRPr="002110B0" w:rsidRDefault="00000F6C" w:rsidP="00000F6C">
      <w:pPr>
        <w:pStyle w:val="Heading1"/>
        <w:jc w:val="left"/>
      </w:pPr>
      <w:bookmarkStart w:id="250" w:name="_Toc535495646"/>
      <w:r w:rsidRPr="00000F6C">
        <w:rPr>
          <w:rFonts w:ascii="Arial" w:hAnsi="Arial" w:cs="Arial"/>
          <w:b/>
          <w:color w:val="auto"/>
        </w:rPr>
        <w:t>5.2</w:t>
      </w:r>
      <w:r w:rsidRPr="00000F6C">
        <w:rPr>
          <w:rFonts w:ascii="Arial" w:hAnsi="Arial" w:cs="Arial"/>
          <w:b/>
          <w:color w:val="auto"/>
        </w:rPr>
        <w:tab/>
        <w:t>ANNUAL TO MONTHLY BASED ENERGY FORECASTS</w:t>
      </w:r>
      <w:bookmarkEnd w:id="247"/>
      <w:bookmarkEnd w:id="248"/>
      <w:bookmarkEnd w:id="249"/>
      <w:bookmarkEnd w:id="250"/>
    </w:p>
    <w:p w14:paraId="729AE46C" w14:textId="77777777" w:rsidR="00000F6C" w:rsidRDefault="00000F6C" w:rsidP="00000F6C">
      <w:pPr>
        <w:pStyle w:val="BodyText"/>
        <w:spacing w:line="360" w:lineRule="auto"/>
        <w:jc w:val="left"/>
        <w:rPr>
          <w:b w:val="0"/>
        </w:rPr>
      </w:pPr>
    </w:p>
    <w:p w14:paraId="3B39F846" w14:textId="791BBC3E" w:rsidR="00000F6C" w:rsidRPr="00000F6C" w:rsidRDefault="00000F6C" w:rsidP="00714556">
      <w:pPr>
        <w:pStyle w:val="BodyText"/>
        <w:spacing w:line="360" w:lineRule="auto"/>
        <w:jc w:val="both"/>
        <w:rPr>
          <w:b w:val="0"/>
        </w:rPr>
      </w:pPr>
      <w:r w:rsidRPr="00000F6C">
        <w:rPr>
          <w:b w:val="0"/>
        </w:rPr>
        <w:t xml:space="preserve">The official </w:t>
      </w:r>
      <w:r w:rsidR="00DC05CA">
        <w:rPr>
          <w:b w:val="0"/>
        </w:rPr>
        <w:t xml:space="preserve">Budget </w:t>
      </w:r>
      <w:r w:rsidR="002E73EE">
        <w:rPr>
          <w:b w:val="0"/>
        </w:rPr>
        <w:t xml:space="preserve">2019 </w:t>
      </w:r>
      <w:r w:rsidRPr="00000F6C">
        <w:rPr>
          <w:b w:val="0"/>
        </w:rPr>
        <w:t xml:space="preserve">forecast is one of monthly calendar energies. However, the long-term end-use models are of an annual frequency and based on billing data which results in annual billing energy forecasts.  </w:t>
      </w:r>
    </w:p>
    <w:p w14:paraId="39F664C8" w14:textId="77777777" w:rsidR="00000F6C" w:rsidRPr="00000F6C" w:rsidRDefault="00000F6C" w:rsidP="00714556">
      <w:pPr>
        <w:pStyle w:val="BodyText"/>
        <w:spacing w:line="360" w:lineRule="auto"/>
        <w:jc w:val="both"/>
        <w:rPr>
          <w:b w:val="0"/>
        </w:rPr>
      </w:pPr>
    </w:p>
    <w:p w14:paraId="3C850DD8" w14:textId="062D0F92" w:rsidR="00000F6C" w:rsidRPr="00032D1D" w:rsidRDefault="00000F6C" w:rsidP="00714556">
      <w:pPr>
        <w:pStyle w:val="BodyText"/>
        <w:spacing w:line="360" w:lineRule="auto"/>
        <w:jc w:val="both"/>
        <w:rPr>
          <w:b w:val="0"/>
        </w:rPr>
      </w:pPr>
      <w:r w:rsidRPr="00000F6C">
        <w:rPr>
          <w:b w:val="0"/>
        </w:rPr>
        <w:t>The long-term end-use annual forecasts were converted to monthly forecasts by allocating each annual forecasted value per its class monthly percentage (see Table 5.2-1). For all three classes, the monthly percentages from the last year of the short-term models were used as the monthly pattern in the long</w:t>
      </w:r>
      <w:r w:rsidR="002E73EE">
        <w:rPr>
          <w:b w:val="0"/>
        </w:rPr>
        <w:t>-</w:t>
      </w:r>
      <w:r w:rsidRPr="00000F6C">
        <w:rPr>
          <w:b w:val="0"/>
        </w:rPr>
        <w:t xml:space="preserve">term projections. The result is a 20-year monthly </w:t>
      </w:r>
      <w:r w:rsidR="00940725">
        <w:rPr>
          <w:b w:val="0"/>
        </w:rPr>
        <w:t xml:space="preserve">billed </w:t>
      </w:r>
      <w:r w:rsidRPr="00000F6C">
        <w:rPr>
          <w:b w:val="0"/>
        </w:rPr>
        <w:t xml:space="preserve">forecast. </w:t>
      </w:r>
      <w:r w:rsidR="00940725">
        <w:rPr>
          <w:b w:val="0"/>
        </w:rPr>
        <w:t>This billed forecast is converted to a calendar forecast using the</w:t>
      </w:r>
      <w:r w:rsidRPr="00000F6C">
        <w:rPr>
          <w:b w:val="0"/>
        </w:rPr>
        <w:t xml:space="preserve"> </w:t>
      </w:r>
      <w:r w:rsidRPr="00032D1D">
        <w:rPr>
          <w:b w:val="0"/>
        </w:rPr>
        <w:t xml:space="preserve">monthly billing-to-calendar ratios </w:t>
      </w:r>
      <w:r w:rsidR="00940725">
        <w:rPr>
          <w:b w:val="0"/>
        </w:rPr>
        <w:t>in Table 5.2-2</w:t>
      </w:r>
      <w:r w:rsidRPr="00032D1D">
        <w:rPr>
          <w:b w:val="0"/>
        </w:rPr>
        <w:t>.</w:t>
      </w:r>
    </w:p>
    <w:p w14:paraId="5770F25B" w14:textId="77777777" w:rsidR="00000F6C" w:rsidRDefault="00000F6C" w:rsidP="00000F6C">
      <w:pPr>
        <w:pStyle w:val="BodyText"/>
        <w:spacing w:line="360" w:lineRule="auto"/>
        <w:jc w:val="left"/>
        <w:rPr>
          <w:b w:val="0"/>
        </w:rPr>
      </w:pPr>
    </w:p>
    <w:p w14:paraId="230E7390" w14:textId="77777777" w:rsidR="00000F6C" w:rsidRDefault="00000F6C" w:rsidP="00000F6C">
      <w:pPr>
        <w:pStyle w:val="BodyText"/>
        <w:spacing w:line="360" w:lineRule="auto"/>
        <w:jc w:val="left"/>
      </w:pPr>
      <w:r w:rsidRPr="00000F6C">
        <w:t>Table 5.2-1: Annual to Monthly Allocation Percentages</w:t>
      </w:r>
    </w:p>
    <w:p w14:paraId="7E86ED07" w14:textId="1A283D08" w:rsidR="00CF394E" w:rsidRDefault="00A44BEE" w:rsidP="00646D9E">
      <w:pPr>
        <w:pStyle w:val="BodyText"/>
        <w:spacing w:line="360" w:lineRule="auto"/>
        <w:rPr>
          <w:b w:val="0"/>
          <w:noProof/>
        </w:rPr>
      </w:pPr>
      <w:r w:rsidRPr="00A44BEE">
        <w:rPr>
          <w:b w:val="0"/>
          <w:noProof/>
        </w:rPr>
        <w:drawing>
          <wp:inline distT="0" distB="0" distL="0" distR="0" wp14:anchorId="476963D5" wp14:editId="3223956D">
            <wp:extent cx="3838575" cy="2590800"/>
            <wp:effectExtent l="0" t="0" r="9525"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3838575" cy="2590800"/>
                    </a:xfrm>
                    <a:prstGeom prst="rect">
                      <a:avLst/>
                    </a:prstGeom>
                    <a:noFill/>
                    <a:ln>
                      <a:noFill/>
                    </a:ln>
                  </pic:spPr>
                </pic:pic>
              </a:graphicData>
            </a:graphic>
          </wp:inline>
        </w:drawing>
      </w:r>
    </w:p>
    <w:p w14:paraId="7C74215E" w14:textId="2C9337B9" w:rsidR="00000F6C" w:rsidRDefault="00000F6C" w:rsidP="00646D9E">
      <w:pPr>
        <w:pStyle w:val="BodyText"/>
        <w:spacing w:line="360" w:lineRule="auto"/>
        <w:rPr>
          <w:b w:val="0"/>
        </w:rPr>
      </w:pPr>
    </w:p>
    <w:p w14:paraId="0E310CFC" w14:textId="77777777" w:rsidR="00032D1D" w:rsidRDefault="00032D1D" w:rsidP="00032D1D">
      <w:pPr>
        <w:pStyle w:val="BodyText"/>
        <w:spacing w:line="360" w:lineRule="auto"/>
        <w:jc w:val="both"/>
        <w:rPr>
          <w:b w:val="0"/>
        </w:rPr>
      </w:pPr>
    </w:p>
    <w:p w14:paraId="0ACBE083" w14:textId="77777777" w:rsidR="00032D1D" w:rsidRDefault="00032D1D" w:rsidP="00A027E8">
      <w:pPr>
        <w:pStyle w:val="BodyText"/>
        <w:keepNext/>
        <w:spacing w:line="360" w:lineRule="auto"/>
        <w:jc w:val="both"/>
        <w:rPr>
          <w:b w:val="0"/>
        </w:rPr>
      </w:pPr>
      <w:r w:rsidRPr="00000F6C">
        <w:t>Table 5.2-</w:t>
      </w:r>
      <w:r>
        <w:t>2</w:t>
      </w:r>
      <w:r w:rsidRPr="00000F6C">
        <w:t xml:space="preserve">: </w:t>
      </w:r>
      <w:r>
        <w:t>Monthly Billing to Calendar Ratios</w:t>
      </w:r>
    </w:p>
    <w:p w14:paraId="4215BD82" w14:textId="5D420E91" w:rsidR="000A694E" w:rsidRDefault="00A44BEE" w:rsidP="00A027E8">
      <w:pPr>
        <w:pStyle w:val="BodyText"/>
        <w:keepNext/>
        <w:spacing w:line="360" w:lineRule="auto"/>
        <w:rPr>
          <w:b w:val="0"/>
          <w:noProof/>
        </w:rPr>
      </w:pPr>
      <w:r w:rsidRPr="00A44BEE">
        <w:rPr>
          <w:b w:val="0"/>
          <w:noProof/>
        </w:rPr>
        <w:drawing>
          <wp:inline distT="0" distB="0" distL="0" distR="0" wp14:anchorId="0C6AFBED" wp14:editId="7359F612">
            <wp:extent cx="3190875" cy="2590800"/>
            <wp:effectExtent l="0" t="0" r="9525"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3190875" cy="2590800"/>
                    </a:xfrm>
                    <a:prstGeom prst="rect">
                      <a:avLst/>
                    </a:prstGeom>
                    <a:noFill/>
                    <a:ln>
                      <a:noFill/>
                    </a:ln>
                  </pic:spPr>
                </pic:pic>
              </a:graphicData>
            </a:graphic>
          </wp:inline>
        </w:drawing>
      </w:r>
    </w:p>
    <w:p w14:paraId="63A51EE7" w14:textId="77777777" w:rsidR="000D1EE5" w:rsidRDefault="000D1EE5" w:rsidP="00646D9E">
      <w:pPr>
        <w:pStyle w:val="BodyText"/>
        <w:spacing w:line="360" w:lineRule="auto"/>
        <w:rPr>
          <w:b w:val="0"/>
        </w:rPr>
      </w:pPr>
    </w:p>
    <w:p w14:paraId="509F6F37" w14:textId="77777777" w:rsidR="00000F6C" w:rsidRPr="00000F6C" w:rsidRDefault="00000F6C" w:rsidP="00000F6C">
      <w:pPr>
        <w:pStyle w:val="Heading1"/>
        <w:jc w:val="left"/>
        <w:rPr>
          <w:rFonts w:ascii="Arial" w:hAnsi="Arial" w:cs="Arial"/>
          <w:b/>
          <w:color w:val="auto"/>
        </w:rPr>
      </w:pPr>
      <w:bookmarkStart w:id="251" w:name="_Toc114629537"/>
      <w:bookmarkStart w:id="252" w:name="_Toc138581547"/>
      <w:bookmarkStart w:id="253" w:name="_Toc347120433"/>
      <w:bookmarkStart w:id="254" w:name="_Toc535495647"/>
      <w:r w:rsidRPr="00000F6C">
        <w:rPr>
          <w:rFonts w:ascii="Arial" w:hAnsi="Arial" w:cs="Arial"/>
          <w:b/>
          <w:color w:val="auto"/>
        </w:rPr>
        <w:t>5.3</w:t>
      </w:r>
      <w:r w:rsidRPr="00000F6C">
        <w:rPr>
          <w:rFonts w:ascii="Arial" w:hAnsi="Arial" w:cs="Arial"/>
          <w:b/>
          <w:color w:val="auto"/>
        </w:rPr>
        <w:tab/>
        <w:t>INTEGRATION OF SHORT</w:t>
      </w:r>
      <w:r w:rsidR="00EE4E65">
        <w:rPr>
          <w:rFonts w:ascii="Arial" w:hAnsi="Arial" w:cs="Arial"/>
          <w:b/>
          <w:color w:val="auto"/>
        </w:rPr>
        <w:t>-</w:t>
      </w:r>
      <w:r w:rsidRPr="00000F6C">
        <w:rPr>
          <w:rFonts w:ascii="Arial" w:hAnsi="Arial" w:cs="Arial"/>
          <w:b/>
          <w:color w:val="auto"/>
        </w:rPr>
        <w:t xml:space="preserve"> AND LONG-TERM ENERGY </w:t>
      </w:r>
      <w:bookmarkEnd w:id="251"/>
      <w:bookmarkEnd w:id="252"/>
      <w:r w:rsidRPr="00000F6C">
        <w:rPr>
          <w:rFonts w:ascii="Arial" w:hAnsi="Arial" w:cs="Arial"/>
          <w:b/>
          <w:color w:val="auto"/>
        </w:rPr>
        <w:t>FORECASTS</w:t>
      </w:r>
      <w:bookmarkEnd w:id="253"/>
      <w:bookmarkEnd w:id="254"/>
    </w:p>
    <w:p w14:paraId="0F7A6F05" w14:textId="77777777" w:rsidR="00000F6C" w:rsidRDefault="00000F6C" w:rsidP="00000F6C">
      <w:pPr>
        <w:pStyle w:val="BodyText"/>
        <w:spacing w:line="360" w:lineRule="auto"/>
        <w:jc w:val="left"/>
        <w:rPr>
          <w:b w:val="0"/>
        </w:rPr>
      </w:pPr>
    </w:p>
    <w:p w14:paraId="6701C4B7" w14:textId="589F7AE1" w:rsidR="00000F6C" w:rsidRPr="00000F6C" w:rsidRDefault="00000F6C" w:rsidP="00714556">
      <w:pPr>
        <w:pStyle w:val="BodyText"/>
        <w:spacing w:line="360" w:lineRule="auto"/>
        <w:jc w:val="both"/>
        <w:rPr>
          <w:b w:val="0"/>
        </w:rPr>
      </w:pPr>
      <w:r w:rsidRPr="00000F6C">
        <w:rPr>
          <w:b w:val="0"/>
        </w:rPr>
        <w:t xml:space="preserve">The short-term and long-term energy forecasts were produced using different methods. Although both the long-term and short-term energy models used a </w:t>
      </w:r>
      <w:r w:rsidR="002E73EE">
        <w:rPr>
          <w:b w:val="0"/>
        </w:rPr>
        <w:t>38</w:t>
      </w:r>
      <w:r w:rsidRPr="00000F6C">
        <w:rPr>
          <w:b w:val="0"/>
        </w:rPr>
        <w:t xml:space="preserve">-year average as the predicted weather, the impacts from using different forecast methodologies for the two periods increase the likelihood that integration techniques are needed to smooth out the forecast. The forecast should be smooth because the timing of economic, demographic, and weather events further into the future from historical results becomes less and less certain. </w:t>
      </w:r>
      <w:bookmarkStart w:id="255" w:name="_Hlk534299013"/>
      <w:r w:rsidRPr="00000F6C">
        <w:rPr>
          <w:b w:val="0"/>
        </w:rPr>
        <w:t>Adjustments to ensure a smooth transition of the various elements of the forecast and between years of the forecast were made to the energy forecast during the development of the energy forecast. Specifically, the long-term models are calibrated to historical and short-term model results for integration purposes.</w:t>
      </w:r>
      <w:bookmarkEnd w:id="255"/>
    </w:p>
    <w:p w14:paraId="49E49FA2" w14:textId="77777777" w:rsidR="00000F6C" w:rsidRPr="00000F6C" w:rsidRDefault="00000F6C" w:rsidP="00000F6C">
      <w:pPr>
        <w:pStyle w:val="BodyText"/>
        <w:spacing w:line="360" w:lineRule="auto"/>
        <w:jc w:val="left"/>
        <w:rPr>
          <w:b w:val="0"/>
        </w:rPr>
      </w:pPr>
    </w:p>
    <w:p w14:paraId="62CCED0E" w14:textId="77777777" w:rsidR="00000F6C" w:rsidRPr="003A3426" w:rsidRDefault="00000F6C" w:rsidP="00000F6C">
      <w:pPr>
        <w:pStyle w:val="Heading1"/>
        <w:sectPr w:rsidR="00000F6C" w:rsidRPr="003A3426" w:rsidSect="00CE15CB">
          <w:footnotePr>
            <w:numRestart w:val="eachSect"/>
          </w:footnotePr>
          <w:pgSz w:w="12240" w:h="15840"/>
          <w:pgMar w:top="1440" w:right="1440" w:bottom="1440" w:left="1440" w:header="720" w:footer="720" w:gutter="0"/>
          <w:cols w:space="720"/>
          <w:docGrid w:linePitch="273"/>
        </w:sectPr>
      </w:pPr>
    </w:p>
    <w:p w14:paraId="6AAF1ECE" w14:textId="77777777" w:rsidR="00357C3D" w:rsidRPr="002110B0" w:rsidRDefault="00357C3D" w:rsidP="00357C3D">
      <w:pPr>
        <w:pStyle w:val="Heading1"/>
        <w:jc w:val="left"/>
      </w:pPr>
      <w:bookmarkStart w:id="256" w:name="_Toc347120434"/>
      <w:bookmarkStart w:id="257" w:name="_Toc535495648"/>
      <w:r w:rsidRPr="00357C3D">
        <w:rPr>
          <w:rFonts w:ascii="Arial" w:hAnsi="Arial" w:cs="Arial"/>
          <w:b/>
          <w:color w:val="auto"/>
        </w:rPr>
        <w:t>6.0</w:t>
      </w:r>
      <w:r w:rsidRPr="00357C3D">
        <w:rPr>
          <w:rFonts w:ascii="Arial" w:hAnsi="Arial" w:cs="Arial"/>
          <w:b/>
          <w:color w:val="auto"/>
        </w:rPr>
        <w:tab/>
        <w:t>PEAK DEMAND FORECAST</w:t>
      </w:r>
      <w:bookmarkEnd w:id="256"/>
      <w:bookmarkEnd w:id="257"/>
    </w:p>
    <w:p w14:paraId="5B3DB42E" w14:textId="77777777" w:rsidR="002324AB" w:rsidRDefault="002324AB" w:rsidP="00357C3D">
      <w:pPr>
        <w:pStyle w:val="BodyText"/>
        <w:spacing w:line="360" w:lineRule="auto"/>
        <w:jc w:val="left"/>
        <w:rPr>
          <w:b w:val="0"/>
        </w:rPr>
      </w:pPr>
    </w:p>
    <w:p w14:paraId="69361F67" w14:textId="4A3991E9" w:rsidR="00357C3D" w:rsidRPr="00357C3D" w:rsidRDefault="00132BB2" w:rsidP="00714556">
      <w:pPr>
        <w:pStyle w:val="BodyText"/>
        <w:spacing w:line="360" w:lineRule="auto"/>
        <w:jc w:val="both"/>
        <w:rPr>
          <w:b w:val="0"/>
        </w:rPr>
      </w:pPr>
      <w:r w:rsidRPr="00132BB2">
        <w:rPr>
          <w:b w:val="0"/>
        </w:rPr>
        <w:t xml:space="preserve">Georgia Power used the </w:t>
      </w:r>
      <w:r w:rsidR="00D37B6B">
        <w:rPr>
          <w:b w:val="0"/>
        </w:rPr>
        <w:t xml:space="preserve">PDM </w:t>
      </w:r>
      <w:r w:rsidRPr="00132BB2">
        <w:rPr>
          <w:b w:val="0"/>
        </w:rPr>
        <w:t xml:space="preserve">in Budget </w:t>
      </w:r>
      <w:r w:rsidR="00D37B6B" w:rsidRPr="00132BB2">
        <w:rPr>
          <w:b w:val="0"/>
        </w:rPr>
        <w:t>20</w:t>
      </w:r>
      <w:r w:rsidR="00D37B6B">
        <w:rPr>
          <w:b w:val="0"/>
        </w:rPr>
        <w:t>19</w:t>
      </w:r>
      <w:r w:rsidR="00D37B6B" w:rsidRPr="00132BB2">
        <w:rPr>
          <w:b w:val="0"/>
        </w:rPr>
        <w:t xml:space="preserve"> </w:t>
      </w:r>
      <w:r w:rsidRPr="00132BB2">
        <w:rPr>
          <w:b w:val="0"/>
        </w:rPr>
        <w:t>to predict peak demands. The PDM is a SAS product and was developed in a partnership of SAS and Corios Group for Southern Company in 2013-2014. The PDM was first used in B</w:t>
      </w:r>
      <w:r>
        <w:rPr>
          <w:b w:val="0"/>
        </w:rPr>
        <w:t xml:space="preserve">udget </w:t>
      </w:r>
      <w:r w:rsidRPr="00132BB2">
        <w:rPr>
          <w:b w:val="0"/>
        </w:rPr>
        <w:t>2015.</w:t>
      </w:r>
      <w:r w:rsidR="00357C3D" w:rsidRPr="00357C3D">
        <w:rPr>
          <w:b w:val="0"/>
        </w:rPr>
        <w:t xml:space="preserve">  </w:t>
      </w:r>
    </w:p>
    <w:p w14:paraId="5C5F9253" w14:textId="77777777" w:rsidR="00357C3D" w:rsidRPr="00357C3D" w:rsidRDefault="00357C3D" w:rsidP="00714556">
      <w:pPr>
        <w:pStyle w:val="BodyText"/>
        <w:spacing w:line="360" w:lineRule="auto"/>
        <w:jc w:val="both"/>
        <w:rPr>
          <w:b w:val="0"/>
        </w:rPr>
      </w:pPr>
    </w:p>
    <w:p w14:paraId="0C087188" w14:textId="2812DC61" w:rsidR="00132BB2" w:rsidRPr="00132BB2" w:rsidRDefault="00132BB2" w:rsidP="00714556">
      <w:pPr>
        <w:pStyle w:val="BodyText"/>
        <w:spacing w:line="360" w:lineRule="auto"/>
        <w:jc w:val="both"/>
        <w:rPr>
          <w:b w:val="0"/>
        </w:rPr>
      </w:pPr>
      <w:r w:rsidRPr="00132BB2">
        <w:rPr>
          <w:b w:val="0"/>
        </w:rPr>
        <w:t>PDM uses historical hourly load research data for each customer class to derive functions that describe the relationship of load to the corresponding weather. Day types and seasons are also defined for the calendar period(s). To predict demands</w:t>
      </w:r>
      <w:r w:rsidR="007C3808">
        <w:rPr>
          <w:b w:val="0"/>
        </w:rPr>
        <w:t>,</w:t>
      </w:r>
      <w:r w:rsidRPr="00132BB2">
        <w:rPr>
          <w:b w:val="0"/>
        </w:rPr>
        <w:t xml:space="preserve"> the following components are used: the PDM class load profiles, the relationships of load and weather developed in PDM from the historical load research data, the description of “typical” weather and the class monthly energy forecast. Both the coincident and non-coincident demands by class </w:t>
      </w:r>
      <w:r>
        <w:rPr>
          <w:b w:val="0"/>
        </w:rPr>
        <w:t xml:space="preserve">are produced with the </w:t>
      </w:r>
      <w:r w:rsidR="007C3808">
        <w:rPr>
          <w:b w:val="0"/>
        </w:rPr>
        <w:t xml:space="preserve">PDM </w:t>
      </w:r>
      <w:r>
        <w:rPr>
          <w:b w:val="0"/>
        </w:rPr>
        <w:t>model</w:t>
      </w:r>
      <w:r w:rsidRPr="00132BB2">
        <w:rPr>
          <w:b w:val="0"/>
        </w:rPr>
        <w:t xml:space="preserve">.  </w:t>
      </w:r>
    </w:p>
    <w:p w14:paraId="3AF82747" w14:textId="77777777" w:rsidR="00132BB2" w:rsidRPr="00132BB2" w:rsidRDefault="00132BB2" w:rsidP="00714556">
      <w:pPr>
        <w:pStyle w:val="BodyText"/>
        <w:spacing w:line="360" w:lineRule="auto"/>
        <w:jc w:val="both"/>
        <w:rPr>
          <w:b w:val="0"/>
        </w:rPr>
      </w:pPr>
    </w:p>
    <w:p w14:paraId="5D07A376" w14:textId="1B613F7F" w:rsidR="00132BB2" w:rsidRPr="00132BB2" w:rsidRDefault="007C3808" w:rsidP="00714556">
      <w:pPr>
        <w:pStyle w:val="BodyText"/>
        <w:spacing w:line="360" w:lineRule="auto"/>
        <w:jc w:val="both"/>
        <w:rPr>
          <w:b w:val="0"/>
        </w:rPr>
      </w:pPr>
      <w:r>
        <w:rPr>
          <w:b w:val="0"/>
        </w:rPr>
        <w:t xml:space="preserve">The </w:t>
      </w:r>
      <w:r w:rsidR="00132BB2" w:rsidRPr="00132BB2">
        <w:rPr>
          <w:b w:val="0"/>
        </w:rPr>
        <w:t>Georgia Power PDM uses load shapes primarily based on class to define its territory. Currently, there are the five primary classes: Residential, Commercial, Industrial, Government Lighting and M</w:t>
      </w:r>
      <w:r>
        <w:rPr>
          <w:b w:val="0"/>
        </w:rPr>
        <w:t>ARTA</w:t>
      </w:r>
      <w:r w:rsidR="00132BB2" w:rsidRPr="00132BB2">
        <w:rPr>
          <w:b w:val="0"/>
        </w:rPr>
        <w:t xml:space="preserve">; plus </w:t>
      </w:r>
      <w:r w:rsidR="00D37B6B" w:rsidRPr="00132BB2">
        <w:rPr>
          <w:b w:val="0"/>
        </w:rPr>
        <w:t>t</w:t>
      </w:r>
      <w:r w:rsidR="00D37B6B">
        <w:rPr>
          <w:b w:val="0"/>
        </w:rPr>
        <w:t>hree</w:t>
      </w:r>
      <w:r w:rsidR="00D37B6B" w:rsidRPr="00132BB2">
        <w:rPr>
          <w:b w:val="0"/>
        </w:rPr>
        <w:t xml:space="preserve"> </w:t>
      </w:r>
      <w:r w:rsidR="00132BB2" w:rsidRPr="00132BB2">
        <w:rPr>
          <w:b w:val="0"/>
        </w:rPr>
        <w:t>additional categories: Electric Vehicles</w:t>
      </w:r>
      <w:r w:rsidR="00D37B6B">
        <w:rPr>
          <w:b w:val="0"/>
        </w:rPr>
        <w:t>, Behind the Meter Solar,</w:t>
      </w:r>
      <w:r w:rsidR="00132BB2" w:rsidRPr="00132BB2">
        <w:rPr>
          <w:b w:val="0"/>
        </w:rPr>
        <w:t xml:space="preserve"> </w:t>
      </w:r>
      <w:r w:rsidR="000D4E96">
        <w:rPr>
          <w:b w:val="0"/>
        </w:rPr>
        <w:t>and one</w:t>
      </w:r>
      <w:r w:rsidR="00132BB2" w:rsidRPr="00132BB2">
        <w:rPr>
          <w:b w:val="0"/>
        </w:rPr>
        <w:t xml:space="preserve"> </w:t>
      </w:r>
      <w:r w:rsidR="00B354A4">
        <w:rPr>
          <w:b w:val="0"/>
        </w:rPr>
        <w:t xml:space="preserve">expected </w:t>
      </w:r>
      <w:r w:rsidR="00D37B6B">
        <w:rPr>
          <w:b w:val="0"/>
        </w:rPr>
        <w:t>new l</w:t>
      </w:r>
      <w:r w:rsidR="00132BB2" w:rsidRPr="00132BB2">
        <w:rPr>
          <w:b w:val="0"/>
        </w:rPr>
        <w:t xml:space="preserve">arge </w:t>
      </w:r>
      <w:r w:rsidR="00D37B6B">
        <w:rPr>
          <w:b w:val="0"/>
        </w:rPr>
        <w:t>i</w:t>
      </w:r>
      <w:r w:rsidR="00132BB2" w:rsidRPr="00132BB2">
        <w:rPr>
          <w:b w:val="0"/>
        </w:rPr>
        <w:t xml:space="preserve">ndustrial </w:t>
      </w:r>
      <w:r w:rsidR="00D37B6B">
        <w:rPr>
          <w:b w:val="0"/>
        </w:rPr>
        <w:t>c</w:t>
      </w:r>
      <w:r w:rsidR="00132BB2" w:rsidRPr="00132BB2">
        <w:rPr>
          <w:b w:val="0"/>
        </w:rPr>
        <w:t xml:space="preserve">ustomer. Most of the class input historical load shapes use load research historical data from </w:t>
      </w:r>
      <w:r w:rsidR="00B354A4" w:rsidRPr="00132BB2">
        <w:rPr>
          <w:b w:val="0"/>
        </w:rPr>
        <w:t>20</w:t>
      </w:r>
      <w:r w:rsidR="00B354A4">
        <w:rPr>
          <w:b w:val="0"/>
        </w:rPr>
        <w:t>15</w:t>
      </w:r>
      <w:r w:rsidR="00B354A4" w:rsidRPr="00132BB2">
        <w:rPr>
          <w:b w:val="0"/>
        </w:rPr>
        <w:t xml:space="preserve"> </w:t>
      </w:r>
      <w:r w:rsidR="00132BB2" w:rsidRPr="00132BB2">
        <w:rPr>
          <w:b w:val="0"/>
        </w:rPr>
        <w:t xml:space="preserve">&amp; </w:t>
      </w:r>
      <w:r w:rsidR="00B354A4" w:rsidRPr="00132BB2">
        <w:rPr>
          <w:b w:val="0"/>
        </w:rPr>
        <w:t>20</w:t>
      </w:r>
      <w:r w:rsidR="00B354A4">
        <w:rPr>
          <w:b w:val="0"/>
        </w:rPr>
        <w:t>16</w:t>
      </w:r>
      <w:r w:rsidR="00132BB2" w:rsidRPr="00132BB2">
        <w:rPr>
          <w:b w:val="0"/>
        </w:rPr>
        <w:t xml:space="preserve">. </w:t>
      </w:r>
      <w:r>
        <w:rPr>
          <w:b w:val="0"/>
        </w:rPr>
        <w:t xml:space="preserve">The </w:t>
      </w:r>
      <w:r w:rsidR="00132BB2" w:rsidRPr="00132BB2">
        <w:rPr>
          <w:b w:val="0"/>
        </w:rPr>
        <w:t>Electric Vehicle</w:t>
      </w:r>
      <w:r w:rsidR="00B354A4">
        <w:rPr>
          <w:b w:val="0"/>
        </w:rPr>
        <w:t>, B</w:t>
      </w:r>
      <w:r w:rsidR="00170F15">
        <w:rPr>
          <w:b w:val="0"/>
        </w:rPr>
        <w:t>T</w:t>
      </w:r>
      <w:r w:rsidR="00B354A4">
        <w:rPr>
          <w:b w:val="0"/>
        </w:rPr>
        <w:t>M Solar,</w:t>
      </w:r>
      <w:r w:rsidR="00132BB2" w:rsidRPr="00132BB2">
        <w:rPr>
          <w:b w:val="0"/>
        </w:rPr>
        <w:t xml:space="preserve"> and </w:t>
      </w:r>
      <w:r w:rsidR="00B354A4">
        <w:rPr>
          <w:b w:val="0"/>
        </w:rPr>
        <w:t>the new l</w:t>
      </w:r>
      <w:r w:rsidR="00132BB2" w:rsidRPr="00132BB2">
        <w:rPr>
          <w:b w:val="0"/>
        </w:rPr>
        <w:t xml:space="preserve">arge </w:t>
      </w:r>
      <w:r w:rsidR="00B354A4">
        <w:rPr>
          <w:b w:val="0"/>
        </w:rPr>
        <w:t>i</w:t>
      </w:r>
      <w:r w:rsidR="00132BB2" w:rsidRPr="00132BB2">
        <w:rPr>
          <w:b w:val="0"/>
        </w:rPr>
        <w:t xml:space="preserve">ndustrial </w:t>
      </w:r>
      <w:r w:rsidR="00B354A4">
        <w:rPr>
          <w:b w:val="0"/>
        </w:rPr>
        <w:t>c</w:t>
      </w:r>
      <w:r w:rsidR="00132BB2" w:rsidRPr="00132BB2">
        <w:rPr>
          <w:b w:val="0"/>
        </w:rPr>
        <w:t xml:space="preserve">ustomer require several </w:t>
      </w:r>
      <w:r w:rsidR="00CE28D5">
        <w:rPr>
          <w:b w:val="0"/>
        </w:rPr>
        <w:t>specific load shapes to properly capture their expected behavior</w:t>
      </w:r>
      <w:r w:rsidR="00132BB2" w:rsidRPr="00132BB2">
        <w:rPr>
          <w:b w:val="0"/>
        </w:rPr>
        <w:t>. In B</w:t>
      </w:r>
      <w:r w:rsidR="00CB35DD">
        <w:rPr>
          <w:b w:val="0"/>
        </w:rPr>
        <w:t xml:space="preserve">udget </w:t>
      </w:r>
      <w:r w:rsidR="00B354A4" w:rsidRPr="00132BB2">
        <w:rPr>
          <w:b w:val="0"/>
        </w:rPr>
        <w:t>20</w:t>
      </w:r>
      <w:r w:rsidR="00B354A4">
        <w:rPr>
          <w:b w:val="0"/>
        </w:rPr>
        <w:t>19</w:t>
      </w:r>
      <w:r w:rsidR="00132BB2" w:rsidRPr="00132BB2">
        <w:rPr>
          <w:b w:val="0"/>
        </w:rPr>
        <w:t>, four load shapes were used for Electric Vehicles</w:t>
      </w:r>
      <w:r w:rsidR="00886DA5">
        <w:rPr>
          <w:b w:val="0"/>
        </w:rPr>
        <w:t>,</w:t>
      </w:r>
      <w:r w:rsidR="00132BB2" w:rsidRPr="00132BB2">
        <w:rPr>
          <w:b w:val="0"/>
        </w:rPr>
        <w:t xml:space="preserve"> three were used </w:t>
      </w:r>
      <w:r w:rsidR="00886DA5">
        <w:rPr>
          <w:b w:val="0"/>
        </w:rPr>
        <w:t xml:space="preserve">for </w:t>
      </w:r>
      <w:r w:rsidR="00170F15">
        <w:rPr>
          <w:b w:val="0"/>
        </w:rPr>
        <w:t xml:space="preserve">BTM </w:t>
      </w:r>
      <w:r w:rsidR="0012041C">
        <w:rPr>
          <w:b w:val="0"/>
        </w:rPr>
        <w:t>Solar</w:t>
      </w:r>
      <w:r w:rsidR="00886DA5">
        <w:rPr>
          <w:b w:val="0"/>
        </w:rPr>
        <w:t>,</w:t>
      </w:r>
      <w:r w:rsidR="0012041C">
        <w:rPr>
          <w:b w:val="0"/>
        </w:rPr>
        <w:t xml:space="preserve"> and </w:t>
      </w:r>
      <w:r w:rsidR="0099147A">
        <w:rPr>
          <w:b w:val="0"/>
        </w:rPr>
        <w:t>two</w:t>
      </w:r>
      <w:r w:rsidR="00886DA5">
        <w:rPr>
          <w:b w:val="0"/>
        </w:rPr>
        <w:t xml:space="preserve"> </w:t>
      </w:r>
      <w:r w:rsidR="00132BB2" w:rsidRPr="00132BB2">
        <w:rPr>
          <w:b w:val="0"/>
        </w:rPr>
        <w:t xml:space="preserve">for </w:t>
      </w:r>
      <w:r w:rsidR="000D4E96">
        <w:rPr>
          <w:b w:val="0"/>
        </w:rPr>
        <w:t>the</w:t>
      </w:r>
      <w:r w:rsidR="00132BB2" w:rsidRPr="00132BB2">
        <w:rPr>
          <w:b w:val="0"/>
        </w:rPr>
        <w:t xml:space="preserve"> </w:t>
      </w:r>
      <w:r w:rsidR="006D1969">
        <w:rPr>
          <w:b w:val="0"/>
        </w:rPr>
        <w:t>expected new l</w:t>
      </w:r>
      <w:r w:rsidR="00132BB2" w:rsidRPr="00132BB2">
        <w:rPr>
          <w:b w:val="0"/>
        </w:rPr>
        <w:t xml:space="preserve">arge </w:t>
      </w:r>
      <w:r w:rsidR="006D1969">
        <w:rPr>
          <w:b w:val="0"/>
        </w:rPr>
        <w:t>i</w:t>
      </w:r>
      <w:r w:rsidR="00132BB2" w:rsidRPr="00132BB2">
        <w:rPr>
          <w:b w:val="0"/>
        </w:rPr>
        <w:t xml:space="preserve">ndustrial </w:t>
      </w:r>
      <w:r w:rsidR="006D1969">
        <w:rPr>
          <w:b w:val="0"/>
        </w:rPr>
        <w:t>c</w:t>
      </w:r>
      <w:r w:rsidR="00132BB2" w:rsidRPr="00132BB2">
        <w:rPr>
          <w:b w:val="0"/>
        </w:rPr>
        <w:t xml:space="preserve">ustomer. </w:t>
      </w:r>
    </w:p>
    <w:p w14:paraId="0916C973" w14:textId="77777777" w:rsidR="00132BB2" w:rsidRPr="00132BB2" w:rsidRDefault="00132BB2" w:rsidP="00132BB2">
      <w:pPr>
        <w:pStyle w:val="BodyText"/>
        <w:spacing w:line="360" w:lineRule="auto"/>
        <w:jc w:val="both"/>
        <w:rPr>
          <w:b w:val="0"/>
        </w:rPr>
      </w:pPr>
    </w:p>
    <w:p w14:paraId="4A3B039D" w14:textId="2BBF6488" w:rsidR="00132BB2" w:rsidRPr="00132BB2" w:rsidRDefault="00132BB2" w:rsidP="00132BB2">
      <w:pPr>
        <w:pStyle w:val="BodyText"/>
        <w:spacing w:line="360" w:lineRule="auto"/>
        <w:jc w:val="both"/>
        <w:rPr>
          <w:b w:val="0"/>
        </w:rPr>
      </w:pPr>
      <w:r w:rsidRPr="00132BB2">
        <w:rPr>
          <w:b w:val="0"/>
        </w:rPr>
        <w:t xml:space="preserve">The methodology determining “typical” weather uses </w:t>
      </w:r>
      <w:r w:rsidR="006D1969">
        <w:rPr>
          <w:b w:val="0"/>
        </w:rPr>
        <w:t>38</w:t>
      </w:r>
      <w:r w:rsidR="006D1969" w:rsidRPr="00132BB2">
        <w:rPr>
          <w:b w:val="0"/>
        </w:rPr>
        <w:t xml:space="preserve"> </w:t>
      </w:r>
      <w:r w:rsidRPr="00132BB2">
        <w:rPr>
          <w:b w:val="0"/>
        </w:rPr>
        <w:t>years of average daily temperatures which were rank ordered and then averaged to form a “temperature duration curve</w:t>
      </w:r>
      <w:r w:rsidR="00366CBD">
        <w:rPr>
          <w:b w:val="0"/>
        </w:rPr>
        <w:t>.</w:t>
      </w:r>
      <w:r w:rsidRPr="00132BB2">
        <w:rPr>
          <w:b w:val="0"/>
        </w:rPr>
        <w:t xml:space="preserve">” The most representative pattern of actual temperatures was chosen using a least sum of squares criteria. The temperature duration curve was then re-sorted to the chronological order of the representative pattern.  </w:t>
      </w:r>
    </w:p>
    <w:p w14:paraId="550678C6" w14:textId="77777777" w:rsidR="00132BB2" w:rsidRPr="00132BB2" w:rsidRDefault="00132BB2" w:rsidP="00132BB2">
      <w:pPr>
        <w:pStyle w:val="BodyText"/>
        <w:spacing w:line="360" w:lineRule="auto"/>
        <w:jc w:val="both"/>
        <w:rPr>
          <w:b w:val="0"/>
        </w:rPr>
      </w:pPr>
    </w:p>
    <w:p w14:paraId="74541C7E" w14:textId="4B368E92" w:rsidR="00132BB2" w:rsidRPr="00132BB2" w:rsidRDefault="00132BB2" w:rsidP="00132BB2">
      <w:pPr>
        <w:pStyle w:val="BodyText"/>
        <w:spacing w:line="360" w:lineRule="auto"/>
        <w:jc w:val="both"/>
        <w:rPr>
          <w:b w:val="0"/>
        </w:rPr>
      </w:pPr>
      <w:r w:rsidRPr="00132BB2">
        <w:rPr>
          <w:b w:val="0"/>
        </w:rPr>
        <w:t xml:space="preserve">The final component </w:t>
      </w:r>
      <w:r w:rsidR="007C3808">
        <w:rPr>
          <w:b w:val="0"/>
        </w:rPr>
        <w:t xml:space="preserve">in the </w:t>
      </w:r>
      <w:r w:rsidRPr="00132BB2">
        <w:rPr>
          <w:b w:val="0"/>
        </w:rPr>
        <w:t>develop</w:t>
      </w:r>
      <w:r w:rsidR="007C3808">
        <w:rPr>
          <w:b w:val="0"/>
        </w:rPr>
        <w:t>ment of</w:t>
      </w:r>
      <w:r w:rsidRPr="00132BB2">
        <w:rPr>
          <w:b w:val="0"/>
        </w:rPr>
        <w:t xml:space="preserve"> the demand forecast </w:t>
      </w:r>
      <w:r w:rsidR="007C3808">
        <w:rPr>
          <w:b w:val="0"/>
        </w:rPr>
        <w:t>i</w:t>
      </w:r>
      <w:r w:rsidRPr="00132BB2">
        <w:rPr>
          <w:b w:val="0"/>
        </w:rPr>
        <w:t xml:space="preserve">s </w:t>
      </w:r>
      <w:r w:rsidR="007C3808">
        <w:rPr>
          <w:b w:val="0"/>
        </w:rPr>
        <w:t xml:space="preserve">the </w:t>
      </w:r>
      <w:r w:rsidRPr="00132BB2">
        <w:rPr>
          <w:b w:val="0"/>
        </w:rPr>
        <w:t>input of the monthly calendar</w:t>
      </w:r>
      <w:r w:rsidR="006D1969">
        <w:rPr>
          <w:b w:val="0"/>
        </w:rPr>
        <w:t>-</w:t>
      </w:r>
      <w:r w:rsidRPr="00132BB2">
        <w:rPr>
          <w:b w:val="0"/>
        </w:rPr>
        <w:t xml:space="preserve">based energies. The forecasted energies are based on a </w:t>
      </w:r>
      <w:r w:rsidR="006D1969">
        <w:rPr>
          <w:b w:val="0"/>
        </w:rPr>
        <w:t>38</w:t>
      </w:r>
      <w:r w:rsidRPr="00132BB2">
        <w:rPr>
          <w:b w:val="0"/>
        </w:rPr>
        <w:t>-year average weather assumption. Using the forecasted energies directly in the peak demand model maintains consistency between projected energy sales and the forecast demands.</w:t>
      </w:r>
    </w:p>
    <w:p w14:paraId="59D6026F" w14:textId="77777777" w:rsidR="00132BB2" w:rsidRPr="00132BB2" w:rsidRDefault="00132BB2" w:rsidP="00132BB2">
      <w:pPr>
        <w:pStyle w:val="BodyText"/>
        <w:spacing w:line="360" w:lineRule="auto"/>
        <w:jc w:val="both"/>
        <w:rPr>
          <w:b w:val="0"/>
        </w:rPr>
      </w:pPr>
    </w:p>
    <w:p w14:paraId="0228557D" w14:textId="26A3D964" w:rsidR="00132BB2" w:rsidRPr="00132BB2" w:rsidRDefault="00132BB2" w:rsidP="00132BB2">
      <w:pPr>
        <w:pStyle w:val="BodyText"/>
        <w:spacing w:line="360" w:lineRule="auto"/>
        <w:jc w:val="both"/>
        <w:rPr>
          <w:b w:val="0"/>
        </w:rPr>
      </w:pPr>
      <w:r w:rsidRPr="00132BB2">
        <w:rPr>
          <w:b w:val="0"/>
        </w:rPr>
        <w:t xml:space="preserve">PDM also expands the monthly sales data to supply level (sales plus losses) for generation required for the projected energy and demands. PDM uses expansion factors, in Attachment 6.0-5, to go from the customer level to the supply level energy and demands. </w:t>
      </w:r>
      <w:r w:rsidRPr="005A6656">
        <w:rPr>
          <w:b w:val="0"/>
        </w:rPr>
        <w:t>Georgia Power uses the results as the supply forecast</w:t>
      </w:r>
      <w:r w:rsidRPr="00132BB2">
        <w:rPr>
          <w:b w:val="0"/>
        </w:rPr>
        <w:t xml:space="preserve">. </w:t>
      </w:r>
      <w:bookmarkStart w:id="258" w:name="_Hlk531790820"/>
      <w:r w:rsidR="00097A10">
        <w:rPr>
          <w:b w:val="0"/>
        </w:rPr>
        <w:t>The forecasting demand and energy expansion factors used in Budget 2019 were derived using the results from the Georgia Power 2015 loss study with updated 2016 peak and energy load data.</w:t>
      </w:r>
      <w:bookmarkEnd w:id="258"/>
      <w:r w:rsidR="00097A10">
        <w:rPr>
          <w:b w:val="0"/>
        </w:rPr>
        <w:t xml:space="preserve"> </w:t>
      </w:r>
      <w:r w:rsidRPr="00132BB2">
        <w:rPr>
          <w:b w:val="0"/>
        </w:rPr>
        <w:t xml:space="preserve"> </w:t>
      </w:r>
    </w:p>
    <w:p w14:paraId="606444DF" w14:textId="77777777" w:rsidR="00132BB2" w:rsidRPr="00132BB2" w:rsidRDefault="00132BB2" w:rsidP="00132BB2">
      <w:pPr>
        <w:pStyle w:val="BodyText"/>
        <w:spacing w:line="360" w:lineRule="auto"/>
        <w:jc w:val="both"/>
        <w:rPr>
          <w:b w:val="0"/>
        </w:rPr>
      </w:pPr>
    </w:p>
    <w:p w14:paraId="31458D87" w14:textId="7053B4D4" w:rsidR="00132BB2" w:rsidRDefault="00132BB2" w:rsidP="00132BB2">
      <w:pPr>
        <w:pStyle w:val="BodyText"/>
        <w:spacing w:line="360" w:lineRule="auto"/>
        <w:jc w:val="both"/>
        <w:rPr>
          <w:b w:val="0"/>
        </w:rPr>
      </w:pPr>
      <w:r w:rsidRPr="00132BB2">
        <w:rPr>
          <w:b w:val="0"/>
        </w:rPr>
        <w:t xml:space="preserve">Estimates for RTP response, cogeneration, and DSM are made for the reduction in demand and incorporated </w:t>
      </w:r>
      <w:r w:rsidR="00366CBD">
        <w:rPr>
          <w:b w:val="0"/>
        </w:rPr>
        <w:t xml:space="preserve">as </w:t>
      </w:r>
      <w:r w:rsidRPr="00132BB2">
        <w:rPr>
          <w:b w:val="0"/>
        </w:rPr>
        <w:t xml:space="preserve">external </w:t>
      </w:r>
      <w:r w:rsidR="00366CBD">
        <w:rPr>
          <w:b w:val="0"/>
        </w:rPr>
        <w:t xml:space="preserve">adjustments </w:t>
      </w:r>
      <w:r w:rsidRPr="00132BB2">
        <w:rPr>
          <w:b w:val="0"/>
        </w:rPr>
        <w:t xml:space="preserve">to the peak demand </w:t>
      </w:r>
      <w:r w:rsidR="004D5372">
        <w:rPr>
          <w:b w:val="0"/>
        </w:rPr>
        <w:t>forecast</w:t>
      </w:r>
      <w:r w:rsidRPr="00132BB2">
        <w:rPr>
          <w:b w:val="0"/>
        </w:rPr>
        <w:t>. Sections 8.4.1 through 8.4.</w:t>
      </w:r>
      <w:r w:rsidR="00366CBD">
        <w:rPr>
          <w:b w:val="0"/>
        </w:rPr>
        <w:t>5</w:t>
      </w:r>
      <w:r w:rsidRPr="00132BB2">
        <w:rPr>
          <w:b w:val="0"/>
        </w:rPr>
        <w:t xml:space="preserve"> </w:t>
      </w:r>
      <w:r w:rsidR="00366CBD">
        <w:rPr>
          <w:b w:val="0"/>
        </w:rPr>
        <w:t>contain</w:t>
      </w:r>
      <w:r w:rsidRPr="00132BB2">
        <w:rPr>
          <w:b w:val="0"/>
        </w:rPr>
        <w:t xml:space="preserve"> more information on adjustments made to the </w:t>
      </w:r>
      <w:r w:rsidR="00366CBD">
        <w:rPr>
          <w:b w:val="0"/>
        </w:rPr>
        <w:t xml:space="preserve">energy and </w:t>
      </w:r>
      <w:r w:rsidRPr="00132BB2">
        <w:rPr>
          <w:b w:val="0"/>
        </w:rPr>
        <w:t>peak demand forecast</w:t>
      </w:r>
      <w:r w:rsidR="00366CBD">
        <w:rPr>
          <w:b w:val="0"/>
        </w:rPr>
        <w:t>s</w:t>
      </w:r>
      <w:r w:rsidRPr="00132BB2">
        <w:rPr>
          <w:b w:val="0"/>
        </w:rPr>
        <w:t>.</w:t>
      </w:r>
    </w:p>
    <w:p w14:paraId="54534437" w14:textId="77777777" w:rsidR="00132BB2" w:rsidRDefault="00132BB2" w:rsidP="00357C3D">
      <w:pPr>
        <w:pStyle w:val="BodyText"/>
        <w:spacing w:line="360" w:lineRule="auto"/>
        <w:jc w:val="left"/>
        <w:rPr>
          <w:b w:val="0"/>
        </w:rPr>
      </w:pPr>
    </w:p>
    <w:p w14:paraId="196CD976" w14:textId="77777777" w:rsidR="00BA0BDA" w:rsidRDefault="00BA0BDA" w:rsidP="0025745A">
      <w:pPr>
        <w:pStyle w:val="BodyTextIndent"/>
        <w:spacing w:line="360" w:lineRule="auto"/>
        <w:ind w:left="0"/>
        <w:jc w:val="left"/>
        <w:rPr>
          <w:b/>
        </w:rPr>
        <w:sectPr w:rsidR="00BA0BDA" w:rsidSect="00E01D42">
          <w:footerReference w:type="default" r:id="rId81"/>
          <w:pgSz w:w="12240" w:h="15840"/>
          <w:pgMar w:top="1440" w:right="1440" w:bottom="1440" w:left="1440" w:header="720" w:footer="720" w:gutter="0"/>
          <w:cols w:space="720"/>
          <w:docGrid w:linePitch="360"/>
        </w:sectPr>
      </w:pPr>
    </w:p>
    <w:p w14:paraId="7FDF316C" w14:textId="77777777" w:rsidR="00357C3D" w:rsidRDefault="00357C3D" w:rsidP="0025745A">
      <w:pPr>
        <w:pStyle w:val="BodyTextIndent"/>
        <w:spacing w:line="360" w:lineRule="auto"/>
        <w:ind w:left="0"/>
        <w:jc w:val="left"/>
        <w:rPr>
          <w:b/>
        </w:rPr>
      </w:pPr>
      <w:r w:rsidRPr="0025745A">
        <w:rPr>
          <w:b/>
        </w:rPr>
        <w:t>Attachment 6.0-1: Annual Coincident Demand with Adjustments (MW)</w:t>
      </w:r>
    </w:p>
    <w:p w14:paraId="3077E6DC" w14:textId="77777777" w:rsidR="00357C3D" w:rsidRDefault="00CC2EE8" w:rsidP="00CC2EE8">
      <w:r>
        <w:t>Calendar Based</w:t>
      </w:r>
    </w:p>
    <w:p w14:paraId="02E04BAF" w14:textId="1BA25D13" w:rsidR="00CC2EE8" w:rsidRDefault="00CC2EE8" w:rsidP="00CC2EE8">
      <w:r>
        <w:t xml:space="preserve">Budget </w:t>
      </w:r>
      <w:r w:rsidR="00454D76">
        <w:t>2019</w:t>
      </w:r>
    </w:p>
    <w:p w14:paraId="2229B43F" w14:textId="77777777" w:rsidR="00AB75B0" w:rsidRDefault="00AB75B0" w:rsidP="00CC2EE8"/>
    <w:p w14:paraId="71C4302B" w14:textId="796B11A8" w:rsidR="00357C3D" w:rsidRDefault="005D26CE" w:rsidP="00357C3D">
      <w:r w:rsidRPr="005D26CE">
        <w:rPr>
          <w:noProof/>
        </w:rPr>
        <w:drawing>
          <wp:inline distT="0" distB="0" distL="0" distR="0" wp14:anchorId="2C9058F7" wp14:editId="01717A3C">
            <wp:extent cx="8162925" cy="3990975"/>
            <wp:effectExtent l="0" t="0" r="9525" b="9525"/>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8162925" cy="3990975"/>
                    </a:xfrm>
                    <a:prstGeom prst="rect">
                      <a:avLst/>
                    </a:prstGeom>
                    <a:noFill/>
                    <a:ln>
                      <a:noFill/>
                    </a:ln>
                  </pic:spPr>
                </pic:pic>
              </a:graphicData>
            </a:graphic>
          </wp:inline>
        </w:drawing>
      </w:r>
    </w:p>
    <w:p w14:paraId="0E78D94A" w14:textId="3ED96E08" w:rsidR="00357C3D" w:rsidRPr="00357C3D" w:rsidRDefault="00357C3D" w:rsidP="00CC2EE8"/>
    <w:p w14:paraId="4D349312" w14:textId="6E4EC301" w:rsidR="00000F6C" w:rsidRDefault="009139DE" w:rsidP="00357C3D">
      <w:pPr>
        <w:pStyle w:val="BodyTextIndent"/>
        <w:spacing w:line="360" w:lineRule="auto"/>
        <w:ind w:left="0"/>
        <w:jc w:val="left"/>
      </w:pPr>
      <w:r>
        <w:t xml:space="preserve">* </w:t>
      </w:r>
      <w:r w:rsidR="00260563">
        <w:t xml:space="preserve">Georgia Power </w:t>
      </w:r>
      <w:r w:rsidR="00507D81">
        <w:t>i</w:t>
      </w:r>
      <w:r w:rsidR="00260563">
        <w:t>s a summer peaking utility over the entire forecast horizon.</w:t>
      </w:r>
    </w:p>
    <w:p w14:paraId="74FAF34D" w14:textId="77777777" w:rsidR="00CB35DD" w:rsidRDefault="00CB35DD">
      <w:pPr>
        <w:spacing w:after="200" w:line="276" w:lineRule="auto"/>
        <w:jc w:val="left"/>
      </w:pPr>
      <w:r>
        <w:rPr>
          <w:b w:val="0"/>
        </w:rPr>
        <w:br w:type="page"/>
      </w:r>
    </w:p>
    <w:p w14:paraId="5A54C20A" w14:textId="77777777" w:rsidR="00357C3D" w:rsidRDefault="00357C3D" w:rsidP="00357C3D">
      <w:pPr>
        <w:pStyle w:val="BodyTextIndent"/>
        <w:spacing w:line="360" w:lineRule="auto"/>
        <w:ind w:left="0"/>
        <w:jc w:val="left"/>
      </w:pPr>
      <w:r w:rsidRPr="00357C3D">
        <w:rPr>
          <w:b/>
        </w:rPr>
        <w:t>Attachment 6.0-</w:t>
      </w:r>
      <w:r>
        <w:rPr>
          <w:b/>
        </w:rPr>
        <w:t>2</w:t>
      </w:r>
      <w:r w:rsidRPr="00357C3D">
        <w:rPr>
          <w:b/>
        </w:rPr>
        <w:t xml:space="preserve">: Annual </w:t>
      </w:r>
      <w:r>
        <w:rPr>
          <w:b/>
        </w:rPr>
        <w:t>Unadjusted Non-</w:t>
      </w:r>
      <w:r w:rsidRPr="00357C3D">
        <w:rPr>
          <w:b/>
        </w:rPr>
        <w:t>Coincident Demand (MW)</w:t>
      </w:r>
    </w:p>
    <w:p w14:paraId="00A4D739" w14:textId="77777777" w:rsidR="00CC2EE8" w:rsidRDefault="00CC2EE8" w:rsidP="00CC2EE8">
      <w:r>
        <w:t>Calendar Based</w:t>
      </w:r>
    </w:p>
    <w:p w14:paraId="4EE15429" w14:textId="00802574" w:rsidR="00CC2EE8" w:rsidRDefault="00CC2EE8" w:rsidP="00CC2EE8">
      <w:r>
        <w:t xml:space="preserve">Budget </w:t>
      </w:r>
      <w:r w:rsidR="00454D76">
        <w:t>2019</w:t>
      </w:r>
    </w:p>
    <w:p w14:paraId="32BFBB45" w14:textId="77777777" w:rsidR="002573F6" w:rsidRDefault="002573F6" w:rsidP="00CC2EE8"/>
    <w:p w14:paraId="35669A6A" w14:textId="300E339A" w:rsidR="00CC2EE8" w:rsidRDefault="005D26CE" w:rsidP="00CC2EE8">
      <w:r w:rsidRPr="005D26CE">
        <w:rPr>
          <w:noProof/>
        </w:rPr>
        <w:drawing>
          <wp:inline distT="0" distB="0" distL="0" distR="0" wp14:anchorId="2403D213" wp14:editId="47981298">
            <wp:extent cx="3914775" cy="3771900"/>
            <wp:effectExtent l="0" t="0" r="9525"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3914775" cy="3771900"/>
                    </a:xfrm>
                    <a:prstGeom prst="rect">
                      <a:avLst/>
                    </a:prstGeom>
                    <a:noFill/>
                    <a:ln>
                      <a:noFill/>
                    </a:ln>
                  </pic:spPr>
                </pic:pic>
              </a:graphicData>
            </a:graphic>
          </wp:inline>
        </w:drawing>
      </w:r>
    </w:p>
    <w:p w14:paraId="3C3E9A91" w14:textId="4F298F62" w:rsidR="00CC2EE8" w:rsidRDefault="00CC2EE8" w:rsidP="00CC2EE8">
      <w:pPr>
        <w:pStyle w:val="BodyTextIndent"/>
        <w:spacing w:line="360" w:lineRule="auto"/>
        <w:ind w:left="0"/>
      </w:pPr>
    </w:p>
    <w:p w14:paraId="48BC8025" w14:textId="77777777" w:rsidR="00357C3D" w:rsidRDefault="00357C3D" w:rsidP="00357C3D">
      <w:pPr>
        <w:pStyle w:val="BodyTextIndent"/>
        <w:spacing w:line="360" w:lineRule="auto"/>
        <w:ind w:left="0"/>
        <w:jc w:val="left"/>
      </w:pPr>
    </w:p>
    <w:p w14:paraId="028CF29F" w14:textId="77777777" w:rsidR="00AA50B7" w:rsidRDefault="00AA50B7" w:rsidP="00357C3D">
      <w:pPr>
        <w:pStyle w:val="BodyTextIndent"/>
        <w:spacing w:line="360" w:lineRule="auto"/>
        <w:ind w:left="0"/>
        <w:jc w:val="left"/>
      </w:pPr>
    </w:p>
    <w:p w14:paraId="32FAC0A0" w14:textId="77777777" w:rsidR="002573F6" w:rsidRDefault="002573F6">
      <w:pPr>
        <w:spacing w:after="200" w:line="276" w:lineRule="auto"/>
        <w:jc w:val="left"/>
      </w:pPr>
      <w:r>
        <w:rPr>
          <w:b w:val="0"/>
        </w:rPr>
        <w:br w:type="page"/>
      </w:r>
    </w:p>
    <w:p w14:paraId="744475CE" w14:textId="11E2559A" w:rsidR="007E3991" w:rsidRDefault="007E3991" w:rsidP="007E3991">
      <w:pPr>
        <w:pStyle w:val="BodyTextIndent"/>
        <w:spacing w:line="360" w:lineRule="auto"/>
        <w:ind w:left="0"/>
        <w:jc w:val="left"/>
      </w:pPr>
      <w:r w:rsidRPr="00357C3D">
        <w:rPr>
          <w:b/>
        </w:rPr>
        <w:t>Attachment 6.0-</w:t>
      </w:r>
      <w:r>
        <w:rPr>
          <w:b/>
        </w:rPr>
        <w:t>3</w:t>
      </w:r>
      <w:r w:rsidRPr="00357C3D">
        <w:rPr>
          <w:b/>
        </w:rPr>
        <w:t xml:space="preserve">: </w:t>
      </w:r>
      <w:r>
        <w:rPr>
          <w:b/>
        </w:rPr>
        <w:t>Monthly</w:t>
      </w:r>
      <w:r w:rsidRPr="00357C3D">
        <w:rPr>
          <w:b/>
        </w:rPr>
        <w:t xml:space="preserve"> Coincident Demand with Adjustments (MW)</w:t>
      </w:r>
    </w:p>
    <w:p w14:paraId="01685AF3" w14:textId="77777777" w:rsidR="007E3991" w:rsidRDefault="007E3991" w:rsidP="007E3991">
      <w:r>
        <w:t>Calendar Based</w:t>
      </w:r>
    </w:p>
    <w:p w14:paraId="1B75D11B" w14:textId="69830AB4" w:rsidR="007E3991" w:rsidRDefault="007E3991" w:rsidP="007E3991">
      <w:r>
        <w:t xml:space="preserve">Budget </w:t>
      </w:r>
      <w:r w:rsidR="00454D76">
        <w:t>2019</w:t>
      </w:r>
    </w:p>
    <w:p w14:paraId="633E8E8E" w14:textId="77777777" w:rsidR="002573F6" w:rsidRDefault="002573F6" w:rsidP="007E3991"/>
    <w:p w14:paraId="5266205B" w14:textId="58496F9F" w:rsidR="002573F6" w:rsidRDefault="002E258C" w:rsidP="007E3991">
      <w:r w:rsidRPr="002E258C">
        <w:rPr>
          <w:noProof/>
        </w:rPr>
        <w:drawing>
          <wp:inline distT="0" distB="0" distL="0" distR="0" wp14:anchorId="1BB3644D" wp14:editId="4CA7B14B">
            <wp:extent cx="7191375" cy="42100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7191375" cy="4210050"/>
                    </a:xfrm>
                    <a:prstGeom prst="rect">
                      <a:avLst/>
                    </a:prstGeom>
                    <a:noFill/>
                    <a:ln>
                      <a:noFill/>
                    </a:ln>
                  </pic:spPr>
                </pic:pic>
              </a:graphicData>
            </a:graphic>
          </wp:inline>
        </w:drawing>
      </w:r>
    </w:p>
    <w:p w14:paraId="11E3AE76" w14:textId="77777777" w:rsidR="00337BCB" w:rsidRDefault="00337BCB" w:rsidP="007E3991"/>
    <w:p w14:paraId="66A8A5F1" w14:textId="71EFBE64" w:rsidR="007E3991" w:rsidRDefault="007E3991" w:rsidP="007E3991">
      <w:pPr>
        <w:spacing w:after="200" w:line="276" w:lineRule="auto"/>
        <w:rPr>
          <w:b w:val="0"/>
        </w:rPr>
      </w:pPr>
      <w:r>
        <w:rPr>
          <w:b w:val="0"/>
        </w:rPr>
        <w:br w:type="page"/>
      </w:r>
    </w:p>
    <w:p w14:paraId="6EF2F22A" w14:textId="77777777" w:rsidR="0014141B" w:rsidRDefault="00357C3D" w:rsidP="0014141B">
      <w:pPr>
        <w:pStyle w:val="BodyTextIndent"/>
        <w:spacing w:line="360" w:lineRule="auto"/>
        <w:ind w:left="0"/>
        <w:jc w:val="left"/>
        <w:rPr>
          <w:b/>
        </w:rPr>
      </w:pPr>
      <w:r w:rsidRPr="00357C3D">
        <w:rPr>
          <w:b/>
        </w:rPr>
        <w:t>Attachment 6.0-</w:t>
      </w:r>
      <w:r>
        <w:rPr>
          <w:b/>
        </w:rPr>
        <w:t>3</w:t>
      </w:r>
      <w:r w:rsidRPr="00357C3D">
        <w:rPr>
          <w:b/>
        </w:rPr>
        <w:t xml:space="preserve">: </w:t>
      </w:r>
      <w:r>
        <w:rPr>
          <w:b/>
        </w:rPr>
        <w:t>Monthly</w:t>
      </w:r>
      <w:r w:rsidRPr="00357C3D">
        <w:rPr>
          <w:b/>
        </w:rPr>
        <w:t xml:space="preserve"> Coincident Demand with Adjustments (MW)</w:t>
      </w:r>
      <w:r w:rsidR="001B18F5">
        <w:rPr>
          <w:b/>
        </w:rPr>
        <w:t xml:space="preserve"> (cont’d)</w:t>
      </w:r>
    </w:p>
    <w:p w14:paraId="79413515" w14:textId="77777777" w:rsidR="0014141B" w:rsidRDefault="0014141B" w:rsidP="0014141B">
      <w:r>
        <w:t>Calendar Based</w:t>
      </w:r>
    </w:p>
    <w:p w14:paraId="559E6256" w14:textId="23C4DA5B" w:rsidR="0014141B" w:rsidRDefault="0014141B" w:rsidP="0014141B">
      <w:r>
        <w:t xml:space="preserve">Budget </w:t>
      </w:r>
      <w:r w:rsidR="00454D76">
        <w:t>2019</w:t>
      </w:r>
    </w:p>
    <w:p w14:paraId="51F98ED4" w14:textId="77777777" w:rsidR="002573F6" w:rsidRDefault="002573F6" w:rsidP="0014141B"/>
    <w:p w14:paraId="54BBFB75" w14:textId="7993751B" w:rsidR="002573F6" w:rsidRDefault="005D26CE" w:rsidP="0014141B">
      <w:r w:rsidRPr="005D26CE">
        <w:rPr>
          <w:noProof/>
        </w:rPr>
        <w:drawing>
          <wp:inline distT="0" distB="0" distL="0" distR="0" wp14:anchorId="6F4E88E1" wp14:editId="1223918C">
            <wp:extent cx="7191375" cy="4210050"/>
            <wp:effectExtent l="0" t="0" r="9525"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7191375" cy="4210050"/>
                    </a:xfrm>
                    <a:prstGeom prst="rect">
                      <a:avLst/>
                    </a:prstGeom>
                    <a:noFill/>
                    <a:ln>
                      <a:noFill/>
                    </a:ln>
                  </pic:spPr>
                </pic:pic>
              </a:graphicData>
            </a:graphic>
          </wp:inline>
        </w:drawing>
      </w:r>
    </w:p>
    <w:p w14:paraId="382F52E3" w14:textId="77777777" w:rsidR="00337BCB" w:rsidRDefault="00337BCB" w:rsidP="0014141B"/>
    <w:p w14:paraId="0A8B998C" w14:textId="6DE93693" w:rsidR="00BA0BDA" w:rsidRDefault="00BA0BDA" w:rsidP="0014141B">
      <w:pPr>
        <w:pStyle w:val="BodyTextIndent"/>
        <w:spacing w:line="360" w:lineRule="auto"/>
        <w:ind w:left="0"/>
      </w:pPr>
      <w:r>
        <w:rPr>
          <w:b/>
        </w:rPr>
        <w:br w:type="page"/>
      </w:r>
    </w:p>
    <w:p w14:paraId="288E437D" w14:textId="77777777" w:rsidR="00357C3D" w:rsidRDefault="00357C3D" w:rsidP="00357C3D">
      <w:pPr>
        <w:pStyle w:val="BodyTextIndent"/>
        <w:spacing w:line="360" w:lineRule="auto"/>
        <w:ind w:left="0"/>
        <w:jc w:val="left"/>
        <w:rPr>
          <w:b/>
        </w:rPr>
      </w:pPr>
      <w:r w:rsidRPr="00357C3D">
        <w:rPr>
          <w:b/>
        </w:rPr>
        <w:t>Attachment 6.0-</w:t>
      </w:r>
      <w:r>
        <w:rPr>
          <w:b/>
        </w:rPr>
        <w:t>4</w:t>
      </w:r>
      <w:r w:rsidRPr="00357C3D">
        <w:rPr>
          <w:b/>
        </w:rPr>
        <w:t xml:space="preserve">: </w:t>
      </w:r>
      <w:r>
        <w:rPr>
          <w:b/>
        </w:rPr>
        <w:t>Monthly</w:t>
      </w:r>
      <w:r w:rsidRPr="00357C3D">
        <w:rPr>
          <w:b/>
        </w:rPr>
        <w:t xml:space="preserve"> </w:t>
      </w:r>
      <w:r>
        <w:rPr>
          <w:b/>
        </w:rPr>
        <w:t>Unadjusted Non-</w:t>
      </w:r>
      <w:r w:rsidRPr="00357C3D">
        <w:rPr>
          <w:b/>
        </w:rPr>
        <w:t>Coincident Demand (MW)</w:t>
      </w:r>
    </w:p>
    <w:p w14:paraId="74BFCBA7" w14:textId="77777777" w:rsidR="000C3729" w:rsidRDefault="000C3729" w:rsidP="000C3729">
      <w:r>
        <w:t>Calendar Based</w:t>
      </w:r>
    </w:p>
    <w:p w14:paraId="7CF4BD2D" w14:textId="51742493" w:rsidR="000C3729" w:rsidRDefault="000C3729" w:rsidP="000C3729">
      <w:r>
        <w:t xml:space="preserve">Budget </w:t>
      </w:r>
      <w:r w:rsidR="00454D76">
        <w:t>2019</w:t>
      </w:r>
    </w:p>
    <w:p w14:paraId="15E50D85" w14:textId="77777777" w:rsidR="00DF5027" w:rsidRDefault="00DF5027" w:rsidP="000C3729"/>
    <w:p w14:paraId="540A5CC2" w14:textId="2317E6E0" w:rsidR="00B76E24" w:rsidRDefault="005D26CE" w:rsidP="000C3729">
      <w:r w:rsidRPr="005D26CE">
        <w:rPr>
          <w:noProof/>
        </w:rPr>
        <w:drawing>
          <wp:inline distT="0" distB="0" distL="0" distR="0" wp14:anchorId="5C5133D7" wp14:editId="2C8FC8D2">
            <wp:extent cx="3800475" cy="4210050"/>
            <wp:effectExtent l="0" t="0" r="9525"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3800475" cy="4210050"/>
                    </a:xfrm>
                    <a:prstGeom prst="rect">
                      <a:avLst/>
                    </a:prstGeom>
                    <a:noFill/>
                    <a:ln>
                      <a:noFill/>
                    </a:ln>
                  </pic:spPr>
                </pic:pic>
              </a:graphicData>
            </a:graphic>
          </wp:inline>
        </w:drawing>
      </w:r>
    </w:p>
    <w:p w14:paraId="2C957098" w14:textId="6FABEC66" w:rsidR="00EA1B7A" w:rsidRDefault="00EA1B7A" w:rsidP="0014141B">
      <w:pPr>
        <w:pStyle w:val="BodyTextIndent"/>
        <w:spacing w:line="360" w:lineRule="auto"/>
        <w:ind w:left="0"/>
      </w:pPr>
    </w:p>
    <w:p w14:paraId="52B41174" w14:textId="77777777" w:rsidR="00DF5027" w:rsidRDefault="00DF5027">
      <w:pPr>
        <w:spacing w:after="200" w:line="276" w:lineRule="auto"/>
        <w:jc w:val="left"/>
      </w:pPr>
      <w:r>
        <w:rPr>
          <w:b w:val="0"/>
        </w:rPr>
        <w:br w:type="page"/>
      </w:r>
    </w:p>
    <w:p w14:paraId="7C0D4331" w14:textId="3198EC75" w:rsidR="00830B15" w:rsidRDefault="00830B15" w:rsidP="00830B15">
      <w:pPr>
        <w:pStyle w:val="BodyTextIndent"/>
        <w:spacing w:line="360" w:lineRule="auto"/>
        <w:ind w:left="0"/>
        <w:jc w:val="left"/>
        <w:rPr>
          <w:b/>
        </w:rPr>
      </w:pPr>
      <w:r w:rsidRPr="00357C3D">
        <w:rPr>
          <w:b/>
        </w:rPr>
        <w:t>Attachment 6.0-</w:t>
      </w:r>
      <w:r>
        <w:rPr>
          <w:b/>
        </w:rPr>
        <w:t>4</w:t>
      </w:r>
      <w:r w:rsidRPr="00357C3D">
        <w:rPr>
          <w:b/>
        </w:rPr>
        <w:t xml:space="preserve">: </w:t>
      </w:r>
      <w:r>
        <w:rPr>
          <w:b/>
        </w:rPr>
        <w:t>Monthly</w:t>
      </w:r>
      <w:r w:rsidRPr="00357C3D">
        <w:rPr>
          <w:b/>
        </w:rPr>
        <w:t xml:space="preserve"> </w:t>
      </w:r>
      <w:r>
        <w:rPr>
          <w:b/>
        </w:rPr>
        <w:t>Unadjusted Non-</w:t>
      </w:r>
      <w:r w:rsidRPr="00357C3D">
        <w:rPr>
          <w:b/>
        </w:rPr>
        <w:t>Coincident Demand (MW)</w:t>
      </w:r>
      <w:r>
        <w:rPr>
          <w:b/>
        </w:rPr>
        <w:t xml:space="preserve"> (cont’d)</w:t>
      </w:r>
    </w:p>
    <w:p w14:paraId="23D7B60C" w14:textId="77777777" w:rsidR="00830B15" w:rsidRDefault="00830B15" w:rsidP="00830B15">
      <w:r>
        <w:t>Calendar Based</w:t>
      </w:r>
      <w:r w:rsidRPr="00830B15">
        <w:t xml:space="preserve"> </w:t>
      </w:r>
    </w:p>
    <w:p w14:paraId="256FBEF5" w14:textId="4573D4D5" w:rsidR="00830B15" w:rsidRDefault="00830B15" w:rsidP="00830B15">
      <w:r>
        <w:t xml:space="preserve">Budget </w:t>
      </w:r>
      <w:r w:rsidR="00454D76">
        <w:t>2019</w:t>
      </w:r>
    </w:p>
    <w:p w14:paraId="040032C7" w14:textId="77777777" w:rsidR="00DF5027" w:rsidRDefault="00DF5027" w:rsidP="00830B15"/>
    <w:p w14:paraId="4AFD7340" w14:textId="30637A95" w:rsidR="00B76E24" w:rsidRDefault="005D26CE" w:rsidP="00830B15">
      <w:r w:rsidRPr="005D26CE">
        <w:rPr>
          <w:noProof/>
        </w:rPr>
        <w:drawing>
          <wp:inline distT="0" distB="0" distL="0" distR="0" wp14:anchorId="2B03969A" wp14:editId="43F1DACB">
            <wp:extent cx="3800475" cy="4210050"/>
            <wp:effectExtent l="0" t="0" r="9525"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3800475" cy="4210050"/>
                    </a:xfrm>
                    <a:prstGeom prst="rect">
                      <a:avLst/>
                    </a:prstGeom>
                    <a:noFill/>
                    <a:ln>
                      <a:noFill/>
                    </a:ln>
                  </pic:spPr>
                </pic:pic>
              </a:graphicData>
            </a:graphic>
          </wp:inline>
        </w:drawing>
      </w:r>
    </w:p>
    <w:p w14:paraId="783B4B91" w14:textId="07B8DA4E" w:rsidR="00BA0BDA" w:rsidRDefault="00BA0BDA" w:rsidP="00830B15">
      <w:pPr>
        <w:pStyle w:val="BodyTextIndent"/>
        <w:spacing w:line="360" w:lineRule="auto"/>
        <w:ind w:left="0"/>
      </w:pPr>
      <w:r>
        <w:rPr>
          <w:b/>
        </w:rPr>
        <w:br w:type="page"/>
      </w:r>
    </w:p>
    <w:p w14:paraId="15CEFA68" w14:textId="77777777" w:rsidR="00EA1B7A" w:rsidRDefault="00EA1B7A" w:rsidP="00EA1B7A">
      <w:pPr>
        <w:pStyle w:val="BodyTextIndent"/>
        <w:spacing w:line="360" w:lineRule="auto"/>
        <w:ind w:left="0"/>
        <w:jc w:val="left"/>
        <w:rPr>
          <w:b/>
        </w:rPr>
      </w:pPr>
      <w:r w:rsidRPr="00357C3D">
        <w:rPr>
          <w:b/>
        </w:rPr>
        <w:t>Attachment 6.0-</w:t>
      </w:r>
      <w:r>
        <w:rPr>
          <w:b/>
        </w:rPr>
        <w:t>5</w:t>
      </w:r>
      <w:r w:rsidRPr="00357C3D">
        <w:rPr>
          <w:b/>
        </w:rPr>
        <w:t xml:space="preserve">: </w:t>
      </w:r>
      <w:r>
        <w:rPr>
          <w:b/>
        </w:rPr>
        <w:t>Expansion Factors</w:t>
      </w:r>
    </w:p>
    <w:p w14:paraId="40691DA8" w14:textId="2272C248" w:rsidR="00830B15" w:rsidRDefault="00830B15" w:rsidP="00830B15">
      <w:pPr>
        <w:pStyle w:val="BodyTextIndent"/>
        <w:spacing w:line="360" w:lineRule="auto"/>
        <w:ind w:left="0"/>
        <w:rPr>
          <w:b/>
        </w:rPr>
      </w:pPr>
      <w:r>
        <w:rPr>
          <w:b/>
        </w:rPr>
        <w:t xml:space="preserve">Budget </w:t>
      </w:r>
      <w:r w:rsidR="00454D76">
        <w:rPr>
          <w:b/>
        </w:rPr>
        <w:t>2019</w:t>
      </w:r>
    </w:p>
    <w:p w14:paraId="41F730EA" w14:textId="75EFBB6C" w:rsidR="00DF5027" w:rsidRDefault="005D26CE" w:rsidP="00830B15">
      <w:pPr>
        <w:pStyle w:val="BodyTextIndent"/>
        <w:spacing w:line="360" w:lineRule="auto"/>
        <w:ind w:left="0"/>
      </w:pPr>
      <w:r w:rsidRPr="005D26CE">
        <w:rPr>
          <w:noProof/>
        </w:rPr>
        <w:drawing>
          <wp:inline distT="0" distB="0" distL="0" distR="0" wp14:anchorId="5178B105" wp14:editId="5D40D2BA">
            <wp:extent cx="8229600" cy="2616091"/>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8229600" cy="2616091"/>
                    </a:xfrm>
                    <a:prstGeom prst="rect">
                      <a:avLst/>
                    </a:prstGeom>
                    <a:noFill/>
                    <a:ln>
                      <a:noFill/>
                    </a:ln>
                  </pic:spPr>
                </pic:pic>
              </a:graphicData>
            </a:graphic>
          </wp:inline>
        </w:drawing>
      </w:r>
    </w:p>
    <w:p w14:paraId="1BA38083" w14:textId="2793F649" w:rsidR="00EA1B7A" w:rsidRDefault="00EA1B7A" w:rsidP="00830B15">
      <w:pPr>
        <w:pStyle w:val="BodyTextIndent"/>
        <w:spacing w:line="360" w:lineRule="auto"/>
        <w:ind w:left="0"/>
      </w:pPr>
    </w:p>
    <w:p w14:paraId="6A85EA31" w14:textId="77777777" w:rsidR="00BA0BDA" w:rsidRDefault="00BA0BDA">
      <w:pPr>
        <w:spacing w:after="200" w:line="276" w:lineRule="auto"/>
        <w:jc w:val="left"/>
      </w:pPr>
      <w:r>
        <w:rPr>
          <w:b w:val="0"/>
        </w:rPr>
        <w:br w:type="page"/>
      </w:r>
    </w:p>
    <w:p w14:paraId="2E765A61" w14:textId="77777777" w:rsidR="00EA1B7A" w:rsidRDefault="00EA1B7A" w:rsidP="00EA1B7A">
      <w:pPr>
        <w:pStyle w:val="BodyTextIndent"/>
        <w:spacing w:line="360" w:lineRule="auto"/>
        <w:ind w:left="0"/>
        <w:jc w:val="left"/>
        <w:rPr>
          <w:b/>
        </w:rPr>
      </w:pPr>
      <w:r w:rsidRPr="00357C3D">
        <w:rPr>
          <w:b/>
        </w:rPr>
        <w:t>Attachment 6.0-</w:t>
      </w:r>
      <w:r>
        <w:rPr>
          <w:b/>
        </w:rPr>
        <w:t>6</w:t>
      </w:r>
      <w:r w:rsidRPr="00357C3D">
        <w:rPr>
          <w:b/>
        </w:rPr>
        <w:t xml:space="preserve">: Annual </w:t>
      </w:r>
      <w:r>
        <w:rPr>
          <w:b/>
        </w:rPr>
        <w:t>Supply with Adjustments</w:t>
      </w:r>
      <w:r w:rsidRPr="00357C3D">
        <w:rPr>
          <w:b/>
        </w:rPr>
        <w:t xml:space="preserve"> (</w:t>
      </w:r>
      <w:r>
        <w:rPr>
          <w:b/>
        </w:rPr>
        <w:t>G</w:t>
      </w:r>
      <w:r w:rsidRPr="00357C3D">
        <w:rPr>
          <w:b/>
        </w:rPr>
        <w:t>W</w:t>
      </w:r>
      <w:r>
        <w:rPr>
          <w:b/>
        </w:rPr>
        <w:t>h</w:t>
      </w:r>
      <w:r w:rsidRPr="00357C3D">
        <w:rPr>
          <w:b/>
        </w:rPr>
        <w:t>)</w:t>
      </w:r>
    </w:p>
    <w:p w14:paraId="0D760964" w14:textId="77777777" w:rsidR="00D403B8" w:rsidRPr="00D403B8" w:rsidRDefault="00D403B8" w:rsidP="00D403B8">
      <w:r w:rsidRPr="00D403B8">
        <w:t>Calendar Based</w:t>
      </w:r>
    </w:p>
    <w:p w14:paraId="0453061E" w14:textId="1B7E5275" w:rsidR="00D403B8" w:rsidRDefault="00D403B8" w:rsidP="00D403B8">
      <w:r w:rsidRPr="00D403B8">
        <w:t xml:space="preserve">Budget </w:t>
      </w:r>
      <w:r w:rsidR="00454D76" w:rsidRPr="00D403B8">
        <w:t>20</w:t>
      </w:r>
      <w:r w:rsidR="00454D76">
        <w:t>19</w:t>
      </w:r>
    </w:p>
    <w:p w14:paraId="582E20F4" w14:textId="65554BA2" w:rsidR="005C2215" w:rsidRDefault="005C2215" w:rsidP="00D403B8"/>
    <w:p w14:paraId="144372E0" w14:textId="64E4C562" w:rsidR="00A05BE7" w:rsidRPr="00D403B8" w:rsidRDefault="000B3205" w:rsidP="00D403B8">
      <w:r w:rsidRPr="000B3205">
        <w:rPr>
          <w:noProof/>
        </w:rPr>
        <w:drawing>
          <wp:inline distT="0" distB="0" distL="0" distR="0" wp14:anchorId="6343B565" wp14:editId="6C7BCFEE">
            <wp:extent cx="4695825" cy="3810000"/>
            <wp:effectExtent l="0" t="0" r="9525"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4695825" cy="3810000"/>
                    </a:xfrm>
                    <a:prstGeom prst="rect">
                      <a:avLst/>
                    </a:prstGeom>
                    <a:noFill/>
                    <a:ln>
                      <a:noFill/>
                    </a:ln>
                  </pic:spPr>
                </pic:pic>
              </a:graphicData>
            </a:graphic>
          </wp:inline>
        </w:drawing>
      </w:r>
    </w:p>
    <w:p w14:paraId="001E56A3" w14:textId="6B005E83" w:rsidR="00D403B8" w:rsidRDefault="00D403B8" w:rsidP="00D403B8"/>
    <w:p w14:paraId="51BF2309" w14:textId="58F13A92" w:rsidR="00DF5027" w:rsidRPr="00D403B8" w:rsidRDefault="00DF5027" w:rsidP="00D403B8"/>
    <w:p w14:paraId="26EE655C" w14:textId="774E48EB" w:rsidR="00EA1B7A" w:rsidRDefault="00EA1B7A" w:rsidP="00D403B8">
      <w:pPr>
        <w:pStyle w:val="BodyTextIndent"/>
        <w:spacing w:line="360" w:lineRule="auto"/>
        <w:ind w:left="0"/>
      </w:pPr>
    </w:p>
    <w:p w14:paraId="22B35277" w14:textId="77777777" w:rsidR="00EA1B7A" w:rsidRDefault="00EA1B7A" w:rsidP="00EA1B7A">
      <w:pPr>
        <w:pStyle w:val="BodyTextIndent"/>
        <w:spacing w:line="360" w:lineRule="auto"/>
        <w:ind w:left="0"/>
        <w:jc w:val="left"/>
      </w:pPr>
    </w:p>
    <w:p w14:paraId="536C7C5A" w14:textId="77777777" w:rsidR="00DF5027" w:rsidRDefault="00DF5027">
      <w:pPr>
        <w:spacing w:after="200" w:line="276" w:lineRule="auto"/>
        <w:jc w:val="left"/>
      </w:pPr>
      <w:r>
        <w:rPr>
          <w:b w:val="0"/>
        </w:rPr>
        <w:br w:type="page"/>
      </w:r>
    </w:p>
    <w:p w14:paraId="546F7180" w14:textId="11505F80" w:rsidR="00EA1B7A" w:rsidRDefault="00EA1B7A" w:rsidP="00CE44B7">
      <w:pPr>
        <w:pStyle w:val="BodyTextIndent"/>
        <w:keepNext/>
        <w:widowControl w:val="0"/>
        <w:spacing w:line="360" w:lineRule="auto"/>
        <w:ind w:left="0"/>
        <w:jc w:val="left"/>
      </w:pPr>
      <w:r w:rsidRPr="00357C3D">
        <w:rPr>
          <w:b/>
        </w:rPr>
        <w:t>Attachment 6.0-</w:t>
      </w:r>
      <w:r>
        <w:rPr>
          <w:b/>
        </w:rPr>
        <w:t>7</w:t>
      </w:r>
      <w:r w:rsidRPr="00357C3D">
        <w:rPr>
          <w:b/>
        </w:rPr>
        <w:t xml:space="preserve"> </w:t>
      </w:r>
      <w:r>
        <w:rPr>
          <w:b/>
        </w:rPr>
        <w:t>Monthly</w:t>
      </w:r>
      <w:r w:rsidRPr="00357C3D">
        <w:rPr>
          <w:b/>
        </w:rPr>
        <w:t xml:space="preserve"> </w:t>
      </w:r>
      <w:r>
        <w:rPr>
          <w:b/>
        </w:rPr>
        <w:t>Supply by Class</w:t>
      </w:r>
      <w:r w:rsidRPr="00357C3D">
        <w:rPr>
          <w:b/>
        </w:rPr>
        <w:t xml:space="preserve"> (</w:t>
      </w:r>
      <w:r>
        <w:rPr>
          <w:b/>
        </w:rPr>
        <w:t>G</w:t>
      </w:r>
      <w:r w:rsidRPr="00357C3D">
        <w:rPr>
          <w:b/>
        </w:rPr>
        <w:t>W</w:t>
      </w:r>
      <w:r>
        <w:rPr>
          <w:b/>
        </w:rPr>
        <w:t>h</w:t>
      </w:r>
      <w:r w:rsidRPr="00357C3D">
        <w:rPr>
          <w:b/>
        </w:rPr>
        <w:t>)</w:t>
      </w:r>
    </w:p>
    <w:p w14:paraId="52622646" w14:textId="77777777" w:rsidR="004A088E" w:rsidRPr="00D403B8" w:rsidRDefault="004A088E" w:rsidP="00CE44B7">
      <w:pPr>
        <w:keepNext/>
        <w:widowControl w:val="0"/>
      </w:pPr>
      <w:r w:rsidRPr="00D403B8">
        <w:t>Calendar Based</w:t>
      </w:r>
    </w:p>
    <w:p w14:paraId="74BA6057" w14:textId="2D6F1B81" w:rsidR="00EC4B6F" w:rsidRDefault="004A088E" w:rsidP="00CE44B7">
      <w:pPr>
        <w:keepNext/>
        <w:widowControl w:val="0"/>
      </w:pPr>
      <w:r w:rsidRPr="00D403B8">
        <w:t xml:space="preserve">Budget </w:t>
      </w:r>
      <w:r w:rsidR="00454D76" w:rsidRPr="00D403B8">
        <w:t>20</w:t>
      </w:r>
      <w:r w:rsidR="00454D76">
        <w:t>19</w:t>
      </w:r>
    </w:p>
    <w:p w14:paraId="1A7EE5F4" w14:textId="77777777" w:rsidR="00EC4B6F" w:rsidRDefault="00EC4B6F" w:rsidP="00CE44B7">
      <w:pPr>
        <w:keepNext/>
        <w:widowControl w:val="0"/>
      </w:pPr>
    </w:p>
    <w:p w14:paraId="560D3274" w14:textId="3E234922" w:rsidR="005C2215" w:rsidRPr="00D403B8" w:rsidRDefault="000B3205" w:rsidP="00EC4B6F">
      <w:pPr>
        <w:keepNext/>
        <w:widowControl w:val="0"/>
      </w:pPr>
      <w:r w:rsidRPr="000B3205">
        <w:rPr>
          <w:noProof/>
        </w:rPr>
        <w:drawing>
          <wp:inline distT="0" distB="0" distL="0" distR="0" wp14:anchorId="10C62D13" wp14:editId="26B9BA0D">
            <wp:extent cx="7381875" cy="4210050"/>
            <wp:effectExtent l="0" t="0" r="9525"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7381875" cy="4210050"/>
                    </a:xfrm>
                    <a:prstGeom prst="rect">
                      <a:avLst/>
                    </a:prstGeom>
                    <a:noFill/>
                    <a:ln>
                      <a:noFill/>
                    </a:ln>
                  </pic:spPr>
                </pic:pic>
              </a:graphicData>
            </a:graphic>
          </wp:inline>
        </w:drawing>
      </w:r>
    </w:p>
    <w:p w14:paraId="26D76C20" w14:textId="5212B478" w:rsidR="00EA1B7A" w:rsidRDefault="00EA1B7A" w:rsidP="004A088E">
      <w:pPr>
        <w:pStyle w:val="BodyTextIndent"/>
        <w:spacing w:line="360" w:lineRule="auto"/>
        <w:ind w:left="0"/>
      </w:pPr>
    </w:p>
    <w:p w14:paraId="1BAA5DDE" w14:textId="77777777" w:rsidR="005C2215" w:rsidRDefault="005C2215">
      <w:pPr>
        <w:spacing w:after="200" w:line="276" w:lineRule="auto"/>
        <w:jc w:val="left"/>
      </w:pPr>
      <w:r>
        <w:rPr>
          <w:b w:val="0"/>
        </w:rPr>
        <w:br w:type="page"/>
      </w:r>
    </w:p>
    <w:p w14:paraId="315BDD1F" w14:textId="137F74A3" w:rsidR="004A088E" w:rsidRDefault="004A088E" w:rsidP="004A088E">
      <w:pPr>
        <w:pStyle w:val="BodyTextIndent"/>
        <w:spacing w:line="360" w:lineRule="auto"/>
        <w:ind w:left="0"/>
        <w:jc w:val="left"/>
      </w:pPr>
      <w:r w:rsidRPr="00357C3D">
        <w:rPr>
          <w:b/>
        </w:rPr>
        <w:t>Attachment 6.0-</w:t>
      </w:r>
      <w:r>
        <w:rPr>
          <w:b/>
        </w:rPr>
        <w:t>7</w:t>
      </w:r>
      <w:r w:rsidRPr="00357C3D">
        <w:rPr>
          <w:b/>
        </w:rPr>
        <w:t xml:space="preserve"> </w:t>
      </w:r>
      <w:r>
        <w:rPr>
          <w:b/>
        </w:rPr>
        <w:t>Monthly</w:t>
      </w:r>
      <w:r w:rsidRPr="00357C3D">
        <w:rPr>
          <w:b/>
        </w:rPr>
        <w:t xml:space="preserve"> </w:t>
      </w:r>
      <w:r>
        <w:rPr>
          <w:b/>
        </w:rPr>
        <w:t>Supply by Class</w:t>
      </w:r>
      <w:r w:rsidRPr="00357C3D">
        <w:rPr>
          <w:b/>
        </w:rPr>
        <w:t xml:space="preserve"> (</w:t>
      </w:r>
      <w:r>
        <w:rPr>
          <w:b/>
        </w:rPr>
        <w:t>G</w:t>
      </w:r>
      <w:r w:rsidRPr="00357C3D">
        <w:rPr>
          <w:b/>
        </w:rPr>
        <w:t>W</w:t>
      </w:r>
      <w:r>
        <w:rPr>
          <w:b/>
        </w:rPr>
        <w:t>h</w:t>
      </w:r>
      <w:r w:rsidRPr="00357C3D">
        <w:rPr>
          <w:b/>
        </w:rPr>
        <w:t>)</w:t>
      </w:r>
      <w:r>
        <w:rPr>
          <w:b/>
        </w:rPr>
        <w:t xml:space="preserve"> (cont’d)</w:t>
      </w:r>
    </w:p>
    <w:p w14:paraId="2C3EAB68" w14:textId="77777777" w:rsidR="004A088E" w:rsidRPr="00D403B8" w:rsidRDefault="004A088E" w:rsidP="004A088E">
      <w:r w:rsidRPr="00D403B8">
        <w:t>Calendar Based</w:t>
      </w:r>
    </w:p>
    <w:p w14:paraId="7B4270A5" w14:textId="7AC92CA2" w:rsidR="004A088E" w:rsidRDefault="004A088E" w:rsidP="004A088E">
      <w:r w:rsidRPr="00D403B8">
        <w:t xml:space="preserve">Budget </w:t>
      </w:r>
      <w:r w:rsidR="00454D76" w:rsidRPr="00D403B8">
        <w:t>20</w:t>
      </w:r>
      <w:r w:rsidR="00454D76">
        <w:t>19</w:t>
      </w:r>
    </w:p>
    <w:p w14:paraId="12C231F9" w14:textId="77777777" w:rsidR="00EC4B6F" w:rsidRDefault="00EC4B6F" w:rsidP="004A088E"/>
    <w:p w14:paraId="3EE86F2A" w14:textId="454AD56D" w:rsidR="007053BC" w:rsidRPr="00D403B8" w:rsidRDefault="000B3205" w:rsidP="004A088E">
      <w:r w:rsidRPr="000B3205">
        <w:rPr>
          <w:noProof/>
        </w:rPr>
        <w:drawing>
          <wp:inline distT="0" distB="0" distL="0" distR="0" wp14:anchorId="512D8113" wp14:editId="360A5425">
            <wp:extent cx="7381875" cy="4210050"/>
            <wp:effectExtent l="0" t="0" r="9525"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7381875" cy="4210050"/>
                    </a:xfrm>
                    <a:prstGeom prst="rect">
                      <a:avLst/>
                    </a:prstGeom>
                    <a:noFill/>
                    <a:ln>
                      <a:noFill/>
                    </a:ln>
                  </pic:spPr>
                </pic:pic>
              </a:graphicData>
            </a:graphic>
          </wp:inline>
        </w:drawing>
      </w:r>
    </w:p>
    <w:p w14:paraId="75FD7698" w14:textId="24371F43" w:rsidR="00BA0BDA" w:rsidRDefault="00BA0BDA" w:rsidP="004A088E">
      <w:pPr>
        <w:spacing w:after="200" w:line="276" w:lineRule="auto"/>
      </w:pPr>
      <w:r>
        <w:rPr>
          <w:b w:val="0"/>
        </w:rPr>
        <w:br w:type="page"/>
      </w:r>
    </w:p>
    <w:p w14:paraId="17BBAB58" w14:textId="77777777" w:rsidR="00C74A47" w:rsidRDefault="00C74A47" w:rsidP="00EA1B7A">
      <w:pPr>
        <w:pStyle w:val="BodyTextIndent"/>
        <w:spacing w:line="360" w:lineRule="auto"/>
        <w:ind w:left="0"/>
        <w:jc w:val="left"/>
        <w:rPr>
          <w:b/>
        </w:rPr>
        <w:sectPr w:rsidR="00C74A47" w:rsidSect="00BA0BDA">
          <w:pgSz w:w="15840" w:h="12240" w:orient="landscape"/>
          <w:pgMar w:top="1440" w:right="1440" w:bottom="1440" w:left="1440" w:header="720" w:footer="720" w:gutter="0"/>
          <w:cols w:space="720"/>
          <w:docGrid w:linePitch="360"/>
        </w:sectPr>
      </w:pPr>
    </w:p>
    <w:p w14:paraId="0030B5AA" w14:textId="209E6E5E" w:rsidR="00F05F91" w:rsidRDefault="00EA1B7A" w:rsidP="00A027E8">
      <w:pPr>
        <w:pStyle w:val="BodyTextIndent"/>
        <w:spacing w:line="360" w:lineRule="auto"/>
        <w:ind w:left="0"/>
      </w:pPr>
      <w:r w:rsidRPr="00357C3D">
        <w:rPr>
          <w:b/>
        </w:rPr>
        <w:t>Attachment 6.0-</w:t>
      </w:r>
      <w:r>
        <w:rPr>
          <w:b/>
        </w:rPr>
        <w:t>8</w:t>
      </w:r>
      <w:r w:rsidRPr="00357C3D">
        <w:rPr>
          <w:b/>
        </w:rPr>
        <w:t xml:space="preserve">: </w:t>
      </w:r>
      <w:r>
        <w:rPr>
          <w:b/>
        </w:rPr>
        <w:t>Coincident &amp; Non-</w:t>
      </w:r>
      <w:r w:rsidRPr="00357C3D">
        <w:rPr>
          <w:b/>
        </w:rPr>
        <w:t xml:space="preserve">Coincident </w:t>
      </w:r>
      <w:r>
        <w:rPr>
          <w:b/>
        </w:rPr>
        <w:t>Historical Peak Demand by Class</w:t>
      </w:r>
      <w:r w:rsidRPr="00357C3D">
        <w:rPr>
          <w:b/>
        </w:rPr>
        <w:t xml:space="preserve"> (MW)</w:t>
      </w:r>
      <w:r w:rsidR="00A027E8" w:rsidRPr="00A027E8">
        <w:t xml:space="preserve"> </w:t>
      </w:r>
    </w:p>
    <w:p w14:paraId="78FCD127" w14:textId="77777777" w:rsidR="00F05F91" w:rsidRDefault="00F05F91" w:rsidP="00F05F91">
      <w:pPr>
        <w:pStyle w:val="BodyTextIndent"/>
        <w:spacing w:line="360" w:lineRule="auto"/>
        <w:ind w:left="0"/>
        <w:jc w:val="both"/>
      </w:pPr>
    </w:p>
    <w:p w14:paraId="492DE938" w14:textId="2952B291" w:rsidR="00F05F91" w:rsidRDefault="000B3205" w:rsidP="00A027E8">
      <w:pPr>
        <w:pStyle w:val="BodyTextIndent"/>
        <w:spacing w:line="360" w:lineRule="auto"/>
        <w:ind w:left="0"/>
      </w:pPr>
      <w:r w:rsidRPr="000B3205">
        <w:rPr>
          <w:noProof/>
        </w:rPr>
        <w:drawing>
          <wp:inline distT="0" distB="0" distL="0" distR="0" wp14:anchorId="5EFDD0BC" wp14:editId="4AFB64B1">
            <wp:extent cx="4610100" cy="6400800"/>
            <wp:effectExtent l="0" t="0" r="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4610100" cy="6400800"/>
                    </a:xfrm>
                    <a:prstGeom prst="rect">
                      <a:avLst/>
                    </a:prstGeom>
                    <a:noFill/>
                    <a:ln>
                      <a:noFill/>
                    </a:ln>
                  </pic:spPr>
                </pic:pic>
              </a:graphicData>
            </a:graphic>
          </wp:inline>
        </w:drawing>
      </w:r>
    </w:p>
    <w:p w14:paraId="15A907D8" w14:textId="084C043E" w:rsidR="00EA1B7A" w:rsidRPr="00EA1B7A" w:rsidRDefault="00EA1B7A" w:rsidP="00A027E8">
      <w:pPr>
        <w:pStyle w:val="BodyTextIndent"/>
        <w:spacing w:line="360" w:lineRule="auto"/>
        <w:ind w:left="0"/>
      </w:pPr>
    </w:p>
    <w:p w14:paraId="0A3854BF" w14:textId="77777777" w:rsidR="00F05F91" w:rsidRDefault="00F05F91">
      <w:pPr>
        <w:spacing w:after="200" w:line="276" w:lineRule="auto"/>
        <w:jc w:val="left"/>
      </w:pPr>
      <w:r>
        <w:rPr>
          <w:b w:val="0"/>
        </w:rPr>
        <w:br w:type="page"/>
      </w:r>
    </w:p>
    <w:p w14:paraId="109E97C7" w14:textId="52225589" w:rsidR="00EA1B7A" w:rsidRDefault="009E003F" w:rsidP="00EA1B7A">
      <w:pPr>
        <w:pStyle w:val="BodyTextIndent"/>
        <w:spacing w:line="360" w:lineRule="auto"/>
        <w:ind w:left="0"/>
        <w:jc w:val="left"/>
        <w:rPr>
          <w:b/>
        </w:rPr>
      </w:pPr>
      <w:r w:rsidRPr="00357C3D">
        <w:rPr>
          <w:b/>
        </w:rPr>
        <w:t>Attachment 6.0-</w:t>
      </w:r>
      <w:r>
        <w:rPr>
          <w:b/>
        </w:rPr>
        <w:t>8</w:t>
      </w:r>
      <w:r w:rsidRPr="00357C3D">
        <w:rPr>
          <w:b/>
        </w:rPr>
        <w:t xml:space="preserve">: </w:t>
      </w:r>
      <w:r>
        <w:rPr>
          <w:b/>
        </w:rPr>
        <w:t>Coincident &amp; Non-</w:t>
      </w:r>
      <w:r w:rsidRPr="00357C3D">
        <w:rPr>
          <w:b/>
        </w:rPr>
        <w:t xml:space="preserve">Coincident </w:t>
      </w:r>
      <w:r>
        <w:rPr>
          <w:b/>
        </w:rPr>
        <w:t>Historical Peak Demand by Class</w:t>
      </w:r>
      <w:r w:rsidRPr="00357C3D">
        <w:rPr>
          <w:b/>
        </w:rPr>
        <w:t xml:space="preserve"> (MW)</w:t>
      </w:r>
      <w:r>
        <w:rPr>
          <w:b/>
        </w:rPr>
        <w:t xml:space="preserve"> (cont’d)</w:t>
      </w:r>
    </w:p>
    <w:p w14:paraId="2F316A83" w14:textId="674B6303" w:rsidR="00EA1B7A" w:rsidRPr="00EA1B7A" w:rsidRDefault="00EA1B7A" w:rsidP="00A027E8">
      <w:pPr>
        <w:pStyle w:val="BodyTextIndent"/>
        <w:spacing w:line="360" w:lineRule="auto"/>
        <w:ind w:left="0"/>
      </w:pPr>
    </w:p>
    <w:p w14:paraId="15CFE66E" w14:textId="47F330AC" w:rsidR="000F2494" w:rsidRDefault="000B3205" w:rsidP="00F05F91">
      <w:pPr>
        <w:pStyle w:val="BodyTextIndent"/>
        <w:spacing w:line="360" w:lineRule="auto"/>
        <w:ind w:left="0"/>
        <w:sectPr w:rsidR="000F2494" w:rsidSect="00C74A47">
          <w:pgSz w:w="12240" w:h="15840"/>
          <w:pgMar w:top="1440" w:right="1440" w:bottom="1440" w:left="1440" w:header="720" w:footer="720" w:gutter="0"/>
          <w:cols w:space="720"/>
          <w:docGrid w:linePitch="360"/>
        </w:sectPr>
      </w:pPr>
      <w:r w:rsidRPr="000B3205">
        <w:rPr>
          <w:noProof/>
        </w:rPr>
        <w:drawing>
          <wp:inline distT="0" distB="0" distL="0" distR="0" wp14:anchorId="7F4BAD4B" wp14:editId="4ABCCC37">
            <wp:extent cx="4610100" cy="6400800"/>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4610100" cy="6400800"/>
                    </a:xfrm>
                    <a:prstGeom prst="rect">
                      <a:avLst/>
                    </a:prstGeom>
                    <a:noFill/>
                    <a:ln>
                      <a:noFill/>
                    </a:ln>
                  </pic:spPr>
                </pic:pic>
              </a:graphicData>
            </a:graphic>
          </wp:inline>
        </w:drawing>
      </w:r>
    </w:p>
    <w:p w14:paraId="63C7BE55" w14:textId="77777777" w:rsidR="000F2494" w:rsidRPr="000F2494" w:rsidRDefault="000F2494" w:rsidP="000F2494">
      <w:pPr>
        <w:pStyle w:val="Heading1"/>
        <w:jc w:val="left"/>
        <w:rPr>
          <w:rFonts w:ascii="Arial" w:hAnsi="Arial" w:cs="Arial"/>
          <w:b/>
          <w:color w:val="auto"/>
        </w:rPr>
      </w:pPr>
      <w:bookmarkStart w:id="259" w:name="_Toc468762652"/>
      <w:bookmarkStart w:id="260" w:name="_Toc497031892"/>
      <w:bookmarkStart w:id="261" w:name="_Toc503665814"/>
      <w:bookmarkStart w:id="262" w:name="_Toc59357565"/>
      <w:bookmarkStart w:id="263" w:name="_Toc347120443"/>
      <w:bookmarkStart w:id="264" w:name="_Toc535495649"/>
      <w:r w:rsidRPr="000F2494">
        <w:rPr>
          <w:rFonts w:ascii="Arial" w:hAnsi="Arial" w:cs="Arial"/>
          <w:b/>
          <w:color w:val="auto"/>
        </w:rPr>
        <w:t>7.0</w:t>
      </w:r>
      <w:r w:rsidRPr="000F2494">
        <w:rPr>
          <w:rFonts w:ascii="Arial" w:hAnsi="Arial" w:cs="Arial"/>
          <w:b/>
          <w:color w:val="auto"/>
        </w:rPr>
        <w:tab/>
        <w:t>SENSITIVITY AND SCENARIO DEVELOPMENT OVERVIEW</w:t>
      </w:r>
      <w:bookmarkEnd w:id="259"/>
      <w:bookmarkEnd w:id="260"/>
      <w:bookmarkEnd w:id="261"/>
      <w:bookmarkEnd w:id="262"/>
      <w:bookmarkEnd w:id="263"/>
      <w:bookmarkEnd w:id="264"/>
    </w:p>
    <w:p w14:paraId="00DDC1D0" w14:textId="77777777" w:rsidR="000F2494" w:rsidRDefault="000F2494" w:rsidP="000F2494">
      <w:pPr>
        <w:pStyle w:val="BodyText"/>
        <w:spacing w:line="360" w:lineRule="auto"/>
        <w:jc w:val="left"/>
        <w:rPr>
          <w:b w:val="0"/>
        </w:rPr>
      </w:pPr>
    </w:p>
    <w:p w14:paraId="5660F080" w14:textId="494B1CAD" w:rsidR="000F2494" w:rsidRPr="000F2494" w:rsidRDefault="000F2494" w:rsidP="00A027E8">
      <w:pPr>
        <w:pStyle w:val="BodyText"/>
        <w:spacing w:line="360" w:lineRule="auto"/>
        <w:jc w:val="both"/>
        <w:rPr>
          <w:b w:val="0"/>
        </w:rPr>
      </w:pPr>
      <w:r w:rsidRPr="000F2494">
        <w:rPr>
          <w:b w:val="0"/>
        </w:rPr>
        <w:t xml:space="preserve">Budget </w:t>
      </w:r>
      <w:r w:rsidR="0009458C" w:rsidRPr="000F2494">
        <w:rPr>
          <w:b w:val="0"/>
        </w:rPr>
        <w:t>20</w:t>
      </w:r>
      <w:r w:rsidR="0009458C">
        <w:rPr>
          <w:b w:val="0"/>
        </w:rPr>
        <w:t>19</w:t>
      </w:r>
      <w:r w:rsidR="0009458C" w:rsidRPr="000F2494">
        <w:rPr>
          <w:b w:val="0"/>
        </w:rPr>
        <w:t xml:space="preserve"> </w:t>
      </w:r>
      <w:r w:rsidRPr="000F2494">
        <w:rPr>
          <w:b w:val="0"/>
        </w:rPr>
        <w:t xml:space="preserve">is a base case forecast using </w:t>
      </w:r>
      <w:r w:rsidR="000D1EE5">
        <w:rPr>
          <w:b w:val="0"/>
        </w:rPr>
        <w:t xml:space="preserve">the economic forecast from </w:t>
      </w:r>
      <w:r w:rsidR="0009458C">
        <w:rPr>
          <w:b w:val="0"/>
        </w:rPr>
        <w:t>IHS Markit</w:t>
      </w:r>
      <w:r w:rsidRPr="000F2494">
        <w:rPr>
          <w:b w:val="0"/>
        </w:rPr>
        <w:t xml:space="preserve">, a </w:t>
      </w:r>
      <w:r w:rsidR="0009458C">
        <w:rPr>
          <w:b w:val="0"/>
        </w:rPr>
        <w:t>38</w:t>
      </w:r>
      <w:r w:rsidRPr="000F2494">
        <w:rPr>
          <w:b w:val="0"/>
        </w:rPr>
        <w:t xml:space="preserve">-year </w:t>
      </w:r>
      <w:r w:rsidR="00095E83">
        <w:rPr>
          <w:b w:val="0"/>
        </w:rPr>
        <w:t xml:space="preserve">average </w:t>
      </w:r>
      <w:r w:rsidRPr="000F2494">
        <w:rPr>
          <w:b w:val="0"/>
        </w:rPr>
        <w:t>normal weather definition, and an electricity price forecast based on results of financial planning models and information from the Department of Energy. The economic forecast for the base case represents a description of the economic environment that is most likely to take place absent climate legislation or new environmental rulemaking. There are many possible events or actions that could occur, however, to change the characteristics of the economy or business environment of Georgia Power and, consequently, forecasted energy sales. Similarly, there is a possibility of deviation from the price assumptions and current regulatory environment. In order to evaluate the impact of changes to some of these key assumptions and variables, sensitivities around the key forecast variables and scenarios around potential carbon and fuel price outcomes were developed.</w:t>
      </w:r>
    </w:p>
    <w:p w14:paraId="5FF73138" w14:textId="77777777" w:rsidR="000F2494" w:rsidRPr="000F2494" w:rsidRDefault="000F2494" w:rsidP="000F2494">
      <w:pPr>
        <w:pStyle w:val="Heading1"/>
        <w:jc w:val="left"/>
        <w:rPr>
          <w:rFonts w:ascii="Arial" w:hAnsi="Arial" w:cs="Arial"/>
          <w:b/>
          <w:color w:val="auto"/>
        </w:rPr>
      </w:pPr>
      <w:bookmarkStart w:id="265" w:name="_Toc347120444"/>
      <w:bookmarkStart w:id="266" w:name="_Toc535495650"/>
      <w:r w:rsidRPr="000F2494">
        <w:rPr>
          <w:rFonts w:ascii="Arial" w:hAnsi="Arial" w:cs="Arial"/>
          <w:b/>
          <w:color w:val="auto"/>
        </w:rPr>
        <w:t>7.1</w:t>
      </w:r>
      <w:r w:rsidRPr="000F2494">
        <w:rPr>
          <w:rFonts w:ascii="Arial" w:hAnsi="Arial" w:cs="Arial"/>
          <w:b/>
          <w:color w:val="auto"/>
        </w:rPr>
        <w:tab/>
        <w:t>SENSITIVITIES</w:t>
      </w:r>
      <w:bookmarkEnd w:id="265"/>
      <w:bookmarkEnd w:id="266"/>
      <w:r w:rsidRPr="000F2494">
        <w:rPr>
          <w:rFonts w:ascii="Arial" w:hAnsi="Arial" w:cs="Arial"/>
          <w:b/>
          <w:color w:val="auto"/>
        </w:rPr>
        <w:t xml:space="preserve"> </w:t>
      </w:r>
    </w:p>
    <w:p w14:paraId="29282B07" w14:textId="77777777" w:rsidR="000F2494" w:rsidRDefault="000F2494" w:rsidP="000F2494">
      <w:pPr>
        <w:pStyle w:val="BodyText"/>
      </w:pPr>
    </w:p>
    <w:p w14:paraId="522051B1" w14:textId="19054AB4" w:rsidR="000F2494" w:rsidRPr="000F2494" w:rsidRDefault="00B0543B" w:rsidP="00A027E8">
      <w:pPr>
        <w:pStyle w:val="BodyText"/>
        <w:spacing w:line="360" w:lineRule="auto"/>
        <w:jc w:val="both"/>
        <w:rPr>
          <w:b w:val="0"/>
        </w:rPr>
      </w:pPr>
      <w:bookmarkStart w:id="267" w:name="_Hlk531793120"/>
      <w:r w:rsidRPr="000F2494">
        <w:rPr>
          <w:b w:val="0"/>
        </w:rPr>
        <w:t>In the current application, a sensitivity is defined as a specified collection of univariate changes occurring coincidentally.</w:t>
      </w:r>
      <w:r>
        <w:rPr>
          <w:b w:val="0"/>
        </w:rPr>
        <w:t xml:space="preserve"> </w:t>
      </w:r>
      <w:r w:rsidR="000F2494" w:rsidRPr="000F2494">
        <w:rPr>
          <w:b w:val="0"/>
        </w:rPr>
        <w:t xml:space="preserve">Five sensitivities were developed for Budget </w:t>
      </w:r>
      <w:r w:rsidR="0009458C" w:rsidRPr="000F2494">
        <w:rPr>
          <w:b w:val="0"/>
        </w:rPr>
        <w:t>20</w:t>
      </w:r>
      <w:r w:rsidR="0009458C">
        <w:rPr>
          <w:b w:val="0"/>
        </w:rPr>
        <w:t>19</w:t>
      </w:r>
      <w:r>
        <w:rPr>
          <w:b w:val="0"/>
        </w:rPr>
        <w:t xml:space="preserve"> r</w:t>
      </w:r>
      <w:r w:rsidR="000F2494" w:rsidRPr="000F2494">
        <w:rPr>
          <w:b w:val="0"/>
        </w:rPr>
        <w:t>elative to the "Base Case" forecast</w:t>
      </w:r>
      <w:r>
        <w:rPr>
          <w:b w:val="0"/>
        </w:rPr>
        <w:t>.</w:t>
      </w:r>
      <w:r w:rsidR="000F2494" w:rsidRPr="000F2494">
        <w:rPr>
          <w:b w:val="0"/>
        </w:rPr>
        <w:t xml:space="preserve"> </w:t>
      </w:r>
      <w:r>
        <w:rPr>
          <w:b w:val="0"/>
        </w:rPr>
        <w:t>T</w:t>
      </w:r>
      <w:r w:rsidR="000F2494" w:rsidRPr="000F2494">
        <w:rPr>
          <w:b w:val="0"/>
        </w:rPr>
        <w:t>he</w:t>
      </w:r>
      <w:r>
        <w:rPr>
          <w:b w:val="0"/>
        </w:rPr>
        <w:t xml:space="preserve"> sensitivities presented below include:</w:t>
      </w:r>
      <w:r w:rsidR="000F2494" w:rsidRPr="000F2494">
        <w:rPr>
          <w:b w:val="0"/>
        </w:rPr>
        <w:t xml:space="preserve"> 1) high economic growth</w:t>
      </w:r>
      <w:r w:rsidR="00366CBD">
        <w:rPr>
          <w:b w:val="0"/>
        </w:rPr>
        <w:t>;</w:t>
      </w:r>
      <w:r w:rsidR="000F2494" w:rsidRPr="000F2494">
        <w:rPr>
          <w:b w:val="0"/>
        </w:rPr>
        <w:t xml:space="preserve"> 2) low economic growth</w:t>
      </w:r>
      <w:r w:rsidR="00366CBD">
        <w:rPr>
          <w:b w:val="0"/>
        </w:rPr>
        <w:t>;</w:t>
      </w:r>
      <w:r w:rsidR="000F2494" w:rsidRPr="000F2494">
        <w:rPr>
          <w:b w:val="0"/>
        </w:rPr>
        <w:t xml:space="preserve"> 3) no load growth</w:t>
      </w:r>
      <w:r w:rsidR="00366CBD">
        <w:rPr>
          <w:b w:val="0"/>
        </w:rPr>
        <w:t>;</w:t>
      </w:r>
      <w:r w:rsidR="000F2494" w:rsidRPr="000F2494">
        <w:rPr>
          <w:b w:val="0"/>
        </w:rPr>
        <w:t xml:space="preserve"> 4) </w:t>
      </w:r>
      <w:r w:rsidR="00FE7AB9">
        <w:rPr>
          <w:b w:val="0"/>
        </w:rPr>
        <w:t>l</w:t>
      </w:r>
      <w:r w:rsidR="00FE7AB9" w:rsidRPr="00082868">
        <w:rPr>
          <w:b w:val="0"/>
        </w:rPr>
        <w:t xml:space="preserve">oad growth with </w:t>
      </w:r>
      <w:r w:rsidR="00FE7AB9">
        <w:rPr>
          <w:b w:val="0"/>
        </w:rPr>
        <w:t>no</w:t>
      </w:r>
      <w:r w:rsidR="00FE7AB9" w:rsidRPr="00082868">
        <w:rPr>
          <w:b w:val="0"/>
        </w:rPr>
        <w:t xml:space="preserve"> DSM</w:t>
      </w:r>
      <w:r w:rsidR="00366CBD">
        <w:rPr>
          <w:b w:val="0"/>
        </w:rPr>
        <w:t>;</w:t>
      </w:r>
      <w:r w:rsidR="000F2494" w:rsidRPr="000F2494">
        <w:rPr>
          <w:b w:val="0"/>
        </w:rPr>
        <w:t xml:space="preserve"> and 5) load growth with aggressive DSM. The high and low economic </w:t>
      </w:r>
      <w:r w:rsidR="00AE26D5" w:rsidRPr="000F2494">
        <w:rPr>
          <w:b w:val="0"/>
        </w:rPr>
        <w:t>s</w:t>
      </w:r>
      <w:r w:rsidR="00AE26D5">
        <w:rPr>
          <w:b w:val="0"/>
        </w:rPr>
        <w:t>ensitivitie</w:t>
      </w:r>
      <w:r w:rsidR="00AE26D5" w:rsidRPr="000F2494">
        <w:rPr>
          <w:b w:val="0"/>
        </w:rPr>
        <w:t xml:space="preserve">s </w:t>
      </w:r>
      <w:r>
        <w:rPr>
          <w:b w:val="0"/>
        </w:rPr>
        <w:t>are ba</w:t>
      </w:r>
      <w:r w:rsidRPr="000F2494">
        <w:rPr>
          <w:b w:val="0"/>
        </w:rPr>
        <w:t>se</w:t>
      </w:r>
      <w:r>
        <w:rPr>
          <w:b w:val="0"/>
        </w:rPr>
        <w:t>d</w:t>
      </w:r>
      <w:r w:rsidRPr="000F2494">
        <w:rPr>
          <w:b w:val="0"/>
        </w:rPr>
        <w:t xml:space="preserve"> </w:t>
      </w:r>
      <w:r>
        <w:rPr>
          <w:b w:val="0"/>
        </w:rPr>
        <w:t xml:space="preserve">on </w:t>
      </w:r>
      <w:r w:rsidR="00051DAC">
        <w:rPr>
          <w:b w:val="0"/>
        </w:rPr>
        <w:t xml:space="preserve">the Optimistic and Pessimistic </w:t>
      </w:r>
      <w:r w:rsidR="00000365">
        <w:rPr>
          <w:b w:val="0"/>
        </w:rPr>
        <w:t>scenarios</w:t>
      </w:r>
      <w:r w:rsidR="00AE26D5">
        <w:rPr>
          <w:b w:val="0"/>
        </w:rPr>
        <w:t xml:space="preserve"> </w:t>
      </w:r>
      <w:r>
        <w:rPr>
          <w:b w:val="0"/>
        </w:rPr>
        <w:t>developed by</w:t>
      </w:r>
      <w:r w:rsidRPr="000F2494">
        <w:rPr>
          <w:b w:val="0"/>
        </w:rPr>
        <w:t xml:space="preserve"> </w:t>
      </w:r>
      <w:r w:rsidR="0009458C">
        <w:rPr>
          <w:b w:val="0"/>
        </w:rPr>
        <w:t>IHS Markit</w:t>
      </w:r>
      <w:r w:rsidR="000F2494" w:rsidRPr="000F2494">
        <w:rPr>
          <w:b w:val="0"/>
        </w:rPr>
        <w:t>.</w:t>
      </w:r>
      <w:bookmarkEnd w:id="267"/>
      <w:r w:rsidR="000F2494" w:rsidRPr="000F2494">
        <w:rPr>
          <w:b w:val="0"/>
        </w:rPr>
        <w:t xml:space="preserve"> These sensitivities were performed to identify impacts to the energy and peak demand forecasts pursuant to the specified changes in economic variables utilized in the energy forecast. </w:t>
      </w:r>
    </w:p>
    <w:p w14:paraId="3CEAE4E5" w14:textId="77777777" w:rsidR="000F2494" w:rsidRPr="000F2494" w:rsidRDefault="000F2494" w:rsidP="00A027E8">
      <w:pPr>
        <w:pStyle w:val="BodyText"/>
        <w:spacing w:line="360" w:lineRule="auto"/>
        <w:jc w:val="both"/>
        <w:rPr>
          <w:b w:val="0"/>
        </w:rPr>
      </w:pPr>
    </w:p>
    <w:p w14:paraId="1A5BE6C2" w14:textId="77777777" w:rsidR="000F2494" w:rsidRPr="000F2494" w:rsidRDefault="000F2494" w:rsidP="00A027E8">
      <w:pPr>
        <w:pStyle w:val="BodyText"/>
        <w:spacing w:line="360" w:lineRule="auto"/>
        <w:jc w:val="both"/>
        <w:rPr>
          <w:b w:val="0"/>
        </w:rPr>
      </w:pPr>
      <w:r w:rsidRPr="000F2494">
        <w:rPr>
          <w:b w:val="0"/>
        </w:rPr>
        <w:t>The variables and results of the sensitivities are identified in the following attachments.</w:t>
      </w:r>
    </w:p>
    <w:p w14:paraId="52B0517B" w14:textId="77777777" w:rsidR="000F2494" w:rsidRDefault="000F2494" w:rsidP="000F2494">
      <w:pPr>
        <w:pStyle w:val="BodyTextIndent"/>
        <w:spacing w:line="360" w:lineRule="auto"/>
        <w:ind w:left="0"/>
        <w:jc w:val="left"/>
      </w:pPr>
    </w:p>
    <w:p w14:paraId="5132AD94" w14:textId="77777777" w:rsidR="000F2494" w:rsidRDefault="000F2494" w:rsidP="000F2494">
      <w:pPr>
        <w:pStyle w:val="BodyTextIndent"/>
        <w:spacing w:line="360" w:lineRule="auto"/>
        <w:ind w:left="0"/>
        <w:jc w:val="left"/>
      </w:pPr>
    </w:p>
    <w:p w14:paraId="2039F510" w14:textId="77777777" w:rsidR="009E003F" w:rsidRDefault="009E003F">
      <w:pPr>
        <w:spacing w:after="200" w:line="276" w:lineRule="auto"/>
        <w:jc w:val="left"/>
      </w:pPr>
      <w:r>
        <w:rPr>
          <w:b w:val="0"/>
        </w:rPr>
        <w:br w:type="page"/>
      </w:r>
    </w:p>
    <w:p w14:paraId="6A7B28AC" w14:textId="42964DC3" w:rsidR="000F2494" w:rsidRDefault="000F2494" w:rsidP="000F2494">
      <w:pPr>
        <w:pStyle w:val="BodyTextIndent"/>
        <w:spacing w:line="360" w:lineRule="auto"/>
        <w:ind w:left="0"/>
        <w:jc w:val="left"/>
        <w:rPr>
          <w:b/>
        </w:rPr>
      </w:pPr>
      <w:r>
        <w:rPr>
          <w:b/>
        </w:rPr>
        <w:t>Attachment 7.1-1: Annual Energy Sensitivity Summary</w:t>
      </w:r>
    </w:p>
    <w:p w14:paraId="7766138B" w14:textId="073F2E8F" w:rsidR="00146EF6" w:rsidRDefault="00DC5756" w:rsidP="000F2494">
      <w:pPr>
        <w:pStyle w:val="BodyTextIndent"/>
        <w:spacing w:line="360" w:lineRule="auto"/>
        <w:ind w:left="0"/>
        <w:jc w:val="left"/>
        <w:rPr>
          <w:b/>
          <w:noProof/>
        </w:rPr>
      </w:pPr>
      <w:r w:rsidRPr="00DC5756">
        <w:rPr>
          <w:b/>
          <w:noProof/>
        </w:rPr>
        <w:drawing>
          <wp:inline distT="0" distB="0" distL="0" distR="0" wp14:anchorId="1FBC3FD9" wp14:editId="05178D57">
            <wp:extent cx="5943600" cy="3854872"/>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5943600" cy="3854872"/>
                    </a:xfrm>
                    <a:prstGeom prst="rect">
                      <a:avLst/>
                    </a:prstGeom>
                    <a:noFill/>
                    <a:ln>
                      <a:noFill/>
                    </a:ln>
                  </pic:spPr>
                </pic:pic>
              </a:graphicData>
            </a:graphic>
          </wp:inline>
        </w:drawing>
      </w:r>
    </w:p>
    <w:p w14:paraId="1B320490" w14:textId="61C53DC5" w:rsidR="00EC4B6F" w:rsidRDefault="00EC4B6F" w:rsidP="000F2494">
      <w:pPr>
        <w:pStyle w:val="BodyTextIndent"/>
        <w:spacing w:line="360" w:lineRule="auto"/>
        <w:ind w:left="0"/>
        <w:jc w:val="left"/>
        <w:rPr>
          <w:b/>
        </w:rPr>
      </w:pPr>
    </w:p>
    <w:p w14:paraId="11D441BA" w14:textId="30B48610" w:rsidR="000F0E17" w:rsidRDefault="000F0E17" w:rsidP="000F0E17">
      <w:pPr>
        <w:pStyle w:val="BodyTextIndent"/>
        <w:spacing w:line="360" w:lineRule="auto"/>
        <w:ind w:left="0"/>
      </w:pPr>
    </w:p>
    <w:p w14:paraId="16EA3DFC" w14:textId="77777777" w:rsidR="000F2494" w:rsidRDefault="000F2494" w:rsidP="000F2494">
      <w:pPr>
        <w:pStyle w:val="BodyTextIndent"/>
        <w:spacing w:line="360" w:lineRule="auto"/>
        <w:ind w:left="0"/>
        <w:jc w:val="left"/>
      </w:pPr>
    </w:p>
    <w:p w14:paraId="3358B5FA" w14:textId="77777777" w:rsidR="000F2494" w:rsidRDefault="000F2494" w:rsidP="000F2494">
      <w:pPr>
        <w:pStyle w:val="BodyTextIndent"/>
        <w:spacing w:line="360" w:lineRule="auto"/>
        <w:ind w:left="0"/>
        <w:jc w:val="left"/>
      </w:pPr>
    </w:p>
    <w:p w14:paraId="6D4A11F5" w14:textId="77777777" w:rsidR="009E003F" w:rsidRDefault="009E003F">
      <w:pPr>
        <w:spacing w:after="200" w:line="276" w:lineRule="auto"/>
        <w:jc w:val="left"/>
      </w:pPr>
      <w:r>
        <w:rPr>
          <w:b w:val="0"/>
        </w:rPr>
        <w:br w:type="page"/>
      </w:r>
    </w:p>
    <w:p w14:paraId="4D9FD18C" w14:textId="28ADC458" w:rsidR="000F2494" w:rsidRDefault="000F2494" w:rsidP="000F2494">
      <w:pPr>
        <w:pStyle w:val="BodyTextIndent"/>
        <w:spacing w:line="360" w:lineRule="auto"/>
        <w:ind w:left="0"/>
        <w:jc w:val="left"/>
        <w:rPr>
          <w:b/>
        </w:rPr>
      </w:pPr>
      <w:r>
        <w:rPr>
          <w:b/>
        </w:rPr>
        <w:t>Attachment 7.1-2: Annual Peak Demand Sensitivity Summary</w:t>
      </w:r>
    </w:p>
    <w:p w14:paraId="2B552EDD" w14:textId="71D807A1" w:rsidR="00146EF6" w:rsidRDefault="00DC5756" w:rsidP="000F2494">
      <w:pPr>
        <w:pStyle w:val="BodyTextIndent"/>
        <w:spacing w:line="360" w:lineRule="auto"/>
        <w:ind w:left="0"/>
        <w:jc w:val="left"/>
        <w:rPr>
          <w:noProof/>
        </w:rPr>
      </w:pPr>
      <w:r w:rsidRPr="00DC5756">
        <w:rPr>
          <w:noProof/>
        </w:rPr>
        <w:drawing>
          <wp:inline distT="0" distB="0" distL="0" distR="0" wp14:anchorId="461C1F64" wp14:editId="74E073A2">
            <wp:extent cx="5943600" cy="3844440"/>
            <wp:effectExtent l="0" t="0" r="0" b="381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943600" cy="3844440"/>
                    </a:xfrm>
                    <a:prstGeom prst="rect">
                      <a:avLst/>
                    </a:prstGeom>
                    <a:noFill/>
                    <a:ln>
                      <a:noFill/>
                    </a:ln>
                  </pic:spPr>
                </pic:pic>
              </a:graphicData>
            </a:graphic>
          </wp:inline>
        </w:drawing>
      </w:r>
    </w:p>
    <w:p w14:paraId="2D522EAC" w14:textId="0B0A451C" w:rsidR="00B61D96" w:rsidRDefault="00B61D96" w:rsidP="000F2494">
      <w:pPr>
        <w:pStyle w:val="BodyTextIndent"/>
        <w:spacing w:line="360" w:lineRule="auto"/>
        <w:ind w:left="0"/>
        <w:jc w:val="left"/>
      </w:pPr>
    </w:p>
    <w:p w14:paraId="0736D748" w14:textId="1887EEDA" w:rsidR="000F2494" w:rsidRDefault="000F2494" w:rsidP="007461B3">
      <w:pPr>
        <w:pStyle w:val="BodyTextIndent"/>
        <w:spacing w:line="360" w:lineRule="auto"/>
        <w:ind w:left="0"/>
      </w:pPr>
    </w:p>
    <w:p w14:paraId="5DED9C74" w14:textId="77777777" w:rsidR="000F2494" w:rsidRDefault="000F2494" w:rsidP="000F2494">
      <w:pPr>
        <w:pStyle w:val="BodyTextIndent"/>
        <w:spacing w:line="360" w:lineRule="auto"/>
        <w:ind w:left="0"/>
        <w:jc w:val="left"/>
      </w:pPr>
    </w:p>
    <w:p w14:paraId="7F97E9ED" w14:textId="77777777" w:rsidR="009E003F" w:rsidRDefault="009E003F">
      <w:pPr>
        <w:spacing w:after="200" w:line="276" w:lineRule="auto"/>
        <w:jc w:val="left"/>
        <w:rPr>
          <w:rFonts w:eastAsiaTheme="majorEastAsia"/>
          <w:bCs/>
          <w:sz w:val="28"/>
          <w:szCs w:val="28"/>
        </w:rPr>
      </w:pPr>
      <w:bookmarkStart w:id="268" w:name="_Toc347120447"/>
      <w:r>
        <w:rPr>
          <w:b w:val="0"/>
        </w:rPr>
        <w:br w:type="page"/>
      </w:r>
    </w:p>
    <w:p w14:paraId="01F6167F" w14:textId="77777777" w:rsidR="00EC1C35" w:rsidRPr="00EC1C35" w:rsidRDefault="00EC1C35" w:rsidP="00EC1C35">
      <w:pPr>
        <w:pStyle w:val="Heading1"/>
        <w:jc w:val="left"/>
        <w:rPr>
          <w:rFonts w:ascii="Arial" w:hAnsi="Arial" w:cs="Arial"/>
          <w:b/>
          <w:color w:val="auto"/>
        </w:rPr>
      </w:pPr>
      <w:bookmarkStart w:id="269" w:name="_Toc535495651"/>
      <w:r w:rsidRPr="00EC1C35">
        <w:rPr>
          <w:rFonts w:ascii="Arial" w:hAnsi="Arial" w:cs="Arial"/>
          <w:b/>
          <w:color w:val="auto"/>
        </w:rPr>
        <w:t>7.2</w:t>
      </w:r>
      <w:r w:rsidRPr="00EC1C35">
        <w:rPr>
          <w:rFonts w:ascii="Arial" w:hAnsi="Arial" w:cs="Arial"/>
          <w:b/>
          <w:color w:val="auto"/>
        </w:rPr>
        <w:tab/>
        <w:t>SCENARIOS</w:t>
      </w:r>
      <w:bookmarkEnd w:id="268"/>
      <w:bookmarkEnd w:id="269"/>
    </w:p>
    <w:p w14:paraId="58C9C11B" w14:textId="77777777" w:rsidR="00EC1C35" w:rsidRPr="003A3426" w:rsidRDefault="00EC1C35" w:rsidP="00EC1C35">
      <w:pPr>
        <w:pStyle w:val="BodyText"/>
      </w:pPr>
    </w:p>
    <w:p w14:paraId="4F0200C7" w14:textId="436CAB2F" w:rsidR="00C933C7" w:rsidRPr="00C933C7" w:rsidRDefault="00C933C7" w:rsidP="00C933C7">
      <w:pPr>
        <w:spacing w:line="360" w:lineRule="auto"/>
        <w:jc w:val="both"/>
        <w:rPr>
          <w:b w:val="0"/>
        </w:rPr>
      </w:pPr>
      <w:r w:rsidRPr="00C933C7">
        <w:rPr>
          <w:b w:val="0"/>
        </w:rPr>
        <w:t xml:space="preserve">Nine scenarios were developed for Budget </w:t>
      </w:r>
      <w:r w:rsidR="0009458C" w:rsidRPr="00C933C7">
        <w:rPr>
          <w:b w:val="0"/>
        </w:rPr>
        <w:t>20</w:t>
      </w:r>
      <w:r w:rsidR="0009458C">
        <w:rPr>
          <w:b w:val="0"/>
        </w:rPr>
        <w:t>19</w:t>
      </w:r>
      <w:r w:rsidR="0009458C" w:rsidRPr="00C933C7">
        <w:rPr>
          <w:b w:val="0"/>
        </w:rPr>
        <w:t xml:space="preserve"> </w:t>
      </w:r>
      <w:r w:rsidRPr="00C933C7">
        <w:rPr>
          <w:b w:val="0"/>
        </w:rPr>
        <w:t>to evaluate the effects of different potential combinations of CO</w:t>
      </w:r>
      <w:r w:rsidRPr="00C933C7">
        <w:rPr>
          <w:b w:val="0"/>
          <w:vertAlign w:val="subscript"/>
        </w:rPr>
        <w:t xml:space="preserve">2 </w:t>
      </w:r>
      <w:r w:rsidRPr="00C933C7">
        <w:rPr>
          <w:b w:val="0"/>
        </w:rPr>
        <w:t>and fuel forecasts. The fuel scenarios are</w:t>
      </w:r>
      <w:r w:rsidR="00366CBD">
        <w:rPr>
          <w:b w:val="0"/>
        </w:rPr>
        <w:t>:</w:t>
      </w:r>
      <w:r w:rsidRPr="00C933C7">
        <w:rPr>
          <w:b w:val="0"/>
        </w:rPr>
        <w:t xml:space="preserve"> 1) Low</w:t>
      </w:r>
      <w:r w:rsidR="00366CBD">
        <w:rPr>
          <w:b w:val="0"/>
        </w:rPr>
        <w:t>;</w:t>
      </w:r>
      <w:r w:rsidRPr="00C933C7">
        <w:rPr>
          <w:b w:val="0"/>
        </w:rPr>
        <w:t xml:space="preserve"> 2) M</w:t>
      </w:r>
      <w:r w:rsidR="001771BD">
        <w:rPr>
          <w:b w:val="0"/>
        </w:rPr>
        <w:t>edium</w:t>
      </w:r>
      <w:r w:rsidRPr="00C933C7">
        <w:rPr>
          <w:b w:val="0"/>
        </w:rPr>
        <w:t xml:space="preserve"> (the basis for the “Base Case” energy forecast)</w:t>
      </w:r>
      <w:r w:rsidR="00366CBD">
        <w:rPr>
          <w:b w:val="0"/>
        </w:rPr>
        <w:t>;</w:t>
      </w:r>
      <w:r w:rsidRPr="00C933C7">
        <w:rPr>
          <w:b w:val="0"/>
        </w:rPr>
        <w:t xml:space="preserve"> and 3) High. Potential carbon </w:t>
      </w:r>
      <w:r w:rsidR="00D13256">
        <w:rPr>
          <w:b w:val="0"/>
        </w:rPr>
        <w:t>pressure</w:t>
      </w:r>
      <w:r w:rsidRPr="00C933C7">
        <w:rPr>
          <w:b w:val="0"/>
        </w:rPr>
        <w:t xml:space="preserve"> was modeled as a tax on the economy at varying prices resulting in differing economic conditions. The levels of the carbon cost used are</w:t>
      </w:r>
      <w:r w:rsidR="00366CBD">
        <w:rPr>
          <w:b w:val="0"/>
        </w:rPr>
        <w:t>:</w:t>
      </w:r>
      <w:r w:rsidRPr="00C933C7">
        <w:rPr>
          <w:b w:val="0"/>
        </w:rPr>
        <w:t xml:space="preserve"> 1) </w:t>
      </w:r>
      <w:r w:rsidR="00026492">
        <w:rPr>
          <w:b w:val="0"/>
        </w:rPr>
        <w:t>$0</w:t>
      </w:r>
      <w:r w:rsidRPr="00C933C7">
        <w:rPr>
          <w:b w:val="0"/>
        </w:rPr>
        <w:t xml:space="preserve"> CO</w:t>
      </w:r>
      <w:r w:rsidRPr="00C933C7">
        <w:rPr>
          <w:b w:val="0"/>
          <w:vertAlign w:val="subscript"/>
        </w:rPr>
        <w:t>2</w:t>
      </w:r>
      <w:r w:rsidRPr="00C933C7">
        <w:rPr>
          <w:b w:val="0"/>
        </w:rPr>
        <w:t xml:space="preserve"> (the basis for the “Base Case” energy forecast)</w:t>
      </w:r>
      <w:r w:rsidR="00366CBD">
        <w:rPr>
          <w:b w:val="0"/>
        </w:rPr>
        <w:t>;</w:t>
      </w:r>
      <w:r w:rsidRPr="00C933C7">
        <w:rPr>
          <w:b w:val="0"/>
        </w:rPr>
        <w:t xml:space="preserve"> 2) </w:t>
      </w:r>
      <w:r w:rsidR="00134C1B">
        <w:rPr>
          <w:b w:val="0"/>
        </w:rPr>
        <w:t>$</w:t>
      </w:r>
      <w:r w:rsidRPr="00C933C7">
        <w:rPr>
          <w:b w:val="0"/>
        </w:rPr>
        <w:t>10 CO</w:t>
      </w:r>
      <w:r w:rsidRPr="00C933C7">
        <w:rPr>
          <w:b w:val="0"/>
          <w:vertAlign w:val="subscript"/>
        </w:rPr>
        <w:t>2</w:t>
      </w:r>
      <w:r w:rsidR="00366CBD">
        <w:rPr>
          <w:b w:val="0"/>
          <w:vertAlign w:val="subscript"/>
        </w:rPr>
        <w:t>;</w:t>
      </w:r>
      <w:r w:rsidRPr="00C933C7">
        <w:rPr>
          <w:b w:val="0"/>
        </w:rPr>
        <w:t xml:space="preserve"> and 3) </w:t>
      </w:r>
      <w:r w:rsidR="00134C1B">
        <w:rPr>
          <w:b w:val="0"/>
        </w:rPr>
        <w:t>$</w:t>
      </w:r>
      <w:r w:rsidRPr="00C933C7">
        <w:rPr>
          <w:b w:val="0"/>
        </w:rPr>
        <w:t>20 CO</w:t>
      </w:r>
      <w:r w:rsidRPr="00C933C7">
        <w:rPr>
          <w:b w:val="0"/>
          <w:vertAlign w:val="subscript"/>
        </w:rPr>
        <w:t>2</w:t>
      </w:r>
      <w:r w:rsidRPr="00C933C7">
        <w:rPr>
          <w:b w:val="0"/>
        </w:rPr>
        <w:t xml:space="preserve">. Charles River Associates (“CRA”), a leading economic consulting firm, was engaged to develop economic models that could be used to investigate the effects of various carbon costs on the economy.  </w:t>
      </w:r>
    </w:p>
    <w:p w14:paraId="1AE4A637" w14:textId="77777777" w:rsidR="00C933C7" w:rsidRPr="00C933C7" w:rsidRDefault="00C933C7" w:rsidP="00C933C7">
      <w:pPr>
        <w:spacing w:line="360" w:lineRule="auto"/>
        <w:jc w:val="both"/>
        <w:rPr>
          <w:b w:val="0"/>
        </w:rPr>
      </w:pPr>
    </w:p>
    <w:p w14:paraId="50C9503D" w14:textId="70CC8210" w:rsidR="00C933C7" w:rsidRPr="00C933C7" w:rsidRDefault="00C933C7" w:rsidP="00C933C7">
      <w:pPr>
        <w:spacing w:line="360" w:lineRule="auto"/>
        <w:jc w:val="both"/>
        <w:rPr>
          <w:b w:val="0"/>
        </w:rPr>
      </w:pPr>
      <w:r w:rsidRPr="00C933C7">
        <w:rPr>
          <w:b w:val="0"/>
        </w:rPr>
        <w:t xml:space="preserve">Each of the nine cases was created by comparing the “Base Case” residential, commercial, and industrial outcomes with respect to electricity demand with the same variables in the scenario case. Multipliers derived from this comparison were used to adjust residential, commercial, and industrial energy use and demand forecasts at the Southern Company level using </w:t>
      </w:r>
      <w:r w:rsidR="00283A85" w:rsidRPr="00C933C7">
        <w:rPr>
          <w:b w:val="0"/>
        </w:rPr>
        <w:t>LoadM</w:t>
      </w:r>
      <w:r w:rsidR="00283A85">
        <w:rPr>
          <w:b w:val="0"/>
        </w:rPr>
        <w:t>AP</w:t>
      </w:r>
      <w:r w:rsidR="00283A85" w:rsidRPr="00C933C7">
        <w:rPr>
          <w:b w:val="0"/>
        </w:rPr>
        <w:t xml:space="preserve"> </w:t>
      </w:r>
      <w:r w:rsidRPr="00C933C7">
        <w:rPr>
          <w:b w:val="0"/>
        </w:rPr>
        <w:t xml:space="preserve">and PDM. </w:t>
      </w:r>
      <w:r w:rsidRPr="00A3563D">
        <w:rPr>
          <w:b w:val="0"/>
        </w:rPr>
        <w:t>Southern Company results were then allocated across the four retail operating companies, Georgia Power, Alabama Power, Mississippi Power, and Gulf Power</w:t>
      </w:r>
      <w:r w:rsidR="00366CBD">
        <w:rPr>
          <w:rStyle w:val="FootnoteReference"/>
          <w:b w:val="0"/>
        </w:rPr>
        <w:footnoteReference w:id="1"/>
      </w:r>
      <w:r w:rsidRPr="00A3563D">
        <w:rPr>
          <w:b w:val="0"/>
        </w:rPr>
        <w:t>.</w:t>
      </w:r>
    </w:p>
    <w:p w14:paraId="56182035" w14:textId="77777777" w:rsidR="00C933C7" w:rsidRPr="00C933C7" w:rsidRDefault="00C933C7" w:rsidP="00C933C7">
      <w:pPr>
        <w:spacing w:line="360" w:lineRule="auto"/>
        <w:jc w:val="both"/>
        <w:rPr>
          <w:b w:val="0"/>
        </w:rPr>
      </w:pPr>
    </w:p>
    <w:p w14:paraId="7698683E" w14:textId="00E5BBC6" w:rsidR="00C933C7" w:rsidRPr="00C933C7" w:rsidRDefault="00C933C7" w:rsidP="00C933C7">
      <w:pPr>
        <w:spacing w:line="360" w:lineRule="auto"/>
        <w:jc w:val="both"/>
        <w:rPr>
          <w:b w:val="0"/>
        </w:rPr>
      </w:pPr>
      <w:r w:rsidRPr="00C933C7">
        <w:rPr>
          <w:b w:val="0"/>
        </w:rPr>
        <w:t xml:space="preserve">These scenarios were done to identify impacts to the energy and peak demand forecasts pursuant to the matrix of fuel forecasts and carbon costs. </w:t>
      </w:r>
    </w:p>
    <w:p w14:paraId="4FE40E4E" w14:textId="77777777" w:rsidR="00C933C7" w:rsidRPr="00C933C7" w:rsidRDefault="00C933C7" w:rsidP="00C933C7">
      <w:pPr>
        <w:spacing w:line="360" w:lineRule="auto"/>
        <w:jc w:val="both"/>
        <w:rPr>
          <w:b w:val="0"/>
        </w:rPr>
      </w:pPr>
    </w:p>
    <w:p w14:paraId="7B05A2DE" w14:textId="77777777" w:rsidR="00C933C7" w:rsidRPr="00C933C7" w:rsidRDefault="00C933C7" w:rsidP="00C933C7">
      <w:pPr>
        <w:spacing w:line="360" w:lineRule="auto"/>
        <w:jc w:val="both"/>
        <w:rPr>
          <w:b w:val="0"/>
        </w:rPr>
      </w:pPr>
      <w:r w:rsidRPr="00C933C7">
        <w:rPr>
          <w:b w:val="0"/>
        </w:rPr>
        <w:t>The formulaic description for the process for each forecast year is:</w:t>
      </w:r>
    </w:p>
    <w:p w14:paraId="22462B5E" w14:textId="77777777" w:rsidR="00C933C7" w:rsidRPr="00C933C7" w:rsidRDefault="00C933C7" w:rsidP="00C933C7">
      <w:pPr>
        <w:spacing w:line="360" w:lineRule="auto"/>
        <w:jc w:val="both"/>
        <w:rPr>
          <w:b w:val="0"/>
        </w:rPr>
      </w:pPr>
    </w:p>
    <w:p w14:paraId="78FA6D6B" w14:textId="77777777" w:rsidR="00C933C7" w:rsidRPr="00C933C7" w:rsidRDefault="00C933C7" w:rsidP="00C933C7">
      <w:pPr>
        <w:spacing w:line="360" w:lineRule="auto"/>
        <w:jc w:val="both"/>
        <w:rPr>
          <w:b w:val="0"/>
        </w:rPr>
      </w:pPr>
      <w:r w:rsidRPr="00C933C7">
        <w:rPr>
          <w:b w:val="0"/>
        </w:rPr>
        <w:t>• CRA change case electricity demand ÷ CRA base case electricity demand = Scenario variable multiplier</w:t>
      </w:r>
    </w:p>
    <w:p w14:paraId="3A448B85" w14:textId="77777777" w:rsidR="00C933C7" w:rsidRPr="00C933C7" w:rsidRDefault="00C933C7" w:rsidP="00C933C7">
      <w:pPr>
        <w:spacing w:line="360" w:lineRule="auto"/>
        <w:jc w:val="both"/>
        <w:rPr>
          <w:b w:val="0"/>
        </w:rPr>
      </w:pPr>
    </w:p>
    <w:p w14:paraId="72A94BA6" w14:textId="6199173D" w:rsidR="00C933C7" w:rsidRPr="00C933C7" w:rsidRDefault="00C933C7" w:rsidP="00C933C7">
      <w:pPr>
        <w:spacing w:line="360" w:lineRule="auto"/>
        <w:jc w:val="both"/>
        <w:rPr>
          <w:b w:val="0"/>
        </w:rPr>
      </w:pPr>
      <w:r w:rsidRPr="00C933C7">
        <w:rPr>
          <w:b w:val="0"/>
        </w:rPr>
        <w:t xml:space="preserve">• Unadjusted Budget </w:t>
      </w:r>
      <w:r w:rsidR="00BA400F" w:rsidRPr="00C933C7">
        <w:rPr>
          <w:b w:val="0"/>
        </w:rPr>
        <w:t>20</w:t>
      </w:r>
      <w:r w:rsidR="00BA400F">
        <w:rPr>
          <w:b w:val="0"/>
        </w:rPr>
        <w:t>19</w:t>
      </w:r>
      <w:r w:rsidR="00BA400F" w:rsidRPr="00C933C7">
        <w:rPr>
          <w:b w:val="0"/>
        </w:rPr>
        <w:t xml:space="preserve"> </w:t>
      </w:r>
      <w:r w:rsidRPr="00C933C7">
        <w:rPr>
          <w:b w:val="0"/>
        </w:rPr>
        <w:t>class-level energy in end</w:t>
      </w:r>
      <w:r w:rsidR="00366CBD">
        <w:rPr>
          <w:b w:val="0"/>
        </w:rPr>
        <w:t>-</w:t>
      </w:r>
      <w:r w:rsidRPr="00C933C7">
        <w:rPr>
          <w:b w:val="0"/>
        </w:rPr>
        <w:t>use model x Scenario variable multiplier = Adjusted class-level energy used for scenario energy forecast</w:t>
      </w:r>
    </w:p>
    <w:p w14:paraId="63C81371" w14:textId="77777777" w:rsidR="00C933C7" w:rsidRPr="00C933C7" w:rsidRDefault="00C933C7" w:rsidP="00C933C7">
      <w:pPr>
        <w:spacing w:line="360" w:lineRule="auto"/>
        <w:jc w:val="both"/>
        <w:rPr>
          <w:b w:val="0"/>
        </w:rPr>
      </w:pPr>
    </w:p>
    <w:p w14:paraId="0D9EC4E0" w14:textId="384B1C90" w:rsidR="00C933C7" w:rsidRPr="00C933C7" w:rsidRDefault="00C933C7" w:rsidP="00C933C7">
      <w:pPr>
        <w:spacing w:line="360" w:lineRule="auto"/>
        <w:jc w:val="both"/>
        <w:rPr>
          <w:b w:val="0"/>
        </w:rPr>
      </w:pPr>
      <w:r w:rsidRPr="00A3563D">
        <w:rPr>
          <w:b w:val="0"/>
        </w:rPr>
        <w:t>Once all years are calculated for all classes, they are combined for the Southern Company scenario energy forecast.</w:t>
      </w:r>
    </w:p>
    <w:p w14:paraId="1EF36B4B" w14:textId="77777777" w:rsidR="00C933C7" w:rsidRPr="00C933C7" w:rsidRDefault="00C933C7" w:rsidP="00C933C7">
      <w:pPr>
        <w:spacing w:line="360" w:lineRule="auto"/>
        <w:jc w:val="both"/>
        <w:rPr>
          <w:b w:val="0"/>
        </w:rPr>
      </w:pPr>
    </w:p>
    <w:p w14:paraId="7B67CC46" w14:textId="142CB429" w:rsidR="00C933C7" w:rsidRPr="00C933C7" w:rsidRDefault="00C933C7" w:rsidP="00C933C7">
      <w:pPr>
        <w:spacing w:line="360" w:lineRule="auto"/>
        <w:jc w:val="both"/>
        <w:rPr>
          <w:b w:val="0"/>
        </w:rPr>
      </w:pPr>
      <w:r w:rsidRPr="00C933C7">
        <w:rPr>
          <w:b w:val="0"/>
        </w:rPr>
        <w:t xml:space="preserve">The CRA model outputs include estimated impacts on retail energy by customer class and the CRA energy changes can be applied directly to internal energy projections. Estimating the effects of natural gas/carbon cost combinations on peak demand is more difficult than on energy use, because changes in energy by class will typically result in a change in the class composition of the total system shape. The shares of residential, commercial, and industrial energy use in the total system will generally change. Each of these customer classes exhibits different hourly patterns, and these differences in load shapes mean that the change in total peak demand will not equal the change in total energy. </w:t>
      </w:r>
      <w:r w:rsidR="00D56953">
        <w:rPr>
          <w:b w:val="0"/>
        </w:rPr>
        <w:t>Because of time and resource constraints, it was impractical to re-run each of the operating companies’ PDM models for all scenarios. As a result, a simplified method of estimating a new total system peak demand was developed.</w:t>
      </w:r>
      <w:r w:rsidR="0008039D">
        <w:rPr>
          <w:b w:val="0"/>
        </w:rPr>
        <w:t xml:space="preserve">  </w:t>
      </w:r>
    </w:p>
    <w:p w14:paraId="581483D4" w14:textId="77777777" w:rsidR="00C933C7" w:rsidRPr="00C933C7" w:rsidRDefault="00C933C7" w:rsidP="00C933C7">
      <w:pPr>
        <w:spacing w:line="360" w:lineRule="auto"/>
        <w:jc w:val="both"/>
        <w:rPr>
          <w:b w:val="0"/>
        </w:rPr>
      </w:pPr>
    </w:p>
    <w:p w14:paraId="26123329" w14:textId="1AFC8F34" w:rsidR="0008039D" w:rsidRDefault="0008039D" w:rsidP="0008039D">
      <w:pPr>
        <w:spacing w:line="360" w:lineRule="auto"/>
        <w:jc w:val="both"/>
        <w:rPr>
          <w:b w:val="0"/>
        </w:rPr>
      </w:pPr>
      <w:r w:rsidRPr="00C933C7">
        <w:rPr>
          <w:b w:val="0"/>
        </w:rPr>
        <w:t xml:space="preserve">If the diversity factor for each class remains constant across the various scenarios, a new total system peak demand can be estimated by calculating </w:t>
      </w:r>
      <w:r w:rsidR="00110129">
        <w:rPr>
          <w:b w:val="0"/>
        </w:rPr>
        <w:t xml:space="preserve">a </w:t>
      </w:r>
      <w:r w:rsidRPr="00C933C7">
        <w:rPr>
          <w:b w:val="0"/>
        </w:rPr>
        <w:t xml:space="preserve">new </w:t>
      </w:r>
      <w:r w:rsidR="00110129">
        <w:rPr>
          <w:b w:val="0"/>
        </w:rPr>
        <w:t>non-coincident peak (“</w:t>
      </w:r>
      <w:r w:rsidRPr="00C933C7">
        <w:rPr>
          <w:b w:val="0"/>
        </w:rPr>
        <w:t>NCP</w:t>
      </w:r>
      <w:r w:rsidR="00110129">
        <w:rPr>
          <w:b w:val="0"/>
        </w:rPr>
        <w:t>”)</w:t>
      </w:r>
      <w:r w:rsidRPr="00C933C7">
        <w:rPr>
          <w:b w:val="0"/>
        </w:rPr>
        <w:t xml:space="preserve"> and </w:t>
      </w:r>
      <w:r w:rsidR="00110129">
        <w:rPr>
          <w:b w:val="0"/>
        </w:rPr>
        <w:t xml:space="preserve">a </w:t>
      </w:r>
      <w:r w:rsidRPr="00C933C7">
        <w:rPr>
          <w:b w:val="0"/>
        </w:rPr>
        <w:t xml:space="preserve">new </w:t>
      </w:r>
      <w:r w:rsidR="00110129">
        <w:rPr>
          <w:b w:val="0"/>
        </w:rPr>
        <w:t>coincident peak (“</w:t>
      </w:r>
      <w:r w:rsidRPr="00C933C7">
        <w:rPr>
          <w:b w:val="0"/>
        </w:rPr>
        <w:t>CP</w:t>
      </w:r>
      <w:r w:rsidR="00110129">
        <w:rPr>
          <w:b w:val="0"/>
        </w:rPr>
        <w:t>”)</w:t>
      </w:r>
      <w:r w:rsidRPr="00C933C7">
        <w:rPr>
          <w:b w:val="0"/>
        </w:rPr>
        <w:t xml:space="preserve"> for each class.</w:t>
      </w:r>
    </w:p>
    <w:p w14:paraId="234168E3" w14:textId="77777777" w:rsidR="0008039D" w:rsidRPr="00C933C7" w:rsidRDefault="0008039D" w:rsidP="0008039D">
      <w:pPr>
        <w:spacing w:line="360" w:lineRule="auto"/>
        <w:jc w:val="both"/>
        <w:rPr>
          <w:b w:val="0"/>
        </w:rPr>
      </w:pPr>
    </w:p>
    <w:p w14:paraId="1F61A0C3" w14:textId="29E66E5F" w:rsidR="00C933C7" w:rsidRPr="00C933C7" w:rsidRDefault="00C933C7" w:rsidP="00C933C7">
      <w:pPr>
        <w:spacing w:line="360" w:lineRule="auto"/>
        <w:jc w:val="both"/>
        <w:rPr>
          <w:b w:val="0"/>
        </w:rPr>
      </w:pPr>
      <w:r w:rsidRPr="00C933C7">
        <w:rPr>
          <w:b w:val="0"/>
        </w:rPr>
        <w:t>The change in total peak demand will differ from the change in total energy if there is a change in the class composition. But, for a single class, the change in NCP is the same as the change in energy if a constant load factor is a function of the CP of that class and the CP is a function of the NCP and the diversity factor for that class.</w:t>
      </w:r>
    </w:p>
    <w:p w14:paraId="7F611993" w14:textId="77777777" w:rsidR="00C933C7" w:rsidRPr="00C933C7" w:rsidRDefault="00C933C7" w:rsidP="00C933C7">
      <w:pPr>
        <w:spacing w:line="360" w:lineRule="auto"/>
        <w:jc w:val="both"/>
        <w:rPr>
          <w:b w:val="0"/>
        </w:rPr>
      </w:pPr>
    </w:p>
    <w:p w14:paraId="4B1F1A35" w14:textId="5FF86614" w:rsidR="00B946B8" w:rsidRDefault="00C933C7" w:rsidP="00C933C7">
      <w:pPr>
        <w:spacing w:line="360" w:lineRule="auto"/>
        <w:jc w:val="both"/>
        <w:rPr>
          <w:b w:val="0"/>
        </w:rPr>
      </w:pPr>
      <w:r w:rsidRPr="00C933C7">
        <w:rPr>
          <w:b w:val="0"/>
        </w:rPr>
        <w:t>The key assumptions for this result are: 1) for each class, load factors are not affected by changes in energy, and 2) diversity factors for each class are not affected by changes in the total system’s class composition for energy. Diversity factors remain the same even if energy shares by class change.</w:t>
      </w:r>
      <w:r w:rsidR="00B946B8">
        <w:rPr>
          <w:b w:val="0"/>
        </w:rPr>
        <w:t xml:space="preserve">  </w:t>
      </w:r>
    </w:p>
    <w:p w14:paraId="033D3C33" w14:textId="77777777" w:rsidR="00B946B8" w:rsidRDefault="00B946B8" w:rsidP="00C933C7">
      <w:pPr>
        <w:spacing w:line="360" w:lineRule="auto"/>
        <w:jc w:val="both"/>
        <w:rPr>
          <w:b w:val="0"/>
        </w:rPr>
      </w:pPr>
    </w:p>
    <w:p w14:paraId="5F3B14F1" w14:textId="57710886" w:rsidR="00C933C7" w:rsidRPr="00C933C7" w:rsidRDefault="00B946B8" w:rsidP="00C933C7">
      <w:pPr>
        <w:spacing w:line="360" w:lineRule="auto"/>
        <w:jc w:val="both"/>
        <w:rPr>
          <w:b w:val="0"/>
        </w:rPr>
      </w:pPr>
      <w:r>
        <w:rPr>
          <w:b w:val="0"/>
        </w:rPr>
        <w:t>The next page contains an illustration of the simplified method of estimating the new total system peak for each scenario.</w:t>
      </w:r>
    </w:p>
    <w:p w14:paraId="789F4607" w14:textId="77777777" w:rsidR="0008039D" w:rsidRDefault="0008039D">
      <w:pPr>
        <w:spacing w:after="200" w:line="276" w:lineRule="auto"/>
        <w:jc w:val="left"/>
        <w:rPr>
          <w:b w:val="0"/>
          <w:u w:val="single"/>
        </w:rPr>
      </w:pPr>
      <w:r>
        <w:rPr>
          <w:b w:val="0"/>
          <w:u w:val="single"/>
        </w:rPr>
        <w:br w:type="page"/>
      </w:r>
    </w:p>
    <w:p w14:paraId="114E81A4" w14:textId="77777777" w:rsidR="00C933C7" w:rsidRPr="00C933C7" w:rsidRDefault="00C933C7" w:rsidP="00C933C7">
      <w:pPr>
        <w:spacing w:line="360" w:lineRule="auto"/>
        <w:jc w:val="both"/>
        <w:rPr>
          <w:b w:val="0"/>
        </w:rPr>
      </w:pPr>
      <w:r w:rsidRPr="00C933C7">
        <w:rPr>
          <w:b w:val="0"/>
          <w:u w:val="single"/>
        </w:rPr>
        <w:t>Example</w:t>
      </w:r>
      <w:r w:rsidRPr="00C933C7">
        <w:rPr>
          <w:b w:val="0"/>
        </w:rPr>
        <w:t>:  Assume a given system with the following:</w:t>
      </w:r>
    </w:p>
    <w:p w14:paraId="0BD0373D" w14:textId="77777777" w:rsidR="00C933C7" w:rsidRPr="00C933C7" w:rsidRDefault="00C933C7" w:rsidP="00C933C7">
      <w:pPr>
        <w:spacing w:line="360" w:lineRule="auto"/>
        <w:jc w:val="lef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5"/>
        <w:gridCol w:w="1317"/>
        <w:gridCol w:w="1389"/>
        <w:gridCol w:w="1162"/>
        <w:gridCol w:w="987"/>
      </w:tblGrid>
      <w:tr w:rsidR="00C933C7" w:rsidRPr="00C933C7" w14:paraId="6878154D" w14:textId="77777777" w:rsidTr="00B946B8">
        <w:trPr>
          <w:trHeight w:val="367"/>
        </w:trPr>
        <w:tc>
          <w:tcPr>
            <w:tcW w:w="1585" w:type="dxa"/>
          </w:tcPr>
          <w:p w14:paraId="4DE3DDA6" w14:textId="77777777" w:rsidR="00C933C7" w:rsidRPr="00B946B8" w:rsidRDefault="00C933C7" w:rsidP="00C933C7">
            <w:pPr>
              <w:spacing w:line="360" w:lineRule="auto"/>
              <w:jc w:val="left"/>
              <w:rPr>
                <w:sz w:val="18"/>
              </w:rPr>
            </w:pPr>
          </w:p>
        </w:tc>
        <w:tc>
          <w:tcPr>
            <w:tcW w:w="1317" w:type="dxa"/>
          </w:tcPr>
          <w:p w14:paraId="39BB15E0" w14:textId="77777777" w:rsidR="00C933C7" w:rsidRPr="00B946B8" w:rsidRDefault="00C933C7" w:rsidP="00C933C7">
            <w:pPr>
              <w:spacing w:line="360" w:lineRule="auto"/>
              <w:jc w:val="left"/>
              <w:rPr>
                <w:sz w:val="18"/>
              </w:rPr>
            </w:pPr>
            <w:r w:rsidRPr="00B946B8">
              <w:rPr>
                <w:sz w:val="18"/>
              </w:rPr>
              <w:t>Residential</w:t>
            </w:r>
          </w:p>
        </w:tc>
        <w:tc>
          <w:tcPr>
            <w:tcW w:w="1389" w:type="dxa"/>
          </w:tcPr>
          <w:p w14:paraId="594313C8" w14:textId="77777777" w:rsidR="00C933C7" w:rsidRPr="00B946B8" w:rsidRDefault="00C933C7" w:rsidP="00C933C7">
            <w:pPr>
              <w:spacing w:line="360" w:lineRule="auto"/>
              <w:jc w:val="left"/>
              <w:rPr>
                <w:sz w:val="18"/>
              </w:rPr>
            </w:pPr>
            <w:r w:rsidRPr="00B946B8">
              <w:rPr>
                <w:sz w:val="18"/>
              </w:rPr>
              <w:t>Commercial</w:t>
            </w:r>
          </w:p>
        </w:tc>
        <w:tc>
          <w:tcPr>
            <w:tcW w:w="1162" w:type="dxa"/>
          </w:tcPr>
          <w:p w14:paraId="7D5ABE96" w14:textId="77777777" w:rsidR="00C933C7" w:rsidRPr="00B946B8" w:rsidRDefault="00C933C7" w:rsidP="00C933C7">
            <w:pPr>
              <w:spacing w:line="360" w:lineRule="auto"/>
              <w:jc w:val="left"/>
              <w:rPr>
                <w:sz w:val="18"/>
              </w:rPr>
            </w:pPr>
            <w:r w:rsidRPr="00B946B8">
              <w:rPr>
                <w:sz w:val="18"/>
              </w:rPr>
              <w:t>Industrial</w:t>
            </w:r>
          </w:p>
        </w:tc>
        <w:tc>
          <w:tcPr>
            <w:tcW w:w="987" w:type="dxa"/>
          </w:tcPr>
          <w:p w14:paraId="1D4E8604" w14:textId="77777777" w:rsidR="00C933C7" w:rsidRPr="00B946B8" w:rsidRDefault="00C933C7" w:rsidP="00C933C7">
            <w:pPr>
              <w:spacing w:line="360" w:lineRule="auto"/>
              <w:jc w:val="left"/>
              <w:rPr>
                <w:sz w:val="18"/>
              </w:rPr>
            </w:pPr>
            <w:r w:rsidRPr="00B946B8">
              <w:rPr>
                <w:sz w:val="18"/>
              </w:rPr>
              <w:t>System</w:t>
            </w:r>
          </w:p>
        </w:tc>
      </w:tr>
      <w:tr w:rsidR="00C933C7" w:rsidRPr="00C933C7" w14:paraId="1D9A2002" w14:textId="77777777" w:rsidTr="00B946B8">
        <w:trPr>
          <w:trHeight w:val="385"/>
        </w:trPr>
        <w:tc>
          <w:tcPr>
            <w:tcW w:w="1585" w:type="dxa"/>
          </w:tcPr>
          <w:p w14:paraId="61D6209C" w14:textId="77777777" w:rsidR="00C933C7" w:rsidRPr="00B946B8" w:rsidRDefault="00C933C7" w:rsidP="00C933C7">
            <w:pPr>
              <w:spacing w:line="360" w:lineRule="auto"/>
              <w:jc w:val="left"/>
              <w:rPr>
                <w:sz w:val="18"/>
              </w:rPr>
            </w:pPr>
            <w:r w:rsidRPr="00B946B8">
              <w:rPr>
                <w:sz w:val="18"/>
              </w:rPr>
              <w:t>Energy (GWH)</w:t>
            </w:r>
          </w:p>
        </w:tc>
        <w:tc>
          <w:tcPr>
            <w:tcW w:w="1317" w:type="dxa"/>
          </w:tcPr>
          <w:p w14:paraId="6EADE140" w14:textId="77777777" w:rsidR="00C933C7" w:rsidRPr="00B946B8" w:rsidRDefault="00C933C7" w:rsidP="00C933C7">
            <w:pPr>
              <w:spacing w:line="360" w:lineRule="auto"/>
              <w:jc w:val="left"/>
              <w:rPr>
                <w:sz w:val="18"/>
              </w:rPr>
            </w:pPr>
            <w:r w:rsidRPr="00B946B8">
              <w:rPr>
                <w:sz w:val="18"/>
              </w:rPr>
              <w:t>10,000</w:t>
            </w:r>
          </w:p>
        </w:tc>
        <w:tc>
          <w:tcPr>
            <w:tcW w:w="1389" w:type="dxa"/>
          </w:tcPr>
          <w:p w14:paraId="1FA759A0" w14:textId="77777777" w:rsidR="00C933C7" w:rsidRPr="00B946B8" w:rsidRDefault="00C933C7" w:rsidP="00C933C7">
            <w:pPr>
              <w:spacing w:line="360" w:lineRule="auto"/>
              <w:jc w:val="left"/>
              <w:rPr>
                <w:sz w:val="18"/>
              </w:rPr>
            </w:pPr>
            <w:r w:rsidRPr="00B946B8">
              <w:rPr>
                <w:sz w:val="18"/>
              </w:rPr>
              <w:t>10,000</w:t>
            </w:r>
          </w:p>
        </w:tc>
        <w:tc>
          <w:tcPr>
            <w:tcW w:w="1162" w:type="dxa"/>
          </w:tcPr>
          <w:p w14:paraId="72260EE3" w14:textId="77777777" w:rsidR="00C933C7" w:rsidRPr="00B946B8" w:rsidRDefault="00C933C7" w:rsidP="00C933C7">
            <w:pPr>
              <w:spacing w:line="360" w:lineRule="auto"/>
              <w:jc w:val="left"/>
              <w:rPr>
                <w:sz w:val="18"/>
              </w:rPr>
            </w:pPr>
            <w:r w:rsidRPr="00B946B8">
              <w:rPr>
                <w:sz w:val="18"/>
              </w:rPr>
              <w:t>10,000</w:t>
            </w:r>
          </w:p>
        </w:tc>
        <w:tc>
          <w:tcPr>
            <w:tcW w:w="987" w:type="dxa"/>
          </w:tcPr>
          <w:p w14:paraId="39160A69" w14:textId="77777777" w:rsidR="00C933C7" w:rsidRPr="00B946B8" w:rsidRDefault="00C933C7" w:rsidP="00C933C7">
            <w:pPr>
              <w:spacing w:line="360" w:lineRule="auto"/>
              <w:jc w:val="left"/>
              <w:rPr>
                <w:sz w:val="18"/>
              </w:rPr>
            </w:pPr>
            <w:r w:rsidRPr="00B946B8">
              <w:rPr>
                <w:sz w:val="18"/>
              </w:rPr>
              <w:t>30,000</w:t>
            </w:r>
          </w:p>
        </w:tc>
      </w:tr>
      <w:tr w:rsidR="00C933C7" w:rsidRPr="00C933C7" w14:paraId="695B0E6D" w14:textId="77777777" w:rsidTr="00B946B8">
        <w:trPr>
          <w:trHeight w:val="332"/>
        </w:trPr>
        <w:tc>
          <w:tcPr>
            <w:tcW w:w="1585" w:type="dxa"/>
          </w:tcPr>
          <w:p w14:paraId="3CCAB99A" w14:textId="77777777" w:rsidR="00C933C7" w:rsidRPr="00B946B8" w:rsidRDefault="00C933C7" w:rsidP="00C933C7">
            <w:pPr>
              <w:spacing w:line="360" w:lineRule="auto"/>
              <w:jc w:val="left"/>
              <w:rPr>
                <w:sz w:val="18"/>
              </w:rPr>
            </w:pPr>
            <w:r w:rsidRPr="00B946B8">
              <w:rPr>
                <w:sz w:val="18"/>
              </w:rPr>
              <w:t>Load factor</w:t>
            </w:r>
          </w:p>
        </w:tc>
        <w:tc>
          <w:tcPr>
            <w:tcW w:w="1317" w:type="dxa"/>
          </w:tcPr>
          <w:p w14:paraId="483F30B9" w14:textId="77777777" w:rsidR="00C933C7" w:rsidRPr="00B946B8" w:rsidRDefault="00C933C7" w:rsidP="00C933C7">
            <w:pPr>
              <w:spacing w:line="360" w:lineRule="auto"/>
              <w:jc w:val="left"/>
              <w:rPr>
                <w:sz w:val="18"/>
              </w:rPr>
            </w:pPr>
            <w:r w:rsidRPr="00B946B8">
              <w:rPr>
                <w:sz w:val="18"/>
              </w:rPr>
              <w:t>40.0 %</w:t>
            </w:r>
          </w:p>
        </w:tc>
        <w:tc>
          <w:tcPr>
            <w:tcW w:w="1389" w:type="dxa"/>
          </w:tcPr>
          <w:p w14:paraId="3B3CF2A3" w14:textId="77777777" w:rsidR="00C933C7" w:rsidRPr="00B946B8" w:rsidRDefault="00C933C7" w:rsidP="00C933C7">
            <w:pPr>
              <w:spacing w:line="360" w:lineRule="auto"/>
              <w:jc w:val="left"/>
              <w:rPr>
                <w:sz w:val="18"/>
              </w:rPr>
            </w:pPr>
            <w:r w:rsidRPr="00B946B8">
              <w:rPr>
                <w:sz w:val="18"/>
              </w:rPr>
              <w:t>60.0 %</w:t>
            </w:r>
          </w:p>
        </w:tc>
        <w:tc>
          <w:tcPr>
            <w:tcW w:w="1162" w:type="dxa"/>
          </w:tcPr>
          <w:p w14:paraId="2C35315B" w14:textId="77777777" w:rsidR="00C933C7" w:rsidRPr="00B946B8" w:rsidRDefault="00C933C7" w:rsidP="00C933C7">
            <w:pPr>
              <w:spacing w:line="360" w:lineRule="auto"/>
              <w:jc w:val="left"/>
              <w:rPr>
                <w:sz w:val="18"/>
              </w:rPr>
            </w:pPr>
            <w:r w:rsidRPr="00B946B8">
              <w:rPr>
                <w:sz w:val="18"/>
              </w:rPr>
              <w:t>80.0 %</w:t>
            </w:r>
          </w:p>
        </w:tc>
        <w:tc>
          <w:tcPr>
            <w:tcW w:w="987" w:type="dxa"/>
          </w:tcPr>
          <w:p w14:paraId="0FB3373E" w14:textId="77777777" w:rsidR="00C933C7" w:rsidRPr="00B946B8" w:rsidRDefault="00C933C7" w:rsidP="00C933C7">
            <w:pPr>
              <w:spacing w:line="360" w:lineRule="auto"/>
              <w:jc w:val="left"/>
              <w:rPr>
                <w:sz w:val="18"/>
              </w:rPr>
            </w:pPr>
          </w:p>
        </w:tc>
      </w:tr>
      <w:tr w:rsidR="00C933C7" w:rsidRPr="00C933C7" w14:paraId="3E34056C" w14:textId="77777777" w:rsidTr="00B946B8">
        <w:trPr>
          <w:trHeight w:val="215"/>
        </w:trPr>
        <w:tc>
          <w:tcPr>
            <w:tcW w:w="1585" w:type="dxa"/>
          </w:tcPr>
          <w:p w14:paraId="654561AF" w14:textId="77777777" w:rsidR="00C933C7" w:rsidRPr="00B946B8" w:rsidRDefault="00C933C7" w:rsidP="00C933C7">
            <w:pPr>
              <w:spacing w:line="360" w:lineRule="auto"/>
              <w:jc w:val="left"/>
              <w:rPr>
                <w:sz w:val="18"/>
              </w:rPr>
            </w:pPr>
            <w:r w:rsidRPr="00B946B8">
              <w:rPr>
                <w:sz w:val="18"/>
              </w:rPr>
              <w:t>Diversity</w:t>
            </w:r>
          </w:p>
        </w:tc>
        <w:tc>
          <w:tcPr>
            <w:tcW w:w="1317" w:type="dxa"/>
          </w:tcPr>
          <w:p w14:paraId="31C15A9B" w14:textId="77777777" w:rsidR="00C933C7" w:rsidRPr="00B946B8" w:rsidRDefault="00C933C7" w:rsidP="00C933C7">
            <w:pPr>
              <w:spacing w:line="360" w:lineRule="auto"/>
              <w:jc w:val="left"/>
              <w:rPr>
                <w:sz w:val="18"/>
              </w:rPr>
            </w:pPr>
            <w:r w:rsidRPr="00B946B8">
              <w:rPr>
                <w:sz w:val="18"/>
              </w:rPr>
              <w:t>90.0 %</w:t>
            </w:r>
          </w:p>
        </w:tc>
        <w:tc>
          <w:tcPr>
            <w:tcW w:w="1389" w:type="dxa"/>
          </w:tcPr>
          <w:p w14:paraId="61BDB297" w14:textId="77777777" w:rsidR="00C933C7" w:rsidRPr="00B946B8" w:rsidRDefault="00C933C7" w:rsidP="00C933C7">
            <w:pPr>
              <w:spacing w:line="360" w:lineRule="auto"/>
              <w:jc w:val="left"/>
              <w:rPr>
                <w:sz w:val="18"/>
              </w:rPr>
            </w:pPr>
            <w:r w:rsidRPr="00B946B8">
              <w:rPr>
                <w:sz w:val="18"/>
              </w:rPr>
              <w:t>95.0 %</w:t>
            </w:r>
          </w:p>
        </w:tc>
        <w:tc>
          <w:tcPr>
            <w:tcW w:w="1162" w:type="dxa"/>
          </w:tcPr>
          <w:p w14:paraId="4579333B" w14:textId="77777777" w:rsidR="00C933C7" w:rsidRPr="00B946B8" w:rsidRDefault="00C933C7" w:rsidP="00C933C7">
            <w:pPr>
              <w:spacing w:line="360" w:lineRule="auto"/>
              <w:jc w:val="left"/>
              <w:rPr>
                <w:sz w:val="18"/>
              </w:rPr>
            </w:pPr>
            <w:r w:rsidRPr="00B946B8">
              <w:rPr>
                <w:sz w:val="18"/>
              </w:rPr>
              <w:t>98.0 %</w:t>
            </w:r>
          </w:p>
        </w:tc>
        <w:tc>
          <w:tcPr>
            <w:tcW w:w="987" w:type="dxa"/>
          </w:tcPr>
          <w:p w14:paraId="55AF393F" w14:textId="77777777" w:rsidR="00C933C7" w:rsidRPr="00B946B8" w:rsidRDefault="00C933C7" w:rsidP="00C933C7">
            <w:pPr>
              <w:spacing w:line="360" w:lineRule="auto"/>
              <w:jc w:val="left"/>
              <w:rPr>
                <w:sz w:val="18"/>
              </w:rPr>
            </w:pPr>
          </w:p>
        </w:tc>
      </w:tr>
    </w:tbl>
    <w:p w14:paraId="6CC0CA69" w14:textId="77777777" w:rsidR="00C933C7" w:rsidRPr="00C933C7" w:rsidRDefault="00C933C7" w:rsidP="00C933C7">
      <w:pPr>
        <w:spacing w:line="360" w:lineRule="auto"/>
        <w:jc w:val="left"/>
      </w:pPr>
    </w:p>
    <w:p w14:paraId="3B22179B" w14:textId="77777777" w:rsidR="00C933C7" w:rsidRPr="00C933C7" w:rsidRDefault="00C933C7" w:rsidP="00C933C7">
      <w:pPr>
        <w:spacing w:line="360" w:lineRule="auto"/>
        <w:jc w:val="left"/>
        <w:rPr>
          <w:b w:val="0"/>
        </w:rPr>
      </w:pPr>
      <w:r w:rsidRPr="00C933C7">
        <w:rPr>
          <w:b w:val="0"/>
        </w:rPr>
        <w:t>The NCPs and CPs are as follows:</w:t>
      </w:r>
    </w:p>
    <w:p w14:paraId="25F059B8" w14:textId="77777777" w:rsidR="00C933C7" w:rsidRPr="00C933C7" w:rsidRDefault="00C933C7" w:rsidP="00C933C7">
      <w:pPr>
        <w:spacing w:line="360" w:lineRule="auto"/>
        <w:jc w:val="left"/>
        <w:rPr>
          <w:b w:val="0"/>
        </w:rPr>
      </w:pPr>
    </w:p>
    <w:tbl>
      <w:tblPr>
        <w:tblW w:w="94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1"/>
        <w:gridCol w:w="1703"/>
        <w:gridCol w:w="1797"/>
        <w:gridCol w:w="1504"/>
        <w:gridCol w:w="2843"/>
      </w:tblGrid>
      <w:tr w:rsidR="00B946B8" w:rsidRPr="00C933C7" w14:paraId="402C16C8" w14:textId="77777777" w:rsidTr="00B946B8">
        <w:trPr>
          <w:trHeight w:val="205"/>
        </w:trPr>
        <w:tc>
          <w:tcPr>
            <w:tcW w:w="1581" w:type="dxa"/>
          </w:tcPr>
          <w:p w14:paraId="10AEBB78" w14:textId="77777777" w:rsidR="00C933C7" w:rsidRPr="00B946B8" w:rsidRDefault="00C933C7" w:rsidP="00C933C7">
            <w:pPr>
              <w:spacing w:line="360" w:lineRule="auto"/>
              <w:jc w:val="left"/>
              <w:rPr>
                <w:sz w:val="18"/>
              </w:rPr>
            </w:pPr>
          </w:p>
        </w:tc>
        <w:tc>
          <w:tcPr>
            <w:tcW w:w="1703" w:type="dxa"/>
          </w:tcPr>
          <w:p w14:paraId="1A5A92FC" w14:textId="77777777" w:rsidR="00C933C7" w:rsidRPr="00B946B8" w:rsidRDefault="00C933C7" w:rsidP="00C933C7">
            <w:pPr>
              <w:spacing w:line="360" w:lineRule="auto"/>
              <w:jc w:val="left"/>
              <w:rPr>
                <w:sz w:val="18"/>
              </w:rPr>
            </w:pPr>
            <w:r w:rsidRPr="00B946B8">
              <w:rPr>
                <w:sz w:val="18"/>
              </w:rPr>
              <w:t>Residential</w:t>
            </w:r>
          </w:p>
        </w:tc>
        <w:tc>
          <w:tcPr>
            <w:tcW w:w="1797" w:type="dxa"/>
          </w:tcPr>
          <w:p w14:paraId="1FC57D5A" w14:textId="77777777" w:rsidR="00C933C7" w:rsidRPr="00B946B8" w:rsidRDefault="00C933C7" w:rsidP="00C933C7">
            <w:pPr>
              <w:spacing w:line="360" w:lineRule="auto"/>
              <w:jc w:val="left"/>
              <w:rPr>
                <w:sz w:val="18"/>
              </w:rPr>
            </w:pPr>
            <w:r w:rsidRPr="00B946B8">
              <w:rPr>
                <w:sz w:val="18"/>
              </w:rPr>
              <w:t>Commercial</w:t>
            </w:r>
          </w:p>
        </w:tc>
        <w:tc>
          <w:tcPr>
            <w:tcW w:w="1504" w:type="dxa"/>
          </w:tcPr>
          <w:p w14:paraId="7666BB2F" w14:textId="77777777" w:rsidR="00C933C7" w:rsidRPr="00B946B8" w:rsidRDefault="00C933C7" w:rsidP="00C933C7">
            <w:pPr>
              <w:spacing w:line="360" w:lineRule="auto"/>
              <w:jc w:val="left"/>
              <w:rPr>
                <w:sz w:val="18"/>
              </w:rPr>
            </w:pPr>
            <w:r w:rsidRPr="00B946B8">
              <w:rPr>
                <w:sz w:val="18"/>
              </w:rPr>
              <w:t>Industrial</w:t>
            </w:r>
          </w:p>
        </w:tc>
        <w:tc>
          <w:tcPr>
            <w:tcW w:w="2843" w:type="dxa"/>
          </w:tcPr>
          <w:p w14:paraId="5E2803F1" w14:textId="77777777" w:rsidR="00C933C7" w:rsidRPr="00B946B8" w:rsidRDefault="00C933C7" w:rsidP="00C933C7">
            <w:pPr>
              <w:spacing w:line="360" w:lineRule="auto"/>
              <w:jc w:val="left"/>
              <w:rPr>
                <w:sz w:val="18"/>
              </w:rPr>
            </w:pPr>
            <w:r w:rsidRPr="00B946B8">
              <w:rPr>
                <w:sz w:val="18"/>
              </w:rPr>
              <w:t>System</w:t>
            </w:r>
          </w:p>
        </w:tc>
      </w:tr>
      <w:tr w:rsidR="00B946B8" w:rsidRPr="00C933C7" w14:paraId="42261F2B" w14:textId="77777777" w:rsidTr="00B946B8">
        <w:trPr>
          <w:trHeight w:val="205"/>
        </w:trPr>
        <w:tc>
          <w:tcPr>
            <w:tcW w:w="1581" w:type="dxa"/>
          </w:tcPr>
          <w:p w14:paraId="7672D583" w14:textId="77777777" w:rsidR="00C933C7" w:rsidRPr="00B946B8" w:rsidRDefault="00C933C7" w:rsidP="00C933C7">
            <w:pPr>
              <w:spacing w:line="360" w:lineRule="auto"/>
              <w:jc w:val="left"/>
              <w:rPr>
                <w:sz w:val="18"/>
              </w:rPr>
            </w:pPr>
            <w:r w:rsidRPr="00B946B8">
              <w:rPr>
                <w:sz w:val="18"/>
              </w:rPr>
              <w:t>NCP (MW)</w:t>
            </w:r>
          </w:p>
        </w:tc>
        <w:tc>
          <w:tcPr>
            <w:tcW w:w="1703" w:type="dxa"/>
          </w:tcPr>
          <w:p w14:paraId="2E760125" w14:textId="77777777" w:rsidR="00C933C7" w:rsidRPr="00B946B8" w:rsidRDefault="00C933C7" w:rsidP="00C933C7">
            <w:pPr>
              <w:spacing w:line="360" w:lineRule="auto"/>
              <w:jc w:val="left"/>
              <w:rPr>
                <w:sz w:val="18"/>
              </w:rPr>
            </w:pPr>
            <w:r w:rsidRPr="00B946B8">
              <w:rPr>
                <w:sz w:val="18"/>
              </w:rPr>
              <w:t>2,854</w:t>
            </w:r>
          </w:p>
        </w:tc>
        <w:tc>
          <w:tcPr>
            <w:tcW w:w="1797" w:type="dxa"/>
          </w:tcPr>
          <w:p w14:paraId="0016BA58" w14:textId="77777777" w:rsidR="00C933C7" w:rsidRPr="00B946B8" w:rsidRDefault="00C933C7" w:rsidP="00C933C7">
            <w:pPr>
              <w:spacing w:line="360" w:lineRule="auto"/>
              <w:jc w:val="left"/>
              <w:rPr>
                <w:sz w:val="18"/>
              </w:rPr>
            </w:pPr>
            <w:r w:rsidRPr="00B946B8">
              <w:rPr>
                <w:sz w:val="18"/>
              </w:rPr>
              <w:t>1,903</w:t>
            </w:r>
          </w:p>
        </w:tc>
        <w:tc>
          <w:tcPr>
            <w:tcW w:w="1504" w:type="dxa"/>
          </w:tcPr>
          <w:p w14:paraId="02F7638A" w14:textId="77777777" w:rsidR="00C933C7" w:rsidRPr="00B946B8" w:rsidRDefault="00C933C7" w:rsidP="00C933C7">
            <w:pPr>
              <w:spacing w:line="360" w:lineRule="auto"/>
              <w:jc w:val="left"/>
              <w:rPr>
                <w:sz w:val="18"/>
              </w:rPr>
            </w:pPr>
            <w:r w:rsidRPr="00B946B8">
              <w:rPr>
                <w:sz w:val="18"/>
              </w:rPr>
              <w:t>1,427</w:t>
            </w:r>
          </w:p>
        </w:tc>
        <w:tc>
          <w:tcPr>
            <w:tcW w:w="2843" w:type="dxa"/>
          </w:tcPr>
          <w:p w14:paraId="67B266FE" w14:textId="77777777" w:rsidR="00C933C7" w:rsidRPr="00B946B8" w:rsidRDefault="00C933C7" w:rsidP="00C933C7">
            <w:pPr>
              <w:spacing w:line="360" w:lineRule="auto"/>
              <w:jc w:val="left"/>
              <w:rPr>
                <w:sz w:val="18"/>
              </w:rPr>
            </w:pPr>
          </w:p>
        </w:tc>
      </w:tr>
      <w:tr w:rsidR="00B946B8" w:rsidRPr="00C933C7" w14:paraId="481782DD" w14:textId="77777777" w:rsidTr="00B946B8">
        <w:trPr>
          <w:trHeight w:val="305"/>
        </w:trPr>
        <w:tc>
          <w:tcPr>
            <w:tcW w:w="1581" w:type="dxa"/>
          </w:tcPr>
          <w:p w14:paraId="4B8696C7" w14:textId="77777777" w:rsidR="00C933C7" w:rsidRPr="00B946B8" w:rsidRDefault="00C933C7" w:rsidP="00C933C7">
            <w:pPr>
              <w:spacing w:line="360" w:lineRule="auto"/>
              <w:jc w:val="left"/>
              <w:rPr>
                <w:sz w:val="18"/>
              </w:rPr>
            </w:pPr>
            <w:r w:rsidRPr="00B946B8">
              <w:rPr>
                <w:sz w:val="18"/>
              </w:rPr>
              <w:t>CP (MW)</w:t>
            </w:r>
          </w:p>
        </w:tc>
        <w:tc>
          <w:tcPr>
            <w:tcW w:w="1703" w:type="dxa"/>
          </w:tcPr>
          <w:p w14:paraId="05532830" w14:textId="77777777" w:rsidR="00C933C7" w:rsidRPr="00B946B8" w:rsidRDefault="00C933C7" w:rsidP="00C933C7">
            <w:pPr>
              <w:spacing w:line="360" w:lineRule="auto"/>
              <w:jc w:val="left"/>
              <w:rPr>
                <w:sz w:val="18"/>
              </w:rPr>
            </w:pPr>
            <w:r w:rsidRPr="00B946B8">
              <w:rPr>
                <w:sz w:val="18"/>
              </w:rPr>
              <w:t>2,568</w:t>
            </w:r>
          </w:p>
        </w:tc>
        <w:tc>
          <w:tcPr>
            <w:tcW w:w="1797" w:type="dxa"/>
          </w:tcPr>
          <w:p w14:paraId="62396F62" w14:textId="77777777" w:rsidR="00C933C7" w:rsidRPr="00B946B8" w:rsidRDefault="00C933C7" w:rsidP="00C933C7">
            <w:pPr>
              <w:spacing w:line="360" w:lineRule="auto"/>
              <w:jc w:val="left"/>
              <w:rPr>
                <w:sz w:val="18"/>
              </w:rPr>
            </w:pPr>
            <w:r w:rsidRPr="00B946B8">
              <w:rPr>
                <w:sz w:val="18"/>
              </w:rPr>
              <w:t>1,807</w:t>
            </w:r>
          </w:p>
        </w:tc>
        <w:tc>
          <w:tcPr>
            <w:tcW w:w="1504" w:type="dxa"/>
          </w:tcPr>
          <w:p w14:paraId="5072FA69" w14:textId="77777777" w:rsidR="00C933C7" w:rsidRPr="00B946B8" w:rsidRDefault="00C933C7" w:rsidP="00C933C7">
            <w:pPr>
              <w:spacing w:line="360" w:lineRule="auto"/>
              <w:jc w:val="left"/>
              <w:rPr>
                <w:sz w:val="18"/>
              </w:rPr>
            </w:pPr>
            <w:r w:rsidRPr="00B946B8">
              <w:rPr>
                <w:sz w:val="18"/>
              </w:rPr>
              <w:t>1,398</w:t>
            </w:r>
          </w:p>
        </w:tc>
        <w:tc>
          <w:tcPr>
            <w:tcW w:w="2843" w:type="dxa"/>
          </w:tcPr>
          <w:p w14:paraId="65FD78FE" w14:textId="77777777" w:rsidR="00C933C7" w:rsidRPr="00B946B8" w:rsidRDefault="00C933C7" w:rsidP="00B946B8">
            <w:pPr>
              <w:spacing w:line="360" w:lineRule="auto"/>
              <w:jc w:val="left"/>
              <w:rPr>
                <w:sz w:val="18"/>
              </w:rPr>
            </w:pPr>
            <w:r w:rsidRPr="00B946B8">
              <w:rPr>
                <w:sz w:val="18"/>
              </w:rPr>
              <w:t>5,774</w:t>
            </w:r>
            <w:r w:rsidR="00B946B8" w:rsidRPr="00B946B8">
              <w:rPr>
                <w:sz w:val="18"/>
              </w:rPr>
              <w:t xml:space="preserve"> </w:t>
            </w:r>
            <w:r w:rsidRPr="00B946B8">
              <w:rPr>
                <w:sz w:val="18"/>
              </w:rPr>
              <w:t>(Load factor</w:t>
            </w:r>
            <w:r w:rsidR="00B946B8" w:rsidRPr="00B946B8">
              <w:rPr>
                <w:sz w:val="18"/>
              </w:rPr>
              <w:t xml:space="preserve"> </w:t>
            </w:r>
            <w:r w:rsidRPr="00B946B8">
              <w:rPr>
                <w:sz w:val="18"/>
              </w:rPr>
              <w:t>=</w:t>
            </w:r>
            <w:r w:rsidR="00B946B8" w:rsidRPr="00B946B8">
              <w:rPr>
                <w:sz w:val="18"/>
              </w:rPr>
              <w:t xml:space="preserve"> </w:t>
            </w:r>
            <w:r w:rsidRPr="00B946B8">
              <w:rPr>
                <w:sz w:val="18"/>
              </w:rPr>
              <w:t>59.3%)</w:t>
            </w:r>
          </w:p>
        </w:tc>
      </w:tr>
    </w:tbl>
    <w:p w14:paraId="490422EA" w14:textId="77777777" w:rsidR="00C933C7" w:rsidRPr="00C933C7" w:rsidRDefault="00C933C7" w:rsidP="00C933C7">
      <w:pPr>
        <w:spacing w:line="360" w:lineRule="auto"/>
        <w:jc w:val="left"/>
      </w:pPr>
    </w:p>
    <w:p w14:paraId="3EBC418D" w14:textId="77777777" w:rsidR="00C933C7" w:rsidRPr="00C933C7" w:rsidRDefault="00C933C7" w:rsidP="00C933C7">
      <w:pPr>
        <w:spacing w:line="360" w:lineRule="auto"/>
        <w:jc w:val="left"/>
        <w:rPr>
          <w:b w:val="0"/>
        </w:rPr>
      </w:pPr>
      <w:r w:rsidRPr="00C933C7">
        <w:rPr>
          <w:b w:val="0"/>
        </w:rPr>
        <w:t>New NCPs and CPs result from the indicated changes in energy use:</w:t>
      </w:r>
    </w:p>
    <w:p w14:paraId="572B9031" w14:textId="77777777" w:rsidR="00C933C7" w:rsidRPr="00C933C7" w:rsidRDefault="00C933C7" w:rsidP="00C933C7">
      <w:pPr>
        <w:spacing w:line="360" w:lineRule="auto"/>
        <w:jc w:val="left"/>
      </w:pPr>
    </w:p>
    <w:tbl>
      <w:tblPr>
        <w:tblW w:w="95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3"/>
        <w:gridCol w:w="1752"/>
        <w:gridCol w:w="1850"/>
        <w:gridCol w:w="1543"/>
        <w:gridCol w:w="2254"/>
      </w:tblGrid>
      <w:tr w:rsidR="00B946B8" w:rsidRPr="00C933C7" w14:paraId="4DB57B7B" w14:textId="77777777" w:rsidTr="00B946B8">
        <w:trPr>
          <w:trHeight w:val="265"/>
        </w:trPr>
        <w:tc>
          <w:tcPr>
            <w:tcW w:w="2113" w:type="dxa"/>
          </w:tcPr>
          <w:p w14:paraId="3D479D10" w14:textId="77777777" w:rsidR="00C933C7" w:rsidRPr="00C933C7" w:rsidRDefault="00C933C7" w:rsidP="00C933C7">
            <w:pPr>
              <w:spacing w:line="360" w:lineRule="auto"/>
              <w:jc w:val="left"/>
            </w:pPr>
          </w:p>
        </w:tc>
        <w:tc>
          <w:tcPr>
            <w:tcW w:w="1752" w:type="dxa"/>
          </w:tcPr>
          <w:p w14:paraId="7F6152EA" w14:textId="77777777" w:rsidR="00C933C7" w:rsidRPr="00C933C7" w:rsidRDefault="00C933C7" w:rsidP="00C933C7">
            <w:pPr>
              <w:spacing w:line="360" w:lineRule="auto"/>
              <w:jc w:val="left"/>
            </w:pPr>
            <w:r w:rsidRPr="00C933C7">
              <w:t>Residential</w:t>
            </w:r>
          </w:p>
        </w:tc>
        <w:tc>
          <w:tcPr>
            <w:tcW w:w="1850" w:type="dxa"/>
          </w:tcPr>
          <w:p w14:paraId="53B6CE9F" w14:textId="77777777" w:rsidR="00C933C7" w:rsidRPr="00C933C7" w:rsidRDefault="00C933C7" w:rsidP="00C933C7">
            <w:pPr>
              <w:spacing w:line="360" w:lineRule="auto"/>
              <w:jc w:val="left"/>
            </w:pPr>
            <w:r w:rsidRPr="00C933C7">
              <w:t>Commercial</w:t>
            </w:r>
          </w:p>
        </w:tc>
        <w:tc>
          <w:tcPr>
            <w:tcW w:w="1543" w:type="dxa"/>
          </w:tcPr>
          <w:p w14:paraId="27218E18" w14:textId="77777777" w:rsidR="00C933C7" w:rsidRPr="00C933C7" w:rsidRDefault="00C933C7" w:rsidP="00C933C7">
            <w:pPr>
              <w:spacing w:line="360" w:lineRule="auto"/>
              <w:jc w:val="left"/>
            </w:pPr>
            <w:r w:rsidRPr="00C933C7">
              <w:t>Industrial</w:t>
            </w:r>
          </w:p>
        </w:tc>
        <w:tc>
          <w:tcPr>
            <w:tcW w:w="2254" w:type="dxa"/>
          </w:tcPr>
          <w:p w14:paraId="4D54EA83" w14:textId="77777777" w:rsidR="00C933C7" w:rsidRPr="00C933C7" w:rsidRDefault="00C933C7" w:rsidP="00C933C7">
            <w:pPr>
              <w:spacing w:line="360" w:lineRule="auto"/>
              <w:jc w:val="left"/>
            </w:pPr>
            <w:r w:rsidRPr="00C933C7">
              <w:t>System</w:t>
            </w:r>
          </w:p>
        </w:tc>
      </w:tr>
      <w:tr w:rsidR="00B946B8" w:rsidRPr="00C933C7" w14:paraId="0A8023FA" w14:textId="77777777" w:rsidTr="00B946B8">
        <w:trPr>
          <w:trHeight w:val="255"/>
        </w:trPr>
        <w:tc>
          <w:tcPr>
            <w:tcW w:w="2113" w:type="dxa"/>
          </w:tcPr>
          <w:p w14:paraId="464EF9FF" w14:textId="77777777" w:rsidR="00C933C7" w:rsidRPr="00C933C7" w:rsidRDefault="00C933C7" w:rsidP="00C933C7">
            <w:pPr>
              <w:spacing w:line="360" w:lineRule="auto"/>
              <w:jc w:val="left"/>
            </w:pPr>
            <w:r w:rsidRPr="00C933C7">
              <w:t>Change (%)</w:t>
            </w:r>
          </w:p>
        </w:tc>
        <w:tc>
          <w:tcPr>
            <w:tcW w:w="1752" w:type="dxa"/>
          </w:tcPr>
          <w:p w14:paraId="5ED97D15" w14:textId="77777777" w:rsidR="00C933C7" w:rsidRPr="00B946B8" w:rsidRDefault="00C933C7" w:rsidP="00C933C7">
            <w:pPr>
              <w:spacing w:line="360" w:lineRule="auto"/>
              <w:jc w:val="left"/>
              <w:rPr>
                <w:sz w:val="18"/>
              </w:rPr>
            </w:pPr>
            <w:r w:rsidRPr="00B946B8">
              <w:rPr>
                <w:sz w:val="18"/>
              </w:rPr>
              <w:t>-5.0 %</w:t>
            </w:r>
          </w:p>
        </w:tc>
        <w:tc>
          <w:tcPr>
            <w:tcW w:w="1850" w:type="dxa"/>
          </w:tcPr>
          <w:p w14:paraId="58A0797A" w14:textId="77777777" w:rsidR="00C933C7" w:rsidRPr="00B946B8" w:rsidRDefault="00C933C7" w:rsidP="00C933C7">
            <w:pPr>
              <w:spacing w:line="360" w:lineRule="auto"/>
              <w:jc w:val="left"/>
              <w:rPr>
                <w:sz w:val="18"/>
              </w:rPr>
            </w:pPr>
            <w:r w:rsidRPr="00B946B8">
              <w:rPr>
                <w:sz w:val="18"/>
              </w:rPr>
              <w:t>-10.0 %</w:t>
            </w:r>
          </w:p>
        </w:tc>
        <w:tc>
          <w:tcPr>
            <w:tcW w:w="1543" w:type="dxa"/>
          </w:tcPr>
          <w:p w14:paraId="1F6117E9" w14:textId="77777777" w:rsidR="00C933C7" w:rsidRPr="00B946B8" w:rsidRDefault="00C933C7" w:rsidP="00C933C7">
            <w:pPr>
              <w:spacing w:line="360" w:lineRule="auto"/>
              <w:jc w:val="left"/>
              <w:rPr>
                <w:sz w:val="18"/>
              </w:rPr>
            </w:pPr>
            <w:r w:rsidRPr="00B946B8">
              <w:rPr>
                <w:sz w:val="18"/>
              </w:rPr>
              <w:t>-15.0 %</w:t>
            </w:r>
          </w:p>
        </w:tc>
        <w:tc>
          <w:tcPr>
            <w:tcW w:w="2254" w:type="dxa"/>
          </w:tcPr>
          <w:p w14:paraId="6ADF1045" w14:textId="77777777" w:rsidR="00C933C7" w:rsidRPr="00B946B8" w:rsidRDefault="00C933C7" w:rsidP="00C933C7">
            <w:pPr>
              <w:spacing w:line="360" w:lineRule="auto"/>
              <w:jc w:val="left"/>
              <w:rPr>
                <w:sz w:val="18"/>
              </w:rPr>
            </w:pPr>
          </w:p>
        </w:tc>
      </w:tr>
      <w:tr w:rsidR="00B946B8" w:rsidRPr="00C933C7" w14:paraId="5C85CA80" w14:textId="77777777" w:rsidTr="00B946B8">
        <w:trPr>
          <w:trHeight w:val="436"/>
        </w:trPr>
        <w:tc>
          <w:tcPr>
            <w:tcW w:w="2113" w:type="dxa"/>
          </w:tcPr>
          <w:p w14:paraId="70F0D980" w14:textId="77777777" w:rsidR="00C933C7" w:rsidRPr="00C933C7" w:rsidRDefault="00C933C7" w:rsidP="00C933C7">
            <w:pPr>
              <w:spacing w:line="360" w:lineRule="auto"/>
              <w:jc w:val="left"/>
            </w:pPr>
            <w:r w:rsidRPr="00C933C7">
              <w:t>Energy (GWH)</w:t>
            </w:r>
          </w:p>
        </w:tc>
        <w:tc>
          <w:tcPr>
            <w:tcW w:w="1752" w:type="dxa"/>
          </w:tcPr>
          <w:p w14:paraId="62D4FFBB" w14:textId="77777777" w:rsidR="00C933C7" w:rsidRPr="00B946B8" w:rsidRDefault="00C933C7" w:rsidP="00C933C7">
            <w:pPr>
              <w:spacing w:line="360" w:lineRule="auto"/>
              <w:jc w:val="left"/>
              <w:rPr>
                <w:sz w:val="18"/>
              </w:rPr>
            </w:pPr>
            <w:r w:rsidRPr="00B946B8">
              <w:rPr>
                <w:sz w:val="18"/>
              </w:rPr>
              <w:t>9,500</w:t>
            </w:r>
          </w:p>
        </w:tc>
        <w:tc>
          <w:tcPr>
            <w:tcW w:w="1850" w:type="dxa"/>
          </w:tcPr>
          <w:p w14:paraId="20638912" w14:textId="77777777" w:rsidR="00C933C7" w:rsidRPr="00B946B8" w:rsidRDefault="00C933C7" w:rsidP="00C933C7">
            <w:pPr>
              <w:spacing w:line="360" w:lineRule="auto"/>
              <w:jc w:val="left"/>
              <w:rPr>
                <w:sz w:val="18"/>
              </w:rPr>
            </w:pPr>
            <w:r w:rsidRPr="00B946B8">
              <w:rPr>
                <w:sz w:val="18"/>
              </w:rPr>
              <w:t>9,000</w:t>
            </w:r>
          </w:p>
        </w:tc>
        <w:tc>
          <w:tcPr>
            <w:tcW w:w="1543" w:type="dxa"/>
          </w:tcPr>
          <w:p w14:paraId="258E2CBD" w14:textId="77777777" w:rsidR="00C933C7" w:rsidRPr="00B946B8" w:rsidRDefault="00C933C7" w:rsidP="00C933C7">
            <w:pPr>
              <w:spacing w:line="360" w:lineRule="auto"/>
              <w:jc w:val="left"/>
              <w:rPr>
                <w:sz w:val="18"/>
              </w:rPr>
            </w:pPr>
            <w:r w:rsidRPr="00B946B8">
              <w:rPr>
                <w:sz w:val="18"/>
              </w:rPr>
              <w:t>8,500</w:t>
            </w:r>
          </w:p>
        </w:tc>
        <w:tc>
          <w:tcPr>
            <w:tcW w:w="2254" w:type="dxa"/>
          </w:tcPr>
          <w:p w14:paraId="5A572726" w14:textId="77777777" w:rsidR="00C933C7" w:rsidRPr="00B946B8" w:rsidRDefault="00C933C7" w:rsidP="00B946B8">
            <w:pPr>
              <w:spacing w:line="360" w:lineRule="auto"/>
              <w:jc w:val="left"/>
              <w:rPr>
                <w:sz w:val="18"/>
              </w:rPr>
            </w:pPr>
            <w:r w:rsidRPr="00B946B8">
              <w:rPr>
                <w:sz w:val="18"/>
              </w:rPr>
              <w:t>27,000</w:t>
            </w:r>
            <w:r w:rsidR="00B946B8">
              <w:rPr>
                <w:sz w:val="18"/>
              </w:rPr>
              <w:t xml:space="preserve"> </w:t>
            </w:r>
            <w:r w:rsidRPr="00B946B8">
              <w:rPr>
                <w:sz w:val="18"/>
              </w:rPr>
              <w:t>(-10% change)</w:t>
            </w:r>
          </w:p>
        </w:tc>
      </w:tr>
      <w:tr w:rsidR="00B946B8" w:rsidRPr="00C933C7" w14:paraId="217BD75E" w14:textId="77777777" w:rsidTr="00B946B8">
        <w:trPr>
          <w:trHeight w:val="265"/>
        </w:trPr>
        <w:tc>
          <w:tcPr>
            <w:tcW w:w="2113" w:type="dxa"/>
          </w:tcPr>
          <w:p w14:paraId="13B66758" w14:textId="77777777" w:rsidR="00C933C7" w:rsidRPr="00C933C7" w:rsidRDefault="00C933C7" w:rsidP="00C933C7">
            <w:pPr>
              <w:spacing w:line="360" w:lineRule="auto"/>
              <w:jc w:val="left"/>
            </w:pPr>
            <w:r w:rsidRPr="00C933C7">
              <w:t>NCP (MW)</w:t>
            </w:r>
          </w:p>
        </w:tc>
        <w:tc>
          <w:tcPr>
            <w:tcW w:w="1752" w:type="dxa"/>
          </w:tcPr>
          <w:p w14:paraId="57A76273" w14:textId="77777777" w:rsidR="00C933C7" w:rsidRPr="00B946B8" w:rsidRDefault="00C933C7" w:rsidP="00C933C7">
            <w:pPr>
              <w:spacing w:line="360" w:lineRule="auto"/>
              <w:jc w:val="left"/>
              <w:rPr>
                <w:sz w:val="18"/>
              </w:rPr>
            </w:pPr>
            <w:r w:rsidRPr="00B946B8">
              <w:rPr>
                <w:sz w:val="18"/>
              </w:rPr>
              <w:t>2,711</w:t>
            </w:r>
          </w:p>
        </w:tc>
        <w:tc>
          <w:tcPr>
            <w:tcW w:w="1850" w:type="dxa"/>
          </w:tcPr>
          <w:p w14:paraId="4B78BA8E" w14:textId="77777777" w:rsidR="00C933C7" w:rsidRPr="00B946B8" w:rsidRDefault="00C933C7" w:rsidP="00C933C7">
            <w:pPr>
              <w:spacing w:line="360" w:lineRule="auto"/>
              <w:jc w:val="left"/>
              <w:rPr>
                <w:sz w:val="18"/>
              </w:rPr>
            </w:pPr>
            <w:r w:rsidRPr="00B946B8">
              <w:rPr>
                <w:sz w:val="18"/>
              </w:rPr>
              <w:t>1,712</w:t>
            </w:r>
          </w:p>
        </w:tc>
        <w:tc>
          <w:tcPr>
            <w:tcW w:w="1543" w:type="dxa"/>
          </w:tcPr>
          <w:p w14:paraId="7199BF30" w14:textId="77777777" w:rsidR="00C933C7" w:rsidRPr="00B946B8" w:rsidRDefault="00C933C7" w:rsidP="00C933C7">
            <w:pPr>
              <w:spacing w:line="360" w:lineRule="auto"/>
              <w:jc w:val="left"/>
              <w:rPr>
                <w:sz w:val="18"/>
              </w:rPr>
            </w:pPr>
            <w:r w:rsidRPr="00B946B8">
              <w:rPr>
                <w:sz w:val="18"/>
              </w:rPr>
              <w:t>1,213</w:t>
            </w:r>
          </w:p>
        </w:tc>
        <w:tc>
          <w:tcPr>
            <w:tcW w:w="2254" w:type="dxa"/>
          </w:tcPr>
          <w:p w14:paraId="324879F7" w14:textId="77777777" w:rsidR="00C933C7" w:rsidRPr="00B946B8" w:rsidRDefault="00C933C7" w:rsidP="00C933C7">
            <w:pPr>
              <w:spacing w:line="360" w:lineRule="auto"/>
              <w:jc w:val="left"/>
              <w:rPr>
                <w:sz w:val="18"/>
              </w:rPr>
            </w:pPr>
          </w:p>
        </w:tc>
      </w:tr>
      <w:tr w:rsidR="00B946B8" w:rsidRPr="00C933C7" w14:paraId="0F0E2243" w14:textId="77777777" w:rsidTr="00B946B8">
        <w:trPr>
          <w:trHeight w:val="370"/>
        </w:trPr>
        <w:tc>
          <w:tcPr>
            <w:tcW w:w="2113" w:type="dxa"/>
          </w:tcPr>
          <w:p w14:paraId="2701F470" w14:textId="77777777" w:rsidR="00C933C7" w:rsidRPr="00C933C7" w:rsidRDefault="00C933C7" w:rsidP="00C933C7">
            <w:pPr>
              <w:spacing w:line="360" w:lineRule="auto"/>
              <w:jc w:val="left"/>
            </w:pPr>
            <w:r w:rsidRPr="00C933C7">
              <w:t>CP (MW)</w:t>
            </w:r>
          </w:p>
        </w:tc>
        <w:tc>
          <w:tcPr>
            <w:tcW w:w="1752" w:type="dxa"/>
          </w:tcPr>
          <w:p w14:paraId="110B2483" w14:textId="77777777" w:rsidR="00C933C7" w:rsidRPr="00B946B8" w:rsidRDefault="00C933C7" w:rsidP="00C933C7">
            <w:pPr>
              <w:spacing w:line="360" w:lineRule="auto"/>
              <w:jc w:val="left"/>
              <w:rPr>
                <w:sz w:val="18"/>
              </w:rPr>
            </w:pPr>
            <w:r w:rsidRPr="00B946B8">
              <w:rPr>
                <w:sz w:val="18"/>
              </w:rPr>
              <w:t>2,440</w:t>
            </w:r>
          </w:p>
        </w:tc>
        <w:tc>
          <w:tcPr>
            <w:tcW w:w="1850" w:type="dxa"/>
          </w:tcPr>
          <w:p w14:paraId="7384756D" w14:textId="77777777" w:rsidR="00C933C7" w:rsidRPr="00B946B8" w:rsidRDefault="00C933C7" w:rsidP="00C933C7">
            <w:pPr>
              <w:spacing w:line="360" w:lineRule="auto"/>
              <w:jc w:val="left"/>
              <w:rPr>
                <w:sz w:val="18"/>
              </w:rPr>
            </w:pPr>
            <w:r w:rsidRPr="00B946B8">
              <w:rPr>
                <w:sz w:val="18"/>
              </w:rPr>
              <w:t>1,627</w:t>
            </w:r>
          </w:p>
        </w:tc>
        <w:tc>
          <w:tcPr>
            <w:tcW w:w="1543" w:type="dxa"/>
          </w:tcPr>
          <w:p w14:paraId="3B99CD82" w14:textId="77777777" w:rsidR="00C933C7" w:rsidRPr="00B946B8" w:rsidRDefault="00C933C7" w:rsidP="00C933C7">
            <w:pPr>
              <w:spacing w:line="360" w:lineRule="auto"/>
              <w:jc w:val="left"/>
              <w:rPr>
                <w:sz w:val="18"/>
              </w:rPr>
            </w:pPr>
            <w:r w:rsidRPr="00B946B8">
              <w:rPr>
                <w:sz w:val="18"/>
              </w:rPr>
              <w:t>1,189</w:t>
            </w:r>
          </w:p>
        </w:tc>
        <w:tc>
          <w:tcPr>
            <w:tcW w:w="2254" w:type="dxa"/>
          </w:tcPr>
          <w:p w14:paraId="166DD842" w14:textId="77777777" w:rsidR="00C933C7" w:rsidRPr="00B946B8" w:rsidRDefault="00C933C7" w:rsidP="00B946B8">
            <w:pPr>
              <w:spacing w:line="360" w:lineRule="auto"/>
              <w:jc w:val="left"/>
              <w:rPr>
                <w:sz w:val="18"/>
              </w:rPr>
            </w:pPr>
            <w:r w:rsidRPr="00B946B8">
              <w:rPr>
                <w:sz w:val="18"/>
              </w:rPr>
              <w:t>5,255</w:t>
            </w:r>
            <w:r w:rsidR="00B946B8">
              <w:rPr>
                <w:sz w:val="18"/>
              </w:rPr>
              <w:t xml:space="preserve"> </w:t>
            </w:r>
            <w:r w:rsidRPr="00B946B8">
              <w:rPr>
                <w:sz w:val="18"/>
              </w:rPr>
              <w:t>(-9.0 % change)</w:t>
            </w:r>
          </w:p>
        </w:tc>
      </w:tr>
    </w:tbl>
    <w:p w14:paraId="2C45265A" w14:textId="77777777" w:rsidR="00C933C7" w:rsidRPr="00C933C7" w:rsidRDefault="00C933C7" w:rsidP="00C933C7">
      <w:pPr>
        <w:spacing w:line="360" w:lineRule="auto"/>
        <w:jc w:val="left"/>
      </w:pPr>
    </w:p>
    <w:p w14:paraId="73DD2581" w14:textId="77777777" w:rsidR="00C933C7" w:rsidRDefault="00C933C7">
      <w:pPr>
        <w:spacing w:after="200" w:line="276" w:lineRule="auto"/>
        <w:jc w:val="left"/>
        <w:rPr>
          <w:bCs/>
        </w:rPr>
      </w:pPr>
    </w:p>
    <w:p w14:paraId="05F4CBC4" w14:textId="77777777" w:rsidR="00B946B8" w:rsidRDefault="00B946B8" w:rsidP="00B946B8">
      <w:pPr>
        <w:spacing w:line="360" w:lineRule="auto"/>
        <w:jc w:val="both"/>
        <w:rPr>
          <w:b w:val="0"/>
        </w:rPr>
      </w:pPr>
      <w:r>
        <w:rPr>
          <w:b w:val="0"/>
        </w:rPr>
        <w:t>Attachments 7.2-1 and 7.2-2 reflect Georgia Power’s portion of the Southern Company System Scenario Summary.</w:t>
      </w:r>
    </w:p>
    <w:p w14:paraId="1B39C219" w14:textId="77777777" w:rsidR="00B946B8" w:rsidRDefault="00B946B8">
      <w:pPr>
        <w:spacing w:after="200" w:line="276" w:lineRule="auto"/>
        <w:jc w:val="left"/>
        <w:rPr>
          <w:b w:val="0"/>
        </w:rPr>
      </w:pPr>
    </w:p>
    <w:p w14:paraId="11D7ECC9" w14:textId="77777777" w:rsidR="00C933C7" w:rsidRDefault="00C933C7">
      <w:pPr>
        <w:spacing w:after="200" w:line="276" w:lineRule="auto"/>
        <w:jc w:val="left"/>
        <w:sectPr w:rsidR="00C933C7" w:rsidSect="0025745A">
          <w:footerReference w:type="default" r:id="rId96"/>
          <w:pgSz w:w="12240" w:h="15840"/>
          <w:pgMar w:top="1440" w:right="1440" w:bottom="1440" w:left="1440" w:header="720" w:footer="720" w:gutter="0"/>
          <w:cols w:space="720"/>
          <w:docGrid w:linePitch="273"/>
        </w:sectPr>
      </w:pPr>
    </w:p>
    <w:p w14:paraId="23A39B3C" w14:textId="77777777" w:rsidR="00C933C7" w:rsidRDefault="00C933C7">
      <w:pPr>
        <w:spacing w:after="200" w:line="276" w:lineRule="auto"/>
        <w:jc w:val="left"/>
      </w:pPr>
      <w:r>
        <w:t>Attachment 7.2-1:  Annual Energy Scenario Summary</w:t>
      </w:r>
    </w:p>
    <w:p w14:paraId="568719D2" w14:textId="1BE85895" w:rsidR="00C933C7" w:rsidRDefault="00C933C7" w:rsidP="00C933C7">
      <w:pPr>
        <w:spacing w:after="200" w:line="276" w:lineRule="auto"/>
      </w:pPr>
      <w:r>
        <w:t xml:space="preserve">Budget </w:t>
      </w:r>
      <w:r w:rsidR="00C8516C">
        <w:t>2019</w:t>
      </w:r>
    </w:p>
    <w:p w14:paraId="1E1298D9" w14:textId="1F759C59" w:rsidR="00BA400F" w:rsidRDefault="00687563" w:rsidP="00C933C7">
      <w:pPr>
        <w:spacing w:after="200" w:line="276" w:lineRule="auto"/>
      </w:pPr>
      <w:r w:rsidRPr="00687563">
        <w:rPr>
          <w:noProof/>
        </w:rPr>
        <w:drawing>
          <wp:inline distT="0" distB="0" distL="0" distR="0" wp14:anchorId="61E0111A" wp14:editId="1B3370A8">
            <wp:extent cx="7705725" cy="3781425"/>
            <wp:effectExtent l="0" t="0" r="9525" b="9525"/>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7705725" cy="3781425"/>
                    </a:xfrm>
                    <a:prstGeom prst="rect">
                      <a:avLst/>
                    </a:prstGeom>
                    <a:noFill/>
                    <a:ln>
                      <a:noFill/>
                    </a:ln>
                  </pic:spPr>
                </pic:pic>
              </a:graphicData>
            </a:graphic>
          </wp:inline>
        </w:drawing>
      </w:r>
    </w:p>
    <w:p w14:paraId="17F68301" w14:textId="3B9AFF4E" w:rsidR="00C933C7" w:rsidRDefault="00C933C7" w:rsidP="00C933C7">
      <w:pPr>
        <w:spacing w:after="200" w:line="276" w:lineRule="auto"/>
      </w:pPr>
      <w:r>
        <w:br w:type="page"/>
      </w:r>
    </w:p>
    <w:p w14:paraId="670C7E8D" w14:textId="77777777" w:rsidR="00134C1B" w:rsidRDefault="00C933C7">
      <w:pPr>
        <w:spacing w:after="200" w:line="276" w:lineRule="auto"/>
        <w:jc w:val="left"/>
      </w:pPr>
      <w:r>
        <w:t>Attachment 7.2-2:  Annual Peak Demand Scenario Summary</w:t>
      </w:r>
    </w:p>
    <w:p w14:paraId="655FC21C" w14:textId="44412F7F" w:rsidR="00134C1B" w:rsidRDefault="00134C1B" w:rsidP="00134C1B">
      <w:pPr>
        <w:spacing w:after="200" w:line="276" w:lineRule="auto"/>
      </w:pPr>
      <w:r>
        <w:t xml:space="preserve">Budget </w:t>
      </w:r>
      <w:r w:rsidR="00C8516C">
        <w:t>2019</w:t>
      </w:r>
    </w:p>
    <w:p w14:paraId="4FA08693" w14:textId="1BAAD212" w:rsidR="005F18B8" w:rsidRDefault="00687563" w:rsidP="00134C1B">
      <w:pPr>
        <w:spacing w:after="200" w:line="276" w:lineRule="auto"/>
      </w:pPr>
      <w:r w:rsidRPr="00687563">
        <w:rPr>
          <w:noProof/>
        </w:rPr>
        <w:drawing>
          <wp:inline distT="0" distB="0" distL="0" distR="0" wp14:anchorId="2B11EA77" wp14:editId="13F7920E">
            <wp:extent cx="7705725" cy="3781425"/>
            <wp:effectExtent l="0" t="0" r="9525" b="9525"/>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7705725" cy="3781425"/>
                    </a:xfrm>
                    <a:prstGeom prst="rect">
                      <a:avLst/>
                    </a:prstGeom>
                    <a:noFill/>
                    <a:ln>
                      <a:noFill/>
                    </a:ln>
                  </pic:spPr>
                </pic:pic>
              </a:graphicData>
            </a:graphic>
          </wp:inline>
        </w:drawing>
      </w:r>
    </w:p>
    <w:p w14:paraId="25A692AD" w14:textId="13C80503" w:rsidR="00C933C7" w:rsidRDefault="00C933C7" w:rsidP="00134C1B">
      <w:pPr>
        <w:spacing w:after="200" w:line="276" w:lineRule="auto"/>
      </w:pPr>
      <w:r>
        <w:br w:type="page"/>
      </w:r>
    </w:p>
    <w:p w14:paraId="0255BCE9" w14:textId="77777777" w:rsidR="00EC1C35" w:rsidRPr="00C933C7" w:rsidRDefault="00EC1C35" w:rsidP="00C933C7">
      <w:pPr>
        <w:spacing w:after="200" w:line="276" w:lineRule="auto"/>
        <w:jc w:val="left"/>
        <w:sectPr w:rsidR="00EC1C35" w:rsidRPr="00C933C7" w:rsidSect="00C933C7">
          <w:pgSz w:w="15840" w:h="12240" w:orient="landscape"/>
          <w:pgMar w:top="1440" w:right="1440" w:bottom="1440" w:left="1440" w:header="720" w:footer="720" w:gutter="0"/>
          <w:cols w:space="720"/>
          <w:docGrid w:linePitch="273"/>
        </w:sectPr>
      </w:pPr>
    </w:p>
    <w:p w14:paraId="2E3CE3C1" w14:textId="77777777" w:rsidR="0025745A" w:rsidRPr="00AE33CD" w:rsidRDefault="0025745A" w:rsidP="00AE33CD">
      <w:pPr>
        <w:pStyle w:val="Heading1"/>
        <w:jc w:val="left"/>
        <w:rPr>
          <w:rFonts w:ascii="Arial" w:hAnsi="Arial" w:cs="Arial"/>
          <w:b/>
          <w:color w:val="auto"/>
        </w:rPr>
      </w:pPr>
      <w:bookmarkStart w:id="270" w:name="_Toc347120450"/>
      <w:bookmarkStart w:id="271" w:name="_Toc535495652"/>
      <w:r w:rsidRPr="00AE33CD">
        <w:rPr>
          <w:rFonts w:ascii="Arial" w:hAnsi="Arial" w:cs="Arial"/>
          <w:b/>
          <w:color w:val="auto"/>
        </w:rPr>
        <w:t>8.0</w:t>
      </w:r>
      <w:r w:rsidRPr="00AE33CD">
        <w:rPr>
          <w:rFonts w:ascii="Arial" w:hAnsi="Arial" w:cs="Arial"/>
          <w:b/>
          <w:color w:val="auto"/>
        </w:rPr>
        <w:tab/>
        <w:t>FORECAST ASSUMPTIONS OVERVIEW</w:t>
      </w:r>
      <w:bookmarkEnd w:id="270"/>
      <w:bookmarkEnd w:id="271"/>
    </w:p>
    <w:p w14:paraId="70FA23ED" w14:textId="77777777" w:rsidR="00AB4E62" w:rsidRDefault="00AB4E62" w:rsidP="0025745A">
      <w:pPr>
        <w:pStyle w:val="BodyText"/>
      </w:pPr>
    </w:p>
    <w:p w14:paraId="7F776898" w14:textId="77777777" w:rsidR="00011D97" w:rsidRPr="00AB4E62" w:rsidRDefault="00011D97" w:rsidP="00011D97">
      <w:pPr>
        <w:pStyle w:val="BodyText"/>
        <w:spacing w:line="360" w:lineRule="auto"/>
        <w:jc w:val="both"/>
        <w:rPr>
          <w:b w:val="0"/>
        </w:rPr>
      </w:pPr>
      <w:r w:rsidRPr="00AB4E62">
        <w:rPr>
          <w:b w:val="0"/>
        </w:rPr>
        <w:t>Budget 20</w:t>
      </w:r>
      <w:r>
        <w:rPr>
          <w:b w:val="0"/>
        </w:rPr>
        <w:t>19</w:t>
      </w:r>
      <w:r w:rsidRPr="00AB4E62">
        <w:rPr>
          <w:b w:val="0"/>
        </w:rPr>
        <w:t xml:space="preserve"> assumptions were jointly developed by Georgia Power’s Market Planning</w:t>
      </w:r>
      <w:r>
        <w:rPr>
          <w:b w:val="0"/>
        </w:rPr>
        <w:t xml:space="preserve"> and</w:t>
      </w:r>
      <w:r w:rsidRPr="00AB4E62">
        <w:rPr>
          <w:b w:val="0"/>
        </w:rPr>
        <w:t xml:space="preserve"> Financial Planning and Analysis departments, a</w:t>
      </w:r>
      <w:r>
        <w:rPr>
          <w:b w:val="0"/>
        </w:rPr>
        <w:t>long with</w:t>
      </w:r>
      <w:r w:rsidRPr="00AB4E62">
        <w:rPr>
          <w:b w:val="0"/>
        </w:rPr>
        <w:t xml:space="preserve"> </w:t>
      </w:r>
      <w:r>
        <w:rPr>
          <w:b w:val="0"/>
        </w:rPr>
        <w:t xml:space="preserve">the SCS </w:t>
      </w:r>
      <w:r w:rsidRPr="00AB4E62">
        <w:rPr>
          <w:b w:val="0"/>
        </w:rPr>
        <w:t>Forecasting, Marketing, Fuel Services, and System Planning departments. Major assumptions include the economic outlook for the U.S. and Georgia, as well as the long-term outlook for fuel prices and market profiles for class end uses.</w:t>
      </w:r>
    </w:p>
    <w:p w14:paraId="22F47DBD" w14:textId="77777777" w:rsidR="00011D97" w:rsidRPr="00AB4E62" w:rsidRDefault="00011D97" w:rsidP="00011D97">
      <w:pPr>
        <w:pStyle w:val="BodyText"/>
        <w:spacing w:line="360" w:lineRule="auto"/>
        <w:jc w:val="both"/>
        <w:rPr>
          <w:b w:val="0"/>
        </w:rPr>
      </w:pPr>
    </w:p>
    <w:p w14:paraId="18889281" w14:textId="1955CC3C" w:rsidR="00011D97" w:rsidRPr="00803BF1" w:rsidRDefault="00011D97" w:rsidP="00011D97">
      <w:pPr>
        <w:pStyle w:val="BodyText"/>
        <w:spacing w:line="360" w:lineRule="auto"/>
        <w:jc w:val="both"/>
        <w:rPr>
          <w:b w:val="0"/>
        </w:rPr>
      </w:pPr>
      <w:r>
        <w:rPr>
          <w:b w:val="0"/>
        </w:rPr>
        <w:t>IHS Markit</w:t>
      </w:r>
      <w:r w:rsidRPr="00AB4E62">
        <w:rPr>
          <w:b w:val="0"/>
        </w:rPr>
        <w:t xml:space="preserve"> provided the economic forecasts for Budget 20</w:t>
      </w:r>
      <w:r>
        <w:rPr>
          <w:b w:val="0"/>
        </w:rPr>
        <w:t>19</w:t>
      </w:r>
      <w:r w:rsidRPr="00AB4E62">
        <w:rPr>
          <w:b w:val="0"/>
        </w:rPr>
        <w:t>. The economic</w:t>
      </w:r>
      <w:r>
        <w:rPr>
          <w:b w:val="0"/>
        </w:rPr>
        <w:t xml:space="preserve"> forecast was developed in the Spring</w:t>
      </w:r>
      <w:r w:rsidRPr="00AB4E62">
        <w:rPr>
          <w:b w:val="0"/>
        </w:rPr>
        <w:t xml:space="preserve"> of 20</w:t>
      </w:r>
      <w:r>
        <w:rPr>
          <w:b w:val="0"/>
        </w:rPr>
        <w:t>18</w:t>
      </w:r>
      <w:r w:rsidRPr="00AB4E62">
        <w:rPr>
          <w:b w:val="0"/>
        </w:rPr>
        <w:t xml:space="preserve">. </w:t>
      </w:r>
      <w:r>
        <w:rPr>
          <w:b w:val="0"/>
        </w:rPr>
        <w:t>IHS Markit</w:t>
      </w:r>
      <w:r w:rsidRPr="00803BF1">
        <w:rPr>
          <w:b w:val="0"/>
        </w:rPr>
        <w:t xml:space="preserve"> provides comprehensive and timely research of all the components that drive the economy. </w:t>
      </w:r>
      <w:r>
        <w:rPr>
          <w:b w:val="0"/>
        </w:rPr>
        <w:t xml:space="preserve">IHS Markit’s </w:t>
      </w:r>
      <w:r w:rsidRPr="00803BF1">
        <w:rPr>
          <w:b w:val="0"/>
        </w:rPr>
        <w:t xml:space="preserve">research examines the implications of macro and regional growth, the prospects of states and metropolitan areas and covers specialized topics such as housing, consumers and other trends highly relevant to business planning. Clients from a broad range of industries depend on </w:t>
      </w:r>
      <w:r>
        <w:rPr>
          <w:b w:val="0"/>
        </w:rPr>
        <w:t>IHS Markit’s</w:t>
      </w:r>
      <w:r w:rsidRPr="00803BF1">
        <w:rPr>
          <w:b w:val="0"/>
        </w:rPr>
        <w:t xml:space="preserve"> research and forecasts to better manage the risks and opportunities stemming from</w:t>
      </w:r>
      <w:r>
        <w:rPr>
          <w:b w:val="0"/>
        </w:rPr>
        <w:t xml:space="preserve"> a</w:t>
      </w:r>
      <w:r w:rsidRPr="00803BF1">
        <w:rPr>
          <w:b w:val="0"/>
        </w:rPr>
        <w:t xml:space="preserve"> rapidly changing economy</w:t>
      </w:r>
      <w:r>
        <w:rPr>
          <w:b w:val="0"/>
        </w:rPr>
        <w:t>,</w:t>
      </w:r>
      <w:r w:rsidRPr="00803BF1">
        <w:rPr>
          <w:b w:val="0"/>
        </w:rPr>
        <w:t xml:space="preserve"> </w:t>
      </w:r>
      <w:r>
        <w:rPr>
          <w:b w:val="0"/>
        </w:rPr>
        <w:t>as well as</w:t>
      </w:r>
      <w:r w:rsidRPr="00803BF1">
        <w:rPr>
          <w:b w:val="0"/>
        </w:rPr>
        <w:t xml:space="preserve"> for strategic planning, demand assessment, consumer lending and general investment research. </w:t>
      </w:r>
    </w:p>
    <w:p w14:paraId="4A692658" w14:textId="77777777" w:rsidR="00011D97" w:rsidRPr="00AB4E62" w:rsidRDefault="00011D97" w:rsidP="00011D97">
      <w:pPr>
        <w:pStyle w:val="BodyText"/>
        <w:spacing w:line="360" w:lineRule="auto"/>
        <w:jc w:val="both"/>
        <w:rPr>
          <w:b w:val="0"/>
        </w:rPr>
      </w:pPr>
    </w:p>
    <w:p w14:paraId="3EF0E2BF" w14:textId="489B3E08" w:rsidR="00011D97" w:rsidRPr="00AB4E62" w:rsidRDefault="00011D97" w:rsidP="00011D97">
      <w:pPr>
        <w:pStyle w:val="BodyText"/>
        <w:spacing w:line="360" w:lineRule="auto"/>
        <w:jc w:val="both"/>
        <w:rPr>
          <w:b w:val="0"/>
        </w:rPr>
      </w:pPr>
      <w:bookmarkStart w:id="272" w:name="_Hlk531796210"/>
      <w:r>
        <w:rPr>
          <w:b w:val="0"/>
        </w:rPr>
        <w:t>IHS Markit’s</w:t>
      </w:r>
      <w:r w:rsidRPr="00C304FC">
        <w:rPr>
          <w:b w:val="0"/>
        </w:rPr>
        <w:t xml:space="preserve"> national </w:t>
      </w:r>
      <w:r>
        <w:rPr>
          <w:b w:val="0"/>
        </w:rPr>
        <w:t>model is a large-scale structural econometric model that is grounded in mainstream economic theory and estimated using modern econometric techniques. The model uses an income-expenditure structure in which short-term fluctuations in GDP are caused primarily by changes in aggregate demand. A distinguishing characteristic is that the steady-state properties of key equations are derived from neoclassical theory, imparting to the model a well-defined growth path in the long run. This emphasis on theory leads to an internally consistent structure that renders the model well-suited for short-run forecasting, long-term policy analysis and the development of internally consistent macroeconomic scenarios. With respect to regional modeling, each area (e.g.</w:t>
      </w:r>
      <w:r w:rsidR="00C405C1">
        <w:rPr>
          <w:b w:val="0"/>
        </w:rPr>
        <w:t>,</w:t>
      </w:r>
      <w:r>
        <w:rPr>
          <w:b w:val="0"/>
        </w:rPr>
        <w:t xml:space="preserve"> state or metro area) is modeled individually and then linked to a national system. Instead of forecasting regional growth as simple proportions of U.S. totals, the models focus on each area’s internal growth dynamics and differential business cycle response. </w:t>
      </w:r>
      <w:bookmarkEnd w:id="272"/>
    </w:p>
    <w:p w14:paraId="3A379EFD" w14:textId="77777777" w:rsidR="00011D97" w:rsidRPr="00AB4E62" w:rsidRDefault="00011D97" w:rsidP="00011D97">
      <w:pPr>
        <w:pStyle w:val="BodyText"/>
        <w:spacing w:line="360" w:lineRule="auto"/>
        <w:jc w:val="both"/>
        <w:rPr>
          <w:b w:val="0"/>
        </w:rPr>
      </w:pPr>
    </w:p>
    <w:p w14:paraId="02DB3571" w14:textId="77777777" w:rsidR="00011D97" w:rsidRPr="00AB4E62" w:rsidRDefault="00011D97" w:rsidP="00011D97">
      <w:pPr>
        <w:pStyle w:val="BodyText"/>
        <w:spacing w:line="360" w:lineRule="auto"/>
        <w:jc w:val="both"/>
        <w:rPr>
          <w:b w:val="0"/>
        </w:rPr>
      </w:pPr>
      <w:r w:rsidRPr="00AB4E62">
        <w:rPr>
          <w:b w:val="0"/>
        </w:rPr>
        <w:t xml:space="preserve">As a part of the forecasting process, prices for electricity and natural gas are reviewed and analyzed. Electricity price forecasts were based on results of internal financial planning models. Projections of natural gas prices were developed by SCS </w:t>
      </w:r>
      <w:r>
        <w:rPr>
          <w:b w:val="0"/>
        </w:rPr>
        <w:t xml:space="preserve">Forecasting using the commodity forecasts from the SCS Fuel Services and SCS Resource Planning groups. </w:t>
      </w:r>
      <w:r w:rsidRPr="00AB4E62">
        <w:rPr>
          <w:b w:val="0"/>
        </w:rPr>
        <w:t>Georgia Power’s long-term forecasting models incorporate these retail fuel prices when modeling the fuel choices and efficiency decisions of consumers and decision-makers.</w:t>
      </w:r>
    </w:p>
    <w:p w14:paraId="2E9DE840" w14:textId="77777777" w:rsidR="00011D97" w:rsidRPr="00AB4E62" w:rsidRDefault="00011D97" w:rsidP="00011D97">
      <w:pPr>
        <w:pStyle w:val="BodyText"/>
        <w:spacing w:line="360" w:lineRule="auto"/>
        <w:jc w:val="both"/>
        <w:rPr>
          <w:b w:val="0"/>
        </w:rPr>
      </w:pPr>
    </w:p>
    <w:p w14:paraId="7AE39B91" w14:textId="77777777" w:rsidR="00011D97" w:rsidRPr="00AB4E62" w:rsidRDefault="00011D97" w:rsidP="00011D97">
      <w:pPr>
        <w:pStyle w:val="BodyText"/>
        <w:spacing w:line="360" w:lineRule="auto"/>
        <w:jc w:val="both"/>
        <w:rPr>
          <w:b w:val="0"/>
        </w:rPr>
      </w:pPr>
      <w:r w:rsidRPr="00AB4E62">
        <w:rPr>
          <w:b w:val="0"/>
        </w:rPr>
        <w:t>Other factors</w:t>
      </w:r>
      <w:r>
        <w:rPr>
          <w:b w:val="0"/>
        </w:rPr>
        <w:t>,</w:t>
      </w:r>
      <w:r w:rsidRPr="00AB4E62">
        <w:rPr>
          <w:b w:val="0"/>
        </w:rPr>
        <w:t xml:space="preserve"> such as the impacts of appliance efficiency standards</w:t>
      </w:r>
      <w:r>
        <w:rPr>
          <w:b w:val="0"/>
        </w:rPr>
        <w:t>,</w:t>
      </w:r>
      <w:r w:rsidRPr="00AB4E62">
        <w:rPr>
          <w:b w:val="0"/>
        </w:rPr>
        <w:t xml:space="preserve"> were also considered in the long-term forecast. The end-use models for the long-term energy forecast incorporate minimum standards for new appliances as well as replacement options.  </w:t>
      </w:r>
    </w:p>
    <w:p w14:paraId="08D402FD" w14:textId="77777777" w:rsidR="00011D97" w:rsidRPr="00AB4E62" w:rsidRDefault="00011D97" w:rsidP="00011D97">
      <w:pPr>
        <w:pStyle w:val="BodyText"/>
        <w:spacing w:line="360" w:lineRule="auto"/>
        <w:jc w:val="both"/>
        <w:rPr>
          <w:b w:val="0"/>
        </w:rPr>
      </w:pPr>
    </w:p>
    <w:p w14:paraId="48835A62" w14:textId="6E20A70A" w:rsidR="00011D97" w:rsidRPr="00AB4E62" w:rsidRDefault="00011D97" w:rsidP="00011D97">
      <w:pPr>
        <w:pStyle w:val="BodyText"/>
        <w:spacing w:line="360" w:lineRule="auto"/>
        <w:jc w:val="both"/>
        <w:rPr>
          <w:b w:val="0"/>
        </w:rPr>
      </w:pPr>
      <w:r>
        <w:rPr>
          <w:b w:val="0"/>
        </w:rPr>
        <w:t>T</w:t>
      </w:r>
      <w:r w:rsidRPr="00AB4E62">
        <w:rPr>
          <w:b w:val="0"/>
        </w:rPr>
        <w:t xml:space="preserve">he short-term and long-term energy models </w:t>
      </w:r>
      <w:r>
        <w:rPr>
          <w:b w:val="0"/>
        </w:rPr>
        <w:t>use</w:t>
      </w:r>
      <w:r w:rsidRPr="00AB4E62">
        <w:rPr>
          <w:b w:val="0"/>
        </w:rPr>
        <w:t xml:space="preserve"> a </w:t>
      </w:r>
      <w:r>
        <w:rPr>
          <w:b w:val="0"/>
        </w:rPr>
        <w:t>38</w:t>
      </w:r>
      <w:r w:rsidRPr="00AB4E62">
        <w:rPr>
          <w:b w:val="0"/>
        </w:rPr>
        <w:t xml:space="preserve">-year average of </w:t>
      </w:r>
      <w:r>
        <w:rPr>
          <w:b w:val="0"/>
        </w:rPr>
        <w:t>CDH and HDH to define “normal” weather.</w:t>
      </w:r>
    </w:p>
    <w:p w14:paraId="722F3D76" w14:textId="77777777" w:rsidR="00011D97" w:rsidRPr="00AB4E62" w:rsidRDefault="00011D97" w:rsidP="00011D97">
      <w:pPr>
        <w:pStyle w:val="BodyText"/>
        <w:spacing w:line="360" w:lineRule="auto"/>
        <w:jc w:val="both"/>
        <w:rPr>
          <w:b w:val="0"/>
        </w:rPr>
      </w:pPr>
    </w:p>
    <w:p w14:paraId="548A6C9A" w14:textId="77777777" w:rsidR="0025745A" w:rsidRPr="0025745A" w:rsidRDefault="0025745A" w:rsidP="0025745A">
      <w:pPr>
        <w:pStyle w:val="Heading1"/>
        <w:jc w:val="left"/>
        <w:rPr>
          <w:rFonts w:ascii="Arial" w:hAnsi="Arial" w:cs="Arial"/>
          <w:b/>
          <w:color w:val="auto"/>
        </w:rPr>
      </w:pPr>
      <w:bookmarkStart w:id="273" w:name="_Toc347120451"/>
      <w:bookmarkStart w:id="274" w:name="_Toc535495653"/>
      <w:r w:rsidRPr="0025745A">
        <w:rPr>
          <w:rFonts w:ascii="Arial" w:hAnsi="Arial" w:cs="Arial"/>
          <w:b/>
          <w:color w:val="auto"/>
        </w:rPr>
        <w:t>8.1</w:t>
      </w:r>
      <w:r w:rsidRPr="0025745A">
        <w:rPr>
          <w:rFonts w:ascii="Arial" w:hAnsi="Arial" w:cs="Arial"/>
          <w:b/>
          <w:color w:val="auto"/>
        </w:rPr>
        <w:tab/>
        <w:t>SHORT-TERM ENERGY MODEL ECONOMIC ASSUMPTIONS</w:t>
      </w:r>
      <w:bookmarkEnd w:id="273"/>
      <w:bookmarkEnd w:id="274"/>
    </w:p>
    <w:p w14:paraId="5D753493" w14:textId="77777777" w:rsidR="00AB4E62" w:rsidRDefault="00AB4E62" w:rsidP="0025745A">
      <w:pPr>
        <w:pStyle w:val="BodyText"/>
      </w:pPr>
    </w:p>
    <w:p w14:paraId="746EC311" w14:textId="7BEE8A79" w:rsidR="0025745A" w:rsidRPr="00AB4E62" w:rsidRDefault="0005402C" w:rsidP="00714556">
      <w:pPr>
        <w:pStyle w:val="BodyText"/>
        <w:spacing w:line="360" w:lineRule="auto"/>
        <w:jc w:val="both"/>
        <w:rPr>
          <w:b w:val="0"/>
        </w:rPr>
      </w:pPr>
      <w:r w:rsidRPr="005D4F2F">
        <w:rPr>
          <w:b w:val="0"/>
        </w:rPr>
        <w:t>The Budget 20</w:t>
      </w:r>
      <w:r>
        <w:rPr>
          <w:b w:val="0"/>
        </w:rPr>
        <w:t>19</w:t>
      </w:r>
      <w:r w:rsidRPr="005D4F2F">
        <w:rPr>
          <w:b w:val="0"/>
        </w:rPr>
        <w:t xml:space="preserve"> short-term models use economic and demographic inputs from </w:t>
      </w:r>
      <w:r>
        <w:rPr>
          <w:b w:val="0"/>
        </w:rPr>
        <w:t>the</w:t>
      </w:r>
      <w:r w:rsidRPr="005D4F2F">
        <w:rPr>
          <w:b w:val="0"/>
        </w:rPr>
        <w:t xml:space="preserve"> Georgia forecast produced by </w:t>
      </w:r>
      <w:r>
        <w:rPr>
          <w:b w:val="0"/>
        </w:rPr>
        <w:t>IHS Markit</w:t>
      </w:r>
      <w:r w:rsidRPr="005D4F2F">
        <w:rPr>
          <w:b w:val="0"/>
        </w:rPr>
        <w:t>.</w:t>
      </w:r>
      <w:r w:rsidRPr="004834DF">
        <w:rPr>
          <w:b w:val="0"/>
          <w:color w:val="FF0000"/>
        </w:rPr>
        <w:t xml:space="preserve"> </w:t>
      </w:r>
      <w:r w:rsidRPr="006B753A">
        <w:rPr>
          <w:b w:val="0"/>
        </w:rPr>
        <w:t xml:space="preserve">The short-term energy forecasts rely on the monthly interpolations derived from quarterly projections of </w:t>
      </w:r>
      <w:r>
        <w:rPr>
          <w:b w:val="0"/>
        </w:rPr>
        <w:t xml:space="preserve">demographic and </w:t>
      </w:r>
      <w:r w:rsidRPr="006B753A">
        <w:rPr>
          <w:b w:val="0"/>
        </w:rPr>
        <w:t>economic variables, including</w:t>
      </w:r>
      <w:r>
        <w:rPr>
          <w:b w:val="0"/>
        </w:rPr>
        <w:t xml:space="preserve"> the</w:t>
      </w:r>
      <w:r w:rsidRPr="006B753A">
        <w:rPr>
          <w:b w:val="0"/>
        </w:rPr>
        <w:t xml:space="preserve"> </w:t>
      </w:r>
      <w:r>
        <w:rPr>
          <w:b w:val="0"/>
        </w:rPr>
        <w:t>number of Georgia households</w:t>
      </w:r>
      <w:r w:rsidRPr="006B753A">
        <w:rPr>
          <w:b w:val="0"/>
        </w:rPr>
        <w:t xml:space="preserve">, </w:t>
      </w:r>
      <w:r>
        <w:rPr>
          <w:b w:val="0"/>
        </w:rPr>
        <w:t xml:space="preserve">and Georgia </w:t>
      </w:r>
      <w:r w:rsidRPr="006B753A">
        <w:rPr>
          <w:b w:val="0"/>
        </w:rPr>
        <w:t xml:space="preserve">manufacturing and non-manufacturing employment. </w:t>
      </w:r>
      <w:r w:rsidR="001D642A">
        <w:rPr>
          <w:b w:val="0"/>
        </w:rPr>
        <w:t xml:space="preserve"> </w:t>
      </w:r>
      <w:r w:rsidR="0025745A" w:rsidRPr="004834DF">
        <w:rPr>
          <w:b w:val="0"/>
          <w:color w:val="FF0000"/>
        </w:rPr>
        <w:t xml:space="preserve"> </w:t>
      </w:r>
    </w:p>
    <w:p w14:paraId="583E50F2" w14:textId="77777777" w:rsidR="0025745A" w:rsidRPr="003A3426" w:rsidRDefault="0025745A" w:rsidP="007D3743">
      <w:pPr>
        <w:jc w:val="both"/>
      </w:pPr>
    </w:p>
    <w:p w14:paraId="69B431CC" w14:textId="77777777" w:rsidR="0025745A" w:rsidRPr="004A2E6E" w:rsidRDefault="0025745A" w:rsidP="0025745A">
      <w:pPr>
        <w:pStyle w:val="Heading1"/>
        <w:jc w:val="left"/>
      </w:pPr>
      <w:bookmarkStart w:id="275" w:name="_Toc347120452"/>
      <w:bookmarkStart w:id="276" w:name="_Toc535495654"/>
      <w:r w:rsidRPr="0025745A">
        <w:rPr>
          <w:rFonts w:ascii="Arial" w:hAnsi="Arial" w:cs="Arial"/>
          <w:b/>
          <w:color w:val="auto"/>
        </w:rPr>
        <w:t>8.2</w:t>
      </w:r>
      <w:r w:rsidRPr="0025745A">
        <w:rPr>
          <w:rFonts w:ascii="Arial" w:hAnsi="Arial" w:cs="Arial"/>
          <w:b/>
          <w:color w:val="auto"/>
        </w:rPr>
        <w:tab/>
        <w:t>LONG-TERM ENERGY MODEL ECONOMIC ASSUMPTIONS</w:t>
      </w:r>
      <w:bookmarkEnd w:id="275"/>
      <w:bookmarkEnd w:id="276"/>
    </w:p>
    <w:p w14:paraId="40E74FCD" w14:textId="77777777" w:rsidR="0025745A" w:rsidRPr="003A3426" w:rsidRDefault="0025745A" w:rsidP="0025745A">
      <w:pPr>
        <w:jc w:val="left"/>
      </w:pPr>
    </w:p>
    <w:p w14:paraId="04ED4C82" w14:textId="77777777" w:rsidR="0025745A" w:rsidRDefault="0025745A" w:rsidP="0025745A">
      <w:pPr>
        <w:pStyle w:val="Heading2"/>
        <w:jc w:val="left"/>
        <w:rPr>
          <w:rFonts w:ascii="Arial" w:hAnsi="Arial" w:cs="Arial"/>
          <w:b/>
          <w:color w:val="auto"/>
          <w:sz w:val="20"/>
          <w:szCs w:val="20"/>
        </w:rPr>
      </w:pPr>
      <w:bookmarkStart w:id="277" w:name="_Toc347120453"/>
      <w:bookmarkStart w:id="278" w:name="_Toc535495655"/>
      <w:r w:rsidRPr="00AB4E62">
        <w:rPr>
          <w:rFonts w:ascii="Arial" w:hAnsi="Arial" w:cs="Arial"/>
          <w:b/>
          <w:color w:val="auto"/>
          <w:sz w:val="20"/>
          <w:szCs w:val="20"/>
        </w:rPr>
        <w:t>8.2.1</w:t>
      </w:r>
      <w:r w:rsidRPr="00AB4E62">
        <w:rPr>
          <w:rFonts w:ascii="Arial" w:hAnsi="Arial" w:cs="Arial"/>
          <w:b/>
          <w:color w:val="auto"/>
          <w:sz w:val="20"/>
          <w:szCs w:val="20"/>
        </w:rPr>
        <w:tab/>
        <w:t>Overview</w:t>
      </w:r>
      <w:bookmarkEnd w:id="277"/>
      <w:bookmarkEnd w:id="278"/>
      <w:r w:rsidRPr="00AB4E62">
        <w:rPr>
          <w:rFonts w:ascii="Arial" w:hAnsi="Arial" w:cs="Arial"/>
          <w:b/>
          <w:color w:val="auto"/>
          <w:sz w:val="20"/>
          <w:szCs w:val="20"/>
        </w:rPr>
        <w:t xml:space="preserve"> </w:t>
      </w:r>
    </w:p>
    <w:p w14:paraId="1E9CD352" w14:textId="77777777" w:rsidR="00580A7B" w:rsidRPr="00580A7B" w:rsidRDefault="00580A7B" w:rsidP="00580A7B"/>
    <w:p w14:paraId="765F2D7E" w14:textId="5D26F1EA" w:rsidR="0005402C" w:rsidRPr="00580A7B" w:rsidRDefault="0005402C" w:rsidP="0005402C">
      <w:pPr>
        <w:spacing w:line="360" w:lineRule="auto"/>
        <w:jc w:val="both"/>
        <w:rPr>
          <w:b w:val="0"/>
        </w:rPr>
      </w:pPr>
      <w:r w:rsidRPr="00580A7B">
        <w:rPr>
          <w:b w:val="0"/>
        </w:rPr>
        <w:t>The Budget 20</w:t>
      </w:r>
      <w:r>
        <w:rPr>
          <w:b w:val="0"/>
        </w:rPr>
        <w:t>19</w:t>
      </w:r>
      <w:r w:rsidRPr="00580A7B">
        <w:rPr>
          <w:b w:val="0"/>
        </w:rPr>
        <w:t xml:space="preserve"> long-term energy models used economic and demographic inputs developed from the Georgia forecast produced by </w:t>
      </w:r>
      <w:r>
        <w:rPr>
          <w:b w:val="0"/>
        </w:rPr>
        <w:t>IHS Markit</w:t>
      </w:r>
      <w:r w:rsidRPr="00580A7B">
        <w:rPr>
          <w:b w:val="0"/>
        </w:rPr>
        <w:t>.</w:t>
      </w:r>
      <w:r w:rsidR="004A7B3A">
        <w:rPr>
          <w:b w:val="0"/>
        </w:rPr>
        <w:t xml:space="preserve"> </w:t>
      </w:r>
      <w:r w:rsidR="007B47AE">
        <w:rPr>
          <w:b w:val="0"/>
        </w:rPr>
        <w:t>The k</w:t>
      </w:r>
      <w:r w:rsidR="004A7B3A">
        <w:rPr>
          <w:b w:val="0"/>
        </w:rPr>
        <w:t xml:space="preserve">ey variables used in the </w:t>
      </w:r>
      <w:r w:rsidR="007B47AE">
        <w:rPr>
          <w:b w:val="0"/>
        </w:rPr>
        <w:t xml:space="preserve">long-term energy </w:t>
      </w:r>
      <w:r w:rsidR="004A7B3A">
        <w:rPr>
          <w:b w:val="0"/>
        </w:rPr>
        <w:t>models are discussed below.</w:t>
      </w:r>
    </w:p>
    <w:p w14:paraId="3C61224A" w14:textId="77777777" w:rsidR="0005402C" w:rsidRPr="00580A7B" w:rsidRDefault="0005402C" w:rsidP="0005402C">
      <w:pPr>
        <w:spacing w:line="360" w:lineRule="auto"/>
        <w:jc w:val="both"/>
        <w:rPr>
          <w:b w:val="0"/>
        </w:rPr>
      </w:pPr>
    </w:p>
    <w:p w14:paraId="5B5FA82C" w14:textId="77777777" w:rsidR="00580A7B" w:rsidRDefault="00580A7B" w:rsidP="00926D6E">
      <w:pPr>
        <w:pStyle w:val="Heading2"/>
        <w:jc w:val="left"/>
        <w:rPr>
          <w:rFonts w:ascii="Arial" w:hAnsi="Arial" w:cs="Arial"/>
          <w:b/>
          <w:color w:val="auto"/>
          <w:sz w:val="20"/>
          <w:szCs w:val="20"/>
        </w:rPr>
      </w:pPr>
      <w:bookmarkStart w:id="279" w:name="_Toc347120454"/>
      <w:bookmarkStart w:id="280" w:name="_Toc347155996"/>
      <w:bookmarkStart w:id="281" w:name="_Toc535495656"/>
      <w:r w:rsidRPr="00926D6E">
        <w:rPr>
          <w:rFonts w:ascii="Arial" w:hAnsi="Arial" w:cs="Arial"/>
          <w:b/>
          <w:color w:val="auto"/>
          <w:sz w:val="20"/>
          <w:szCs w:val="20"/>
        </w:rPr>
        <w:t>8.2.2</w:t>
      </w:r>
      <w:r w:rsidRPr="00926D6E">
        <w:rPr>
          <w:rFonts w:ascii="Arial" w:hAnsi="Arial" w:cs="Arial"/>
          <w:b/>
          <w:color w:val="auto"/>
          <w:sz w:val="20"/>
          <w:szCs w:val="20"/>
        </w:rPr>
        <w:tab/>
        <w:t xml:space="preserve">Income </w:t>
      </w:r>
      <w:bookmarkEnd w:id="279"/>
      <w:bookmarkEnd w:id="280"/>
      <w:r w:rsidRPr="00926D6E">
        <w:rPr>
          <w:rFonts w:ascii="Arial" w:hAnsi="Arial" w:cs="Arial"/>
          <w:b/>
          <w:color w:val="auto"/>
          <w:sz w:val="20"/>
          <w:szCs w:val="20"/>
        </w:rPr>
        <w:t>per Household</w:t>
      </w:r>
      <w:bookmarkEnd w:id="281"/>
      <w:r w:rsidRPr="00926D6E">
        <w:rPr>
          <w:rFonts w:ascii="Arial" w:hAnsi="Arial" w:cs="Arial"/>
          <w:b/>
          <w:color w:val="auto"/>
          <w:sz w:val="20"/>
          <w:szCs w:val="20"/>
        </w:rPr>
        <w:t xml:space="preserve"> </w:t>
      </w:r>
    </w:p>
    <w:p w14:paraId="7FC38EBA" w14:textId="77777777" w:rsidR="00926D6E" w:rsidRPr="00926D6E" w:rsidRDefault="00926D6E" w:rsidP="00926D6E"/>
    <w:p w14:paraId="02191399" w14:textId="12E58A9F" w:rsidR="0005402C" w:rsidRPr="00580A7B" w:rsidRDefault="0005402C" w:rsidP="0005402C">
      <w:pPr>
        <w:spacing w:line="360" w:lineRule="auto"/>
        <w:jc w:val="both"/>
        <w:rPr>
          <w:b w:val="0"/>
        </w:rPr>
      </w:pPr>
      <w:r w:rsidRPr="00580A7B">
        <w:rPr>
          <w:b w:val="0"/>
        </w:rPr>
        <w:t xml:space="preserve">The long-term residential energy forecast is produced using real income per </w:t>
      </w:r>
      <w:r>
        <w:rPr>
          <w:b w:val="0"/>
        </w:rPr>
        <w:t>h</w:t>
      </w:r>
      <w:r w:rsidRPr="00580A7B">
        <w:rPr>
          <w:b w:val="0"/>
        </w:rPr>
        <w:t xml:space="preserve">ousehold by housing type as the key economic driver. It represents </w:t>
      </w:r>
      <w:r>
        <w:rPr>
          <w:b w:val="0"/>
        </w:rPr>
        <w:t>s</w:t>
      </w:r>
      <w:r w:rsidRPr="00580A7B">
        <w:rPr>
          <w:b w:val="0"/>
        </w:rPr>
        <w:t>ingle</w:t>
      </w:r>
      <w:r>
        <w:rPr>
          <w:b w:val="0"/>
        </w:rPr>
        <w:t>-f</w:t>
      </w:r>
      <w:r w:rsidRPr="00580A7B">
        <w:rPr>
          <w:b w:val="0"/>
        </w:rPr>
        <w:t xml:space="preserve">amily </w:t>
      </w:r>
      <w:r>
        <w:rPr>
          <w:b w:val="0"/>
        </w:rPr>
        <w:t>i</w:t>
      </w:r>
      <w:r w:rsidRPr="00580A7B">
        <w:rPr>
          <w:b w:val="0"/>
        </w:rPr>
        <w:t xml:space="preserve">ncome per </w:t>
      </w:r>
      <w:r>
        <w:rPr>
          <w:b w:val="0"/>
        </w:rPr>
        <w:t>h</w:t>
      </w:r>
      <w:r w:rsidRPr="00580A7B">
        <w:rPr>
          <w:b w:val="0"/>
        </w:rPr>
        <w:t xml:space="preserve">ousehold. </w:t>
      </w:r>
      <w:r>
        <w:rPr>
          <w:b w:val="0"/>
        </w:rPr>
        <w:t>For m</w:t>
      </w:r>
      <w:r w:rsidRPr="00580A7B">
        <w:rPr>
          <w:b w:val="0"/>
        </w:rPr>
        <w:t xml:space="preserve">ultifamily and </w:t>
      </w:r>
      <w:r>
        <w:rPr>
          <w:b w:val="0"/>
        </w:rPr>
        <w:t>m</w:t>
      </w:r>
      <w:r w:rsidRPr="00580A7B">
        <w:rPr>
          <w:b w:val="0"/>
        </w:rPr>
        <w:t xml:space="preserve">anufactured </w:t>
      </w:r>
      <w:r>
        <w:rPr>
          <w:b w:val="0"/>
        </w:rPr>
        <w:t>h</w:t>
      </w:r>
      <w:r w:rsidRPr="00580A7B">
        <w:rPr>
          <w:b w:val="0"/>
        </w:rPr>
        <w:t>omes</w:t>
      </w:r>
      <w:r>
        <w:rPr>
          <w:b w:val="0"/>
        </w:rPr>
        <w:t xml:space="preserve">, </w:t>
      </w:r>
      <w:r w:rsidRPr="00580A7B">
        <w:rPr>
          <w:b w:val="0"/>
        </w:rPr>
        <w:t xml:space="preserve">income per </w:t>
      </w:r>
      <w:r>
        <w:rPr>
          <w:b w:val="0"/>
        </w:rPr>
        <w:t>h</w:t>
      </w:r>
      <w:r w:rsidRPr="00580A7B">
        <w:rPr>
          <w:b w:val="0"/>
        </w:rPr>
        <w:t xml:space="preserve">ousehold </w:t>
      </w:r>
      <w:r>
        <w:rPr>
          <w:b w:val="0"/>
        </w:rPr>
        <w:t>is</w:t>
      </w:r>
      <w:r w:rsidRPr="00580A7B">
        <w:rPr>
          <w:b w:val="0"/>
        </w:rPr>
        <w:t xml:space="preserve"> calculated as a percentage of </w:t>
      </w:r>
      <w:r>
        <w:rPr>
          <w:b w:val="0"/>
        </w:rPr>
        <w:t>s</w:t>
      </w:r>
      <w:r w:rsidRPr="00580A7B">
        <w:rPr>
          <w:b w:val="0"/>
        </w:rPr>
        <w:t>ingle</w:t>
      </w:r>
      <w:r w:rsidR="00915A8A">
        <w:rPr>
          <w:b w:val="0"/>
        </w:rPr>
        <w:t>-</w:t>
      </w:r>
      <w:r>
        <w:rPr>
          <w:b w:val="0"/>
        </w:rPr>
        <w:t>f</w:t>
      </w:r>
      <w:r w:rsidRPr="00580A7B">
        <w:rPr>
          <w:b w:val="0"/>
        </w:rPr>
        <w:t xml:space="preserve">amily </w:t>
      </w:r>
      <w:r>
        <w:rPr>
          <w:b w:val="0"/>
        </w:rPr>
        <w:t>i</w:t>
      </w:r>
      <w:r w:rsidRPr="00580A7B">
        <w:rPr>
          <w:b w:val="0"/>
        </w:rPr>
        <w:t xml:space="preserve">ncome based on 2005 RECS data. It is assumed that this economic metric adequately represents the household income for the residential customers of Georgia Power. </w:t>
      </w:r>
    </w:p>
    <w:p w14:paraId="171185F6" w14:textId="77777777" w:rsidR="0005402C" w:rsidRPr="00580A7B" w:rsidRDefault="0005402C" w:rsidP="0005402C">
      <w:pPr>
        <w:spacing w:line="360" w:lineRule="auto"/>
        <w:jc w:val="left"/>
        <w:rPr>
          <w:b w:val="0"/>
        </w:rPr>
      </w:pPr>
    </w:p>
    <w:p w14:paraId="7142BD29" w14:textId="0DE683FD" w:rsidR="00580A7B" w:rsidRPr="00580A7B" w:rsidRDefault="0005402C" w:rsidP="00580A7B">
      <w:pPr>
        <w:spacing w:line="360" w:lineRule="auto"/>
        <w:jc w:val="both"/>
        <w:rPr>
          <w:b w:val="0"/>
        </w:rPr>
      </w:pPr>
      <w:r w:rsidRPr="00580A7B">
        <w:rPr>
          <w:b w:val="0"/>
        </w:rPr>
        <w:t xml:space="preserve">In </w:t>
      </w:r>
      <w:r>
        <w:rPr>
          <w:b w:val="0"/>
        </w:rPr>
        <w:t>the B</w:t>
      </w:r>
      <w:r w:rsidRPr="00580A7B">
        <w:rPr>
          <w:b w:val="0"/>
        </w:rPr>
        <w:t>udget 20</w:t>
      </w:r>
      <w:r>
        <w:rPr>
          <w:b w:val="0"/>
        </w:rPr>
        <w:t>19</w:t>
      </w:r>
      <w:r w:rsidRPr="00580A7B">
        <w:t xml:space="preserve"> </w:t>
      </w:r>
      <w:r w:rsidRPr="00C20828">
        <w:rPr>
          <w:b w:val="0"/>
        </w:rPr>
        <w:t xml:space="preserve">long-term </w:t>
      </w:r>
      <w:r>
        <w:rPr>
          <w:b w:val="0"/>
        </w:rPr>
        <w:t>commercial forecast model, i</w:t>
      </w:r>
      <w:r w:rsidRPr="00580A7B">
        <w:rPr>
          <w:b w:val="0"/>
        </w:rPr>
        <w:t xml:space="preserve">ncome per </w:t>
      </w:r>
      <w:r>
        <w:rPr>
          <w:b w:val="0"/>
        </w:rPr>
        <w:t>h</w:t>
      </w:r>
      <w:r w:rsidRPr="00580A7B">
        <w:rPr>
          <w:b w:val="0"/>
        </w:rPr>
        <w:t xml:space="preserve">ousehold is used </w:t>
      </w:r>
      <w:r>
        <w:rPr>
          <w:b w:val="0"/>
        </w:rPr>
        <w:t>as the primary economic driver in the R</w:t>
      </w:r>
      <w:r w:rsidRPr="00580A7B">
        <w:rPr>
          <w:b w:val="0"/>
        </w:rPr>
        <w:t>estaurant and Retail</w:t>
      </w:r>
      <w:r>
        <w:rPr>
          <w:b w:val="0"/>
        </w:rPr>
        <w:t xml:space="preserve"> sectors</w:t>
      </w:r>
      <w:r w:rsidRPr="00580A7B">
        <w:rPr>
          <w:b w:val="0"/>
        </w:rPr>
        <w:t>, which account</w:t>
      </w:r>
      <w:r>
        <w:rPr>
          <w:b w:val="0"/>
        </w:rPr>
        <w:t>s</w:t>
      </w:r>
      <w:r w:rsidRPr="00580A7B">
        <w:rPr>
          <w:b w:val="0"/>
        </w:rPr>
        <w:t xml:space="preserve"> for </w:t>
      </w:r>
      <w:r>
        <w:rPr>
          <w:b w:val="0"/>
        </w:rPr>
        <w:t>the impact of income on these commercial sectors</w:t>
      </w:r>
      <w:r w:rsidRPr="00580A7B">
        <w:rPr>
          <w:b w:val="0"/>
        </w:rPr>
        <w:t>.</w:t>
      </w:r>
      <w:r w:rsidR="00580A7B" w:rsidRPr="00580A7B">
        <w:rPr>
          <w:b w:val="0"/>
        </w:rPr>
        <w:t xml:space="preserve">   </w:t>
      </w:r>
    </w:p>
    <w:p w14:paraId="285FCACD" w14:textId="77777777" w:rsidR="00580A7B" w:rsidRPr="00580A7B" w:rsidRDefault="00580A7B" w:rsidP="00580A7B">
      <w:pPr>
        <w:spacing w:line="360" w:lineRule="auto"/>
        <w:jc w:val="left"/>
        <w:rPr>
          <w:b w:val="0"/>
        </w:rPr>
      </w:pPr>
    </w:p>
    <w:p w14:paraId="7DF3EC84" w14:textId="77777777" w:rsidR="00580A7B" w:rsidRDefault="00580A7B" w:rsidP="00D528BE">
      <w:pPr>
        <w:pStyle w:val="Heading2"/>
        <w:jc w:val="left"/>
        <w:rPr>
          <w:rFonts w:ascii="Arial" w:hAnsi="Arial" w:cs="Arial"/>
          <w:b/>
          <w:color w:val="auto"/>
          <w:sz w:val="20"/>
          <w:szCs w:val="20"/>
        </w:rPr>
      </w:pPr>
      <w:bookmarkStart w:id="282" w:name="_Toc347120455"/>
      <w:bookmarkStart w:id="283" w:name="_Toc347155997"/>
      <w:bookmarkStart w:id="284" w:name="_Toc535495657"/>
      <w:r w:rsidRPr="00D528BE">
        <w:rPr>
          <w:rFonts w:ascii="Arial" w:hAnsi="Arial" w:cs="Arial"/>
          <w:b/>
          <w:color w:val="auto"/>
          <w:sz w:val="20"/>
          <w:szCs w:val="20"/>
        </w:rPr>
        <w:t>8.2.3</w:t>
      </w:r>
      <w:r w:rsidRPr="00D528BE">
        <w:rPr>
          <w:rFonts w:ascii="Arial" w:hAnsi="Arial" w:cs="Arial"/>
          <w:b/>
          <w:color w:val="auto"/>
          <w:sz w:val="20"/>
          <w:szCs w:val="20"/>
        </w:rPr>
        <w:tab/>
        <w:t>Floor Space (Commercial Activity)</w:t>
      </w:r>
      <w:bookmarkEnd w:id="282"/>
      <w:bookmarkEnd w:id="283"/>
      <w:bookmarkEnd w:id="284"/>
    </w:p>
    <w:p w14:paraId="11C58030" w14:textId="77777777" w:rsidR="00D528BE" w:rsidRPr="00D528BE" w:rsidRDefault="00D528BE" w:rsidP="00D528BE"/>
    <w:p w14:paraId="60D36B35" w14:textId="531E2BE1" w:rsidR="00580A7B" w:rsidRPr="00580A7B" w:rsidRDefault="00580A7B" w:rsidP="00580A7B">
      <w:pPr>
        <w:spacing w:line="360" w:lineRule="auto"/>
        <w:jc w:val="both"/>
        <w:rPr>
          <w:b w:val="0"/>
        </w:rPr>
      </w:pPr>
      <w:r w:rsidRPr="00580A7B">
        <w:rPr>
          <w:b w:val="0"/>
        </w:rPr>
        <w:t xml:space="preserve">The </w:t>
      </w:r>
      <w:r w:rsidR="00C405C1">
        <w:rPr>
          <w:b w:val="0"/>
        </w:rPr>
        <w:t>C</w:t>
      </w:r>
      <w:r w:rsidRPr="00580A7B">
        <w:rPr>
          <w:b w:val="0"/>
        </w:rPr>
        <w:t xml:space="preserve">ommercial </w:t>
      </w:r>
      <w:r w:rsidR="009532FF">
        <w:rPr>
          <w:b w:val="0"/>
        </w:rPr>
        <w:t>LoadMAP</w:t>
      </w:r>
      <w:r w:rsidR="00C405C1">
        <w:rPr>
          <w:b w:val="0"/>
        </w:rPr>
        <w:t xml:space="preserve"> model</w:t>
      </w:r>
      <w:r w:rsidRPr="00580A7B">
        <w:rPr>
          <w:b w:val="0"/>
        </w:rPr>
        <w:t xml:space="preserve"> uses </w:t>
      </w:r>
      <w:r w:rsidR="009532FF">
        <w:rPr>
          <w:b w:val="0"/>
        </w:rPr>
        <w:t xml:space="preserve">a </w:t>
      </w:r>
      <w:r w:rsidRPr="00580A7B">
        <w:rPr>
          <w:b w:val="0"/>
        </w:rPr>
        <w:t xml:space="preserve">floor space (square footage) forecast by building type </w:t>
      </w:r>
      <w:r w:rsidR="009532FF">
        <w:rPr>
          <w:b w:val="0"/>
        </w:rPr>
        <w:t xml:space="preserve">to produce </w:t>
      </w:r>
      <w:r w:rsidR="00C405C1">
        <w:rPr>
          <w:b w:val="0"/>
        </w:rPr>
        <w:t xml:space="preserve">the </w:t>
      </w:r>
      <w:r w:rsidR="009532FF">
        <w:rPr>
          <w:b w:val="0"/>
        </w:rPr>
        <w:t>long-term forecast</w:t>
      </w:r>
      <w:r w:rsidR="00C405C1">
        <w:rPr>
          <w:b w:val="0"/>
        </w:rPr>
        <w:t xml:space="preserve"> of commercial energy sales</w:t>
      </w:r>
      <w:r w:rsidRPr="00580A7B">
        <w:rPr>
          <w:b w:val="0"/>
        </w:rPr>
        <w:t xml:space="preserve">.  </w:t>
      </w:r>
    </w:p>
    <w:p w14:paraId="29C4ABD1" w14:textId="77777777" w:rsidR="00580A7B" w:rsidRPr="00580A7B" w:rsidRDefault="00580A7B" w:rsidP="00580A7B">
      <w:pPr>
        <w:spacing w:line="360" w:lineRule="auto"/>
        <w:jc w:val="left"/>
        <w:rPr>
          <w:b w:val="0"/>
        </w:rPr>
      </w:pPr>
    </w:p>
    <w:p w14:paraId="7900496A" w14:textId="77777777" w:rsidR="00580A7B" w:rsidRDefault="00580A7B" w:rsidP="00D528BE">
      <w:pPr>
        <w:pStyle w:val="Heading2"/>
        <w:jc w:val="left"/>
        <w:rPr>
          <w:rFonts w:ascii="Arial" w:hAnsi="Arial" w:cs="Arial"/>
          <w:b/>
          <w:color w:val="auto"/>
          <w:sz w:val="20"/>
          <w:szCs w:val="20"/>
        </w:rPr>
      </w:pPr>
      <w:bookmarkStart w:id="285" w:name="_Toc347120456"/>
      <w:bookmarkStart w:id="286" w:name="_Toc347155998"/>
      <w:bookmarkStart w:id="287" w:name="_Toc535495658"/>
      <w:r w:rsidRPr="00D528BE">
        <w:rPr>
          <w:rFonts w:ascii="Arial" w:hAnsi="Arial" w:cs="Arial"/>
          <w:b/>
          <w:color w:val="auto"/>
          <w:sz w:val="20"/>
          <w:szCs w:val="20"/>
        </w:rPr>
        <w:t>8.2.4</w:t>
      </w:r>
      <w:r w:rsidRPr="00D528BE">
        <w:rPr>
          <w:rFonts w:ascii="Arial" w:hAnsi="Arial" w:cs="Arial"/>
          <w:b/>
          <w:color w:val="auto"/>
          <w:sz w:val="20"/>
          <w:szCs w:val="20"/>
        </w:rPr>
        <w:tab/>
        <w:t>Industrial Production (Industrial Activity)</w:t>
      </w:r>
      <w:bookmarkEnd w:id="285"/>
      <w:bookmarkEnd w:id="286"/>
      <w:bookmarkEnd w:id="287"/>
    </w:p>
    <w:p w14:paraId="1B0D5535" w14:textId="77777777" w:rsidR="00D528BE" w:rsidRPr="00D528BE" w:rsidRDefault="00D528BE" w:rsidP="00D528BE"/>
    <w:p w14:paraId="3324084F" w14:textId="701FE7A7" w:rsidR="0005402C" w:rsidRDefault="0005402C" w:rsidP="0005402C">
      <w:pPr>
        <w:spacing w:line="360" w:lineRule="auto"/>
        <w:jc w:val="both"/>
        <w:rPr>
          <w:b w:val="0"/>
        </w:rPr>
      </w:pPr>
      <w:r>
        <w:rPr>
          <w:b w:val="0"/>
        </w:rPr>
        <w:t xml:space="preserve">The </w:t>
      </w:r>
      <w:r w:rsidR="00C405C1">
        <w:rPr>
          <w:b w:val="0"/>
        </w:rPr>
        <w:t>I</w:t>
      </w:r>
      <w:r>
        <w:rPr>
          <w:b w:val="0"/>
        </w:rPr>
        <w:t xml:space="preserve">ndustrial </w:t>
      </w:r>
      <w:r w:rsidR="00C405C1">
        <w:rPr>
          <w:b w:val="0"/>
        </w:rPr>
        <w:t>LoadMAP</w:t>
      </w:r>
      <w:r>
        <w:rPr>
          <w:b w:val="0"/>
        </w:rPr>
        <w:t xml:space="preserve"> model used in </w:t>
      </w:r>
      <w:r w:rsidRPr="00580A7B">
        <w:rPr>
          <w:b w:val="0"/>
        </w:rPr>
        <w:t>Budget 20</w:t>
      </w:r>
      <w:r>
        <w:rPr>
          <w:b w:val="0"/>
        </w:rPr>
        <w:t>19</w:t>
      </w:r>
      <w:r w:rsidRPr="00580A7B">
        <w:rPr>
          <w:b w:val="0"/>
        </w:rPr>
        <w:t xml:space="preserve"> use</w:t>
      </w:r>
      <w:r>
        <w:rPr>
          <w:b w:val="0"/>
        </w:rPr>
        <w:t>s</w:t>
      </w:r>
      <w:r w:rsidRPr="00580A7B">
        <w:rPr>
          <w:b w:val="0"/>
        </w:rPr>
        <w:t xml:space="preserve"> annual industrial production by selected NAICS categories as a driver to forecast long-term energy sales. This driver describes the output of each NAICS category in the industrial class. </w:t>
      </w:r>
      <w:r w:rsidRPr="00D30CCD">
        <w:rPr>
          <w:b w:val="0"/>
        </w:rPr>
        <w:t xml:space="preserve">Since the energy requirements of each group are closely related to the quantity of output produced, this measure is a good choice for a driver of the industrial forecast. The base year consumption (GWh) provides a scale for each segment, which is then modified by the </w:t>
      </w:r>
      <w:r>
        <w:rPr>
          <w:b w:val="0"/>
        </w:rPr>
        <w:t xml:space="preserve">Industrial </w:t>
      </w:r>
      <w:r w:rsidRPr="00D30CCD">
        <w:rPr>
          <w:b w:val="0"/>
        </w:rPr>
        <w:t>Production Index over time.</w:t>
      </w:r>
    </w:p>
    <w:p w14:paraId="01C62DC8" w14:textId="77777777" w:rsidR="00D30CCD" w:rsidRPr="00580A7B" w:rsidRDefault="00D30CCD" w:rsidP="00580A7B">
      <w:pPr>
        <w:spacing w:line="360" w:lineRule="auto"/>
        <w:jc w:val="left"/>
        <w:rPr>
          <w:b w:val="0"/>
        </w:rPr>
      </w:pPr>
    </w:p>
    <w:p w14:paraId="2AD71013" w14:textId="77777777" w:rsidR="00580A7B" w:rsidRDefault="00580A7B" w:rsidP="00D528BE">
      <w:pPr>
        <w:pStyle w:val="Heading2"/>
        <w:jc w:val="left"/>
        <w:rPr>
          <w:rFonts w:ascii="Arial" w:hAnsi="Arial" w:cs="Arial"/>
          <w:b/>
          <w:color w:val="auto"/>
          <w:sz w:val="20"/>
          <w:szCs w:val="20"/>
        </w:rPr>
      </w:pPr>
      <w:bookmarkStart w:id="288" w:name="_Toc347120457"/>
      <w:bookmarkStart w:id="289" w:name="_Toc347155999"/>
      <w:bookmarkStart w:id="290" w:name="_Toc535495659"/>
      <w:r w:rsidRPr="00D528BE">
        <w:rPr>
          <w:rFonts w:ascii="Arial" w:hAnsi="Arial" w:cs="Arial"/>
          <w:b/>
          <w:color w:val="auto"/>
          <w:sz w:val="20"/>
          <w:szCs w:val="20"/>
        </w:rPr>
        <w:t>8.2.5</w:t>
      </w:r>
      <w:r w:rsidRPr="00D528BE">
        <w:rPr>
          <w:rFonts w:ascii="Arial" w:hAnsi="Arial" w:cs="Arial"/>
          <w:b/>
          <w:color w:val="auto"/>
          <w:sz w:val="20"/>
          <w:szCs w:val="20"/>
        </w:rPr>
        <w:tab/>
        <w:t>Demographics</w:t>
      </w:r>
      <w:bookmarkEnd w:id="288"/>
      <w:bookmarkEnd w:id="289"/>
      <w:bookmarkEnd w:id="290"/>
    </w:p>
    <w:p w14:paraId="17906826" w14:textId="77777777" w:rsidR="00D528BE" w:rsidRPr="00D528BE" w:rsidRDefault="00D528BE" w:rsidP="00D528BE"/>
    <w:p w14:paraId="19F8299D" w14:textId="44A58DEC" w:rsidR="00580A7B" w:rsidRPr="00580A7B" w:rsidRDefault="0005402C" w:rsidP="00580A7B">
      <w:pPr>
        <w:spacing w:line="360" w:lineRule="auto"/>
        <w:jc w:val="both"/>
        <w:rPr>
          <w:b w:val="0"/>
        </w:rPr>
      </w:pPr>
      <w:r w:rsidRPr="00580A7B">
        <w:rPr>
          <w:b w:val="0"/>
        </w:rPr>
        <w:t>Demographic trends in Georgia are an integral part of the Georgia economy and play an important role in energy consumption trends. Consequently, several demographic variables are key indicators for the various energy and customer models used in Budget 20</w:t>
      </w:r>
      <w:r>
        <w:rPr>
          <w:b w:val="0"/>
        </w:rPr>
        <w:t>19</w:t>
      </w:r>
      <w:r w:rsidRPr="00580A7B">
        <w:rPr>
          <w:b w:val="0"/>
        </w:rPr>
        <w:t xml:space="preserve"> </w:t>
      </w:r>
      <w:r>
        <w:rPr>
          <w:b w:val="0"/>
        </w:rPr>
        <w:t>s</w:t>
      </w:r>
      <w:r w:rsidRPr="00580A7B">
        <w:rPr>
          <w:b w:val="0"/>
        </w:rPr>
        <w:t xml:space="preserve">uch as </w:t>
      </w:r>
      <w:r>
        <w:rPr>
          <w:b w:val="0"/>
        </w:rPr>
        <w:t>the</w:t>
      </w:r>
      <w:r w:rsidRPr="00580A7B">
        <w:rPr>
          <w:b w:val="0"/>
        </w:rPr>
        <w:t xml:space="preserve"> </w:t>
      </w:r>
      <w:r>
        <w:rPr>
          <w:b w:val="0"/>
        </w:rPr>
        <w:t>number of households and housing stock</w:t>
      </w:r>
      <w:r w:rsidRPr="00580A7B">
        <w:rPr>
          <w:b w:val="0"/>
        </w:rPr>
        <w:t>.</w:t>
      </w:r>
    </w:p>
    <w:p w14:paraId="60611B2A" w14:textId="77777777" w:rsidR="00580A7B" w:rsidRPr="00580A7B" w:rsidRDefault="00580A7B" w:rsidP="00580A7B">
      <w:pPr>
        <w:spacing w:line="360" w:lineRule="auto"/>
        <w:jc w:val="left"/>
        <w:rPr>
          <w:b w:val="0"/>
        </w:rPr>
      </w:pPr>
    </w:p>
    <w:p w14:paraId="085BFDC4" w14:textId="77777777" w:rsidR="00D528BE" w:rsidRPr="00D528BE" w:rsidRDefault="00580A7B" w:rsidP="00D528BE">
      <w:pPr>
        <w:pStyle w:val="Heading3"/>
        <w:spacing w:line="360" w:lineRule="auto"/>
        <w:jc w:val="left"/>
      </w:pPr>
      <w:bookmarkStart w:id="291" w:name="_Toc347120458"/>
      <w:bookmarkStart w:id="292" w:name="_Toc347156000"/>
      <w:bookmarkStart w:id="293" w:name="_Toc535495660"/>
      <w:r w:rsidRPr="00D528BE">
        <w:rPr>
          <w:sz w:val="20"/>
          <w:szCs w:val="20"/>
        </w:rPr>
        <w:t>8.2.5</w:t>
      </w:r>
      <w:r w:rsidR="00D528BE" w:rsidRPr="00D528BE">
        <w:rPr>
          <w:sz w:val="20"/>
          <w:szCs w:val="20"/>
        </w:rPr>
        <w:t>.</w:t>
      </w:r>
      <w:r w:rsidRPr="00D528BE">
        <w:rPr>
          <w:sz w:val="20"/>
          <w:szCs w:val="20"/>
        </w:rPr>
        <w:t xml:space="preserve">1 </w:t>
      </w:r>
      <w:bookmarkEnd w:id="291"/>
      <w:bookmarkEnd w:id="292"/>
      <w:r w:rsidRPr="00D528BE">
        <w:rPr>
          <w:sz w:val="20"/>
          <w:szCs w:val="20"/>
        </w:rPr>
        <w:t>Persons per Household</w:t>
      </w:r>
      <w:bookmarkEnd w:id="293"/>
    </w:p>
    <w:p w14:paraId="4C230412" w14:textId="2D4C4B48" w:rsidR="00580A7B" w:rsidRPr="00580A7B" w:rsidRDefault="00580A7B" w:rsidP="00D528BE">
      <w:pPr>
        <w:spacing w:line="360" w:lineRule="auto"/>
        <w:jc w:val="both"/>
        <w:rPr>
          <w:b w:val="0"/>
        </w:rPr>
      </w:pPr>
      <w:r w:rsidRPr="00580A7B">
        <w:rPr>
          <w:b w:val="0"/>
        </w:rPr>
        <w:t xml:space="preserve">The </w:t>
      </w:r>
      <w:r w:rsidR="00C405C1">
        <w:rPr>
          <w:b w:val="0"/>
        </w:rPr>
        <w:t>R</w:t>
      </w:r>
      <w:r w:rsidR="00043206">
        <w:rPr>
          <w:b w:val="0"/>
        </w:rPr>
        <w:t xml:space="preserve">esidential </w:t>
      </w:r>
      <w:r w:rsidR="00C405C1">
        <w:rPr>
          <w:b w:val="0"/>
        </w:rPr>
        <w:t>LoadMAP</w:t>
      </w:r>
      <w:r w:rsidRPr="00580A7B">
        <w:rPr>
          <w:b w:val="0"/>
        </w:rPr>
        <w:t xml:space="preserve"> </w:t>
      </w:r>
      <w:r w:rsidR="00043206">
        <w:rPr>
          <w:b w:val="0"/>
        </w:rPr>
        <w:t xml:space="preserve">model </w:t>
      </w:r>
      <w:r w:rsidRPr="00580A7B">
        <w:rPr>
          <w:b w:val="0"/>
        </w:rPr>
        <w:t xml:space="preserve">uses annual projections of the number of persons per household. It represents </w:t>
      </w:r>
      <w:r w:rsidR="00983369">
        <w:rPr>
          <w:b w:val="0"/>
        </w:rPr>
        <w:t>s</w:t>
      </w:r>
      <w:r w:rsidRPr="00580A7B">
        <w:rPr>
          <w:b w:val="0"/>
        </w:rPr>
        <w:t>ingle</w:t>
      </w:r>
      <w:r w:rsidR="00983369">
        <w:rPr>
          <w:b w:val="0"/>
        </w:rPr>
        <w:t>-f</w:t>
      </w:r>
      <w:r w:rsidRPr="00580A7B">
        <w:rPr>
          <w:b w:val="0"/>
        </w:rPr>
        <w:t xml:space="preserve">amily </w:t>
      </w:r>
      <w:r w:rsidR="00983369">
        <w:rPr>
          <w:b w:val="0"/>
        </w:rPr>
        <w:t>p</w:t>
      </w:r>
      <w:r w:rsidRPr="00580A7B">
        <w:rPr>
          <w:b w:val="0"/>
        </w:rPr>
        <w:t xml:space="preserve">ersons per </w:t>
      </w:r>
      <w:r w:rsidR="00983369">
        <w:rPr>
          <w:b w:val="0"/>
        </w:rPr>
        <w:t>h</w:t>
      </w:r>
      <w:r w:rsidRPr="00580A7B">
        <w:rPr>
          <w:b w:val="0"/>
        </w:rPr>
        <w:t xml:space="preserve">ousehold. </w:t>
      </w:r>
      <w:r w:rsidR="00983369">
        <w:rPr>
          <w:b w:val="0"/>
        </w:rPr>
        <w:t>Persons per household for m</w:t>
      </w:r>
      <w:r w:rsidRPr="00580A7B">
        <w:rPr>
          <w:b w:val="0"/>
        </w:rPr>
        <w:t>ulti</w:t>
      </w:r>
      <w:r w:rsidR="00983369">
        <w:rPr>
          <w:b w:val="0"/>
        </w:rPr>
        <w:t>-</w:t>
      </w:r>
      <w:r w:rsidRPr="00580A7B">
        <w:rPr>
          <w:b w:val="0"/>
        </w:rPr>
        <w:t xml:space="preserve">family and </w:t>
      </w:r>
      <w:r w:rsidR="00983369">
        <w:rPr>
          <w:b w:val="0"/>
        </w:rPr>
        <w:t>m</w:t>
      </w:r>
      <w:r w:rsidRPr="00580A7B">
        <w:rPr>
          <w:b w:val="0"/>
        </w:rPr>
        <w:t xml:space="preserve">anufactured </w:t>
      </w:r>
      <w:r w:rsidR="00983369">
        <w:rPr>
          <w:b w:val="0"/>
        </w:rPr>
        <w:t>h</w:t>
      </w:r>
      <w:r w:rsidRPr="00580A7B">
        <w:rPr>
          <w:b w:val="0"/>
        </w:rPr>
        <w:t xml:space="preserve">omes are calculated as a percentage of </w:t>
      </w:r>
      <w:r w:rsidR="00983369">
        <w:rPr>
          <w:b w:val="0"/>
        </w:rPr>
        <w:t>s</w:t>
      </w:r>
      <w:r w:rsidRPr="00580A7B">
        <w:rPr>
          <w:b w:val="0"/>
        </w:rPr>
        <w:t>ingle</w:t>
      </w:r>
      <w:r w:rsidR="00983369">
        <w:rPr>
          <w:b w:val="0"/>
        </w:rPr>
        <w:t>-f</w:t>
      </w:r>
      <w:r w:rsidRPr="00580A7B">
        <w:rPr>
          <w:b w:val="0"/>
        </w:rPr>
        <w:t>amily persons per household based on 2005 RECS data</w:t>
      </w:r>
      <w:r w:rsidR="00983369">
        <w:rPr>
          <w:b w:val="0"/>
        </w:rPr>
        <w:t>.</w:t>
      </w:r>
      <w:r w:rsidRPr="00580A7B">
        <w:rPr>
          <w:b w:val="0"/>
        </w:rPr>
        <w:t xml:space="preserve"> This economic metric represents the characteristics of household size for the residential customers of Georgia Power.</w:t>
      </w:r>
    </w:p>
    <w:p w14:paraId="28202238" w14:textId="77777777" w:rsidR="00CC3908" w:rsidRDefault="00CC3908" w:rsidP="00580A7B">
      <w:pPr>
        <w:spacing w:line="360" w:lineRule="auto"/>
        <w:jc w:val="left"/>
      </w:pPr>
      <w:bookmarkStart w:id="294" w:name="_Toc347120459"/>
      <w:bookmarkStart w:id="295" w:name="_Toc347156001"/>
    </w:p>
    <w:p w14:paraId="31492CC9" w14:textId="77777777" w:rsidR="00D528BE" w:rsidRDefault="00580A7B" w:rsidP="00D528BE">
      <w:pPr>
        <w:pStyle w:val="Heading3"/>
        <w:jc w:val="left"/>
        <w:rPr>
          <w:sz w:val="20"/>
          <w:szCs w:val="20"/>
        </w:rPr>
      </w:pPr>
      <w:bookmarkStart w:id="296" w:name="_Toc535495661"/>
      <w:r w:rsidRPr="00D528BE">
        <w:rPr>
          <w:sz w:val="20"/>
          <w:szCs w:val="20"/>
        </w:rPr>
        <w:t>8.2.5.2 Housing Type Distribution</w:t>
      </w:r>
      <w:bookmarkEnd w:id="294"/>
      <w:bookmarkEnd w:id="295"/>
      <w:bookmarkEnd w:id="296"/>
    </w:p>
    <w:p w14:paraId="5F47E2F3" w14:textId="77777777" w:rsidR="00D528BE" w:rsidRPr="00D528BE" w:rsidRDefault="00D528BE" w:rsidP="00D528BE"/>
    <w:p w14:paraId="63DA6C80" w14:textId="2BA1DE5C" w:rsidR="00580A7B" w:rsidRPr="00580A7B" w:rsidRDefault="00CC3908" w:rsidP="00580A7B">
      <w:pPr>
        <w:spacing w:line="360" w:lineRule="auto"/>
        <w:jc w:val="both"/>
        <w:rPr>
          <w:b w:val="0"/>
        </w:rPr>
      </w:pPr>
      <w:r>
        <w:rPr>
          <w:b w:val="0"/>
        </w:rPr>
        <w:t>The long-term r</w:t>
      </w:r>
      <w:r w:rsidRPr="00580A7B">
        <w:rPr>
          <w:b w:val="0"/>
        </w:rPr>
        <w:t>esidential energy model is configured to forecast energy sales by housing type. The three housing types modeled are single</w:t>
      </w:r>
      <w:r>
        <w:rPr>
          <w:b w:val="0"/>
        </w:rPr>
        <w:t>-</w:t>
      </w:r>
      <w:r w:rsidRPr="00580A7B">
        <w:rPr>
          <w:b w:val="0"/>
        </w:rPr>
        <w:t xml:space="preserve">family, multi-family, and manufactured homes. Historical and forecast values for the Georgia Power residential customer housing stock distributions by housing type were based on the 2007 Georgia Power Residential Saturation Survey and </w:t>
      </w:r>
      <w:r>
        <w:rPr>
          <w:b w:val="0"/>
        </w:rPr>
        <w:t>IHS Markit’s</w:t>
      </w:r>
      <w:r w:rsidRPr="00580A7B">
        <w:rPr>
          <w:b w:val="0"/>
        </w:rPr>
        <w:t xml:space="preserve"> housing stock forecast.</w:t>
      </w:r>
    </w:p>
    <w:p w14:paraId="4D815DBD" w14:textId="77777777" w:rsidR="00580A7B" w:rsidRPr="00580A7B" w:rsidRDefault="00580A7B" w:rsidP="00580A7B">
      <w:pPr>
        <w:spacing w:line="360" w:lineRule="auto"/>
        <w:jc w:val="left"/>
        <w:rPr>
          <w:b w:val="0"/>
        </w:rPr>
      </w:pPr>
    </w:p>
    <w:p w14:paraId="76F6036F" w14:textId="77777777" w:rsidR="00580A7B" w:rsidRDefault="00580A7B" w:rsidP="00D528BE">
      <w:pPr>
        <w:pStyle w:val="Heading3"/>
        <w:jc w:val="left"/>
        <w:rPr>
          <w:sz w:val="20"/>
          <w:szCs w:val="20"/>
        </w:rPr>
      </w:pPr>
      <w:bookmarkStart w:id="297" w:name="_Toc535495662"/>
      <w:r w:rsidRPr="00D528BE">
        <w:rPr>
          <w:sz w:val="20"/>
          <w:szCs w:val="20"/>
        </w:rPr>
        <w:t>8.2.5.3 Commercial Employment Rate (Commercial Activity)</w:t>
      </w:r>
      <w:bookmarkEnd w:id="297"/>
    </w:p>
    <w:p w14:paraId="56EEA91E" w14:textId="77777777" w:rsidR="00D528BE" w:rsidRPr="00D528BE" w:rsidRDefault="00D528BE" w:rsidP="00D528BE"/>
    <w:p w14:paraId="1CDABE0A" w14:textId="4B4F1522" w:rsidR="00580A7B" w:rsidRPr="00580A7B" w:rsidRDefault="00CC3908" w:rsidP="00580A7B">
      <w:pPr>
        <w:spacing w:line="360" w:lineRule="auto"/>
        <w:jc w:val="both"/>
        <w:rPr>
          <w:b w:val="0"/>
        </w:rPr>
      </w:pPr>
      <w:r>
        <w:rPr>
          <w:b w:val="0"/>
        </w:rPr>
        <w:t>The long-term commercial energy model</w:t>
      </w:r>
      <w:r w:rsidRPr="00580A7B">
        <w:rPr>
          <w:b w:val="0"/>
        </w:rPr>
        <w:t xml:space="preserve"> uses </w:t>
      </w:r>
      <w:r>
        <w:rPr>
          <w:b w:val="0"/>
        </w:rPr>
        <w:t>the e</w:t>
      </w:r>
      <w:r w:rsidRPr="00580A7B">
        <w:rPr>
          <w:b w:val="0"/>
        </w:rPr>
        <w:t xml:space="preserve">mployment rate </w:t>
      </w:r>
      <w:r>
        <w:rPr>
          <w:b w:val="0"/>
        </w:rPr>
        <w:t>as a driver of the long</w:t>
      </w:r>
      <w:r w:rsidRPr="00580A7B">
        <w:rPr>
          <w:b w:val="0"/>
        </w:rPr>
        <w:t xml:space="preserve">-term energy forecast. </w:t>
      </w:r>
      <w:r>
        <w:rPr>
          <w:b w:val="0"/>
        </w:rPr>
        <w:t>The</w:t>
      </w:r>
      <w:r w:rsidRPr="00580A7B">
        <w:rPr>
          <w:b w:val="0"/>
        </w:rPr>
        <w:t xml:space="preserve"> </w:t>
      </w:r>
      <w:r>
        <w:rPr>
          <w:b w:val="0"/>
        </w:rPr>
        <w:t>e</w:t>
      </w:r>
      <w:r w:rsidRPr="00580A7B">
        <w:rPr>
          <w:b w:val="0"/>
        </w:rPr>
        <w:t xml:space="preserve">mployment </w:t>
      </w:r>
      <w:r>
        <w:rPr>
          <w:b w:val="0"/>
        </w:rPr>
        <w:t xml:space="preserve">rate </w:t>
      </w:r>
      <w:r w:rsidRPr="00580A7B">
        <w:rPr>
          <w:b w:val="0"/>
        </w:rPr>
        <w:t xml:space="preserve">is </w:t>
      </w:r>
      <w:r>
        <w:rPr>
          <w:b w:val="0"/>
        </w:rPr>
        <w:t xml:space="preserve">derived by subtracting the </w:t>
      </w:r>
      <w:r w:rsidRPr="00580A7B">
        <w:rPr>
          <w:b w:val="0"/>
        </w:rPr>
        <w:t xml:space="preserve">Unemployment Rate from </w:t>
      </w:r>
      <w:r>
        <w:rPr>
          <w:b w:val="0"/>
        </w:rPr>
        <w:t xml:space="preserve">the </w:t>
      </w:r>
      <w:r w:rsidRPr="00580A7B">
        <w:rPr>
          <w:b w:val="0"/>
        </w:rPr>
        <w:t>total percentage</w:t>
      </w:r>
      <w:r>
        <w:rPr>
          <w:b w:val="0"/>
        </w:rPr>
        <w:t xml:space="preserve"> (i.e. Employment Rate = 1 – Unemployment Rate)</w:t>
      </w:r>
      <w:r w:rsidRPr="00580A7B">
        <w:rPr>
          <w:b w:val="0"/>
        </w:rPr>
        <w:t>. Unlike Floor Space</w:t>
      </w:r>
      <w:r>
        <w:rPr>
          <w:b w:val="0"/>
        </w:rPr>
        <w:t>,</w:t>
      </w:r>
      <w:r w:rsidRPr="00580A7B">
        <w:rPr>
          <w:b w:val="0"/>
        </w:rPr>
        <w:t xml:space="preserve"> it is not calculated by building economic categories (building types)</w:t>
      </w:r>
      <w:r>
        <w:rPr>
          <w:b w:val="0"/>
        </w:rPr>
        <w:t>. H</w:t>
      </w:r>
      <w:r w:rsidRPr="00580A7B">
        <w:rPr>
          <w:b w:val="0"/>
        </w:rPr>
        <w:t>owever</w:t>
      </w:r>
      <w:r>
        <w:rPr>
          <w:b w:val="0"/>
        </w:rPr>
        <w:t>,</w:t>
      </w:r>
      <w:r w:rsidRPr="00580A7B">
        <w:rPr>
          <w:b w:val="0"/>
        </w:rPr>
        <w:t xml:space="preserve"> </w:t>
      </w:r>
      <w:r>
        <w:rPr>
          <w:b w:val="0"/>
        </w:rPr>
        <w:t xml:space="preserve">the long-term commercial </w:t>
      </w:r>
      <w:r w:rsidRPr="00580A7B">
        <w:rPr>
          <w:b w:val="0"/>
        </w:rPr>
        <w:t xml:space="preserve">model does account for the fact that the impact of </w:t>
      </w:r>
      <w:r>
        <w:rPr>
          <w:b w:val="0"/>
        </w:rPr>
        <w:t>the employment rate varies across the commercial sectors</w:t>
      </w:r>
      <w:r w:rsidRPr="00580A7B">
        <w:rPr>
          <w:b w:val="0"/>
        </w:rPr>
        <w:t>.</w:t>
      </w:r>
      <w:r w:rsidR="00580A7B" w:rsidRPr="00580A7B">
        <w:rPr>
          <w:b w:val="0"/>
        </w:rPr>
        <w:t xml:space="preserve">   </w:t>
      </w:r>
    </w:p>
    <w:p w14:paraId="0EB94CD1" w14:textId="77777777" w:rsidR="0025745A" w:rsidRPr="00AB4E62" w:rsidRDefault="0025745A" w:rsidP="00AB4E62">
      <w:pPr>
        <w:spacing w:line="360" w:lineRule="auto"/>
        <w:jc w:val="left"/>
        <w:rPr>
          <w:b w:val="0"/>
        </w:rPr>
      </w:pPr>
    </w:p>
    <w:p w14:paraId="75C4B6D4" w14:textId="77777777" w:rsidR="0025745A" w:rsidRPr="00AB4E62" w:rsidRDefault="0025745A" w:rsidP="0025745A">
      <w:pPr>
        <w:pStyle w:val="Heading1"/>
        <w:jc w:val="left"/>
        <w:rPr>
          <w:rFonts w:ascii="Arial" w:hAnsi="Arial" w:cs="Arial"/>
          <w:b/>
          <w:color w:val="auto"/>
        </w:rPr>
      </w:pPr>
      <w:bookmarkStart w:id="298" w:name="_Toc347120460"/>
      <w:bookmarkStart w:id="299" w:name="_Toc535495663"/>
      <w:r w:rsidRPr="00AB4E62">
        <w:rPr>
          <w:rFonts w:ascii="Arial" w:hAnsi="Arial" w:cs="Arial"/>
          <w:b/>
          <w:color w:val="auto"/>
        </w:rPr>
        <w:t>8.3</w:t>
      </w:r>
      <w:r w:rsidRPr="00AB4E62">
        <w:rPr>
          <w:rFonts w:ascii="Arial" w:hAnsi="Arial" w:cs="Arial"/>
          <w:b/>
          <w:color w:val="auto"/>
        </w:rPr>
        <w:tab/>
        <w:t>FUEL PRICE ASSUMPTIONS</w:t>
      </w:r>
      <w:bookmarkEnd w:id="298"/>
      <w:bookmarkEnd w:id="299"/>
    </w:p>
    <w:p w14:paraId="16A6D91B" w14:textId="77777777" w:rsidR="0025745A" w:rsidRPr="003A3426" w:rsidRDefault="0025745A" w:rsidP="0025745A">
      <w:pPr>
        <w:jc w:val="left"/>
      </w:pPr>
    </w:p>
    <w:p w14:paraId="19E39E7A" w14:textId="4D5429A7" w:rsidR="0025745A" w:rsidRPr="00AB4E62" w:rsidRDefault="0025745A" w:rsidP="0025745A">
      <w:pPr>
        <w:pStyle w:val="Heading2"/>
        <w:jc w:val="left"/>
        <w:rPr>
          <w:rFonts w:ascii="Arial" w:hAnsi="Arial" w:cs="Arial"/>
          <w:b/>
          <w:color w:val="auto"/>
          <w:sz w:val="20"/>
          <w:szCs w:val="20"/>
        </w:rPr>
      </w:pPr>
      <w:bookmarkStart w:id="300" w:name="_Toc347120461"/>
      <w:bookmarkStart w:id="301" w:name="_Toc535495664"/>
      <w:r w:rsidRPr="00AB4E62">
        <w:rPr>
          <w:rFonts w:ascii="Arial" w:hAnsi="Arial" w:cs="Arial"/>
          <w:b/>
          <w:color w:val="auto"/>
          <w:sz w:val="20"/>
          <w:szCs w:val="20"/>
        </w:rPr>
        <w:t>8.3.1</w:t>
      </w:r>
      <w:r w:rsidRPr="00AB4E62">
        <w:rPr>
          <w:rFonts w:ascii="Arial" w:hAnsi="Arial" w:cs="Arial"/>
          <w:b/>
          <w:color w:val="auto"/>
          <w:sz w:val="20"/>
          <w:szCs w:val="20"/>
        </w:rPr>
        <w:tab/>
        <w:t xml:space="preserve">Forecasts by Fuel Type: Electricity </w:t>
      </w:r>
      <w:r w:rsidR="00CC3908">
        <w:rPr>
          <w:rFonts w:ascii="Arial" w:hAnsi="Arial" w:cs="Arial"/>
          <w:b/>
          <w:color w:val="auto"/>
          <w:sz w:val="20"/>
          <w:szCs w:val="20"/>
        </w:rPr>
        <w:t xml:space="preserve">and </w:t>
      </w:r>
      <w:r w:rsidRPr="00AB4E62">
        <w:rPr>
          <w:rFonts w:ascii="Arial" w:hAnsi="Arial" w:cs="Arial"/>
          <w:b/>
          <w:color w:val="auto"/>
          <w:sz w:val="20"/>
          <w:szCs w:val="20"/>
        </w:rPr>
        <w:t>Natural Gas</w:t>
      </w:r>
      <w:bookmarkEnd w:id="300"/>
      <w:bookmarkEnd w:id="301"/>
    </w:p>
    <w:p w14:paraId="4C43749A" w14:textId="77777777" w:rsidR="00AB4E62" w:rsidRDefault="00AB4E62" w:rsidP="0025745A">
      <w:pPr>
        <w:pStyle w:val="BodyText"/>
      </w:pPr>
    </w:p>
    <w:p w14:paraId="52DD2052" w14:textId="77777777" w:rsidR="0025745A" w:rsidRPr="00AB4E62" w:rsidRDefault="0025745A" w:rsidP="00580A7B">
      <w:pPr>
        <w:pStyle w:val="BodyText"/>
        <w:spacing w:line="360" w:lineRule="auto"/>
        <w:jc w:val="both"/>
        <w:rPr>
          <w:b w:val="0"/>
        </w:rPr>
      </w:pPr>
      <w:r w:rsidRPr="00AB4E62">
        <w:rPr>
          <w:b w:val="0"/>
        </w:rPr>
        <w:t>Forecasts of retail fuel prices were required for the energy models of three customer classes: residential, commercial, and industrial.</w:t>
      </w:r>
    </w:p>
    <w:p w14:paraId="082DC49B" w14:textId="77777777" w:rsidR="0025745A" w:rsidRPr="00AB4E62" w:rsidRDefault="0025745A" w:rsidP="00580A7B">
      <w:pPr>
        <w:pStyle w:val="BodyText"/>
        <w:spacing w:line="360" w:lineRule="auto"/>
        <w:jc w:val="both"/>
        <w:rPr>
          <w:b w:val="0"/>
        </w:rPr>
      </w:pPr>
    </w:p>
    <w:p w14:paraId="5EDC277A" w14:textId="516CA65A" w:rsidR="0025745A" w:rsidRPr="00AB4E62" w:rsidRDefault="00CC3908" w:rsidP="00580A7B">
      <w:pPr>
        <w:pStyle w:val="BodyText"/>
        <w:spacing w:line="360" w:lineRule="auto"/>
        <w:jc w:val="both"/>
        <w:rPr>
          <w:b w:val="0"/>
        </w:rPr>
      </w:pPr>
      <w:r w:rsidRPr="00AB4E62">
        <w:rPr>
          <w:b w:val="0"/>
        </w:rPr>
        <w:t xml:space="preserve">The long-term residential, commercial, and industrial energy models require forecasted fuel prices as an exogenous input. The electricity price forecasts are based on results of financial planning models produced by </w:t>
      </w:r>
      <w:r>
        <w:rPr>
          <w:b w:val="0"/>
        </w:rPr>
        <w:t xml:space="preserve">Georgia Power’s </w:t>
      </w:r>
      <w:r w:rsidRPr="00AB4E62">
        <w:rPr>
          <w:b w:val="0"/>
        </w:rPr>
        <w:t>Financial Planning and Analysis</w:t>
      </w:r>
      <w:r>
        <w:rPr>
          <w:b w:val="0"/>
        </w:rPr>
        <w:t xml:space="preserve"> group</w:t>
      </w:r>
      <w:r w:rsidRPr="00AB4E62">
        <w:rPr>
          <w:b w:val="0"/>
        </w:rPr>
        <w:t>. The</w:t>
      </w:r>
      <w:r>
        <w:rPr>
          <w:b w:val="0"/>
        </w:rPr>
        <w:t>se</w:t>
      </w:r>
      <w:r w:rsidRPr="00AB4E62">
        <w:rPr>
          <w:b w:val="0"/>
        </w:rPr>
        <w:t xml:space="preserve"> models produce electricity price forecasts assuming a specific company construction plan, the financia</w:t>
      </w:r>
      <w:r>
        <w:rPr>
          <w:b w:val="0"/>
        </w:rPr>
        <w:t>l needs of Georgia Power</w:t>
      </w:r>
      <w:r w:rsidRPr="00AB4E62">
        <w:rPr>
          <w:b w:val="0"/>
        </w:rPr>
        <w:t>, and economic conditions. The electricity price forecasts were developed in the spring of 20</w:t>
      </w:r>
      <w:r>
        <w:rPr>
          <w:b w:val="0"/>
        </w:rPr>
        <w:t>18</w:t>
      </w:r>
      <w:r w:rsidRPr="00AB4E62">
        <w:rPr>
          <w:b w:val="0"/>
        </w:rPr>
        <w:t xml:space="preserve">. The natural gas prices are developed </w:t>
      </w:r>
      <w:r>
        <w:rPr>
          <w:b w:val="0"/>
        </w:rPr>
        <w:t>based on commodity price projections from</w:t>
      </w:r>
      <w:r w:rsidRPr="00AB4E62">
        <w:rPr>
          <w:b w:val="0"/>
        </w:rPr>
        <w:t xml:space="preserve"> SCS Fuel Services</w:t>
      </w:r>
      <w:r>
        <w:rPr>
          <w:b w:val="0"/>
        </w:rPr>
        <w:t xml:space="preserve"> and SCS Resource Planning</w:t>
      </w:r>
      <w:r w:rsidRPr="00AB4E62">
        <w:rPr>
          <w:b w:val="0"/>
        </w:rPr>
        <w:t>. The long-term forecasting models incorporate these retail fuel prices when modeling the fuel choices and efficiency decisions of consumers and decision-makers. Electricity</w:t>
      </w:r>
      <w:r>
        <w:rPr>
          <w:b w:val="0"/>
        </w:rPr>
        <w:t xml:space="preserve"> and</w:t>
      </w:r>
      <w:r w:rsidRPr="00AB4E62">
        <w:rPr>
          <w:b w:val="0"/>
        </w:rPr>
        <w:t xml:space="preserve"> natural gas </w:t>
      </w:r>
      <w:r>
        <w:rPr>
          <w:b w:val="0"/>
        </w:rPr>
        <w:t xml:space="preserve">retail </w:t>
      </w:r>
      <w:r w:rsidRPr="00AB4E62">
        <w:rPr>
          <w:b w:val="0"/>
        </w:rPr>
        <w:t>price projections for the residential, commercial, and industrial classes are presented in Attachment 8.6-</w:t>
      </w:r>
      <w:r>
        <w:rPr>
          <w:b w:val="0"/>
        </w:rPr>
        <w:t>1</w:t>
      </w:r>
      <w:r w:rsidRPr="00AB4E62">
        <w:rPr>
          <w:b w:val="0"/>
        </w:rPr>
        <w:t>.</w:t>
      </w:r>
    </w:p>
    <w:p w14:paraId="51EFF8A3" w14:textId="77777777" w:rsidR="00CC3908" w:rsidRPr="00AB4E62" w:rsidRDefault="00CC3908" w:rsidP="00AB4E62">
      <w:pPr>
        <w:pStyle w:val="BodyText"/>
        <w:spacing w:line="360" w:lineRule="auto"/>
        <w:jc w:val="left"/>
        <w:rPr>
          <w:b w:val="0"/>
        </w:rPr>
      </w:pPr>
    </w:p>
    <w:p w14:paraId="347AE862" w14:textId="5036BB03" w:rsidR="0025745A" w:rsidRPr="00AB4E62" w:rsidRDefault="0025745A" w:rsidP="0025745A">
      <w:pPr>
        <w:pStyle w:val="Heading2"/>
        <w:jc w:val="left"/>
        <w:rPr>
          <w:rFonts w:ascii="Arial" w:hAnsi="Arial" w:cs="Arial"/>
          <w:b/>
          <w:color w:val="auto"/>
          <w:sz w:val="20"/>
          <w:szCs w:val="20"/>
        </w:rPr>
      </w:pPr>
      <w:bookmarkStart w:id="302" w:name="_Toc347120462"/>
      <w:bookmarkStart w:id="303" w:name="_Toc535495665"/>
      <w:r w:rsidRPr="00AB4E62">
        <w:rPr>
          <w:rFonts w:ascii="Arial" w:hAnsi="Arial" w:cs="Arial"/>
          <w:b/>
          <w:color w:val="auto"/>
          <w:sz w:val="20"/>
          <w:szCs w:val="20"/>
        </w:rPr>
        <w:t>8.3.2</w:t>
      </w:r>
      <w:r w:rsidRPr="00AB4E62">
        <w:rPr>
          <w:rFonts w:ascii="Arial" w:hAnsi="Arial" w:cs="Arial"/>
          <w:b/>
          <w:color w:val="auto"/>
          <w:sz w:val="20"/>
          <w:szCs w:val="20"/>
        </w:rPr>
        <w:tab/>
        <w:t>Substitution of Electricity with Competing Fuels</w:t>
      </w:r>
      <w:bookmarkEnd w:id="302"/>
      <w:bookmarkEnd w:id="303"/>
    </w:p>
    <w:p w14:paraId="6A31BBEF" w14:textId="77777777" w:rsidR="00AB4E62" w:rsidRDefault="00AB4E62" w:rsidP="0025745A">
      <w:pPr>
        <w:pStyle w:val="BodyText"/>
      </w:pPr>
    </w:p>
    <w:p w14:paraId="2710EAA9" w14:textId="3DC37925" w:rsidR="00CC3908" w:rsidRPr="00D30CCD" w:rsidRDefault="00CC3908" w:rsidP="00CC3908">
      <w:pPr>
        <w:spacing w:after="120" w:line="360" w:lineRule="auto"/>
        <w:jc w:val="both"/>
        <w:rPr>
          <w:b w:val="0"/>
        </w:rPr>
      </w:pPr>
      <w:r w:rsidRPr="00D30CCD">
        <w:rPr>
          <w:b w:val="0"/>
        </w:rPr>
        <w:t xml:space="preserve">Fuel choice is an important factor to consider in the development of the forecast. Each customer responds, in various ways, to the price of electricity relative to the price of alternative fuels. The responsiveness of the customer, or decision-maker, depends on the customer’s </w:t>
      </w:r>
      <w:r w:rsidR="00781B2D">
        <w:rPr>
          <w:b w:val="0"/>
        </w:rPr>
        <w:t>preference</w:t>
      </w:r>
      <w:r w:rsidR="00781B2D" w:rsidRPr="00D30CCD">
        <w:rPr>
          <w:b w:val="0"/>
        </w:rPr>
        <w:t xml:space="preserve"> </w:t>
      </w:r>
      <w:r w:rsidRPr="00D30CCD">
        <w:rPr>
          <w:b w:val="0"/>
        </w:rPr>
        <w:t>and ability to change. These factors are recognized and are incorporated in</w:t>
      </w:r>
      <w:r>
        <w:rPr>
          <w:b w:val="0"/>
        </w:rPr>
        <w:t>to</w:t>
      </w:r>
      <w:r w:rsidRPr="00D30CCD">
        <w:rPr>
          <w:b w:val="0"/>
        </w:rPr>
        <w:t xml:space="preserve"> the Georgia Power forecast.</w:t>
      </w:r>
      <w:r>
        <w:rPr>
          <w:b w:val="0"/>
        </w:rPr>
        <w:t xml:space="preserve">  </w:t>
      </w:r>
    </w:p>
    <w:p w14:paraId="4F072CE9" w14:textId="77777777" w:rsidR="00CC3908" w:rsidRPr="004474FB" w:rsidRDefault="00CC3908" w:rsidP="00CC3908">
      <w:pPr>
        <w:spacing w:after="120" w:line="360" w:lineRule="auto"/>
        <w:jc w:val="both"/>
        <w:rPr>
          <w:b w:val="0"/>
        </w:rPr>
      </w:pPr>
    </w:p>
    <w:p w14:paraId="6152C67A" w14:textId="5BABEC6F" w:rsidR="00CC3908" w:rsidRPr="00D30CCD" w:rsidRDefault="00CC3908" w:rsidP="00CC3908">
      <w:pPr>
        <w:spacing w:after="120" w:line="360" w:lineRule="auto"/>
        <w:jc w:val="both"/>
        <w:rPr>
          <w:b w:val="0"/>
        </w:rPr>
      </w:pPr>
      <w:r w:rsidRPr="00D30CCD">
        <w:rPr>
          <w:b w:val="0"/>
        </w:rPr>
        <w:t xml:space="preserve">The residential, commercial, and industrial long-term energy models </w:t>
      </w:r>
      <w:r>
        <w:rPr>
          <w:b w:val="0"/>
        </w:rPr>
        <w:t xml:space="preserve">all </w:t>
      </w:r>
      <w:r w:rsidRPr="00D30CCD">
        <w:rPr>
          <w:b w:val="0"/>
        </w:rPr>
        <w:t xml:space="preserve">use the same modeling and conceptual framework. </w:t>
      </w:r>
      <w:r>
        <w:rPr>
          <w:b w:val="0"/>
        </w:rPr>
        <w:t>Using a logit model, the choice of new technology is determined by evaluating the life cycle of each technology for a given end-use. The life-cycle cost is a function of capital cost plus operating costs and any additional O&amp;M costs discounted for the time value of money.</w:t>
      </w:r>
    </w:p>
    <w:p w14:paraId="3F951C5F" w14:textId="77777777" w:rsidR="00CC3908" w:rsidRPr="00D30CCD" w:rsidRDefault="00CC3908" w:rsidP="00CC3908">
      <w:pPr>
        <w:spacing w:after="120" w:line="360" w:lineRule="auto"/>
        <w:jc w:val="both"/>
        <w:rPr>
          <w:b w:val="0"/>
        </w:rPr>
      </w:pPr>
    </w:p>
    <w:p w14:paraId="566E517C" w14:textId="7C522740" w:rsidR="00CC3908" w:rsidRDefault="00CC3908" w:rsidP="00CC3908">
      <w:pPr>
        <w:spacing w:after="120" w:line="360" w:lineRule="auto"/>
        <w:jc w:val="both"/>
        <w:rPr>
          <w:b w:val="0"/>
        </w:rPr>
      </w:pPr>
      <w:r w:rsidRPr="00D30CCD">
        <w:rPr>
          <w:b w:val="0"/>
        </w:rPr>
        <w:t>As the prices vary among the alternative fuels (e.g., electricity and gas), the operating cost will also vary and will affect the choices of end-use fuel types made by the consumer. Likewise, as the capital cost of the technologies of alternative fuel choices vary, the choices of technology will also vary. In this manner, the long-term commercial and industrial energy models capture the effects of competing fuels in end uses.</w:t>
      </w:r>
    </w:p>
    <w:p w14:paraId="6655757C" w14:textId="51625243" w:rsidR="004474FB" w:rsidRDefault="004474FB" w:rsidP="004474FB">
      <w:pPr>
        <w:spacing w:line="360" w:lineRule="auto"/>
        <w:jc w:val="both"/>
        <w:rPr>
          <w:b w:val="0"/>
        </w:rPr>
      </w:pPr>
    </w:p>
    <w:p w14:paraId="7788FD5F" w14:textId="77777777" w:rsidR="0025745A" w:rsidRPr="004A2E6E" w:rsidRDefault="0025745A" w:rsidP="004474FB">
      <w:pPr>
        <w:pStyle w:val="Heading1"/>
        <w:spacing w:line="360" w:lineRule="auto"/>
        <w:jc w:val="both"/>
      </w:pPr>
      <w:bookmarkStart w:id="304" w:name="_Toc347120463"/>
      <w:bookmarkStart w:id="305" w:name="_Toc535495666"/>
      <w:r w:rsidRPr="00AB4E62">
        <w:rPr>
          <w:rFonts w:ascii="Arial" w:hAnsi="Arial" w:cs="Arial"/>
          <w:b/>
          <w:color w:val="auto"/>
        </w:rPr>
        <w:t>8.4</w:t>
      </w:r>
      <w:r w:rsidRPr="00AB4E62">
        <w:rPr>
          <w:rFonts w:ascii="Arial" w:hAnsi="Arial" w:cs="Arial"/>
          <w:b/>
          <w:color w:val="auto"/>
        </w:rPr>
        <w:tab/>
        <w:t>FORECAST ADJUSTMENTS</w:t>
      </w:r>
      <w:bookmarkEnd w:id="304"/>
      <w:bookmarkEnd w:id="305"/>
    </w:p>
    <w:p w14:paraId="5D6D11DB" w14:textId="77777777" w:rsidR="0025745A" w:rsidRPr="003A3426" w:rsidRDefault="0025745A" w:rsidP="0025745A"/>
    <w:p w14:paraId="3C52F193" w14:textId="71F20261" w:rsidR="0025745A" w:rsidRPr="00AB4E62" w:rsidRDefault="00AC13AD" w:rsidP="00714556">
      <w:pPr>
        <w:pStyle w:val="BodyText"/>
        <w:spacing w:line="360" w:lineRule="auto"/>
        <w:jc w:val="both"/>
        <w:rPr>
          <w:b w:val="0"/>
        </w:rPr>
      </w:pPr>
      <w:r w:rsidRPr="00AB4E62">
        <w:rPr>
          <w:b w:val="0"/>
        </w:rPr>
        <w:t xml:space="preserve">Demand side strategies and customer actions, existing </w:t>
      </w:r>
      <w:r>
        <w:rPr>
          <w:b w:val="0"/>
        </w:rPr>
        <w:t>D</w:t>
      </w:r>
      <w:r w:rsidRPr="004027F5">
        <w:rPr>
          <w:b w:val="0"/>
        </w:rPr>
        <w:t xml:space="preserve">istribution </w:t>
      </w:r>
      <w:r>
        <w:rPr>
          <w:b w:val="0"/>
        </w:rPr>
        <w:t>E</w:t>
      </w:r>
      <w:r w:rsidRPr="004027F5">
        <w:rPr>
          <w:b w:val="0"/>
        </w:rPr>
        <w:t xml:space="preserve">fficiency </w:t>
      </w:r>
      <w:r>
        <w:rPr>
          <w:b w:val="0"/>
        </w:rPr>
        <w:t>P</w:t>
      </w:r>
      <w:r w:rsidRPr="004027F5">
        <w:rPr>
          <w:b w:val="0"/>
        </w:rPr>
        <w:t>rogram (“DEP”)</w:t>
      </w:r>
      <w:r>
        <w:rPr>
          <w:b w:val="0"/>
        </w:rPr>
        <w:t xml:space="preserve"> impacts</w:t>
      </w:r>
      <w:r w:rsidRPr="004027F5">
        <w:rPr>
          <w:b w:val="0"/>
        </w:rPr>
        <w:t xml:space="preserve">, </w:t>
      </w:r>
      <w:r w:rsidRPr="00AB4E62">
        <w:rPr>
          <w:b w:val="0"/>
        </w:rPr>
        <w:t xml:space="preserve">and </w:t>
      </w:r>
      <w:r>
        <w:rPr>
          <w:b w:val="0"/>
        </w:rPr>
        <w:t xml:space="preserve">the effects of </w:t>
      </w:r>
      <w:r w:rsidRPr="00AB4E62">
        <w:rPr>
          <w:b w:val="0"/>
        </w:rPr>
        <w:t>Time of Use (“TOU”) rates are captured directly in the forecast</w:t>
      </w:r>
      <w:r w:rsidR="00E96633">
        <w:rPr>
          <w:b w:val="0"/>
        </w:rPr>
        <w:t xml:space="preserve"> since they are in the historical data</w:t>
      </w:r>
      <w:r w:rsidRPr="00AB4E62">
        <w:rPr>
          <w:b w:val="0"/>
        </w:rPr>
        <w:t xml:space="preserve">. </w:t>
      </w:r>
      <w:r w:rsidR="00E96633">
        <w:rPr>
          <w:b w:val="0"/>
        </w:rPr>
        <w:t xml:space="preserve">The impacts of </w:t>
      </w:r>
      <w:r w:rsidRPr="00AB4E62">
        <w:rPr>
          <w:b w:val="0"/>
        </w:rPr>
        <w:t xml:space="preserve">RTP response, cogeneration, new DSM </w:t>
      </w:r>
      <w:r>
        <w:rPr>
          <w:b w:val="0"/>
        </w:rPr>
        <w:t>programs</w:t>
      </w:r>
      <w:r w:rsidR="00E96633">
        <w:rPr>
          <w:b w:val="0"/>
        </w:rPr>
        <w:t xml:space="preserve">, electric vehicles and </w:t>
      </w:r>
      <w:r w:rsidR="00C405C1">
        <w:rPr>
          <w:b w:val="0"/>
        </w:rPr>
        <w:t>BTM</w:t>
      </w:r>
      <w:r w:rsidR="00E96633">
        <w:rPr>
          <w:b w:val="0"/>
        </w:rPr>
        <w:t xml:space="preserve"> solar</w:t>
      </w:r>
      <w:r>
        <w:rPr>
          <w:b w:val="0"/>
        </w:rPr>
        <w:t xml:space="preserve"> </w:t>
      </w:r>
      <w:r w:rsidRPr="00AB4E62">
        <w:rPr>
          <w:b w:val="0"/>
        </w:rPr>
        <w:t>are captured in the forecast through adjustment</w:t>
      </w:r>
      <w:r w:rsidR="00B959FE">
        <w:rPr>
          <w:b w:val="0"/>
        </w:rPr>
        <w:t xml:space="preserve">s outside of the </w:t>
      </w:r>
      <w:r w:rsidR="00C918CC">
        <w:rPr>
          <w:b w:val="0"/>
        </w:rPr>
        <w:t xml:space="preserve">forecast </w:t>
      </w:r>
      <w:r w:rsidR="00B959FE">
        <w:rPr>
          <w:b w:val="0"/>
        </w:rPr>
        <w:t>models</w:t>
      </w:r>
      <w:r w:rsidRPr="00AB4E62">
        <w:rPr>
          <w:b w:val="0"/>
        </w:rPr>
        <w:t>.</w:t>
      </w:r>
      <w:r w:rsidR="0025745A" w:rsidRPr="00AB4E62">
        <w:rPr>
          <w:b w:val="0"/>
        </w:rPr>
        <w:t xml:space="preserve">  </w:t>
      </w:r>
    </w:p>
    <w:p w14:paraId="550A6746" w14:textId="77777777" w:rsidR="0025745A" w:rsidRPr="00AB4E62" w:rsidRDefault="0025745A" w:rsidP="00AB4E62">
      <w:pPr>
        <w:pStyle w:val="BodyText"/>
        <w:spacing w:line="360" w:lineRule="auto"/>
        <w:jc w:val="left"/>
        <w:rPr>
          <w:b w:val="0"/>
        </w:rPr>
      </w:pPr>
    </w:p>
    <w:p w14:paraId="0B28BE3A" w14:textId="77777777" w:rsidR="0025745A" w:rsidRPr="00AB4E62" w:rsidRDefault="0025745A" w:rsidP="0025745A">
      <w:pPr>
        <w:pStyle w:val="Heading2"/>
        <w:jc w:val="left"/>
        <w:rPr>
          <w:rFonts w:ascii="Arial" w:hAnsi="Arial" w:cs="Arial"/>
          <w:b/>
          <w:color w:val="auto"/>
          <w:sz w:val="20"/>
          <w:szCs w:val="20"/>
        </w:rPr>
      </w:pPr>
      <w:bookmarkStart w:id="306" w:name="_Toc347120464"/>
      <w:bookmarkStart w:id="307" w:name="_Toc535495667"/>
      <w:r w:rsidRPr="00AB4E62">
        <w:rPr>
          <w:rFonts w:ascii="Arial" w:hAnsi="Arial" w:cs="Arial"/>
          <w:b/>
          <w:color w:val="auto"/>
          <w:sz w:val="20"/>
          <w:szCs w:val="20"/>
        </w:rPr>
        <w:t>8.4.1</w:t>
      </w:r>
      <w:r w:rsidRPr="00AB4E62">
        <w:rPr>
          <w:rFonts w:ascii="Arial" w:hAnsi="Arial" w:cs="Arial"/>
          <w:b/>
          <w:color w:val="auto"/>
          <w:sz w:val="20"/>
          <w:szCs w:val="20"/>
        </w:rPr>
        <w:tab/>
        <w:t>Demand Side Strategies and Customer Actions</w:t>
      </w:r>
      <w:bookmarkEnd w:id="306"/>
      <w:bookmarkEnd w:id="307"/>
    </w:p>
    <w:p w14:paraId="351669B9" w14:textId="77777777" w:rsidR="00AB4E62" w:rsidRDefault="00AB4E62" w:rsidP="0025745A">
      <w:pPr>
        <w:pStyle w:val="BodyText"/>
      </w:pPr>
    </w:p>
    <w:p w14:paraId="5F71C63E" w14:textId="2FF2276C" w:rsidR="00AC13AD" w:rsidRPr="00AB4E62" w:rsidRDefault="00AC13AD" w:rsidP="00AC13AD">
      <w:pPr>
        <w:pStyle w:val="BodyText"/>
        <w:spacing w:line="360" w:lineRule="auto"/>
        <w:jc w:val="both"/>
        <w:rPr>
          <w:b w:val="0"/>
        </w:rPr>
      </w:pPr>
      <w:r w:rsidRPr="00AB4E62">
        <w:rPr>
          <w:b w:val="0"/>
        </w:rPr>
        <w:t>Budget 20</w:t>
      </w:r>
      <w:r>
        <w:rPr>
          <w:b w:val="0"/>
        </w:rPr>
        <w:t>19</w:t>
      </w:r>
      <w:r w:rsidRPr="00AB4E62">
        <w:rPr>
          <w:b w:val="0"/>
        </w:rPr>
        <w:t xml:space="preserve"> incorporate</w:t>
      </w:r>
      <w:r>
        <w:rPr>
          <w:b w:val="0"/>
        </w:rPr>
        <w:t>s</w:t>
      </w:r>
      <w:r w:rsidRPr="00AB4E62">
        <w:rPr>
          <w:b w:val="0"/>
        </w:rPr>
        <w:t xml:space="preserve"> adjustments for load responses by customers to changes in price, as well as for demand side programs being offered to customers that are anticipated to result in reduc</w:t>
      </w:r>
      <w:r w:rsidR="00F926FB">
        <w:rPr>
          <w:b w:val="0"/>
        </w:rPr>
        <w:t>tions in energy use and in</w:t>
      </w:r>
      <w:r w:rsidRPr="00AB4E62">
        <w:rPr>
          <w:b w:val="0"/>
        </w:rPr>
        <w:t xml:space="preserve"> peak demand. There are t</w:t>
      </w:r>
      <w:r>
        <w:rPr>
          <w:b w:val="0"/>
        </w:rPr>
        <w:t>wo</w:t>
      </w:r>
      <w:r w:rsidRPr="00AB4E62">
        <w:rPr>
          <w:b w:val="0"/>
        </w:rPr>
        <w:t xml:space="preserve"> types of impacts incorporated directly in the forecast: (1) the historical set of customer actions embedded in the historical data that are implicitly propagated throughout the forecast, and (2) adopted efficiency standards in the residential </w:t>
      </w:r>
      <w:r>
        <w:rPr>
          <w:b w:val="0"/>
        </w:rPr>
        <w:t xml:space="preserve">and commercial </w:t>
      </w:r>
      <w:r w:rsidRPr="00AB4E62">
        <w:rPr>
          <w:b w:val="0"/>
        </w:rPr>
        <w:t>end-use models.</w:t>
      </w:r>
      <w:r>
        <w:rPr>
          <w:b w:val="0"/>
        </w:rPr>
        <w:t xml:space="preserve"> Additional DSM adjustments are made to reflect new or ongoing Georgia Power programs that are not fully reflected in the historical data. </w:t>
      </w:r>
    </w:p>
    <w:p w14:paraId="2ACF1B5B" w14:textId="77777777" w:rsidR="00AC13AD" w:rsidRPr="00AB4E62" w:rsidRDefault="00AC13AD" w:rsidP="00AC13AD">
      <w:pPr>
        <w:pStyle w:val="BodyText"/>
        <w:spacing w:line="360" w:lineRule="auto"/>
        <w:jc w:val="both"/>
        <w:rPr>
          <w:b w:val="0"/>
        </w:rPr>
      </w:pPr>
    </w:p>
    <w:p w14:paraId="66593BF0" w14:textId="037FAE44" w:rsidR="00AC13AD" w:rsidRPr="00AB4E62" w:rsidRDefault="00AC13AD" w:rsidP="00AC13AD">
      <w:pPr>
        <w:pStyle w:val="BodyText"/>
        <w:spacing w:line="360" w:lineRule="auto"/>
        <w:jc w:val="both"/>
        <w:rPr>
          <w:b w:val="0"/>
        </w:rPr>
      </w:pPr>
      <w:r w:rsidRPr="00AB4E62">
        <w:rPr>
          <w:b w:val="0"/>
        </w:rPr>
        <w:t xml:space="preserve">Georgia Power offers </w:t>
      </w:r>
      <w:r w:rsidR="00781B2D">
        <w:rPr>
          <w:b w:val="0"/>
        </w:rPr>
        <w:t>energy-efficiency</w:t>
      </w:r>
      <w:r w:rsidR="00781B2D" w:rsidRPr="00AB4E62">
        <w:rPr>
          <w:b w:val="0"/>
        </w:rPr>
        <w:t xml:space="preserve"> </w:t>
      </w:r>
      <w:r w:rsidRPr="00AB4E62">
        <w:rPr>
          <w:b w:val="0"/>
        </w:rPr>
        <w:t>programs</w:t>
      </w:r>
      <w:r>
        <w:rPr>
          <w:b w:val="0"/>
        </w:rPr>
        <w:t xml:space="preserve"> to its residential and commercial customers </w:t>
      </w:r>
      <w:r w:rsidRPr="00AB4E62">
        <w:rPr>
          <w:b w:val="0"/>
        </w:rPr>
        <w:t xml:space="preserve">to promote energy </w:t>
      </w:r>
      <w:r>
        <w:rPr>
          <w:b w:val="0"/>
        </w:rPr>
        <w:t>savings</w:t>
      </w:r>
      <w:r w:rsidRPr="00AB4E62">
        <w:rPr>
          <w:b w:val="0"/>
        </w:rPr>
        <w:t xml:space="preserve">. These programs have existed for more than a decade and the benefits from the programs are embedded in Georgia Power’s historical load and energy sales. Therefore, the forecasts produced by using historical energy data and the embedded energy effects have an </w:t>
      </w:r>
      <w:r>
        <w:rPr>
          <w:b w:val="0"/>
        </w:rPr>
        <w:t>implicit</w:t>
      </w:r>
      <w:r w:rsidRPr="00AB4E62">
        <w:rPr>
          <w:b w:val="0"/>
        </w:rPr>
        <w:t xml:space="preserve"> effect propagated throughout the forecast. Other conservation measures undertaken by customers, whether explicitly induced by a marketing program or proactively undertaken by a customer for some other reason will become embedded in the historical energy data and will be implicitly propagated throughout the forecast.</w:t>
      </w:r>
    </w:p>
    <w:p w14:paraId="085D43C7" w14:textId="77777777" w:rsidR="00AC13AD" w:rsidRPr="00AB4E62" w:rsidRDefault="00AC13AD" w:rsidP="00AC13AD">
      <w:pPr>
        <w:pStyle w:val="BodyText"/>
        <w:spacing w:line="360" w:lineRule="auto"/>
        <w:jc w:val="both"/>
        <w:rPr>
          <w:b w:val="0"/>
        </w:rPr>
      </w:pPr>
    </w:p>
    <w:p w14:paraId="541E88A4" w14:textId="244645CF" w:rsidR="0025745A" w:rsidRDefault="00AC13AD" w:rsidP="00714556">
      <w:pPr>
        <w:pStyle w:val="BodyText"/>
        <w:spacing w:line="360" w:lineRule="auto"/>
        <w:jc w:val="both"/>
        <w:rPr>
          <w:b w:val="0"/>
        </w:rPr>
      </w:pPr>
      <w:r w:rsidRPr="00AB4E62">
        <w:rPr>
          <w:b w:val="0"/>
        </w:rPr>
        <w:t>An additional type of demand side impact considered in Budget 20</w:t>
      </w:r>
      <w:r>
        <w:rPr>
          <w:b w:val="0"/>
        </w:rPr>
        <w:t>19</w:t>
      </w:r>
      <w:r w:rsidRPr="00AB4E62">
        <w:rPr>
          <w:b w:val="0"/>
        </w:rPr>
        <w:t xml:space="preserve"> is the adopted efficiency standards in the residential</w:t>
      </w:r>
      <w:r w:rsidR="00DE746B">
        <w:rPr>
          <w:b w:val="0"/>
        </w:rPr>
        <w:t xml:space="preserve"> and commercial</w:t>
      </w:r>
      <w:r w:rsidRPr="00AB4E62">
        <w:rPr>
          <w:b w:val="0"/>
        </w:rPr>
        <w:t xml:space="preserve"> end-use models. The efficiency standards represent the continuing trend of increasing end-use efficiency driven in part by programs such as ENERGY STAR</w:t>
      </w:r>
      <w:r w:rsidR="00C405C1" w:rsidRPr="00C405C1">
        <w:rPr>
          <w:b w:val="0"/>
          <w:vertAlign w:val="superscript"/>
        </w:rPr>
        <w:t>®</w:t>
      </w:r>
      <w:r w:rsidRPr="00AB4E62">
        <w:rPr>
          <w:b w:val="0"/>
        </w:rPr>
        <w:t>.</w:t>
      </w:r>
      <w:r w:rsidR="0025745A" w:rsidRPr="00AB4E62">
        <w:rPr>
          <w:b w:val="0"/>
        </w:rPr>
        <w:t xml:space="preserve">  </w:t>
      </w:r>
    </w:p>
    <w:p w14:paraId="326CEE4B" w14:textId="77777777" w:rsidR="00AB4E62" w:rsidRPr="00AB4E62" w:rsidRDefault="00AB4E62" w:rsidP="00AB4E62">
      <w:pPr>
        <w:pStyle w:val="BodyText"/>
        <w:spacing w:line="360" w:lineRule="auto"/>
        <w:jc w:val="left"/>
        <w:rPr>
          <w:b w:val="0"/>
        </w:rPr>
      </w:pPr>
    </w:p>
    <w:p w14:paraId="17FE909C" w14:textId="2E9015C3" w:rsidR="0025745A" w:rsidRDefault="0025745A" w:rsidP="00AB4E62">
      <w:pPr>
        <w:pStyle w:val="Heading2"/>
        <w:spacing w:line="360" w:lineRule="auto"/>
        <w:jc w:val="left"/>
        <w:rPr>
          <w:rFonts w:ascii="Arial" w:hAnsi="Arial" w:cs="Arial"/>
          <w:b/>
          <w:color w:val="auto"/>
          <w:sz w:val="20"/>
          <w:szCs w:val="20"/>
        </w:rPr>
      </w:pPr>
      <w:bookmarkStart w:id="308" w:name="_Toc347120465"/>
      <w:bookmarkStart w:id="309" w:name="_Toc535495668"/>
      <w:r w:rsidRPr="00AB4E62">
        <w:rPr>
          <w:rFonts w:ascii="Arial" w:hAnsi="Arial" w:cs="Arial"/>
          <w:b/>
          <w:color w:val="auto"/>
          <w:sz w:val="20"/>
          <w:szCs w:val="20"/>
        </w:rPr>
        <w:t>8.4.2</w:t>
      </w:r>
      <w:r w:rsidRPr="00AB4E62">
        <w:rPr>
          <w:rFonts w:ascii="Arial" w:hAnsi="Arial" w:cs="Arial"/>
          <w:b/>
          <w:color w:val="auto"/>
          <w:sz w:val="20"/>
          <w:szCs w:val="20"/>
        </w:rPr>
        <w:tab/>
        <w:t>Cogeneration</w:t>
      </w:r>
      <w:bookmarkEnd w:id="308"/>
      <w:bookmarkEnd w:id="309"/>
    </w:p>
    <w:p w14:paraId="689FA13F" w14:textId="77777777" w:rsidR="00F55B00" w:rsidRPr="00F55B00" w:rsidRDefault="00F55B00" w:rsidP="00F55B00"/>
    <w:p w14:paraId="308AE379" w14:textId="77777777" w:rsidR="00AC13AD" w:rsidRDefault="00AC13AD" w:rsidP="00AC13AD">
      <w:pPr>
        <w:pStyle w:val="BodyText"/>
        <w:spacing w:line="360" w:lineRule="auto"/>
        <w:jc w:val="both"/>
        <w:rPr>
          <w:b w:val="0"/>
          <w:bCs/>
        </w:rPr>
      </w:pPr>
      <w:r>
        <w:rPr>
          <w:b w:val="0"/>
        </w:rPr>
        <w:t xml:space="preserve">The effects of cogeneration are incorporated into Budget 2019. Available near-term information for known and expected cogeneration projects has been assembled. The long term commercial and industrial models were developed as the basis of electricity sales without assumptions for new cogeneration. Adjustments to Budget 2019 for the impacts of additional (new) cogeneration were made exogenously and were applied to the commercial and industrial sales forecasts beginning in 2018. Attachments 8.6-2 (cogeneration energy reduction at meter) and 8.6-3 (cogeneration energy reduction at generator) each provides a table of the projected impact of cogeneration on energy sales.  </w:t>
      </w:r>
    </w:p>
    <w:p w14:paraId="5B456E60" w14:textId="77777777" w:rsidR="00AC13AD" w:rsidRDefault="00AC13AD" w:rsidP="00AC13AD">
      <w:pPr>
        <w:pStyle w:val="BodyText"/>
        <w:spacing w:line="360" w:lineRule="auto"/>
        <w:jc w:val="both"/>
        <w:rPr>
          <w:b w:val="0"/>
          <w:bCs/>
        </w:rPr>
      </w:pPr>
    </w:p>
    <w:p w14:paraId="1730E201" w14:textId="76236C72" w:rsidR="0025745A" w:rsidRPr="00AB4E62" w:rsidRDefault="00AC13AD" w:rsidP="00714556">
      <w:pPr>
        <w:pStyle w:val="BodyText"/>
        <w:spacing w:line="360" w:lineRule="auto"/>
        <w:jc w:val="both"/>
        <w:rPr>
          <w:b w:val="0"/>
        </w:rPr>
      </w:pPr>
      <w:r>
        <w:rPr>
          <w:b w:val="0"/>
        </w:rPr>
        <w:t xml:space="preserve">Information for known and expected increases in cogeneration was obtained by Georgia Power Sales and Service personnel from interviews with customers with either existing cogeneration or an announced project. A probability that each reported </w:t>
      </w:r>
      <w:r w:rsidR="00747D9A">
        <w:rPr>
          <w:b w:val="0"/>
        </w:rPr>
        <w:t xml:space="preserve">new </w:t>
      </w:r>
      <w:r>
        <w:rPr>
          <w:b w:val="0"/>
        </w:rPr>
        <w:t>cogeneration project will actually materialize was estimated for each. The probability-weighted MW announcements were then used to project the amount of additional cogeneration to incorporate into the forecast. The estimated MW cogeneration load was then converted into MWh energy generation using a common load factor. Attachments 8.6-4 (cogeneration demand reduction at meter) and 8.6-5 (cogeneration demand reduction at generator) each provides a table of the projected cogeneration impacts on demand. Since cogeneration reduces energy sales and peak demand, the amounts in these tables are subtracted from the energy and peak forecasts as an external adjustment.</w:t>
      </w:r>
    </w:p>
    <w:p w14:paraId="495B02F9" w14:textId="77777777" w:rsidR="0025745A" w:rsidRPr="00AB4E62" w:rsidRDefault="0025745A" w:rsidP="00AB4E62">
      <w:pPr>
        <w:pStyle w:val="BodyText"/>
        <w:spacing w:line="360" w:lineRule="auto"/>
        <w:jc w:val="left"/>
        <w:rPr>
          <w:b w:val="0"/>
        </w:rPr>
      </w:pPr>
    </w:p>
    <w:p w14:paraId="438DF6A7" w14:textId="77777777" w:rsidR="0025745A" w:rsidRPr="00AB4E62" w:rsidRDefault="0025745A" w:rsidP="0025745A">
      <w:pPr>
        <w:pStyle w:val="Heading2"/>
        <w:jc w:val="left"/>
        <w:rPr>
          <w:rFonts w:ascii="Arial" w:hAnsi="Arial" w:cs="Arial"/>
          <w:b/>
          <w:color w:val="auto"/>
          <w:sz w:val="20"/>
          <w:szCs w:val="20"/>
        </w:rPr>
      </w:pPr>
      <w:bookmarkStart w:id="310" w:name="_Toc347120466"/>
      <w:bookmarkStart w:id="311" w:name="_Toc535495669"/>
      <w:r w:rsidRPr="00AB4E62">
        <w:rPr>
          <w:rFonts w:ascii="Arial" w:hAnsi="Arial" w:cs="Arial"/>
          <w:b/>
          <w:color w:val="auto"/>
          <w:sz w:val="20"/>
          <w:szCs w:val="20"/>
        </w:rPr>
        <w:t>8.4.3</w:t>
      </w:r>
      <w:r w:rsidRPr="00AB4E62">
        <w:rPr>
          <w:rFonts w:ascii="Arial" w:hAnsi="Arial" w:cs="Arial"/>
          <w:b/>
          <w:color w:val="auto"/>
          <w:sz w:val="20"/>
          <w:szCs w:val="20"/>
        </w:rPr>
        <w:tab/>
        <w:t>Real Time Pricing and Time of Use</w:t>
      </w:r>
      <w:bookmarkEnd w:id="310"/>
      <w:bookmarkEnd w:id="311"/>
    </w:p>
    <w:p w14:paraId="383C4999" w14:textId="77777777" w:rsidR="00AB4E62" w:rsidRDefault="00AB4E62" w:rsidP="0025745A">
      <w:pPr>
        <w:pStyle w:val="BodyText"/>
      </w:pPr>
    </w:p>
    <w:p w14:paraId="04189F9E" w14:textId="44C9C519" w:rsidR="0020133F" w:rsidRDefault="00AC13AD" w:rsidP="00AC13AD">
      <w:pPr>
        <w:pStyle w:val="BodyText"/>
        <w:spacing w:line="360" w:lineRule="auto"/>
        <w:jc w:val="both"/>
        <w:rPr>
          <w:b w:val="0"/>
        </w:rPr>
      </w:pPr>
      <w:r>
        <w:rPr>
          <w:b w:val="0"/>
        </w:rPr>
        <w:t xml:space="preserve">The RTP rate is designed to enable customers to take advantage of the variations in hourly system marginal costs. This gives the customer the opportunity to control their own cost in using electricity by changing their load shape in response to hourly price signals. Current estimates based on analyses of customer responsiveness to the RTP rate indicate a reduction to peak demand of </w:t>
      </w:r>
      <w:r w:rsidR="00EA4D15" w:rsidRPr="007409C2">
        <w:rPr>
          <w:sz w:val="14"/>
          <w:szCs w:val="14"/>
        </w:rPr>
        <w:t>REDACTED</w:t>
      </w:r>
      <w:r>
        <w:rPr>
          <w:b w:val="0"/>
        </w:rPr>
        <w:t xml:space="preserve"> MW in 2019, increasing to a reduction of </w:t>
      </w:r>
      <w:r w:rsidR="00EA4D15" w:rsidRPr="007409C2">
        <w:rPr>
          <w:sz w:val="14"/>
          <w:szCs w:val="14"/>
        </w:rPr>
        <w:t>REDACTED</w:t>
      </w:r>
      <w:r>
        <w:rPr>
          <w:b w:val="0"/>
        </w:rPr>
        <w:t xml:space="preserve"> MW in 2038. RTP response is captured in the forecast through an external adjustment.</w:t>
      </w:r>
      <w:r w:rsidR="001F0449">
        <w:rPr>
          <w:b w:val="0"/>
        </w:rPr>
        <w:t xml:space="preserve"> </w:t>
      </w:r>
      <w:r w:rsidR="0020133F" w:rsidRPr="00CA3008">
        <w:rPr>
          <w:b w:val="0"/>
        </w:rPr>
        <w:t xml:space="preserve">A model developed by Christensen Associates </w:t>
      </w:r>
      <w:r w:rsidR="0020133F">
        <w:rPr>
          <w:b w:val="0"/>
        </w:rPr>
        <w:t xml:space="preserve">Energy Consulting </w:t>
      </w:r>
      <w:r w:rsidR="0020133F" w:rsidRPr="001863BE">
        <w:rPr>
          <w:b w:val="0"/>
        </w:rPr>
        <w:t xml:space="preserve">is used to estimate the </w:t>
      </w:r>
      <w:r w:rsidR="0020133F">
        <w:rPr>
          <w:b w:val="0"/>
        </w:rPr>
        <w:t xml:space="preserve">RTP </w:t>
      </w:r>
      <w:r w:rsidR="0020133F" w:rsidRPr="001863BE">
        <w:rPr>
          <w:b w:val="0"/>
        </w:rPr>
        <w:t xml:space="preserve">price responsiveness and its impact on load. </w:t>
      </w:r>
    </w:p>
    <w:p w14:paraId="09845B8B" w14:textId="77777777" w:rsidR="0020133F" w:rsidRDefault="0020133F" w:rsidP="00AC13AD">
      <w:pPr>
        <w:pStyle w:val="BodyText"/>
        <w:spacing w:line="360" w:lineRule="auto"/>
        <w:jc w:val="both"/>
        <w:rPr>
          <w:b w:val="0"/>
          <w:bCs/>
        </w:rPr>
      </w:pPr>
    </w:p>
    <w:p w14:paraId="5CE90750" w14:textId="7319B692" w:rsidR="0025745A" w:rsidRDefault="00AC13AD" w:rsidP="00F55B00">
      <w:pPr>
        <w:pStyle w:val="BodyText"/>
        <w:spacing w:line="360" w:lineRule="auto"/>
        <w:jc w:val="both"/>
        <w:rPr>
          <w:b w:val="0"/>
        </w:rPr>
      </w:pPr>
      <w:r>
        <w:rPr>
          <w:b w:val="0"/>
        </w:rPr>
        <w:t>TOU rates also give customers the incentive to control their costs by the differentiation of the prices of energy depending on time of day. Customers have been on TOU rates for a number of years and the impact of their usage patterns is being captured in the class load shapes that were used in development of the peak demand model.</w:t>
      </w:r>
    </w:p>
    <w:p w14:paraId="3C7E00E4" w14:textId="48F4FC6D" w:rsidR="00F926FB" w:rsidRDefault="00F926FB" w:rsidP="00F55B00">
      <w:pPr>
        <w:pStyle w:val="BodyText"/>
        <w:spacing w:line="360" w:lineRule="auto"/>
        <w:jc w:val="both"/>
        <w:rPr>
          <w:b w:val="0"/>
        </w:rPr>
      </w:pPr>
    </w:p>
    <w:p w14:paraId="7984B404" w14:textId="0CF223EA" w:rsidR="00F926FB" w:rsidRDefault="00F926FB" w:rsidP="00E73E4F">
      <w:pPr>
        <w:pStyle w:val="Heading2"/>
        <w:jc w:val="left"/>
      </w:pPr>
      <w:bookmarkStart w:id="312" w:name="_Toc535495670"/>
      <w:r w:rsidRPr="00E73E4F">
        <w:rPr>
          <w:rFonts w:ascii="Arial" w:hAnsi="Arial" w:cs="Arial"/>
          <w:b/>
          <w:color w:val="auto"/>
          <w:sz w:val="20"/>
          <w:szCs w:val="20"/>
        </w:rPr>
        <w:t>8.4.4</w:t>
      </w:r>
      <w:r>
        <w:rPr>
          <w:rFonts w:ascii="Arial" w:hAnsi="Arial" w:cs="Arial"/>
          <w:b/>
          <w:color w:val="auto"/>
          <w:sz w:val="20"/>
          <w:szCs w:val="20"/>
        </w:rPr>
        <w:tab/>
        <w:t>Electric Vehicles</w:t>
      </w:r>
      <w:bookmarkEnd w:id="312"/>
    </w:p>
    <w:p w14:paraId="40588201" w14:textId="1E802A78" w:rsidR="00F926FB" w:rsidRDefault="00F926FB" w:rsidP="00E73E4F">
      <w:pPr>
        <w:jc w:val="left"/>
      </w:pPr>
    </w:p>
    <w:p w14:paraId="35EA09B9" w14:textId="52EB70F9" w:rsidR="00F926FB" w:rsidRDefault="00F90027" w:rsidP="00320A2A">
      <w:pPr>
        <w:spacing w:after="120" w:line="360" w:lineRule="auto"/>
        <w:jc w:val="both"/>
        <w:rPr>
          <w:b w:val="0"/>
        </w:rPr>
      </w:pPr>
      <w:r>
        <w:rPr>
          <w:b w:val="0"/>
        </w:rPr>
        <w:t xml:space="preserve">The impacts of expected growth in electric vehicles in Georgia have been incorporated into the Budget 2019 forecast. </w:t>
      </w:r>
      <w:r w:rsidR="00D21F47">
        <w:rPr>
          <w:b w:val="0"/>
        </w:rPr>
        <w:t>The impact of existing electric vehicles is already</w:t>
      </w:r>
      <w:r w:rsidR="00595997">
        <w:rPr>
          <w:b w:val="0"/>
        </w:rPr>
        <w:t xml:space="preserve"> </w:t>
      </w:r>
      <w:r w:rsidR="00595997" w:rsidRPr="00AB4E62">
        <w:rPr>
          <w:b w:val="0"/>
        </w:rPr>
        <w:t xml:space="preserve">embedded in the historical data that </w:t>
      </w:r>
      <w:r w:rsidR="00595997">
        <w:rPr>
          <w:b w:val="0"/>
        </w:rPr>
        <w:t>is</w:t>
      </w:r>
      <w:r w:rsidR="00595997" w:rsidRPr="00AB4E62">
        <w:rPr>
          <w:b w:val="0"/>
        </w:rPr>
        <w:t xml:space="preserve"> implicitly propagated throughout the forecast</w:t>
      </w:r>
      <w:r w:rsidR="00D21F47">
        <w:rPr>
          <w:b w:val="0"/>
        </w:rPr>
        <w:t xml:space="preserve">. </w:t>
      </w:r>
      <w:r w:rsidR="001D30D1">
        <w:rPr>
          <w:b w:val="0"/>
        </w:rPr>
        <w:t>E</w:t>
      </w:r>
      <w:r w:rsidR="009B7FF5">
        <w:rPr>
          <w:b w:val="0"/>
        </w:rPr>
        <w:t>lectric vehicles represent a positive adjustment to the forecast</w:t>
      </w:r>
      <w:r w:rsidR="001D30D1">
        <w:rPr>
          <w:b w:val="0"/>
        </w:rPr>
        <w:t xml:space="preserve"> and</w:t>
      </w:r>
      <w:r w:rsidR="00E023A9">
        <w:rPr>
          <w:b w:val="0"/>
        </w:rPr>
        <w:t xml:space="preserve"> represents expected growth in the number of electric vehicles in the state of Georgia. The forecast of electric vehicles in Georgia is based on a scenario by EPRI</w:t>
      </w:r>
      <w:r w:rsidR="00851B07">
        <w:rPr>
          <w:b w:val="0"/>
        </w:rPr>
        <w:t>, which produces forecasts for states across the nation.</w:t>
      </w:r>
      <w:r w:rsidR="00E023A9">
        <w:rPr>
          <w:b w:val="0"/>
        </w:rPr>
        <w:t xml:space="preserve"> Georgia Power </w:t>
      </w:r>
      <w:r w:rsidR="0016091B">
        <w:rPr>
          <w:b w:val="0"/>
        </w:rPr>
        <w:t>selected</w:t>
      </w:r>
      <w:r w:rsidR="00E023A9">
        <w:rPr>
          <w:b w:val="0"/>
        </w:rPr>
        <w:t xml:space="preserve"> the ‘medium” EPRI scenario</w:t>
      </w:r>
      <w:r w:rsidR="00E73E4F">
        <w:rPr>
          <w:b w:val="0"/>
        </w:rPr>
        <w:t xml:space="preserve"> for use in Budget 2019</w:t>
      </w:r>
      <w:r w:rsidR="00851B07">
        <w:rPr>
          <w:b w:val="0"/>
        </w:rPr>
        <w:t>.</w:t>
      </w:r>
      <w:r w:rsidR="00E023A9">
        <w:rPr>
          <w:b w:val="0"/>
        </w:rPr>
        <w:t xml:space="preserve"> </w:t>
      </w:r>
    </w:p>
    <w:p w14:paraId="505ABB6F" w14:textId="32F40441" w:rsidR="001F0449" w:rsidRDefault="001F0449" w:rsidP="00320A2A">
      <w:pPr>
        <w:spacing w:after="120" w:line="360" w:lineRule="auto"/>
        <w:jc w:val="left"/>
      </w:pPr>
    </w:p>
    <w:p w14:paraId="5653F246" w14:textId="6D825E43" w:rsidR="00E0258A" w:rsidRPr="00E0258A" w:rsidRDefault="00E0258A" w:rsidP="00320A2A">
      <w:pPr>
        <w:spacing w:after="120" w:line="360" w:lineRule="auto"/>
        <w:jc w:val="left"/>
        <w:rPr>
          <w:b w:val="0"/>
        </w:rPr>
      </w:pPr>
      <w:r>
        <w:rPr>
          <w:b w:val="0"/>
        </w:rPr>
        <w:t>Electric vehicles are incorporated into the Budget 2019 peak demand forecast using load shapes for the residential and commercial classes.</w:t>
      </w:r>
    </w:p>
    <w:p w14:paraId="50693409" w14:textId="6EFE13CF" w:rsidR="00F926FB" w:rsidRDefault="00F926FB" w:rsidP="00E73E4F">
      <w:pPr>
        <w:jc w:val="left"/>
      </w:pPr>
    </w:p>
    <w:p w14:paraId="4379401A" w14:textId="074F39A4" w:rsidR="00F926FB" w:rsidRDefault="00F926FB" w:rsidP="00F926FB">
      <w:pPr>
        <w:pStyle w:val="Heading2"/>
        <w:jc w:val="left"/>
        <w:rPr>
          <w:rFonts w:ascii="Arial" w:hAnsi="Arial" w:cs="Arial"/>
          <w:b/>
          <w:color w:val="auto"/>
          <w:sz w:val="20"/>
          <w:szCs w:val="20"/>
        </w:rPr>
      </w:pPr>
      <w:bookmarkStart w:id="313" w:name="_Toc535495671"/>
      <w:r w:rsidRPr="00FD25AD">
        <w:rPr>
          <w:rFonts w:ascii="Arial" w:hAnsi="Arial" w:cs="Arial"/>
          <w:b/>
          <w:color w:val="auto"/>
          <w:sz w:val="20"/>
          <w:szCs w:val="20"/>
        </w:rPr>
        <w:t>8.4.</w:t>
      </w:r>
      <w:r>
        <w:rPr>
          <w:rFonts w:ascii="Arial" w:hAnsi="Arial" w:cs="Arial"/>
          <w:b/>
          <w:color w:val="auto"/>
          <w:sz w:val="20"/>
          <w:szCs w:val="20"/>
        </w:rPr>
        <w:t>5</w:t>
      </w:r>
      <w:r>
        <w:rPr>
          <w:rFonts w:ascii="Arial" w:hAnsi="Arial" w:cs="Arial"/>
          <w:b/>
          <w:color w:val="auto"/>
          <w:sz w:val="20"/>
          <w:szCs w:val="20"/>
        </w:rPr>
        <w:tab/>
        <w:t>Behind-The-Meter Solar</w:t>
      </w:r>
      <w:bookmarkEnd w:id="313"/>
    </w:p>
    <w:p w14:paraId="244AE489" w14:textId="77777777" w:rsidR="00F926FB" w:rsidRPr="00E73E4F" w:rsidRDefault="00F926FB" w:rsidP="00E73E4F">
      <w:pPr>
        <w:jc w:val="left"/>
      </w:pPr>
    </w:p>
    <w:p w14:paraId="0CDC3C36" w14:textId="3ED46009" w:rsidR="0025745A" w:rsidRDefault="005E4CB6" w:rsidP="00714556">
      <w:pPr>
        <w:pStyle w:val="BodyText"/>
        <w:spacing w:line="360" w:lineRule="auto"/>
        <w:jc w:val="both"/>
        <w:rPr>
          <w:b w:val="0"/>
        </w:rPr>
      </w:pPr>
      <w:r>
        <w:rPr>
          <w:b w:val="0"/>
        </w:rPr>
        <w:t xml:space="preserve">BTM </w:t>
      </w:r>
      <w:r w:rsidR="003E7E6A">
        <w:rPr>
          <w:b w:val="0"/>
        </w:rPr>
        <w:t>solar</w:t>
      </w:r>
      <w:r>
        <w:rPr>
          <w:b w:val="0"/>
        </w:rPr>
        <w:t xml:space="preserve"> </w:t>
      </w:r>
      <w:r w:rsidR="00D5754A">
        <w:rPr>
          <w:b w:val="0"/>
        </w:rPr>
        <w:t xml:space="preserve">is a solar energy system that produces power intended for on-site use in a home, office building, or other commercial or industrial facility. Thus, a BTM system allows an owner to use the energy </w:t>
      </w:r>
      <w:r w:rsidR="00E73E4F">
        <w:rPr>
          <w:b w:val="0"/>
        </w:rPr>
        <w:t xml:space="preserve">produced </w:t>
      </w:r>
      <w:r w:rsidR="00D5754A">
        <w:rPr>
          <w:b w:val="0"/>
        </w:rPr>
        <w:t xml:space="preserve">from their system first, before using energy from the grid. Such systems directly reduce the energy consumed and the demand from </w:t>
      </w:r>
      <w:r>
        <w:rPr>
          <w:b w:val="0"/>
        </w:rPr>
        <w:t xml:space="preserve">the residential, commercial and industrial classes. </w:t>
      </w:r>
      <w:r w:rsidR="0016091B">
        <w:rPr>
          <w:b w:val="0"/>
        </w:rPr>
        <w:t>A</w:t>
      </w:r>
      <w:r>
        <w:rPr>
          <w:b w:val="0"/>
        </w:rPr>
        <w:t xml:space="preserve">n external adjustment is made </w:t>
      </w:r>
      <w:r w:rsidR="00B710C8">
        <w:rPr>
          <w:b w:val="0"/>
        </w:rPr>
        <w:t xml:space="preserve">to the </w:t>
      </w:r>
      <w:r w:rsidR="0016091B">
        <w:rPr>
          <w:b w:val="0"/>
        </w:rPr>
        <w:t xml:space="preserve">energy </w:t>
      </w:r>
      <w:r w:rsidR="00B710C8">
        <w:rPr>
          <w:b w:val="0"/>
        </w:rPr>
        <w:t xml:space="preserve">forecast to account for </w:t>
      </w:r>
      <w:r>
        <w:rPr>
          <w:b w:val="0"/>
        </w:rPr>
        <w:t>the impact of BTM solar</w:t>
      </w:r>
      <w:r w:rsidR="00B710C8">
        <w:rPr>
          <w:b w:val="0"/>
        </w:rPr>
        <w:t xml:space="preserve">. BTM solar </w:t>
      </w:r>
      <w:r w:rsidR="00D5754A">
        <w:rPr>
          <w:b w:val="0"/>
        </w:rPr>
        <w:t xml:space="preserve">directly </w:t>
      </w:r>
      <w:r w:rsidR="00B710C8">
        <w:rPr>
          <w:b w:val="0"/>
        </w:rPr>
        <w:t xml:space="preserve">reduces the amount of energy that would be </w:t>
      </w:r>
      <w:r w:rsidR="00D5754A">
        <w:rPr>
          <w:b w:val="0"/>
        </w:rPr>
        <w:t xml:space="preserve">purchased from </w:t>
      </w:r>
      <w:r w:rsidR="00B710C8">
        <w:rPr>
          <w:b w:val="0"/>
        </w:rPr>
        <w:t xml:space="preserve">the </w:t>
      </w:r>
      <w:r w:rsidR="00D5754A">
        <w:rPr>
          <w:b w:val="0"/>
        </w:rPr>
        <w:t>grid</w:t>
      </w:r>
      <w:r w:rsidR="00B710C8">
        <w:rPr>
          <w:b w:val="0"/>
        </w:rPr>
        <w:t xml:space="preserve">. </w:t>
      </w:r>
      <w:r>
        <w:rPr>
          <w:b w:val="0"/>
        </w:rPr>
        <w:t xml:space="preserve">    </w:t>
      </w:r>
    </w:p>
    <w:p w14:paraId="54ADBF4D" w14:textId="2890CC95" w:rsidR="001C3D38" w:rsidRDefault="001C3D38" w:rsidP="00714556">
      <w:pPr>
        <w:pStyle w:val="BodyText"/>
        <w:spacing w:line="360" w:lineRule="auto"/>
        <w:jc w:val="both"/>
        <w:rPr>
          <w:b w:val="0"/>
        </w:rPr>
      </w:pPr>
    </w:p>
    <w:p w14:paraId="56054146" w14:textId="291997C2" w:rsidR="001C3D38" w:rsidRDefault="001C3D38" w:rsidP="00714556">
      <w:pPr>
        <w:pStyle w:val="BodyText"/>
        <w:spacing w:line="360" w:lineRule="auto"/>
        <w:jc w:val="both"/>
        <w:rPr>
          <w:b w:val="0"/>
        </w:rPr>
      </w:pPr>
      <w:r>
        <w:rPr>
          <w:b w:val="0"/>
        </w:rPr>
        <w:t xml:space="preserve">BTM solar is incorporated into the Budget 2019 peak demand forecast using load shapes for </w:t>
      </w:r>
      <w:r w:rsidR="00E0258A">
        <w:rPr>
          <w:b w:val="0"/>
        </w:rPr>
        <w:t xml:space="preserve">the </w:t>
      </w:r>
      <w:r>
        <w:rPr>
          <w:b w:val="0"/>
        </w:rPr>
        <w:t xml:space="preserve">residential, commercial and industrial </w:t>
      </w:r>
      <w:r w:rsidR="00E0258A">
        <w:rPr>
          <w:b w:val="0"/>
        </w:rPr>
        <w:t>classe</w:t>
      </w:r>
      <w:r>
        <w:rPr>
          <w:b w:val="0"/>
        </w:rPr>
        <w:t xml:space="preserve">s. </w:t>
      </w:r>
    </w:p>
    <w:p w14:paraId="0BB75FA7" w14:textId="77777777" w:rsidR="00360ECC" w:rsidRDefault="00360ECC" w:rsidP="00714556">
      <w:pPr>
        <w:pStyle w:val="BodyText"/>
        <w:spacing w:line="360" w:lineRule="auto"/>
        <w:jc w:val="both"/>
        <w:rPr>
          <w:b w:val="0"/>
        </w:rPr>
      </w:pPr>
    </w:p>
    <w:p w14:paraId="73AA816B" w14:textId="77777777" w:rsidR="00320A2A" w:rsidRDefault="00320A2A">
      <w:pPr>
        <w:spacing w:after="200" w:line="276" w:lineRule="auto"/>
        <w:jc w:val="left"/>
        <w:rPr>
          <w:rFonts w:eastAsiaTheme="majorEastAsia"/>
          <w:bCs/>
          <w:sz w:val="28"/>
          <w:szCs w:val="28"/>
        </w:rPr>
      </w:pPr>
      <w:bookmarkStart w:id="314" w:name="_Toc347120468"/>
      <w:bookmarkStart w:id="315" w:name="_Toc535495672"/>
      <w:r>
        <w:rPr>
          <w:b w:val="0"/>
        </w:rPr>
        <w:br w:type="page"/>
      </w:r>
    </w:p>
    <w:p w14:paraId="7E6FD472" w14:textId="5E6F6CB7" w:rsidR="0025745A" w:rsidRPr="00AB4E62" w:rsidRDefault="0025745A" w:rsidP="0025745A">
      <w:pPr>
        <w:pStyle w:val="Heading1"/>
        <w:jc w:val="left"/>
        <w:rPr>
          <w:rFonts w:ascii="Arial" w:hAnsi="Arial" w:cs="Arial"/>
          <w:b/>
          <w:color w:val="auto"/>
        </w:rPr>
      </w:pPr>
      <w:r w:rsidRPr="00AB4E62">
        <w:rPr>
          <w:rFonts w:ascii="Arial" w:hAnsi="Arial" w:cs="Arial"/>
          <w:b/>
          <w:color w:val="auto"/>
        </w:rPr>
        <w:t>8.5</w:t>
      </w:r>
      <w:r w:rsidRPr="00AB4E62">
        <w:rPr>
          <w:rFonts w:ascii="Arial" w:hAnsi="Arial" w:cs="Arial"/>
          <w:b/>
          <w:color w:val="auto"/>
        </w:rPr>
        <w:tab/>
        <w:t>IMPACTS OF APPLIANCE EFFICIENCY STANDARDS</w:t>
      </w:r>
      <w:bookmarkEnd w:id="314"/>
      <w:bookmarkEnd w:id="315"/>
    </w:p>
    <w:p w14:paraId="23361679" w14:textId="77777777" w:rsidR="00AB4E62" w:rsidRDefault="00AB4E62" w:rsidP="00AB4E62">
      <w:pPr>
        <w:pStyle w:val="BodyText"/>
        <w:spacing w:line="360" w:lineRule="auto"/>
        <w:jc w:val="left"/>
        <w:rPr>
          <w:b w:val="0"/>
        </w:rPr>
      </w:pPr>
    </w:p>
    <w:p w14:paraId="35E57700" w14:textId="77777777" w:rsidR="00AC13AD" w:rsidRPr="00AB4E62" w:rsidRDefault="00AC13AD" w:rsidP="00AC13AD">
      <w:pPr>
        <w:pStyle w:val="BodyText"/>
        <w:spacing w:line="360" w:lineRule="auto"/>
        <w:jc w:val="both"/>
        <w:rPr>
          <w:b w:val="0"/>
        </w:rPr>
      </w:pPr>
      <w:r w:rsidRPr="00C46FDE">
        <w:rPr>
          <w:b w:val="0"/>
        </w:rPr>
        <w:t>The efficiency of technologies and devices selected by decision-makers and consumers has a substantial impact on the energy requirements of the forecast. Market forces and conditions, economic valuation, and convenience have considerable impact on the choice of technologies. Various state and federal regulatory bodies and legislation, however, have also made provisions to ensure increases in technology efficiency. Notable instruments that serve to ensure the efficient use of electricity and thermal building integrity include the Georgia State Energy Code for Buildings, the National Energy Policy Act of 1992 (“NEPA”, also known as “EPACT”), the Energy Policy Act of 2005, the National Appliance Energy Conservation Act of 1987 (“NAECA”) and the Energy Independence and Security Act of 2007 (“EISA”).  In addition to these, new review and rule-making proceedings are routinely conducted at the state and federal levels.</w:t>
      </w:r>
    </w:p>
    <w:p w14:paraId="3F131C1C" w14:textId="77777777" w:rsidR="00AC13AD" w:rsidRPr="00AB4E62" w:rsidRDefault="00AC13AD" w:rsidP="00AC13AD">
      <w:pPr>
        <w:pStyle w:val="BodyText"/>
        <w:spacing w:line="360" w:lineRule="auto"/>
        <w:jc w:val="both"/>
        <w:rPr>
          <w:b w:val="0"/>
        </w:rPr>
      </w:pPr>
    </w:p>
    <w:p w14:paraId="333A6D10" w14:textId="22E21953" w:rsidR="009B50A7" w:rsidRDefault="00AC13AD" w:rsidP="00DC06CE">
      <w:pPr>
        <w:pStyle w:val="BodyText"/>
        <w:spacing w:line="360" w:lineRule="auto"/>
        <w:jc w:val="both"/>
        <w:rPr>
          <w:b w:val="0"/>
        </w:rPr>
      </w:pPr>
      <w:r w:rsidRPr="00DC06CE">
        <w:rPr>
          <w:b w:val="0"/>
        </w:rPr>
        <w:t xml:space="preserve">These Acts contain a wide variety of provisions that will affect the demand of electricity, specifically that of HVAC and lighting technologies. In 2006, the minimum </w:t>
      </w:r>
      <w:r>
        <w:rPr>
          <w:b w:val="0"/>
        </w:rPr>
        <w:t>air conditioning</w:t>
      </w:r>
      <w:r w:rsidRPr="00DC06CE">
        <w:rPr>
          <w:b w:val="0"/>
        </w:rPr>
        <w:t xml:space="preserve"> efficiency standard was </w:t>
      </w:r>
      <w:r>
        <w:rPr>
          <w:b w:val="0"/>
        </w:rPr>
        <w:t xml:space="preserve">changed </w:t>
      </w:r>
      <w:r w:rsidRPr="00DC06CE">
        <w:rPr>
          <w:b w:val="0"/>
        </w:rPr>
        <w:t xml:space="preserve">from SEER 10 to SEER 13. From 2012 to 2014, EISA established new lighting standards requiring new bulbs to be at least 25% more efficient than traditional incandescent bulbs. The types of bulbs fitting these standards </w:t>
      </w:r>
      <w:r>
        <w:rPr>
          <w:b w:val="0"/>
        </w:rPr>
        <w:t xml:space="preserve">include: halogen incandescents, compact fluorescents </w:t>
      </w:r>
      <w:r w:rsidRPr="00DC06CE">
        <w:rPr>
          <w:b w:val="0"/>
        </w:rPr>
        <w:t>and LEDs. In 2012, the National Cable and Telecommunications Association (</w:t>
      </w:r>
      <w:r>
        <w:rPr>
          <w:b w:val="0"/>
        </w:rPr>
        <w:t>“</w:t>
      </w:r>
      <w:r w:rsidRPr="00DC06CE">
        <w:rPr>
          <w:b w:val="0"/>
        </w:rPr>
        <w:t>NCTA</w:t>
      </w:r>
      <w:r>
        <w:rPr>
          <w:b w:val="0"/>
        </w:rPr>
        <w:t>”</w:t>
      </w:r>
      <w:r w:rsidRPr="00DC06CE">
        <w:rPr>
          <w:b w:val="0"/>
        </w:rPr>
        <w:t xml:space="preserve">) signed the Voluntary Agreement for Ongoing Improvement to the Energy Efficiency of Set-Top Boxes, which agreed to start selling Energy Star Version 3.0 compliant set-top boxes. From 2013 to 2015, the Association of Home </w:t>
      </w:r>
      <w:r>
        <w:rPr>
          <w:b w:val="0"/>
        </w:rPr>
        <w:t>A</w:t>
      </w:r>
      <w:r w:rsidRPr="00DC06CE">
        <w:rPr>
          <w:b w:val="0"/>
        </w:rPr>
        <w:t>ppliance Manufacturers (</w:t>
      </w:r>
      <w:r>
        <w:rPr>
          <w:b w:val="0"/>
        </w:rPr>
        <w:t>“</w:t>
      </w:r>
      <w:r w:rsidRPr="00DC06CE">
        <w:rPr>
          <w:b w:val="0"/>
        </w:rPr>
        <w:t>AHAM</w:t>
      </w:r>
      <w:r>
        <w:rPr>
          <w:b w:val="0"/>
        </w:rPr>
        <w:t>”</w:t>
      </w:r>
      <w:r w:rsidRPr="00DC06CE">
        <w:rPr>
          <w:b w:val="0"/>
        </w:rPr>
        <w:t>) implemented new efficiency standards for various home appliances. In 2014, electric water heater efficiency improve</w:t>
      </w:r>
      <w:r>
        <w:rPr>
          <w:b w:val="0"/>
        </w:rPr>
        <w:t>d</w:t>
      </w:r>
      <w:r w:rsidRPr="00DC06CE">
        <w:rPr>
          <w:b w:val="0"/>
        </w:rPr>
        <w:t xml:space="preserve"> from 90% to 95%. In 2015, the minimum SEER standard for the southern </w:t>
      </w:r>
      <w:r>
        <w:rPr>
          <w:b w:val="0"/>
        </w:rPr>
        <w:t>U.S.</w:t>
      </w:r>
      <w:r w:rsidRPr="00DC06CE">
        <w:rPr>
          <w:b w:val="0"/>
        </w:rPr>
        <w:t xml:space="preserve"> improve</w:t>
      </w:r>
      <w:r>
        <w:rPr>
          <w:b w:val="0"/>
        </w:rPr>
        <w:t>d</w:t>
      </w:r>
      <w:r w:rsidRPr="00DC06CE">
        <w:rPr>
          <w:b w:val="0"/>
        </w:rPr>
        <w:t xml:space="preserve"> from SEER 13 to SEER 14.</w:t>
      </w:r>
      <w:r>
        <w:rPr>
          <w:b w:val="0"/>
        </w:rPr>
        <w:t xml:space="preserve"> In 2016, the DOE finalized new standards for commercial rooftop air conditioning units, which is a two-step process going into effect in 2018 and 2023 raising the integrated energy efficiency ratio to higher levels based upon the size of the unit. Also, in 2017, the DOE approved new standards for Walk-In Coolers and Freezers that will take effect in 2020.</w:t>
      </w:r>
    </w:p>
    <w:p w14:paraId="6376C565" w14:textId="77777777" w:rsidR="00E63770" w:rsidRDefault="00E63770" w:rsidP="00CD6E17">
      <w:pPr>
        <w:pStyle w:val="Heading1"/>
        <w:jc w:val="left"/>
        <w:rPr>
          <w:rFonts w:ascii="Arial" w:hAnsi="Arial" w:cs="Arial"/>
          <w:b/>
          <w:color w:val="auto"/>
        </w:rPr>
        <w:sectPr w:rsidR="00E63770">
          <w:headerReference w:type="default" r:id="rId99"/>
          <w:footerReference w:type="default" r:id="rId100"/>
          <w:pgSz w:w="12240" w:h="15840"/>
          <w:pgMar w:top="1440" w:right="1800" w:bottom="1440" w:left="1260" w:header="720" w:footer="720" w:gutter="0"/>
          <w:cols w:space="720"/>
        </w:sectPr>
      </w:pPr>
    </w:p>
    <w:p w14:paraId="5E7F9193" w14:textId="2B90762C" w:rsidR="00CD6E17" w:rsidRDefault="00CD6E17" w:rsidP="00CD6E17">
      <w:pPr>
        <w:pStyle w:val="Heading1"/>
        <w:jc w:val="left"/>
        <w:rPr>
          <w:rFonts w:ascii="Arial" w:hAnsi="Arial" w:cs="Arial"/>
          <w:b/>
          <w:color w:val="auto"/>
        </w:rPr>
      </w:pPr>
      <w:bookmarkStart w:id="316" w:name="_Toc535495673"/>
      <w:r w:rsidRPr="00AB4E62">
        <w:rPr>
          <w:rFonts w:ascii="Arial" w:hAnsi="Arial" w:cs="Arial"/>
          <w:b/>
          <w:color w:val="auto"/>
        </w:rPr>
        <w:t>8.</w:t>
      </w:r>
      <w:r w:rsidR="00CA3008">
        <w:rPr>
          <w:rFonts w:ascii="Arial" w:hAnsi="Arial" w:cs="Arial"/>
          <w:b/>
          <w:color w:val="auto"/>
        </w:rPr>
        <w:t>6</w:t>
      </w:r>
      <w:r w:rsidRPr="00AB4E62">
        <w:rPr>
          <w:rFonts w:ascii="Arial" w:hAnsi="Arial" w:cs="Arial"/>
          <w:b/>
          <w:color w:val="auto"/>
        </w:rPr>
        <w:tab/>
      </w:r>
      <w:r>
        <w:rPr>
          <w:rFonts w:ascii="Arial" w:hAnsi="Arial" w:cs="Arial"/>
          <w:b/>
          <w:color w:val="auto"/>
        </w:rPr>
        <w:t xml:space="preserve">Budget </w:t>
      </w:r>
      <w:r w:rsidR="00C8516C">
        <w:rPr>
          <w:rFonts w:ascii="Arial" w:hAnsi="Arial" w:cs="Arial"/>
          <w:b/>
          <w:color w:val="auto"/>
        </w:rPr>
        <w:t xml:space="preserve">2019 </w:t>
      </w:r>
      <w:r w:rsidR="0043223A">
        <w:rPr>
          <w:rFonts w:ascii="Arial" w:hAnsi="Arial" w:cs="Arial"/>
          <w:b/>
          <w:color w:val="auto"/>
        </w:rPr>
        <w:t xml:space="preserve">Energy Prices and Forecast </w:t>
      </w:r>
      <w:r>
        <w:rPr>
          <w:rFonts w:ascii="Arial" w:hAnsi="Arial" w:cs="Arial"/>
          <w:b/>
          <w:color w:val="auto"/>
        </w:rPr>
        <w:t>Adjustments</w:t>
      </w:r>
      <w:bookmarkEnd w:id="316"/>
    </w:p>
    <w:p w14:paraId="5F00A518" w14:textId="77777777" w:rsidR="00CD6E17" w:rsidRDefault="00CD6E17" w:rsidP="00CD6E17"/>
    <w:p w14:paraId="36CA6AC0" w14:textId="77777777" w:rsidR="00CD6E17" w:rsidRDefault="00CD6E17" w:rsidP="00CD6E17">
      <w:pPr>
        <w:jc w:val="left"/>
        <w:rPr>
          <w:b w:val="0"/>
        </w:rPr>
      </w:pPr>
      <w:r>
        <w:t xml:space="preserve">Attachment 8.6-1: </w:t>
      </w:r>
      <w:r w:rsidR="0043223A">
        <w:t xml:space="preserve">Class </w:t>
      </w:r>
      <w:r>
        <w:t xml:space="preserve">Retail </w:t>
      </w:r>
      <w:r w:rsidR="0043223A">
        <w:t>Energy</w:t>
      </w:r>
      <w:r>
        <w:t xml:space="preserve"> Prices</w:t>
      </w:r>
    </w:p>
    <w:p w14:paraId="0E6E2A36" w14:textId="77777777" w:rsidR="00CD6E17" w:rsidRDefault="00CD6E17" w:rsidP="00CD6E17">
      <w:pPr>
        <w:jc w:val="left"/>
        <w:rPr>
          <w:b w:val="0"/>
        </w:rPr>
      </w:pPr>
    </w:p>
    <w:p w14:paraId="335600A8" w14:textId="1AE86118" w:rsidR="00CD6E17" w:rsidRDefault="00F7466C" w:rsidP="00E63770">
      <w:pPr>
        <w:rPr>
          <w:b w:val="0"/>
        </w:rPr>
      </w:pPr>
      <w:r w:rsidRPr="00F7466C">
        <w:rPr>
          <w:b w:val="0"/>
          <w:noProof/>
        </w:rPr>
        <w:drawing>
          <wp:inline distT="0" distB="0" distL="0" distR="0" wp14:anchorId="6F19E22E" wp14:editId="13A0CD15">
            <wp:extent cx="6296025" cy="3743325"/>
            <wp:effectExtent l="0" t="0" r="9525" b="9525"/>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6296025" cy="3743325"/>
                    </a:xfrm>
                    <a:prstGeom prst="rect">
                      <a:avLst/>
                    </a:prstGeom>
                    <a:noFill/>
                    <a:ln>
                      <a:noFill/>
                    </a:ln>
                  </pic:spPr>
                </pic:pic>
              </a:graphicData>
            </a:graphic>
          </wp:inline>
        </w:drawing>
      </w:r>
    </w:p>
    <w:p w14:paraId="0563F8DD" w14:textId="77777777" w:rsidR="00CD6E17" w:rsidRDefault="00CD6E17" w:rsidP="00CD6E17">
      <w:pPr>
        <w:jc w:val="left"/>
        <w:rPr>
          <w:b w:val="0"/>
        </w:rPr>
      </w:pPr>
    </w:p>
    <w:p w14:paraId="674EE2DE" w14:textId="77777777" w:rsidR="00CD6E17" w:rsidRDefault="00CD6E17" w:rsidP="00CD6E17">
      <w:pPr>
        <w:jc w:val="left"/>
        <w:rPr>
          <w:b w:val="0"/>
        </w:rPr>
      </w:pPr>
    </w:p>
    <w:p w14:paraId="58623B69" w14:textId="77777777" w:rsidR="00E63770" w:rsidRDefault="00E63770">
      <w:pPr>
        <w:spacing w:after="200" w:line="276" w:lineRule="auto"/>
        <w:jc w:val="left"/>
      </w:pPr>
      <w:r>
        <w:br w:type="page"/>
      </w:r>
    </w:p>
    <w:p w14:paraId="4B8E000A" w14:textId="77777777" w:rsidR="00CD6E17" w:rsidRDefault="00CD6E17" w:rsidP="00CD6E17">
      <w:pPr>
        <w:jc w:val="left"/>
        <w:rPr>
          <w:b w:val="0"/>
        </w:rPr>
      </w:pPr>
      <w:r>
        <w:t>Attachment 8.6-2: Cogeneration Energy Adjustments – Energy / Meter (MWh)</w:t>
      </w:r>
    </w:p>
    <w:p w14:paraId="21A451C2" w14:textId="77777777" w:rsidR="00E63770" w:rsidRDefault="00E63770">
      <w:pPr>
        <w:spacing w:after="200" w:line="276" w:lineRule="auto"/>
        <w:jc w:val="left"/>
      </w:pPr>
    </w:p>
    <w:p w14:paraId="37E135F3" w14:textId="77777777" w:rsidR="00E63770" w:rsidRDefault="00E63770" w:rsidP="00AF744A">
      <w:r>
        <w:t>Energy Requirements at the Meter by Month</w:t>
      </w:r>
    </w:p>
    <w:p w14:paraId="5151D350" w14:textId="51B6FBD2" w:rsidR="00467C8E" w:rsidRDefault="00E63770" w:rsidP="00AF744A">
      <w:r>
        <w:t xml:space="preserve">Budget </w:t>
      </w:r>
      <w:r w:rsidR="00467C8E">
        <w:t>2019</w:t>
      </w:r>
    </w:p>
    <w:p w14:paraId="73E79AFA" w14:textId="1731540C" w:rsidR="00467C8E" w:rsidRDefault="00467C8E" w:rsidP="00AF744A"/>
    <w:p w14:paraId="5A720123" w14:textId="03949F98" w:rsidR="00467C8E" w:rsidRDefault="00F7466C" w:rsidP="00AF744A">
      <w:r w:rsidRPr="00F7466C">
        <w:rPr>
          <w:noProof/>
        </w:rPr>
        <w:drawing>
          <wp:inline distT="0" distB="0" distL="0" distR="0" wp14:anchorId="288BB618" wp14:editId="74D68D87">
            <wp:extent cx="8229600" cy="3637722"/>
            <wp:effectExtent l="0" t="0" r="0" b="127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8229600" cy="3637722"/>
                    </a:xfrm>
                    <a:prstGeom prst="rect">
                      <a:avLst/>
                    </a:prstGeom>
                    <a:noFill/>
                    <a:ln>
                      <a:noFill/>
                    </a:ln>
                  </pic:spPr>
                </pic:pic>
              </a:graphicData>
            </a:graphic>
          </wp:inline>
        </w:drawing>
      </w:r>
    </w:p>
    <w:p w14:paraId="506A627A" w14:textId="723EFBD3" w:rsidR="006F1011" w:rsidRDefault="006F1011">
      <w:pPr>
        <w:spacing w:after="200" w:line="276" w:lineRule="auto"/>
        <w:jc w:val="left"/>
      </w:pPr>
      <w:r>
        <w:br w:type="page"/>
      </w:r>
    </w:p>
    <w:p w14:paraId="754FCC47" w14:textId="77777777" w:rsidR="00E63770" w:rsidRDefault="00E63770" w:rsidP="006F1011">
      <w:pPr>
        <w:jc w:val="both"/>
      </w:pPr>
    </w:p>
    <w:p w14:paraId="1C50BAAA" w14:textId="77777777" w:rsidR="00CD6E17" w:rsidRDefault="00CD6E17" w:rsidP="00CD6E17">
      <w:pPr>
        <w:jc w:val="left"/>
        <w:rPr>
          <w:b w:val="0"/>
        </w:rPr>
      </w:pPr>
      <w:r>
        <w:t>Attachment 8.6-3: Cogeneration Energy Adjustments – Energy / Generator (MWh)</w:t>
      </w:r>
    </w:p>
    <w:p w14:paraId="6015C527" w14:textId="77777777" w:rsidR="00AF744A" w:rsidRDefault="00AF744A" w:rsidP="00AF744A">
      <w:pPr>
        <w:spacing w:after="120"/>
      </w:pPr>
    </w:p>
    <w:p w14:paraId="3E394841" w14:textId="77777777" w:rsidR="00AF744A" w:rsidRDefault="00AF744A" w:rsidP="00AF744A">
      <w:r>
        <w:t>Energy Supply at the Generator by Month</w:t>
      </w:r>
    </w:p>
    <w:p w14:paraId="3695AC59" w14:textId="2FCB8D89" w:rsidR="00AF744A" w:rsidRDefault="00AF744A" w:rsidP="00AF744A">
      <w:pPr>
        <w:spacing w:line="276" w:lineRule="auto"/>
      </w:pPr>
      <w:r>
        <w:t xml:space="preserve">Budget </w:t>
      </w:r>
      <w:r w:rsidR="00467C8E">
        <w:t>2019</w:t>
      </w:r>
    </w:p>
    <w:p w14:paraId="2F017E83" w14:textId="77777777" w:rsidR="00467C8E" w:rsidRDefault="00467C8E" w:rsidP="00AF744A">
      <w:pPr>
        <w:spacing w:line="276" w:lineRule="auto"/>
      </w:pPr>
    </w:p>
    <w:p w14:paraId="270197CB" w14:textId="384940BB" w:rsidR="00AF744A" w:rsidRDefault="00F7466C" w:rsidP="00AF744A">
      <w:pPr>
        <w:spacing w:line="276" w:lineRule="auto"/>
      </w:pPr>
      <w:r w:rsidRPr="00F7466C">
        <w:rPr>
          <w:noProof/>
        </w:rPr>
        <w:drawing>
          <wp:inline distT="0" distB="0" distL="0" distR="0" wp14:anchorId="1733F406" wp14:editId="1FE8E5B7">
            <wp:extent cx="8229600" cy="3637722"/>
            <wp:effectExtent l="0" t="0" r="0" b="127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8229600" cy="3637722"/>
                    </a:xfrm>
                    <a:prstGeom prst="rect">
                      <a:avLst/>
                    </a:prstGeom>
                    <a:noFill/>
                    <a:ln>
                      <a:noFill/>
                    </a:ln>
                  </pic:spPr>
                </pic:pic>
              </a:graphicData>
            </a:graphic>
          </wp:inline>
        </w:drawing>
      </w:r>
    </w:p>
    <w:p w14:paraId="032908D6" w14:textId="6BC9A49B" w:rsidR="00E63770" w:rsidRDefault="00E63770" w:rsidP="00AF744A">
      <w:pPr>
        <w:spacing w:after="200" w:line="276" w:lineRule="auto"/>
      </w:pPr>
      <w:r>
        <w:br w:type="page"/>
      </w:r>
    </w:p>
    <w:p w14:paraId="5844B529" w14:textId="77777777" w:rsidR="00CD6E17" w:rsidRDefault="00CD6E17" w:rsidP="00CD6E17">
      <w:pPr>
        <w:jc w:val="left"/>
      </w:pPr>
      <w:r>
        <w:t>Attachment 8.6-4: Cogeneration Peak Demand Adjust</w:t>
      </w:r>
      <w:r w:rsidR="00ED7940">
        <w:t>ments</w:t>
      </w:r>
      <w:r>
        <w:t>. – Territorial / Meter (MW)</w:t>
      </w:r>
    </w:p>
    <w:p w14:paraId="5EE6C14F" w14:textId="77777777" w:rsidR="00AF744A" w:rsidRDefault="00AF744A">
      <w:pPr>
        <w:spacing w:after="200" w:line="276" w:lineRule="auto"/>
        <w:jc w:val="left"/>
      </w:pPr>
    </w:p>
    <w:p w14:paraId="5592D541" w14:textId="77777777" w:rsidR="00BD67A6" w:rsidRDefault="00BD67A6" w:rsidP="00BD67A6">
      <w:r>
        <w:t>Georgia Territorial Peak Demand at the Meter by Month</w:t>
      </w:r>
    </w:p>
    <w:p w14:paraId="7D0C0B7B" w14:textId="31BCD0AF" w:rsidR="00BD67A6" w:rsidRDefault="00BD67A6" w:rsidP="00BD67A6">
      <w:pPr>
        <w:spacing w:line="276" w:lineRule="auto"/>
      </w:pPr>
      <w:r>
        <w:t xml:space="preserve">Budget </w:t>
      </w:r>
      <w:r w:rsidR="00467C8E">
        <w:t>2019</w:t>
      </w:r>
    </w:p>
    <w:p w14:paraId="52216AF7" w14:textId="339EA583" w:rsidR="009905F9" w:rsidRDefault="009905F9" w:rsidP="00BD67A6">
      <w:pPr>
        <w:spacing w:line="276" w:lineRule="auto"/>
      </w:pPr>
    </w:p>
    <w:p w14:paraId="6840678E" w14:textId="2C39A024" w:rsidR="00467C8E" w:rsidRDefault="00F7466C" w:rsidP="00BD67A6">
      <w:pPr>
        <w:spacing w:line="276" w:lineRule="auto"/>
      </w:pPr>
      <w:r w:rsidRPr="00F7466C">
        <w:rPr>
          <w:noProof/>
        </w:rPr>
        <w:drawing>
          <wp:inline distT="0" distB="0" distL="0" distR="0" wp14:anchorId="5400BCA6" wp14:editId="2B1DDC5E">
            <wp:extent cx="8229600" cy="3637722"/>
            <wp:effectExtent l="0" t="0" r="0" b="127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8229600" cy="3637722"/>
                    </a:xfrm>
                    <a:prstGeom prst="rect">
                      <a:avLst/>
                    </a:prstGeom>
                    <a:noFill/>
                    <a:ln>
                      <a:noFill/>
                    </a:ln>
                  </pic:spPr>
                </pic:pic>
              </a:graphicData>
            </a:graphic>
          </wp:inline>
        </w:drawing>
      </w:r>
    </w:p>
    <w:p w14:paraId="6711542E" w14:textId="719EA006" w:rsidR="00BD67A6" w:rsidRDefault="00BD67A6" w:rsidP="00BD67A6">
      <w:pPr>
        <w:spacing w:line="276" w:lineRule="auto"/>
      </w:pPr>
    </w:p>
    <w:p w14:paraId="1ED7495F" w14:textId="77777777" w:rsidR="00E63770" w:rsidRDefault="00E63770">
      <w:pPr>
        <w:spacing w:after="200" w:line="276" w:lineRule="auto"/>
        <w:jc w:val="left"/>
      </w:pPr>
      <w:r>
        <w:br w:type="page"/>
      </w:r>
    </w:p>
    <w:p w14:paraId="44268120" w14:textId="77777777" w:rsidR="00CD6E17" w:rsidRDefault="00CD6E17" w:rsidP="00CD6E17">
      <w:pPr>
        <w:jc w:val="left"/>
        <w:rPr>
          <w:b w:val="0"/>
        </w:rPr>
      </w:pPr>
      <w:r>
        <w:t>Attachment 8.6-</w:t>
      </w:r>
      <w:r w:rsidR="00BD67A6">
        <w:t>5</w:t>
      </w:r>
      <w:r>
        <w:t>: Cogeneration Peak Demand Adjust</w:t>
      </w:r>
      <w:r w:rsidR="00ED7940">
        <w:t>ments</w:t>
      </w:r>
      <w:r>
        <w:t xml:space="preserve"> – Territorial / Generator (MW)</w:t>
      </w:r>
    </w:p>
    <w:p w14:paraId="14348AA2" w14:textId="77777777" w:rsidR="00CD6E17" w:rsidRDefault="00CD6E17" w:rsidP="00CD6E17">
      <w:pPr>
        <w:jc w:val="left"/>
        <w:rPr>
          <w:b w:val="0"/>
        </w:rPr>
      </w:pPr>
    </w:p>
    <w:p w14:paraId="3EB732CE" w14:textId="77777777" w:rsidR="00BD67A6" w:rsidRDefault="00BD67A6" w:rsidP="00BD67A6">
      <w:r>
        <w:t>Georgia Territorial Peak Demand at the Generator by Month</w:t>
      </w:r>
    </w:p>
    <w:p w14:paraId="1524ED65" w14:textId="6D6E081A" w:rsidR="00E63770" w:rsidRDefault="00BD67A6" w:rsidP="00BD67A6">
      <w:r>
        <w:t xml:space="preserve">Budget </w:t>
      </w:r>
      <w:bookmarkStart w:id="317" w:name="_Toc347120475"/>
      <w:r w:rsidR="00467C8E">
        <w:t>2019</w:t>
      </w:r>
    </w:p>
    <w:p w14:paraId="44B3E607" w14:textId="77777777" w:rsidR="00BD67A6" w:rsidRDefault="00BD67A6" w:rsidP="00BD67A6">
      <w:pPr>
        <w:rPr>
          <w:b w:val="0"/>
        </w:rPr>
      </w:pPr>
    </w:p>
    <w:p w14:paraId="11652D20" w14:textId="3B4B2AE6" w:rsidR="00467C8E" w:rsidRDefault="00DC14FF" w:rsidP="00BD67A6">
      <w:pPr>
        <w:rPr>
          <w:noProof/>
        </w:rPr>
      </w:pPr>
      <w:r w:rsidRPr="00DC14FF">
        <w:rPr>
          <w:noProof/>
        </w:rPr>
        <w:drawing>
          <wp:inline distT="0" distB="0" distL="0" distR="0" wp14:anchorId="6D581B2E" wp14:editId="4257CFE9">
            <wp:extent cx="8229600" cy="3637722"/>
            <wp:effectExtent l="0" t="0" r="0" b="127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8229600" cy="3637722"/>
                    </a:xfrm>
                    <a:prstGeom prst="rect">
                      <a:avLst/>
                    </a:prstGeom>
                    <a:noFill/>
                    <a:ln>
                      <a:noFill/>
                    </a:ln>
                  </pic:spPr>
                </pic:pic>
              </a:graphicData>
            </a:graphic>
          </wp:inline>
        </w:drawing>
      </w:r>
    </w:p>
    <w:p w14:paraId="448C6612" w14:textId="372B943B" w:rsidR="00BD67A6" w:rsidRPr="00BD67A6" w:rsidRDefault="00BD67A6" w:rsidP="00BD67A6">
      <w:pPr>
        <w:sectPr w:rsidR="00BD67A6" w:rsidRPr="00BD67A6" w:rsidSect="00E63770">
          <w:pgSz w:w="15840" w:h="12240" w:orient="landscape"/>
          <w:pgMar w:top="1267" w:right="1440" w:bottom="1800" w:left="1440" w:header="720" w:footer="720" w:gutter="0"/>
          <w:cols w:space="720"/>
        </w:sectPr>
      </w:pPr>
    </w:p>
    <w:p w14:paraId="59349DF9" w14:textId="77777777" w:rsidR="00CA3008" w:rsidRPr="00CA3008" w:rsidRDefault="00CA3008" w:rsidP="00CA3008">
      <w:pPr>
        <w:pStyle w:val="Heading1"/>
        <w:jc w:val="left"/>
        <w:rPr>
          <w:rFonts w:ascii="Arial" w:hAnsi="Arial" w:cs="Arial"/>
          <w:b/>
          <w:color w:val="auto"/>
        </w:rPr>
      </w:pPr>
      <w:bookmarkStart w:id="318" w:name="_Toc535495674"/>
      <w:r w:rsidRPr="00CA3008">
        <w:rPr>
          <w:rFonts w:ascii="Arial" w:hAnsi="Arial" w:cs="Arial"/>
          <w:b/>
          <w:color w:val="auto"/>
        </w:rPr>
        <w:t>8.7</w:t>
      </w:r>
      <w:r w:rsidRPr="00CA3008">
        <w:rPr>
          <w:rFonts w:ascii="Arial" w:hAnsi="Arial" w:cs="Arial"/>
          <w:b/>
          <w:color w:val="auto"/>
        </w:rPr>
        <w:tab/>
        <w:t>RESOURCE SIDE DEMAND SIDE OPTIONS</w:t>
      </w:r>
      <w:bookmarkEnd w:id="317"/>
      <w:bookmarkEnd w:id="318"/>
    </w:p>
    <w:p w14:paraId="529D46B4" w14:textId="77777777" w:rsidR="00CA3008" w:rsidRPr="003A3426" w:rsidRDefault="00CA3008" w:rsidP="00CA3008"/>
    <w:p w14:paraId="76AE3AC8" w14:textId="4F36A82A" w:rsidR="00CA3008" w:rsidRPr="00CA3008" w:rsidRDefault="00CA3008" w:rsidP="00714556">
      <w:pPr>
        <w:pStyle w:val="BodyText"/>
        <w:spacing w:line="360" w:lineRule="auto"/>
        <w:jc w:val="both"/>
        <w:rPr>
          <w:b w:val="0"/>
        </w:rPr>
      </w:pPr>
      <w:r w:rsidRPr="00CA3008">
        <w:rPr>
          <w:b w:val="0"/>
        </w:rPr>
        <w:t>Demand Side Options (“DSO”) that are used as capacity resources do not affect the Peak Demand forecast directly. DSOs that fall into this category include</w:t>
      </w:r>
      <w:r w:rsidR="00A0746D">
        <w:rPr>
          <w:b w:val="0"/>
        </w:rPr>
        <w:t xml:space="preserve"> the Power Credit</w:t>
      </w:r>
      <w:r w:rsidRPr="00CA3008">
        <w:rPr>
          <w:b w:val="0"/>
        </w:rPr>
        <w:t xml:space="preserve"> Direct Load Control (</w:t>
      </w:r>
      <w:r w:rsidR="00A0746D">
        <w:rPr>
          <w:b w:val="0"/>
        </w:rPr>
        <w:t>“</w:t>
      </w:r>
      <w:r w:rsidRPr="00CA3008">
        <w:rPr>
          <w:b w:val="0"/>
        </w:rPr>
        <w:t>DLC</w:t>
      </w:r>
      <w:r w:rsidR="00A0746D">
        <w:rPr>
          <w:b w:val="0"/>
        </w:rPr>
        <w:t>”</w:t>
      </w:r>
      <w:r w:rsidRPr="00CA3008">
        <w:rPr>
          <w:b w:val="0"/>
        </w:rPr>
        <w:t>)</w:t>
      </w:r>
      <w:r w:rsidR="00A0746D">
        <w:rPr>
          <w:b w:val="0"/>
        </w:rPr>
        <w:t xml:space="preserve"> program</w:t>
      </w:r>
      <w:r w:rsidRPr="00CA3008">
        <w:rPr>
          <w:b w:val="0"/>
        </w:rPr>
        <w:t>,</w:t>
      </w:r>
      <w:r w:rsidR="00A0746D">
        <w:rPr>
          <w:b w:val="0"/>
        </w:rPr>
        <w:t xml:space="preserve"> the</w:t>
      </w:r>
      <w:r w:rsidRPr="00CA3008">
        <w:rPr>
          <w:b w:val="0"/>
        </w:rPr>
        <w:t xml:space="preserve"> Demand Plus Energy Credit (</w:t>
      </w:r>
      <w:r w:rsidR="00A0746D">
        <w:rPr>
          <w:b w:val="0"/>
        </w:rPr>
        <w:t>“</w:t>
      </w:r>
      <w:r w:rsidRPr="00CA3008">
        <w:rPr>
          <w:b w:val="0"/>
        </w:rPr>
        <w:t>DPEC</w:t>
      </w:r>
      <w:r w:rsidR="00A0746D">
        <w:rPr>
          <w:b w:val="0"/>
        </w:rPr>
        <w:t>”) interruptible tariff</w:t>
      </w:r>
      <w:r w:rsidRPr="00CA3008">
        <w:rPr>
          <w:b w:val="0"/>
        </w:rPr>
        <w:t>,</w:t>
      </w:r>
      <w:r w:rsidR="001434CD">
        <w:rPr>
          <w:b w:val="0"/>
        </w:rPr>
        <w:t xml:space="preserve"> Conservation Voltage Reduction (“</w:t>
      </w:r>
      <w:r w:rsidRPr="00CA3008">
        <w:rPr>
          <w:b w:val="0"/>
        </w:rPr>
        <w:t>CVR</w:t>
      </w:r>
      <w:r w:rsidR="001434CD">
        <w:rPr>
          <w:b w:val="0"/>
        </w:rPr>
        <w:t>”)</w:t>
      </w:r>
      <w:r w:rsidRPr="00CA3008">
        <w:rPr>
          <w:b w:val="0"/>
        </w:rPr>
        <w:t xml:space="preserve">, and Extreme RTP Response.  </w:t>
      </w:r>
    </w:p>
    <w:p w14:paraId="712BC099" w14:textId="77777777" w:rsidR="00CA3008" w:rsidRPr="003A3426" w:rsidRDefault="00CA3008" w:rsidP="00CA3008">
      <w:pPr>
        <w:pStyle w:val="BodyText"/>
      </w:pPr>
    </w:p>
    <w:p w14:paraId="3688A851" w14:textId="77777777" w:rsidR="00CA3008" w:rsidRPr="003A3426" w:rsidRDefault="00CA3008" w:rsidP="00CA3008">
      <w:pPr>
        <w:pStyle w:val="Heading1"/>
        <w:sectPr w:rsidR="00CA3008" w:rsidRPr="003A3426">
          <w:pgSz w:w="12240" w:h="15840"/>
          <w:pgMar w:top="1440" w:right="1800" w:bottom="1440" w:left="1260" w:header="720" w:footer="720" w:gutter="0"/>
          <w:cols w:space="720"/>
        </w:sectPr>
      </w:pPr>
    </w:p>
    <w:p w14:paraId="33ADF348" w14:textId="77777777" w:rsidR="00CA3008" w:rsidRPr="00B36B1C" w:rsidRDefault="00CA3008" w:rsidP="00CA3008">
      <w:pPr>
        <w:pStyle w:val="Heading1"/>
        <w:jc w:val="left"/>
      </w:pPr>
      <w:bookmarkStart w:id="319" w:name="_Toc497031909"/>
      <w:bookmarkStart w:id="320" w:name="_Toc503665903"/>
      <w:bookmarkStart w:id="321" w:name="_Toc59359835"/>
      <w:bookmarkStart w:id="322" w:name="_Toc347120476"/>
      <w:bookmarkStart w:id="323" w:name="_Toc535495675"/>
      <w:r w:rsidRPr="00CA3008">
        <w:rPr>
          <w:rFonts w:ascii="Arial" w:hAnsi="Arial" w:cs="Arial"/>
          <w:b/>
          <w:color w:val="auto"/>
        </w:rPr>
        <w:t>9.0</w:t>
      </w:r>
      <w:r w:rsidRPr="00CA3008">
        <w:rPr>
          <w:rFonts w:ascii="Arial" w:hAnsi="Arial" w:cs="Arial"/>
          <w:b/>
          <w:color w:val="auto"/>
        </w:rPr>
        <w:tab/>
        <w:t>FINAL IRP REQUIREMENT OVERVIEW</w:t>
      </w:r>
      <w:bookmarkEnd w:id="319"/>
      <w:bookmarkEnd w:id="320"/>
      <w:bookmarkEnd w:id="321"/>
      <w:bookmarkEnd w:id="322"/>
      <w:bookmarkEnd w:id="323"/>
      <w:r w:rsidRPr="00B36B1C">
        <w:t xml:space="preserve"> </w:t>
      </w:r>
    </w:p>
    <w:p w14:paraId="335AF26A" w14:textId="77777777" w:rsidR="00CA3008" w:rsidRDefault="00CA3008" w:rsidP="00CA3008">
      <w:pPr>
        <w:pStyle w:val="BodyText"/>
      </w:pPr>
    </w:p>
    <w:p w14:paraId="43129D81" w14:textId="14D5AE64" w:rsidR="00CA3008" w:rsidRPr="00CA3008" w:rsidRDefault="00CA3008" w:rsidP="00714556">
      <w:pPr>
        <w:pStyle w:val="BodyText"/>
        <w:spacing w:line="360" w:lineRule="auto"/>
        <w:jc w:val="both"/>
        <w:rPr>
          <w:b w:val="0"/>
        </w:rPr>
      </w:pPr>
      <w:r w:rsidRPr="00CA3008">
        <w:rPr>
          <w:b w:val="0"/>
        </w:rPr>
        <w:t xml:space="preserve">This section is a supplement to the Budget </w:t>
      </w:r>
      <w:r w:rsidR="00DE6DFA" w:rsidRPr="00CA3008">
        <w:rPr>
          <w:b w:val="0"/>
        </w:rPr>
        <w:t>20</w:t>
      </w:r>
      <w:r w:rsidR="00DE6DFA">
        <w:rPr>
          <w:b w:val="0"/>
        </w:rPr>
        <w:t>19</w:t>
      </w:r>
      <w:r w:rsidR="00DE6DFA" w:rsidRPr="00CA3008">
        <w:rPr>
          <w:b w:val="0"/>
        </w:rPr>
        <w:t xml:space="preserve"> </w:t>
      </w:r>
      <w:r w:rsidRPr="00CA3008">
        <w:rPr>
          <w:b w:val="0"/>
        </w:rPr>
        <w:t>documentation book (the standard documentation</w:t>
      </w:r>
      <w:r w:rsidR="00383F00">
        <w:rPr>
          <w:b w:val="0"/>
        </w:rPr>
        <w:t xml:space="preserve">) for the Georgia Power </w:t>
      </w:r>
      <w:r w:rsidRPr="00CA3008">
        <w:rPr>
          <w:b w:val="0"/>
        </w:rPr>
        <w:t xml:space="preserve">Budget </w:t>
      </w:r>
      <w:r w:rsidR="00DE6DFA" w:rsidRPr="00CA3008">
        <w:rPr>
          <w:b w:val="0"/>
        </w:rPr>
        <w:t>20</w:t>
      </w:r>
      <w:r w:rsidR="00DE6DFA">
        <w:rPr>
          <w:b w:val="0"/>
        </w:rPr>
        <w:t>19</w:t>
      </w:r>
      <w:r w:rsidR="00DE6DFA" w:rsidRPr="00CA3008">
        <w:rPr>
          <w:b w:val="0"/>
        </w:rPr>
        <w:t xml:space="preserve"> </w:t>
      </w:r>
      <w:r w:rsidRPr="00CA3008">
        <w:rPr>
          <w:b w:val="0"/>
        </w:rPr>
        <w:t xml:space="preserve">Load and Energy Forecast. It supplements the standard documentation to ensure the IRP rules are completely satisfied.  </w:t>
      </w:r>
    </w:p>
    <w:p w14:paraId="3C314544" w14:textId="77777777" w:rsidR="00CA3008" w:rsidRPr="00CA3008" w:rsidRDefault="00CA3008" w:rsidP="00CA3008">
      <w:pPr>
        <w:pStyle w:val="BodyText"/>
        <w:spacing w:line="360" w:lineRule="auto"/>
        <w:jc w:val="left"/>
        <w:rPr>
          <w:b w:val="0"/>
        </w:rPr>
      </w:pPr>
    </w:p>
    <w:p w14:paraId="493B0EA7" w14:textId="77777777" w:rsidR="00CA3008" w:rsidRPr="00B36B1C" w:rsidRDefault="00CA3008" w:rsidP="00CA3008">
      <w:pPr>
        <w:pStyle w:val="Heading1"/>
        <w:jc w:val="left"/>
      </w:pPr>
      <w:bookmarkStart w:id="324" w:name="_Toc497031911"/>
      <w:bookmarkStart w:id="325" w:name="_Toc503665905"/>
      <w:bookmarkStart w:id="326" w:name="_Toc59359836"/>
      <w:bookmarkStart w:id="327" w:name="_Toc347120477"/>
      <w:bookmarkStart w:id="328" w:name="_Toc535495676"/>
      <w:r w:rsidRPr="00CA3008">
        <w:rPr>
          <w:rFonts w:ascii="Arial" w:hAnsi="Arial" w:cs="Arial"/>
          <w:b/>
          <w:color w:val="auto"/>
        </w:rPr>
        <w:t>9.1</w:t>
      </w:r>
      <w:r w:rsidRPr="00CA3008">
        <w:rPr>
          <w:rFonts w:ascii="Arial" w:hAnsi="Arial" w:cs="Arial"/>
          <w:b/>
          <w:color w:val="auto"/>
        </w:rPr>
        <w:tab/>
        <w:t>DESCRIPTION OF WEATHER NORMALIZATION</w:t>
      </w:r>
      <w:bookmarkEnd w:id="324"/>
      <w:bookmarkEnd w:id="325"/>
      <w:bookmarkEnd w:id="326"/>
      <w:bookmarkEnd w:id="327"/>
      <w:bookmarkEnd w:id="328"/>
    </w:p>
    <w:p w14:paraId="79AE0B69" w14:textId="77777777" w:rsidR="00CA3008" w:rsidRPr="00CA3008" w:rsidRDefault="00CA3008" w:rsidP="00CA3008">
      <w:pPr>
        <w:pStyle w:val="BodyText"/>
        <w:spacing w:line="360" w:lineRule="auto"/>
        <w:jc w:val="left"/>
        <w:rPr>
          <w:b w:val="0"/>
        </w:rPr>
      </w:pPr>
    </w:p>
    <w:p w14:paraId="24F8A6D2" w14:textId="00A373AD" w:rsidR="00CA3008" w:rsidRPr="00CA3008" w:rsidRDefault="00CA3008" w:rsidP="00452AD0">
      <w:pPr>
        <w:pStyle w:val="BodyText"/>
        <w:spacing w:line="360" w:lineRule="auto"/>
        <w:jc w:val="both"/>
        <w:rPr>
          <w:b w:val="0"/>
        </w:rPr>
      </w:pPr>
      <w:bookmarkStart w:id="329" w:name="_Hlk532285113"/>
      <w:r w:rsidRPr="00CA3008">
        <w:rPr>
          <w:b w:val="0"/>
        </w:rPr>
        <w:t>The purpose of weather normalizing energy and peak demand is to isolate the portion of variance between forecasted and actual values that arise from factors other than weather. Methods for accounting for variances from weather for energy are similar to those used for peak demand. Both are appropriate and justifiable.</w:t>
      </w:r>
    </w:p>
    <w:p w14:paraId="72247A83" w14:textId="77777777" w:rsidR="00CA3008" w:rsidRPr="00CA3008" w:rsidRDefault="00CA3008" w:rsidP="00452AD0">
      <w:pPr>
        <w:pStyle w:val="BodyText"/>
        <w:spacing w:line="360" w:lineRule="auto"/>
        <w:jc w:val="both"/>
        <w:rPr>
          <w:b w:val="0"/>
        </w:rPr>
      </w:pPr>
    </w:p>
    <w:p w14:paraId="7C7CE494" w14:textId="4407D877" w:rsidR="00CA3008" w:rsidRPr="00CA3008" w:rsidRDefault="00CA3008" w:rsidP="00452AD0">
      <w:pPr>
        <w:pStyle w:val="BodyText"/>
        <w:spacing w:line="360" w:lineRule="auto"/>
        <w:jc w:val="both"/>
        <w:rPr>
          <w:b w:val="0"/>
        </w:rPr>
      </w:pPr>
      <w:r w:rsidRPr="00CA3008">
        <w:rPr>
          <w:b w:val="0"/>
        </w:rPr>
        <w:t>Traditionally, energy forecasts are built using econometric models. That is, energy sales may be dependent on some economic</w:t>
      </w:r>
      <w:r w:rsidR="003464B7">
        <w:rPr>
          <w:b w:val="0"/>
        </w:rPr>
        <w:t xml:space="preserve"> and demographic</w:t>
      </w:r>
      <w:r w:rsidRPr="00CA3008">
        <w:rPr>
          <w:b w:val="0"/>
        </w:rPr>
        <w:t xml:space="preserve"> variables and weather. A regression model will yield parameters that explain that relationship. To build an econometric forecast of energy sales requires a forecast for the economic</w:t>
      </w:r>
      <w:r w:rsidR="00677ED3">
        <w:rPr>
          <w:b w:val="0"/>
        </w:rPr>
        <w:t xml:space="preserve"> and demographic</w:t>
      </w:r>
      <w:r w:rsidRPr="00CA3008">
        <w:rPr>
          <w:b w:val="0"/>
        </w:rPr>
        <w:t xml:space="preserve"> variables and weather. For weather, the assumption is that future weather will be </w:t>
      </w:r>
      <w:r w:rsidR="004A414B">
        <w:rPr>
          <w:b w:val="0"/>
        </w:rPr>
        <w:t xml:space="preserve">defined as </w:t>
      </w:r>
      <w:r w:rsidRPr="00CA3008">
        <w:rPr>
          <w:b w:val="0"/>
        </w:rPr>
        <w:t xml:space="preserve">the average of the prior </w:t>
      </w:r>
      <w:r w:rsidR="00B15E66">
        <w:rPr>
          <w:b w:val="0"/>
        </w:rPr>
        <w:t>38</w:t>
      </w:r>
      <w:r w:rsidR="00B15E66" w:rsidRPr="00CA3008">
        <w:rPr>
          <w:b w:val="0"/>
        </w:rPr>
        <w:t xml:space="preserve"> </w:t>
      </w:r>
      <w:r w:rsidRPr="00CA3008">
        <w:rPr>
          <w:b w:val="0"/>
        </w:rPr>
        <w:t xml:space="preserve">years, which is termed “normal weather.” Then, using normal weather with the regression models yields a prediction of energy sales under average weather conditions. To weather normalize after a period is over requires only the actual weather to be used with the model. The difference between the normal weather-predicted energy sales and the actual weather-predicted energy sales is the amount of variance due to weather.  </w:t>
      </w:r>
    </w:p>
    <w:p w14:paraId="5E59FEAB" w14:textId="77777777" w:rsidR="00CA3008" w:rsidRPr="00CA3008" w:rsidRDefault="00CA3008" w:rsidP="00452AD0">
      <w:pPr>
        <w:pStyle w:val="BodyText"/>
        <w:spacing w:line="360" w:lineRule="auto"/>
        <w:jc w:val="both"/>
        <w:rPr>
          <w:b w:val="0"/>
        </w:rPr>
      </w:pPr>
      <w:r w:rsidRPr="00CA3008">
        <w:rPr>
          <w:b w:val="0"/>
        </w:rPr>
        <w:t xml:space="preserve"> </w:t>
      </w:r>
    </w:p>
    <w:p w14:paraId="33BF3F16" w14:textId="1FC9C95D" w:rsidR="00CA3008" w:rsidRPr="00CA3008" w:rsidRDefault="00E73C42" w:rsidP="00452AD0">
      <w:pPr>
        <w:pStyle w:val="BodyText"/>
        <w:spacing w:line="360" w:lineRule="auto"/>
        <w:jc w:val="both"/>
        <w:rPr>
          <w:b w:val="0"/>
        </w:rPr>
      </w:pPr>
      <w:r>
        <w:rPr>
          <w:b w:val="0"/>
          <w:bCs/>
        </w:rPr>
        <w:t>The model developed for the peak demand forecast is the same model used for the peak demand weather normalization. The peak demand forecast model was built in PDM using “normal weather” and forecasted energies, which are based on “normal weather</w:t>
      </w:r>
      <w:r w:rsidR="00E0258A">
        <w:rPr>
          <w:b w:val="0"/>
          <w:bCs/>
        </w:rPr>
        <w:t>.</w:t>
      </w:r>
      <w:r>
        <w:rPr>
          <w:b w:val="0"/>
          <w:bCs/>
        </w:rPr>
        <w:t>” To weather normalize, actual weather is input into this same PDM model; it is analogous to an “actual weather” scenario. The difference between the normal weather-predicted peak demand and the actual weather-predicted peak demand is the amount of variance due to weather.</w:t>
      </w:r>
      <w:r w:rsidR="00452AD0" w:rsidRPr="00452AD0">
        <w:rPr>
          <w:b w:val="0"/>
        </w:rPr>
        <w:t xml:space="preserve"> </w:t>
      </w:r>
      <w:r w:rsidR="00CA3008" w:rsidRPr="00CA3008">
        <w:rPr>
          <w:b w:val="0"/>
        </w:rPr>
        <w:t xml:space="preserve">  </w:t>
      </w:r>
    </w:p>
    <w:p w14:paraId="4AE3F593" w14:textId="77777777" w:rsidR="00CA3008" w:rsidRPr="00CA3008" w:rsidRDefault="00CA3008" w:rsidP="00452AD0">
      <w:pPr>
        <w:pStyle w:val="BodyText"/>
        <w:spacing w:line="360" w:lineRule="auto"/>
        <w:jc w:val="both"/>
        <w:rPr>
          <w:b w:val="0"/>
        </w:rPr>
      </w:pPr>
    </w:p>
    <w:bookmarkEnd w:id="329"/>
    <w:p w14:paraId="2650E64A" w14:textId="07DB464A" w:rsidR="00CA3008" w:rsidRPr="00CA3008" w:rsidRDefault="00CA3008" w:rsidP="00452AD0">
      <w:pPr>
        <w:pStyle w:val="BodyText"/>
        <w:spacing w:line="360" w:lineRule="auto"/>
        <w:jc w:val="both"/>
        <w:rPr>
          <w:b w:val="0"/>
        </w:rPr>
      </w:pPr>
      <w:r w:rsidRPr="00CA3008">
        <w:rPr>
          <w:b w:val="0"/>
        </w:rPr>
        <w:t xml:space="preserve">   </w:t>
      </w:r>
    </w:p>
    <w:p w14:paraId="089F6F37" w14:textId="77777777" w:rsidR="00CA3008" w:rsidRPr="00CA3008" w:rsidRDefault="00CA3008" w:rsidP="00452AD0">
      <w:pPr>
        <w:pStyle w:val="BodyText"/>
        <w:spacing w:line="360" w:lineRule="auto"/>
        <w:jc w:val="both"/>
        <w:rPr>
          <w:b w:val="0"/>
        </w:rPr>
      </w:pPr>
    </w:p>
    <w:p w14:paraId="677A4BA6" w14:textId="77777777" w:rsidR="00CA3008" w:rsidRPr="00CA3008" w:rsidRDefault="00CA3008" w:rsidP="00CA3008">
      <w:pPr>
        <w:pStyle w:val="Heading1"/>
        <w:jc w:val="left"/>
        <w:rPr>
          <w:rFonts w:ascii="Arial" w:hAnsi="Arial" w:cs="Arial"/>
          <w:b/>
          <w:color w:val="auto"/>
        </w:rPr>
      </w:pPr>
      <w:r w:rsidRPr="00CA3008">
        <w:rPr>
          <w:rFonts w:ascii="Arial" w:hAnsi="Arial" w:cs="Arial"/>
          <w:b/>
          <w:color w:val="auto"/>
        </w:rPr>
        <w:t xml:space="preserve"> </w:t>
      </w:r>
      <w:bookmarkStart w:id="330" w:name="_Toc347120478"/>
      <w:bookmarkStart w:id="331" w:name="_Toc535495677"/>
      <w:r w:rsidRPr="00CA3008">
        <w:rPr>
          <w:rFonts w:ascii="Arial" w:hAnsi="Arial" w:cs="Arial"/>
          <w:b/>
          <w:color w:val="auto"/>
        </w:rPr>
        <w:t>9.2</w:t>
      </w:r>
      <w:r w:rsidRPr="00CA3008">
        <w:rPr>
          <w:rFonts w:ascii="Arial" w:hAnsi="Arial" w:cs="Arial"/>
          <w:b/>
          <w:color w:val="auto"/>
        </w:rPr>
        <w:tab/>
        <w:t>REVIEW OF ECONOMIC INPUT AND LOAD PROFILES</w:t>
      </w:r>
      <w:bookmarkEnd w:id="330"/>
      <w:bookmarkEnd w:id="331"/>
    </w:p>
    <w:p w14:paraId="59B501C2" w14:textId="77777777" w:rsidR="00A40E5E" w:rsidRDefault="00A40E5E" w:rsidP="00CA3008">
      <w:pPr>
        <w:spacing w:line="360" w:lineRule="atLeast"/>
        <w:jc w:val="left"/>
        <w:rPr>
          <w:b w:val="0"/>
        </w:rPr>
      </w:pPr>
    </w:p>
    <w:p w14:paraId="1011633E" w14:textId="676F4BC7" w:rsidR="00CA3008" w:rsidRPr="00675297" w:rsidRDefault="00CA3008" w:rsidP="00714556">
      <w:pPr>
        <w:spacing w:line="360" w:lineRule="atLeast"/>
        <w:jc w:val="both"/>
        <w:rPr>
          <w:b w:val="0"/>
        </w:rPr>
      </w:pPr>
      <w:r w:rsidRPr="00675297">
        <w:rPr>
          <w:b w:val="0"/>
        </w:rPr>
        <w:t xml:space="preserve">Georgia Power’s forecasting organization carefully reviews all forecast inputs from internal and external sources for reasonableness and accuracy and requires providers to document assumptions and justify results that represent significant deviations from previous trends or expectations. If the supporting documentation or explanation is inadequate, </w:t>
      </w:r>
      <w:r w:rsidR="00B25E86">
        <w:rPr>
          <w:b w:val="0"/>
        </w:rPr>
        <w:t xml:space="preserve">Georgia Power </w:t>
      </w:r>
      <w:r w:rsidRPr="00675297">
        <w:rPr>
          <w:b w:val="0"/>
        </w:rPr>
        <w:t>work</w:t>
      </w:r>
      <w:r w:rsidR="00B25E86">
        <w:rPr>
          <w:b w:val="0"/>
        </w:rPr>
        <w:t>s</w:t>
      </w:r>
      <w:r w:rsidRPr="00675297">
        <w:rPr>
          <w:b w:val="0"/>
        </w:rPr>
        <w:t xml:space="preserve"> with the information provider to reach a</w:t>
      </w:r>
      <w:r w:rsidR="00B25E86">
        <w:rPr>
          <w:b w:val="0"/>
        </w:rPr>
        <w:t xml:space="preserve"> </w:t>
      </w:r>
      <w:r w:rsidR="00B25E86" w:rsidRPr="00675297">
        <w:rPr>
          <w:b w:val="0"/>
        </w:rPr>
        <w:t>mutually agreed upon</w:t>
      </w:r>
      <w:r w:rsidRPr="00675297">
        <w:rPr>
          <w:b w:val="0"/>
        </w:rPr>
        <w:t xml:space="preserve"> </w:t>
      </w:r>
      <w:r w:rsidR="00B25E86">
        <w:rPr>
          <w:b w:val="0"/>
        </w:rPr>
        <w:t>solution</w:t>
      </w:r>
      <w:r w:rsidRPr="00675297">
        <w:rPr>
          <w:b w:val="0"/>
        </w:rPr>
        <w:t>.</w:t>
      </w:r>
    </w:p>
    <w:p w14:paraId="06190D5B" w14:textId="77777777" w:rsidR="00CA3008" w:rsidRPr="00675297" w:rsidRDefault="00CA3008" w:rsidP="00714556">
      <w:pPr>
        <w:spacing w:line="360" w:lineRule="atLeast"/>
        <w:jc w:val="both"/>
        <w:rPr>
          <w:b w:val="0"/>
        </w:rPr>
      </w:pPr>
    </w:p>
    <w:p w14:paraId="0A2208A5" w14:textId="7C4B85A4" w:rsidR="00CA3008" w:rsidRPr="00675297" w:rsidRDefault="00CA3008" w:rsidP="00714556">
      <w:pPr>
        <w:spacing w:line="360" w:lineRule="atLeast"/>
        <w:jc w:val="both"/>
        <w:rPr>
          <w:b w:val="0"/>
        </w:rPr>
      </w:pPr>
      <w:r w:rsidRPr="00675297">
        <w:rPr>
          <w:b w:val="0"/>
        </w:rPr>
        <w:t xml:space="preserve">For </w:t>
      </w:r>
      <w:r w:rsidR="004655F7">
        <w:rPr>
          <w:b w:val="0"/>
        </w:rPr>
        <w:t xml:space="preserve">Budget </w:t>
      </w:r>
      <w:r w:rsidR="00131B5E" w:rsidRPr="00675297">
        <w:rPr>
          <w:b w:val="0"/>
        </w:rPr>
        <w:t>20</w:t>
      </w:r>
      <w:r w:rsidR="00131B5E">
        <w:rPr>
          <w:b w:val="0"/>
        </w:rPr>
        <w:t>19</w:t>
      </w:r>
      <w:r w:rsidRPr="00675297">
        <w:rPr>
          <w:b w:val="0"/>
        </w:rPr>
        <w:t xml:space="preserve">, </w:t>
      </w:r>
      <w:r w:rsidR="00B25E86">
        <w:rPr>
          <w:b w:val="0"/>
        </w:rPr>
        <w:t xml:space="preserve">the Georgia Power forecasting group </w:t>
      </w:r>
      <w:r w:rsidRPr="00675297">
        <w:rPr>
          <w:b w:val="0"/>
        </w:rPr>
        <w:t xml:space="preserve">reviewed all economic forecast inputs provided by </w:t>
      </w:r>
      <w:r w:rsidR="00131B5E">
        <w:rPr>
          <w:b w:val="0"/>
        </w:rPr>
        <w:t xml:space="preserve">IHS Markit </w:t>
      </w:r>
      <w:r w:rsidRPr="00675297">
        <w:rPr>
          <w:b w:val="0"/>
        </w:rPr>
        <w:t>and w</w:t>
      </w:r>
      <w:r w:rsidR="00B25E86">
        <w:rPr>
          <w:b w:val="0"/>
        </w:rPr>
        <w:t>as</w:t>
      </w:r>
      <w:r w:rsidRPr="00675297">
        <w:rPr>
          <w:b w:val="0"/>
        </w:rPr>
        <w:t xml:space="preserve"> satisfied that the economic forecast inputs were reasonable and consistent with those of other economic forecasters at the time the energy and load forecasts were developed.  </w:t>
      </w:r>
    </w:p>
    <w:p w14:paraId="56B25857" w14:textId="77777777" w:rsidR="00CA3008" w:rsidRPr="00675297" w:rsidRDefault="00CA3008" w:rsidP="00714556">
      <w:pPr>
        <w:spacing w:line="360" w:lineRule="atLeast"/>
        <w:jc w:val="both"/>
        <w:rPr>
          <w:b w:val="0"/>
        </w:rPr>
      </w:pPr>
    </w:p>
    <w:p w14:paraId="12F3D681" w14:textId="45877760" w:rsidR="00CA3008" w:rsidRDefault="00CA3008" w:rsidP="00714556">
      <w:pPr>
        <w:spacing w:line="360" w:lineRule="atLeast"/>
        <w:jc w:val="both"/>
        <w:rPr>
          <w:b w:val="0"/>
        </w:rPr>
      </w:pPr>
      <w:r w:rsidRPr="00565103">
        <w:rPr>
          <w:b w:val="0"/>
        </w:rPr>
        <w:t>T</w:t>
      </w:r>
      <w:r w:rsidR="00565103">
        <w:rPr>
          <w:b w:val="0"/>
        </w:rPr>
        <w:t>here are t</w:t>
      </w:r>
      <w:r w:rsidRPr="00565103">
        <w:rPr>
          <w:b w:val="0"/>
        </w:rPr>
        <w:t xml:space="preserve">hree areas of particular concern in </w:t>
      </w:r>
      <w:r w:rsidR="00565103">
        <w:rPr>
          <w:b w:val="0"/>
        </w:rPr>
        <w:t>previous IRPs that continue to be monitored</w:t>
      </w:r>
      <w:r w:rsidRPr="00565103">
        <w:rPr>
          <w:b w:val="0"/>
        </w:rPr>
        <w:t xml:space="preserve"> – 1) the number of persons per household, 2) growth in average household income, and 3) the level of miscellaneous household energy consumption. Comparisons of the </w:t>
      </w:r>
      <w:r w:rsidR="00C349E0" w:rsidRPr="00565103">
        <w:rPr>
          <w:b w:val="0"/>
        </w:rPr>
        <w:t>20</w:t>
      </w:r>
      <w:r w:rsidR="00C349E0">
        <w:rPr>
          <w:b w:val="0"/>
        </w:rPr>
        <w:t>16</w:t>
      </w:r>
      <w:r w:rsidR="00C349E0" w:rsidRPr="00565103">
        <w:rPr>
          <w:b w:val="0"/>
        </w:rPr>
        <w:t xml:space="preserve"> </w:t>
      </w:r>
      <w:r w:rsidRPr="00565103">
        <w:rPr>
          <w:b w:val="0"/>
        </w:rPr>
        <w:t xml:space="preserve">and </w:t>
      </w:r>
      <w:r w:rsidR="00C349E0" w:rsidRPr="00565103">
        <w:rPr>
          <w:b w:val="0"/>
        </w:rPr>
        <w:t>20</w:t>
      </w:r>
      <w:r w:rsidR="00C349E0">
        <w:rPr>
          <w:b w:val="0"/>
        </w:rPr>
        <w:t>19</w:t>
      </w:r>
      <w:r w:rsidR="00C349E0" w:rsidRPr="00565103">
        <w:rPr>
          <w:b w:val="0"/>
        </w:rPr>
        <w:t xml:space="preserve"> </w:t>
      </w:r>
      <w:r w:rsidRPr="00565103">
        <w:rPr>
          <w:b w:val="0"/>
        </w:rPr>
        <w:t xml:space="preserve">assumptions for these three variables are shown in the graphs below. </w:t>
      </w:r>
      <w:r w:rsidR="00660212">
        <w:rPr>
          <w:b w:val="0"/>
        </w:rPr>
        <w:t>T</w:t>
      </w:r>
      <w:r w:rsidRPr="00565103">
        <w:rPr>
          <w:b w:val="0"/>
        </w:rPr>
        <w:t xml:space="preserve">he current assumptions are reasonable. Other economic data used to prepare </w:t>
      </w:r>
      <w:r w:rsidR="004655F7">
        <w:rPr>
          <w:b w:val="0"/>
        </w:rPr>
        <w:t xml:space="preserve">Budget </w:t>
      </w:r>
      <w:r w:rsidR="00C349E0" w:rsidRPr="00565103">
        <w:rPr>
          <w:b w:val="0"/>
        </w:rPr>
        <w:t>20</w:t>
      </w:r>
      <w:r w:rsidR="00C349E0">
        <w:rPr>
          <w:b w:val="0"/>
        </w:rPr>
        <w:t>19</w:t>
      </w:r>
      <w:r w:rsidR="00C349E0" w:rsidRPr="00565103">
        <w:rPr>
          <w:b w:val="0"/>
        </w:rPr>
        <w:t xml:space="preserve"> </w:t>
      </w:r>
      <w:r w:rsidRPr="00565103">
        <w:rPr>
          <w:b w:val="0"/>
        </w:rPr>
        <w:t xml:space="preserve">are discussed in </w:t>
      </w:r>
      <w:r w:rsidR="00C47408" w:rsidRPr="00565103">
        <w:rPr>
          <w:b w:val="0"/>
        </w:rPr>
        <w:t xml:space="preserve">the </w:t>
      </w:r>
      <w:r w:rsidRPr="00565103">
        <w:rPr>
          <w:b w:val="0"/>
        </w:rPr>
        <w:t>various sections pertaining to each of the customer classes.</w:t>
      </w:r>
      <w:r w:rsidR="00B25E86">
        <w:rPr>
          <w:b w:val="0"/>
        </w:rPr>
        <w:t xml:space="preserve"> </w:t>
      </w:r>
      <w:r w:rsidR="00B25E86" w:rsidRPr="00E439A3">
        <w:rPr>
          <w:b w:val="0"/>
        </w:rPr>
        <w:t xml:space="preserve">The </w:t>
      </w:r>
      <w:r w:rsidR="00E0258A">
        <w:rPr>
          <w:b w:val="0"/>
        </w:rPr>
        <w:t xml:space="preserve">historical </w:t>
      </w:r>
      <w:r w:rsidR="00B25E86" w:rsidRPr="00E439A3">
        <w:rPr>
          <w:b w:val="0"/>
        </w:rPr>
        <w:t xml:space="preserve">hourly load profiles for </w:t>
      </w:r>
      <w:r w:rsidR="00C349E0" w:rsidRPr="00E439A3">
        <w:rPr>
          <w:b w:val="0"/>
        </w:rPr>
        <w:t>20</w:t>
      </w:r>
      <w:r w:rsidR="00C349E0">
        <w:rPr>
          <w:b w:val="0"/>
        </w:rPr>
        <w:t>15</w:t>
      </w:r>
      <w:r w:rsidR="00E0258A">
        <w:rPr>
          <w:b w:val="0"/>
        </w:rPr>
        <w:t>-</w:t>
      </w:r>
      <w:r w:rsidR="00C349E0" w:rsidRPr="00E439A3">
        <w:rPr>
          <w:b w:val="0"/>
        </w:rPr>
        <w:t>20</w:t>
      </w:r>
      <w:r w:rsidR="00C349E0">
        <w:rPr>
          <w:b w:val="0"/>
        </w:rPr>
        <w:t xml:space="preserve">17 </w:t>
      </w:r>
      <w:r w:rsidR="00B25E86">
        <w:rPr>
          <w:b w:val="0"/>
        </w:rPr>
        <w:t>are included in Attachment 9.2-1 below.</w:t>
      </w:r>
    </w:p>
    <w:p w14:paraId="2F78BE9F" w14:textId="77777777" w:rsidR="008F4942" w:rsidRPr="00565103" w:rsidRDefault="008F4942" w:rsidP="00CA3008">
      <w:pPr>
        <w:spacing w:line="360" w:lineRule="atLeast"/>
        <w:jc w:val="left"/>
        <w:rPr>
          <w:b w:val="0"/>
        </w:rPr>
      </w:pPr>
    </w:p>
    <w:p w14:paraId="4635B699" w14:textId="77777777" w:rsidR="00CA3008" w:rsidRPr="00565103" w:rsidRDefault="00CA3008" w:rsidP="00CA3008">
      <w:pPr>
        <w:jc w:val="left"/>
        <w:rPr>
          <w:b w:val="0"/>
        </w:rPr>
      </w:pPr>
    </w:p>
    <w:p w14:paraId="15AAE772" w14:textId="064A3BC8" w:rsidR="00CA3008" w:rsidRPr="00565103" w:rsidRDefault="00DC14FF" w:rsidP="001863BE">
      <w:pPr>
        <w:rPr>
          <w:b w:val="0"/>
        </w:rPr>
      </w:pPr>
      <w:r w:rsidRPr="00DC14FF">
        <w:rPr>
          <w:b w:val="0"/>
          <w:noProof/>
        </w:rPr>
        <w:drawing>
          <wp:inline distT="0" distB="0" distL="0" distR="0" wp14:anchorId="1C00ADAC" wp14:editId="35C29E93">
            <wp:extent cx="4953000" cy="2743200"/>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953000" cy="2743200"/>
                    </a:xfrm>
                    <a:prstGeom prst="rect">
                      <a:avLst/>
                    </a:prstGeom>
                    <a:noFill/>
                    <a:ln>
                      <a:noFill/>
                    </a:ln>
                  </pic:spPr>
                </pic:pic>
              </a:graphicData>
            </a:graphic>
          </wp:inline>
        </w:drawing>
      </w:r>
    </w:p>
    <w:p w14:paraId="587DCE6A" w14:textId="099F804C" w:rsidR="00FE0CF9" w:rsidRDefault="00FE0CF9" w:rsidP="00565103"/>
    <w:p w14:paraId="46D08C2F" w14:textId="206508B8" w:rsidR="00565103" w:rsidRDefault="00565103">
      <w:pPr>
        <w:spacing w:after="200" w:line="276" w:lineRule="auto"/>
        <w:jc w:val="left"/>
      </w:pPr>
    </w:p>
    <w:p w14:paraId="5F0C44CC" w14:textId="77777777" w:rsidR="001863BE" w:rsidRDefault="001863BE">
      <w:pPr>
        <w:spacing w:after="200" w:line="276" w:lineRule="auto"/>
        <w:jc w:val="left"/>
      </w:pPr>
    </w:p>
    <w:p w14:paraId="6BFD96BB" w14:textId="68E41AFB" w:rsidR="00F1716C" w:rsidRDefault="00F1716C" w:rsidP="00565103">
      <w:pPr>
        <w:spacing w:after="200" w:line="276" w:lineRule="auto"/>
        <w:rPr>
          <w:noProof/>
        </w:rPr>
      </w:pPr>
    </w:p>
    <w:p w14:paraId="6B419855" w14:textId="77777777" w:rsidR="008F4942" w:rsidRDefault="008F4942" w:rsidP="00565103">
      <w:pPr>
        <w:spacing w:after="200" w:line="276" w:lineRule="auto"/>
      </w:pPr>
    </w:p>
    <w:p w14:paraId="4E7DDDDA" w14:textId="754FB9DC" w:rsidR="008F4942" w:rsidRDefault="00DC14FF" w:rsidP="00565103">
      <w:pPr>
        <w:spacing w:after="200" w:line="276" w:lineRule="auto"/>
      </w:pPr>
      <w:r w:rsidRPr="00DC14FF">
        <w:rPr>
          <w:noProof/>
        </w:rPr>
        <w:drawing>
          <wp:inline distT="0" distB="0" distL="0" distR="0" wp14:anchorId="217774B8" wp14:editId="12237517">
            <wp:extent cx="4752975" cy="2733675"/>
            <wp:effectExtent l="0" t="0" r="9525" b="952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752975" cy="2733675"/>
                    </a:xfrm>
                    <a:prstGeom prst="rect">
                      <a:avLst/>
                    </a:prstGeom>
                    <a:noFill/>
                    <a:ln>
                      <a:noFill/>
                    </a:ln>
                  </pic:spPr>
                </pic:pic>
              </a:graphicData>
            </a:graphic>
          </wp:inline>
        </w:drawing>
      </w:r>
    </w:p>
    <w:p w14:paraId="4DB4E077" w14:textId="4330E551" w:rsidR="008F4942" w:rsidRDefault="008F4942" w:rsidP="00565103">
      <w:pPr>
        <w:spacing w:after="200" w:line="276" w:lineRule="auto"/>
        <w:rPr>
          <w:noProof/>
        </w:rPr>
      </w:pPr>
    </w:p>
    <w:p w14:paraId="45DA366F" w14:textId="611F6907" w:rsidR="00DC14FF" w:rsidRDefault="00DC14FF" w:rsidP="00565103">
      <w:pPr>
        <w:spacing w:after="200" w:line="276" w:lineRule="auto"/>
        <w:rPr>
          <w:noProof/>
        </w:rPr>
      </w:pPr>
    </w:p>
    <w:p w14:paraId="0D0D2370" w14:textId="4C1536C2" w:rsidR="00DC14FF" w:rsidRDefault="00DC14FF" w:rsidP="00565103">
      <w:pPr>
        <w:spacing w:after="200" w:line="276" w:lineRule="auto"/>
        <w:rPr>
          <w:noProof/>
        </w:rPr>
      </w:pPr>
    </w:p>
    <w:p w14:paraId="64E29DB8" w14:textId="0E4EDB9D" w:rsidR="00DC14FF" w:rsidRDefault="00DC14FF" w:rsidP="00565103">
      <w:pPr>
        <w:spacing w:after="200" w:line="276" w:lineRule="auto"/>
      </w:pPr>
      <w:r w:rsidRPr="00DC14FF">
        <w:rPr>
          <w:noProof/>
        </w:rPr>
        <w:drawing>
          <wp:inline distT="0" distB="0" distL="0" distR="0" wp14:anchorId="6247B665" wp14:editId="5B455807">
            <wp:extent cx="4752975" cy="2733675"/>
            <wp:effectExtent l="0" t="0" r="9525" b="9525"/>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752975" cy="2733675"/>
                    </a:xfrm>
                    <a:prstGeom prst="rect">
                      <a:avLst/>
                    </a:prstGeom>
                    <a:noFill/>
                    <a:ln>
                      <a:noFill/>
                    </a:ln>
                  </pic:spPr>
                </pic:pic>
              </a:graphicData>
            </a:graphic>
          </wp:inline>
        </w:drawing>
      </w:r>
    </w:p>
    <w:p w14:paraId="2F142121" w14:textId="77777777" w:rsidR="00E439A3" w:rsidRDefault="00E439A3" w:rsidP="00E439A3">
      <w:pPr>
        <w:spacing w:after="200" w:line="276" w:lineRule="auto"/>
        <w:jc w:val="left"/>
      </w:pPr>
    </w:p>
    <w:p w14:paraId="3247B80B" w14:textId="77777777" w:rsidR="00E439A3" w:rsidRDefault="00E439A3" w:rsidP="00E439A3">
      <w:pPr>
        <w:spacing w:after="200" w:line="276" w:lineRule="auto"/>
        <w:jc w:val="left"/>
        <w:sectPr w:rsidR="00E439A3" w:rsidSect="00966D80">
          <w:footerReference w:type="default" r:id="rId109"/>
          <w:pgSz w:w="12240" w:h="15840"/>
          <w:pgMar w:top="1440" w:right="1440" w:bottom="1440" w:left="1440" w:header="720" w:footer="720" w:gutter="0"/>
          <w:cols w:space="720"/>
          <w:docGrid w:linePitch="273"/>
        </w:sectPr>
      </w:pPr>
    </w:p>
    <w:p w14:paraId="046C5BA9" w14:textId="7D46B641" w:rsidR="00FE0CF9" w:rsidRDefault="00CA3008" w:rsidP="00CA3008">
      <w:pPr>
        <w:jc w:val="left"/>
      </w:pPr>
      <w:r>
        <w:t xml:space="preserve">Attachment 9.2-1: </w:t>
      </w:r>
      <w:r w:rsidR="00E0258A">
        <w:t xml:space="preserve">Hourly </w:t>
      </w:r>
      <w:r>
        <w:t>Load Profiles (MW)</w:t>
      </w:r>
      <w:r w:rsidR="00E0258A">
        <w:t xml:space="preserve"> for 2015-2017</w:t>
      </w:r>
    </w:p>
    <w:p w14:paraId="32102C00" w14:textId="77777777" w:rsidR="00701729" w:rsidRDefault="00701729">
      <w:pPr>
        <w:spacing w:after="200" w:line="276" w:lineRule="auto"/>
        <w:jc w:val="left"/>
      </w:pPr>
    </w:p>
    <w:p w14:paraId="211EECC7" w14:textId="57600750" w:rsidR="00701729" w:rsidRDefault="00E62FFB">
      <w:pPr>
        <w:spacing w:after="200" w:line="276" w:lineRule="auto"/>
        <w:jc w:val="left"/>
      </w:pPr>
      <w:r w:rsidRPr="00E62FFB">
        <w:rPr>
          <w:noProof/>
        </w:rPr>
        <w:drawing>
          <wp:inline distT="0" distB="0" distL="0" distR="0" wp14:anchorId="47B0A969" wp14:editId="76FBAAEA">
            <wp:extent cx="5943600" cy="7112000"/>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649E2810" w14:textId="2B9D59F1" w:rsidR="00E62FFB" w:rsidRDefault="00E62FFB">
      <w:pPr>
        <w:spacing w:after="200" w:line="276" w:lineRule="auto"/>
        <w:jc w:val="left"/>
      </w:pPr>
      <w:r>
        <w:br w:type="page"/>
      </w:r>
    </w:p>
    <w:p w14:paraId="0BDAC36C" w14:textId="6459E043" w:rsidR="00701729" w:rsidRDefault="00E62FFB">
      <w:pPr>
        <w:spacing w:after="200" w:line="276" w:lineRule="auto"/>
        <w:jc w:val="left"/>
      </w:pPr>
      <w:r w:rsidRPr="00E62FFB">
        <w:rPr>
          <w:noProof/>
        </w:rPr>
        <w:drawing>
          <wp:inline distT="0" distB="0" distL="0" distR="0" wp14:anchorId="5C47D363" wp14:editId="674E1596">
            <wp:extent cx="5943600" cy="6423378"/>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5943600" cy="6423378"/>
                    </a:xfrm>
                    <a:prstGeom prst="rect">
                      <a:avLst/>
                    </a:prstGeom>
                    <a:noFill/>
                    <a:ln>
                      <a:noFill/>
                    </a:ln>
                  </pic:spPr>
                </pic:pic>
              </a:graphicData>
            </a:graphic>
          </wp:inline>
        </w:drawing>
      </w:r>
    </w:p>
    <w:p w14:paraId="0A20617C" w14:textId="4118D98E" w:rsidR="00E62FFB" w:rsidRDefault="00E62FFB">
      <w:pPr>
        <w:spacing w:after="200" w:line="276" w:lineRule="auto"/>
        <w:jc w:val="left"/>
      </w:pPr>
      <w:r>
        <w:br w:type="page"/>
      </w:r>
    </w:p>
    <w:p w14:paraId="437AED75" w14:textId="0E7AE880" w:rsidR="00E62FFB" w:rsidRDefault="00E62FFB">
      <w:pPr>
        <w:spacing w:after="200" w:line="276" w:lineRule="auto"/>
        <w:jc w:val="left"/>
      </w:pPr>
      <w:r w:rsidRPr="00E62FFB">
        <w:rPr>
          <w:noProof/>
        </w:rPr>
        <w:drawing>
          <wp:inline distT="0" distB="0" distL="0" distR="0" wp14:anchorId="0F8745FD" wp14:editId="3AE26E04">
            <wp:extent cx="5943600" cy="7112000"/>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1C363C69" w14:textId="77777777" w:rsidR="00E62FFB" w:rsidRDefault="00E62FFB">
      <w:pPr>
        <w:spacing w:after="200" w:line="276" w:lineRule="auto"/>
        <w:jc w:val="left"/>
      </w:pPr>
      <w:r>
        <w:br w:type="page"/>
      </w:r>
    </w:p>
    <w:p w14:paraId="17DD1947" w14:textId="3C0AE7A8" w:rsidR="00E62FFB" w:rsidRDefault="00E62FFB">
      <w:pPr>
        <w:spacing w:after="200" w:line="276" w:lineRule="auto"/>
        <w:jc w:val="left"/>
      </w:pPr>
      <w:r w:rsidRPr="00E62FFB">
        <w:rPr>
          <w:noProof/>
        </w:rPr>
        <w:drawing>
          <wp:inline distT="0" distB="0" distL="0" distR="0" wp14:anchorId="3E4996B8" wp14:editId="736CAFB3">
            <wp:extent cx="5943600" cy="6880578"/>
            <wp:effectExtent l="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5943600" cy="6880578"/>
                    </a:xfrm>
                    <a:prstGeom prst="rect">
                      <a:avLst/>
                    </a:prstGeom>
                    <a:noFill/>
                    <a:ln>
                      <a:noFill/>
                    </a:ln>
                  </pic:spPr>
                </pic:pic>
              </a:graphicData>
            </a:graphic>
          </wp:inline>
        </w:drawing>
      </w:r>
    </w:p>
    <w:p w14:paraId="0965F000" w14:textId="77777777" w:rsidR="00E62FFB" w:rsidRDefault="00E62FFB">
      <w:pPr>
        <w:spacing w:after="200" w:line="276" w:lineRule="auto"/>
        <w:jc w:val="left"/>
      </w:pPr>
      <w:r>
        <w:br w:type="page"/>
      </w:r>
    </w:p>
    <w:p w14:paraId="335908A7" w14:textId="14ED866B" w:rsidR="00E62FFB" w:rsidRDefault="00E62FFB">
      <w:pPr>
        <w:spacing w:after="200" w:line="276" w:lineRule="auto"/>
        <w:jc w:val="left"/>
      </w:pPr>
      <w:r w:rsidRPr="00E62FFB">
        <w:rPr>
          <w:noProof/>
        </w:rPr>
        <w:drawing>
          <wp:inline distT="0" distB="0" distL="0" distR="0" wp14:anchorId="11B098BA" wp14:editId="164D2461">
            <wp:extent cx="5943600" cy="7112000"/>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774A66BF" w14:textId="77777777" w:rsidR="00E62FFB" w:rsidRDefault="00E62FFB">
      <w:pPr>
        <w:spacing w:after="200" w:line="276" w:lineRule="auto"/>
        <w:jc w:val="left"/>
      </w:pPr>
      <w:r>
        <w:br w:type="page"/>
      </w:r>
    </w:p>
    <w:p w14:paraId="46205316" w14:textId="079B0AF6" w:rsidR="00E62FFB" w:rsidRDefault="00E62FFB">
      <w:pPr>
        <w:spacing w:after="200" w:line="276" w:lineRule="auto"/>
        <w:jc w:val="left"/>
      </w:pPr>
      <w:r w:rsidRPr="00E62FFB">
        <w:rPr>
          <w:noProof/>
        </w:rPr>
        <w:drawing>
          <wp:inline distT="0" distB="0" distL="0" distR="0" wp14:anchorId="691967E6" wp14:editId="54B03C99">
            <wp:extent cx="5943600" cy="6880578"/>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5943600" cy="6880578"/>
                    </a:xfrm>
                    <a:prstGeom prst="rect">
                      <a:avLst/>
                    </a:prstGeom>
                    <a:noFill/>
                    <a:ln>
                      <a:noFill/>
                    </a:ln>
                  </pic:spPr>
                </pic:pic>
              </a:graphicData>
            </a:graphic>
          </wp:inline>
        </w:drawing>
      </w:r>
    </w:p>
    <w:p w14:paraId="62003D8E" w14:textId="77777777" w:rsidR="00E62FFB" w:rsidRDefault="00E62FFB">
      <w:pPr>
        <w:spacing w:after="200" w:line="276" w:lineRule="auto"/>
        <w:jc w:val="left"/>
      </w:pPr>
      <w:r>
        <w:br w:type="page"/>
      </w:r>
    </w:p>
    <w:p w14:paraId="1C198C1A" w14:textId="58F2FD47" w:rsidR="00E62FFB" w:rsidRDefault="00E62FFB">
      <w:pPr>
        <w:spacing w:after="200" w:line="276" w:lineRule="auto"/>
        <w:jc w:val="left"/>
      </w:pPr>
      <w:r w:rsidRPr="00E62FFB">
        <w:rPr>
          <w:noProof/>
        </w:rPr>
        <w:drawing>
          <wp:inline distT="0" distB="0" distL="0" distR="0" wp14:anchorId="1A53C540" wp14:editId="2A9663F9">
            <wp:extent cx="5943600" cy="7112000"/>
            <wp:effectExtent l="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7CEB6009" w14:textId="77777777" w:rsidR="00E62FFB" w:rsidRDefault="00E62FFB">
      <w:pPr>
        <w:spacing w:after="200" w:line="276" w:lineRule="auto"/>
        <w:jc w:val="left"/>
      </w:pPr>
      <w:r>
        <w:br w:type="page"/>
      </w:r>
    </w:p>
    <w:p w14:paraId="4F2EEC94" w14:textId="0B90329A" w:rsidR="00E62FFB" w:rsidRDefault="00E62FFB">
      <w:pPr>
        <w:spacing w:after="200" w:line="276" w:lineRule="auto"/>
        <w:jc w:val="left"/>
      </w:pPr>
      <w:r w:rsidRPr="00E62FFB">
        <w:rPr>
          <w:noProof/>
        </w:rPr>
        <w:drawing>
          <wp:inline distT="0" distB="0" distL="0" distR="0" wp14:anchorId="47A1C550" wp14:editId="2D70FFEB">
            <wp:extent cx="5943600" cy="7112000"/>
            <wp:effectExtent l="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35F1F338" w14:textId="77777777" w:rsidR="00E62FFB" w:rsidRDefault="00E62FFB">
      <w:pPr>
        <w:spacing w:after="200" w:line="276" w:lineRule="auto"/>
        <w:jc w:val="left"/>
      </w:pPr>
      <w:r>
        <w:br w:type="page"/>
      </w:r>
    </w:p>
    <w:p w14:paraId="335E1F9D" w14:textId="7BF5DBEE" w:rsidR="00E62FFB" w:rsidRDefault="00E62FFB">
      <w:pPr>
        <w:spacing w:after="200" w:line="276" w:lineRule="auto"/>
        <w:jc w:val="left"/>
      </w:pPr>
      <w:r w:rsidRPr="00E62FFB">
        <w:rPr>
          <w:noProof/>
        </w:rPr>
        <w:drawing>
          <wp:inline distT="0" distB="0" distL="0" distR="0" wp14:anchorId="4A28447E" wp14:editId="1D5665BB">
            <wp:extent cx="5943600" cy="6880578"/>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5943600" cy="6880578"/>
                    </a:xfrm>
                    <a:prstGeom prst="rect">
                      <a:avLst/>
                    </a:prstGeom>
                    <a:noFill/>
                    <a:ln>
                      <a:noFill/>
                    </a:ln>
                  </pic:spPr>
                </pic:pic>
              </a:graphicData>
            </a:graphic>
          </wp:inline>
        </w:drawing>
      </w:r>
    </w:p>
    <w:p w14:paraId="220334DF" w14:textId="77777777" w:rsidR="00E62FFB" w:rsidRDefault="00E62FFB">
      <w:pPr>
        <w:spacing w:after="200" w:line="276" w:lineRule="auto"/>
        <w:jc w:val="left"/>
      </w:pPr>
      <w:r>
        <w:br w:type="page"/>
      </w:r>
    </w:p>
    <w:p w14:paraId="5B0F7023" w14:textId="5AB7AEB4" w:rsidR="00E62FFB" w:rsidRDefault="00E62FFB">
      <w:pPr>
        <w:spacing w:after="200" w:line="276" w:lineRule="auto"/>
        <w:jc w:val="left"/>
      </w:pPr>
      <w:r w:rsidRPr="00E62FFB">
        <w:rPr>
          <w:noProof/>
        </w:rPr>
        <w:drawing>
          <wp:inline distT="0" distB="0" distL="0" distR="0" wp14:anchorId="71763803" wp14:editId="6029095A">
            <wp:extent cx="5943600" cy="7112000"/>
            <wp:effectExtent l="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53B6155E" w14:textId="77777777" w:rsidR="00E62FFB" w:rsidRDefault="00E62FFB">
      <w:pPr>
        <w:spacing w:after="200" w:line="276" w:lineRule="auto"/>
        <w:jc w:val="left"/>
      </w:pPr>
      <w:r>
        <w:br w:type="page"/>
      </w:r>
    </w:p>
    <w:p w14:paraId="2A828878" w14:textId="6FEF972F" w:rsidR="00E62FFB" w:rsidRDefault="00E62FFB">
      <w:pPr>
        <w:spacing w:after="200" w:line="276" w:lineRule="auto"/>
        <w:jc w:val="left"/>
      </w:pPr>
      <w:r w:rsidRPr="00E62FFB">
        <w:rPr>
          <w:noProof/>
        </w:rPr>
        <w:drawing>
          <wp:inline distT="0" distB="0" distL="0" distR="0" wp14:anchorId="709CC5ED" wp14:editId="46771F45">
            <wp:extent cx="5943600" cy="6880578"/>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5943600" cy="6880578"/>
                    </a:xfrm>
                    <a:prstGeom prst="rect">
                      <a:avLst/>
                    </a:prstGeom>
                    <a:noFill/>
                    <a:ln>
                      <a:noFill/>
                    </a:ln>
                  </pic:spPr>
                </pic:pic>
              </a:graphicData>
            </a:graphic>
          </wp:inline>
        </w:drawing>
      </w:r>
    </w:p>
    <w:p w14:paraId="5587E467" w14:textId="77777777" w:rsidR="00E62FFB" w:rsidRDefault="00E62FFB">
      <w:pPr>
        <w:spacing w:after="200" w:line="276" w:lineRule="auto"/>
        <w:jc w:val="left"/>
      </w:pPr>
      <w:r>
        <w:br w:type="page"/>
      </w:r>
    </w:p>
    <w:p w14:paraId="36F5C488" w14:textId="132869A4" w:rsidR="00E62FFB" w:rsidRDefault="00E62FFB">
      <w:pPr>
        <w:spacing w:after="200" w:line="276" w:lineRule="auto"/>
        <w:jc w:val="left"/>
      </w:pPr>
      <w:r w:rsidRPr="00E62FFB">
        <w:rPr>
          <w:noProof/>
        </w:rPr>
        <w:drawing>
          <wp:inline distT="0" distB="0" distL="0" distR="0" wp14:anchorId="3F8A67FA" wp14:editId="2092A7CC">
            <wp:extent cx="5943600" cy="7112000"/>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106966AA" w14:textId="77777777" w:rsidR="00E62FFB" w:rsidRDefault="00E62FFB">
      <w:pPr>
        <w:spacing w:after="200" w:line="276" w:lineRule="auto"/>
        <w:jc w:val="left"/>
      </w:pPr>
      <w:r>
        <w:br w:type="page"/>
      </w:r>
    </w:p>
    <w:p w14:paraId="747FEF2A" w14:textId="27465355" w:rsidR="002F3CF0" w:rsidRDefault="002F3CF0">
      <w:pPr>
        <w:spacing w:after="200" w:line="276" w:lineRule="auto"/>
        <w:jc w:val="left"/>
      </w:pPr>
      <w:r w:rsidRPr="002F3CF0">
        <w:rPr>
          <w:noProof/>
        </w:rPr>
        <w:drawing>
          <wp:inline distT="0" distB="0" distL="0" distR="0" wp14:anchorId="1F34D137" wp14:editId="23220A5A">
            <wp:extent cx="5943600" cy="7112000"/>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4FF7A6DD" w14:textId="77777777" w:rsidR="002F3CF0" w:rsidRDefault="002F3CF0">
      <w:pPr>
        <w:spacing w:after="200" w:line="276" w:lineRule="auto"/>
        <w:jc w:val="left"/>
      </w:pPr>
      <w:r>
        <w:br w:type="page"/>
      </w:r>
    </w:p>
    <w:p w14:paraId="561236DF" w14:textId="21F6BA60" w:rsidR="002F3CF0" w:rsidRDefault="002F3CF0">
      <w:pPr>
        <w:spacing w:after="200" w:line="276" w:lineRule="auto"/>
        <w:jc w:val="left"/>
      </w:pPr>
      <w:r w:rsidRPr="002F3CF0">
        <w:rPr>
          <w:noProof/>
        </w:rPr>
        <w:drawing>
          <wp:inline distT="0" distB="0" distL="0" distR="0" wp14:anchorId="27DDA80E" wp14:editId="43AACA25">
            <wp:extent cx="5943600" cy="6654800"/>
            <wp:effectExtent l="0" t="0" r="0"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5943600" cy="6654800"/>
                    </a:xfrm>
                    <a:prstGeom prst="rect">
                      <a:avLst/>
                    </a:prstGeom>
                    <a:noFill/>
                    <a:ln>
                      <a:noFill/>
                    </a:ln>
                  </pic:spPr>
                </pic:pic>
              </a:graphicData>
            </a:graphic>
          </wp:inline>
        </w:drawing>
      </w:r>
    </w:p>
    <w:p w14:paraId="1158BC5C" w14:textId="77777777" w:rsidR="002F3CF0" w:rsidRDefault="002F3CF0">
      <w:pPr>
        <w:spacing w:after="200" w:line="276" w:lineRule="auto"/>
        <w:jc w:val="left"/>
      </w:pPr>
      <w:r>
        <w:br w:type="page"/>
      </w:r>
    </w:p>
    <w:p w14:paraId="34485F07" w14:textId="3E050614" w:rsidR="002F3CF0" w:rsidRDefault="002F3CF0">
      <w:pPr>
        <w:spacing w:after="200" w:line="276" w:lineRule="auto"/>
        <w:jc w:val="left"/>
      </w:pPr>
      <w:r w:rsidRPr="002F3CF0">
        <w:rPr>
          <w:noProof/>
        </w:rPr>
        <w:drawing>
          <wp:inline distT="0" distB="0" distL="0" distR="0" wp14:anchorId="7B06411E" wp14:editId="670CC6D2">
            <wp:extent cx="5943600" cy="7112000"/>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61C70CB9" w14:textId="77777777" w:rsidR="002F3CF0" w:rsidRDefault="002F3CF0">
      <w:pPr>
        <w:spacing w:after="200" w:line="276" w:lineRule="auto"/>
        <w:jc w:val="left"/>
      </w:pPr>
      <w:r>
        <w:br w:type="page"/>
      </w:r>
    </w:p>
    <w:p w14:paraId="77074C57" w14:textId="22C5A500" w:rsidR="002F3CF0" w:rsidRDefault="002F3CF0">
      <w:pPr>
        <w:spacing w:after="200" w:line="276" w:lineRule="auto"/>
        <w:jc w:val="left"/>
      </w:pPr>
      <w:r w:rsidRPr="002F3CF0">
        <w:rPr>
          <w:noProof/>
        </w:rPr>
        <w:drawing>
          <wp:inline distT="0" distB="0" distL="0" distR="0" wp14:anchorId="2918A101" wp14:editId="57B845AE">
            <wp:extent cx="5943600" cy="6880578"/>
            <wp:effectExtent l="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5943600" cy="6880578"/>
                    </a:xfrm>
                    <a:prstGeom prst="rect">
                      <a:avLst/>
                    </a:prstGeom>
                    <a:noFill/>
                    <a:ln>
                      <a:noFill/>
                    </a:ln>
                  </pic:spPr>
                </pic:pic>
              </a:graphicData>
            </a:graphic>
          </wp:inline>
        </w:drawing>
      </w:r>
    </w:p>
    <w:p w14:paraId="1357AFCB" w14:textId="77777777" w:rsidR="002F3CF0" w:rsidRDefault="002F3CF0">
      <w:pPr>
        <w:spacing w:after="200" w:line="276" w:lineRule="auto"/>
        <w:jc w:val="left"/>
      </w:pPr>
      <w:r>
        <w:br w:type="page"/>
      </w:r>
    </w:p>
    <w:p w14:paraId="14C3BAF8" w14:textId="65BB31E4" w:rsidR="002F3CF0" w:rsidRDefault="002F3CF0">
      <w:pPr>
        <w:spacing w:after="200" w:line="276" w:lineRule="auto"/>
        <w:jc w:val="left"/>
      </w:pPr>
      <w:r w:rsidRPr="002F3CF0">
        <w:rPr>
          <w:noProof/>
        </w:rPr>
        <w:drawing>
          <wp:inline distT="0" distB="0" distL="0" distR="0" wp14:anchorId="5E25B09F" wp14:editId="7D08F5F9">
            <wp:extent cx="5943600" cy="7112000"/>
            <wp:effectExtent l="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5975EB4B" w14:textId="77777777" w:rsidR="002F3CF0" w:rsidRDefault="002F3CF0">
      <w:pPr>
        <w:spacing w:after="200" w:line="276" w:lineRule="auto"/>
        <w:jc w:val="left"/>
      </w:pPr>
      <w:r>
        <w:br w:type="page"/>
      </w:r>
    </w:p>
    <w:p w14:paraId="10867AC5" w14:textId="07167F4C" w:rsidR="002F3CF0" w:rsidRDefault="002F3CF0">
      <w:pPr>
        <w:spacing w:after="200" w:line="276" w:lineRule="auto"/>
        <w:jc w:val="left"/>
      </w:pPr>
      <w:r w:rsidRPr="002F3CF0">
        <w:rPr>
          <w:noProof/>
        </w:rPr>
        <w:drawing>
          <wp:inline distT="0" distB="0" distL="0" distR="0" wp14:anchorId="3F99E7D3" wp14:editId="3AC8C09B">
            <wp:extent cx="5943600" cy="6880578"/>
            <wp:effectExtent l="0" t="0" r="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5943600" cy="6880578"/>
                    </a:xfrm>
                    <a:prstGeom prst="rect">
                      <a:avLst/>
                    </a:prstGeom>
                    <a:noFill/>
                    <a:ln>
                      <a:noFill/>
                    </a:ln>
                  </pic:spPr>
                </pic:pic>
              </a:graphicData>
            </a:graphic>
          </wp:inline>
        </w:drawing>
      </w:r>
    </w:p>
    <w:p w14:paraId="051E3D16" w14:textId="77777777" w:rsidR="002F3CF0" w:rsidRDefault="002F3CF0">
      <w:pPr>
        <w:spacing w:after="200" w:line="276" w:lineRule="auto"/>
        <w:jc w:val="left"/>
      </w:pPr>
      <w:r>
        <w:br w:type="page"/>
      </w:r>
    </w:p>
    <w:p w14:paraId="504B856A" w14:textId="50504C12" w:rsidR="002F3CF0" w:rsidRDefault="002F3CF0">
      <w:pPr>
        <w:spacing w:after="200" w:line="276" w:lineRule="auto"/>
        <w:jc w:val="left"/>
      </w:pPr>
      <w:r w:rsidRPr="002F3CF0">
        <w:rPr>
          <w:noProof/>
        </w:rPr>
        <w:drawing>
          <wp:inline distT="0" distB="0" distL="0" distR="0" wp14:anchorId="19A00715" wp14:editId="61F8CDD1">
            <wp:extent cx="5943600" cy="7112000"/>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3383400E" w14:textId="77777777" w:rsidR="002F3CF0" w:rsidRDefault="002F3CF0">
      <w:pPr>
        <w:spacing w:after="200" w:line="276" w:lineRule="auto"/>
        <w:jc w:val="left"/>
      </w:pPr>
      <w:r>
        <w:br w:type="page"/>
      </w:r>
    </w:p>
    <w:p w14:paraId="57D95C98" w14:textId="7CC52922" w:rsidR="002F3CF0" w:rsidRDefault="002F3CF0">
      <w:pPr>
        <w:spacing w:after="200" w:line="276" w:lineRule="auto"/>
        <w:jc w:val="left"/>
      </w:pPr>
      <w:r w:rsidRPr="002F3CF0">
        <w:rPr>
          <w:noProof/>
        </w:rPr>
        <w:drawing>
          <wp:inline distT="0" distB="0" distL="0" distR="0" wp14:anchorId="358A7D79" wp14:editId="36D200E6">
            <wp:extent cx="5943600" cy="7112000"/>
            <wp:effectExtent l="0" t="0" r="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32C7EFFE" w14:textId="77777777" w:rsidR="002F3CF0" w:rsidRDefault="002F3CF0">
      <w:pPr>
        <w:spacing w:after="200" w:line="276" w:lineRule="auto"/>
        <w:jc w:val="left"/>
      </w:pPr>
      <w:r>
        <w:br w:type="page"/>
      </w:r>
    </w:p>
    <w:p w14:paraId="52922EBC" w14:textId="17A15BFF" w:rsidR="002F3CF0" w:rsidRDefault="002F3CF0">
      <w:pPr>
        <w:spacing w:after="200" w:line="276" w:lineRule="auto"/>
        <w:jc w:val="left"/>
      </w:pPr>
      <w:r w:rsidRPr="002F3CF0">
        <w:rPr>
          <w:noProof/>
        </w:rPr>
        <w:drawing>
          <wp:inline distT="0" distB="0" distL="0" distR="0" wp14:anchorId="508FF98B" wp14:editId="4DC2E021">
            <wp:extent cx="5943600" cy="6880578"/>
            <wp:effectExtent l="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5943600" cy="6880578"/>
                    </a:xfrm>
                    <a:prstGeom prst="rect">
                      <a:avLst/>
                    </a:prstGeom>
                    <a:noFill/>
                    <a:ln>
                      <a:noFill/>
                    </a:ln>
                  </pic:spPr>
                </pic:pic>
              </a:graphicData>
            </a:graphic>
          </wp:inline>
        </w:drawing>
      </w:r>
    </w:p>
    <w:p w14:paraId="24531669" w14:textId="77777777" w:rsidR="002F3CF0" w:rsidRDefault="002F3CF0">
      <w:pPr>
        <w:spacing w:after="200" w:line="276" w:lineRule="auto"/>
        <w:jc w:val="left"/>
      </w:pPr>
      <w:r>
        <w:br w:type="page"/>
      </w:r>
    </w:p>
    <w:p w14:paraId="015C0055" w14:textId="0BD9ACFB" w:rsidR="002F3CF0" w:rsidRDefault="002F3CF0">
      <w:pPr>
        <w:spacing w:after="200" w:line="276" w:lineRule="auto"/>
        <w:jc w:val="left"/>
      </w:pPr>
      <w:r w:rsidRPr="002F3CF0">
        <w:rPr>
          <w:noProof/>
        </w:rPr>
        <w:drawing>
          <wp:inline distT="0" distB="0" distL="0" distR="0" wp14:anchorId="2302B9FC" wp14:editId="73058A57">
            <wp:extent cx="5943600" cy="7112000"/>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38CDD44E" w14:textId="77777777" w:rsidR="002F3CF0" w:rsidRDefault="002F3CF0">
      <w:pPr>
        <w:spacing w:after="200" w:line="276" w:lineRule="auto"/>
        <w:jc w:val="left"/>
      </w:pPr>
      <w:r>
        <w:br w:type="page"/>
      </w:r>
    </w:p>
    <w:p w14:paraId="0EE173EF" w14:textId="4AE42D86" w:rsidR="002F3CF0" w:rsidRDefault="002F3CF0">
      <w:pPr>
        <w:spacing w:after="200" w:line="276" w:lineRule="auto"/>
        <w:jc w:val="left"/>
      </w:pPr>
      <w:r w:rsidRPr="002F3CF0">
        <w:rPr>
          <w:noProof/>
        </w:rPr>
        <w:drawing>
          <wp:inline distT="0" distB="0" distL="0" distR="0" wp14:anchorId="1EEE8209" wp14:editId="14614BFD">
            <wp:extent cx="5943600" cy="6880578"/>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5943600" cy="6880578"/>
                    </a:xfrm>
                    <a:prstGeom prst="rect">
                      <a:avLst/>
                    </a:prstGeom>
                    <a:noFill/>
                    <a:ln>
                      <a:noFill/>
                    </a:ln>
                  </pic:spPr>
                </pic:pic>
              </a:graphicData>
            </a:graphic>
          </wp:inline>
        </w:drawing>
      </w:r>
    </w:p>
    <w:p w14:paraId="2EB34473" w14:textId="77777777" w:rsidR="002F3CF0" w:rsidRDefault="002F3CF0">
      <w:pPr>
        <w:spacing w:after="200" w:line="276" w:lineRule="auto"/>
        <w:jc w:val="left"/>
      </w:pPr>
      <w:r>
        <w:br w:type="page"/>
      </w:r>
    </w:p>
    <w:p w14:paraId="1C92C96D" w14:textId="6864B719" w:rsidR="002F3CF0" w:rsidRDefault="002F3CF0">
      <w:pPr>
        <w:spacing w:after="200" w:line="276" w:lineRule="auto"/>
        <w:jc w:val="left"/>
      </w:pPr>
      <w:r w:rsidRPr="002F3CF0">
        <w:rPr>
          <w:noProof/>
        </w:rPr>
        <w:drawing>
          <wp:inline distT="0" distB="0" distL="0" distR="0" wp14:anchorId="175E33A8" wp14:editId="6B31E57D">
            <wp:extent cx="5943600" cy="7112000"/>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7AD11E2F" w14:textId="77777777" w:rsidR="002F3CF0" w:rsidRDefault="002F3CF0">
      <w:pPr>
        <w:spacing w:after="200" w:line="276" w:lineRule="auto"/>
        <w:jc w:val="left"/>
      </w:pPr>
      <w:r>
        <w:br w:type="page"/>
      </w:r>
    </w:p>
    <w:p w14:paraId="01B58683" w14:textId="704E9821" w:rsidR="002F3CF0" w:rsidRDefault="002F3CF0">
      <w:pPr>
        <w:spacing w:after="200" w:line="276" w:lineRule="auto"/>
        <w:jc w:val="left"/>
      </w:pPr>
      <w:r w:rsidRPr="002F3CF0">
        <w:rPr>
          <w:noProof/>
        </w:rPr>
        <w:drawing>
          <wp:inline distT="0" distB="0" distL="0" distR="0" wp14:anchorId="41136443" wp14:editId="5AE30979">
            <wp:extent cx="5943600" cy="7112000"/>
            <wp:effectExtent l="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122F12AB" w14:textId="77777777" w:rsidR="002F3CF0" w:rsidRDefault="002F3CF0">
      <w:pPr>
        <w:spacing w:after="200" w:line="276" w:lineRule="auto"/>
        <w:jc w:val="left"/>
      </w:pPr>
      <w:r>
        <w:br w:type="page"/>
      </w:r>
    </w:p>
    <w:p w14:paraId="58A51A56" w14:textId="61FEF7F7" w:rsidR="002F3CF0" w:rsidRDefault="002F3CF0">
      <w:pPr>
        <w:spacing w:after="200" w:line="276" w:lineRule="auto"/>
        <w:jc w:val="left"/>
      </w:pPr>
      <w:r w:rsidRPr="002F3CF0">
        <w:rPr>
          <w:noProof/>
        </w:rPr>
        <w:drawing>
          <wp:inline distT="0" distB="0" distL="0" distR="0" wp14:anchorId="1813CDDC" wp14:editId="059D0AE9">
            <wp:extent cx="5943600" cy="6423378"/>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5943600" cy="6423378"/>
                    </a:xfrm>
                    <a:prstGeom prst="rect">
                      <a:avLst/>
                    </a:prstGeom>
                    <a:noFill/>
                    <a:ln>
                      <a:noFill/>
                    </a:ln>
                  </pic:spPr>
                </pic:pic>
              </a:graphicData>
            </a:graphic>
          </wp:inline>
        </w:drawing>
      </w:r>
    </w:p>
    <w:p w14:paraId="0D7B9EA4" w14:textId="77777777" w:rsidR="002F3CF0" w:rsidRDefault="002F3CF0">
      <w:pPr>
        <w:spacing w:after="200" w:line="276" w:lineRule="auto"/>
        <w:jc w:val="left"/>
      </w:pPr>
      <w:r>
        <w:br w:type="page"/>
      </w:r>
    </w:p>
    <w:p w14:paraId="171304F4" w14:textId="5241FC52" w:rsidR="002F3CF0" w:rsidRDefault="002F3CF0">
      <w:pPr>
        <w:spacing w:after="200" w:line="276" w:lineRule="auto"/>
        <w:jc w:val="left"/>
      </w:pPr>
      <w:r w:rsidRPr="002F3CF0">
        <w:rPr>
          <w:noProof/>
        </w:rPr>
        <w:drawing>
          <wp:inline distT="0" distB="0" distL="0" distR="0" wp14:anchorId="215F6A3C" wp14:editId="782D1F58">
            <wp:extent cx="5943600" cy="7112000"/>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4879C43C" w14:textId="77777777" w:rsidR="002F3CF0" w:rsidRDefault="002F3CF0">
      <w:pPr>
        <w:spacing w:after="200" w:line="276" w:lineRule="auto"/>
        <w:jc w:val="left"/>
      </w:pPr>
      <w:r>
        <w:br w:type="page"/>
      </w:r>
    </w:p>
    <w:p w14:paraId="007E15B6" w14:textId="3F706FE3" w:rsidR="002F3CF0" w:rsidRDefault="002F3CF0">
      <w:pPr>
        <w:spacing w:after="200" w:line="276" w:lineRule="auto"/>
        <w:jc w:val="left"/>
      </w:pPr>
      <w:r w:rsidRPr="002F3CF0">
        <w:rPr>
          <w:noProof/>
        </w:rPr>
        <w:drawing>
          <wp:inline distT="0" distB="0" distL="0" distR="0" wp14:anchorId="5B68315D" wp14:editId="26796DF4">
            <wp:extent cx="5943600" cy="6880578"/>
            <wp:effectExtent l="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5943600" cy="6880578"/>
                    </a:xfrm>
                    <a:prstGeom prst="rect">
                      <a:avLst/>
                    </a:prstGeom>
                    <a:noFill/>
                    <a:ln>
                      <a:noFill/>
                    </a:ln>
                  </pic:spPr>
                </pic:pic>
              </a:graphicData>
            </a:graphic>
          </wp:inline>
        </w:drawing>
      </w:r>
    </w:p>
    <w:p w14:paraId="57812444" w14:textId="77777777" w:rsidR="002F3CF0" w:rsidRDefault="002F3CF0">
      <w:pPr>
        <w:spacing w:after="200" w:line="276" w:lineRule="auto"/>
        <w:jc w:val="left"/>
      </w:pPr>
      <w:r>
        <w:br w:type="page"/>
      </w:r>
    </w:p>
    <w:p w14:paraId="5E26B3FA" w14:textId="03BD7208" w:rsidR="002F3CF0" w:rsidRDefault="002F3CF0">
      <w:pPr>
        <w:spacing w:after="200" w:line="276" w:lineRule="auto"/>
        <w:jc w:val="left"/>
      </w:pPr>
      <w:r w:rsidRPr="002F3CF0">
        <w:rPr>
          <w:noProof/>
        </w:rPr>
        <w:drawing>
          <wp:inline distT="0" distB="0" distL="0" distR="0" wp14:anchorId="7EDE65A7" wp14:editId="6639F191">
            <wp:extent cx="5943600" cy="7112000"/>
            <wp:effectExtent l="0" t="0" r="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15CC3DA7" w14:textId="77777777" w:rsidR="002F3CF0" w:rsidRDefault="002F3CF0">
      <w:pPr>
        <w:spacing w:after="200" w:line="276" w:lineRule="auto"/>
        <w:jc w:val="left"/>
      </w:pPr>
      <w:r>
        <w:br w:type="page"/>
      </w:r>
    </w:p>
    <w:p w14:paraId="146C058A" w14:textId="571BCD54" w:rsidR="002F3CF0" w:rsidRDefault="002F3CF0">
      <w:pPr>
        <w:spacing w:after="200" w:line="276" w:lineRule="auto"/>
        <w:jc w:val="left"/>
      </w:pPr>
      <w:r w:rsidRPr="002F3CF0">
        <w:rPr>
          <w:noProof/>
        </w:rPr>
        <w:drawing>
          <wp:inline distT="0" distB="0" distL="0" distR="0" wp14:anchorId="586843C5" wp14:editId="11867444">
            <wp:extent cx="5943600" cy="6880578"/>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5943600" cy="6880578"/>
                    </a:xfrm>
                    <a:prstGeom prst="rect">
                      <a:avLst/>
                    </a:prstGeom>
                    <a:noFill/>
                    <a:ln>
                      <a:noFill/>
                    </a:ln>
                  </pic:spPr>
                </pic:pic>
              </a:graphicData>
            </a:graphic>
          </wp:inline>
        </w:drawing>
      </w:r>
    </w:p>
    <w:p w14:paraId="60A0FC76" w14:textId="77777777" w:rsidR="002F3CF0" w:rsidRDefault="002F3CF0">
      <w:pPr>
        <w:spacing w:after="200" w:line="276" w:lineRule="auto"/>
        <w:jc w:val="left"/>
      </w:pPr>
      <w:r>
        <w:br w:type="page"/>
      </w:r>
    </w:p>
    <w:p w14:paraId="4F78B6C9" w14:textId="71DF0873" w:rsidR="00017838" w:rsidRDefault="002F3CF0">
      <w:pPr>
        <w:spacing w:after="200" w:line="276" w:lineRule="auto"/>
        <w:jc w:val="left"/>
      </w:pPr>
      <w:r w:rsidRPr="002F3CF0">
        <w:rPr>
          <w:noProof/>
        </w:rPr>
        <w:drawing>
          <wp:inline distT="0" distB="0" distL="0" distR="0" wp14:anchorId="624E3519" wp14:editId="6C56CB7B">
            <wp:extent cx="5943600" cy="7112000"/>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1454130D" w14:textId="77777777" w:rsidR="00017838" w:rsidRDefault="00017838">
      <w:pPr>
        <w:spacing w:after="200" w:line="276" w:lineRule="auto"/>
        <w:jc w:val="left"/>
      </w:pPr>
      <w:r>
        <w:br w:type="page"/>
      </w:r>
    </w:p>
    <w:p w14:paraId="3AF620A8" w14:textId="30532165" w:rsidR="00017838" w:rsidRDefault="00017838">
      <w:pPr>
        <w:spacing w:after="200" w:line="276" w:lineRule="auto"/>
        <w:jc w:val="left"/>
      </w:pPr>
      <w:r w:rsidRPr="00017838">
        <w:rPr>
          <w:noProof/>
        </w:rPr>
        <w:drawing>
          <wp:inline distT="0" distB="0" distL="0" distR="0" wp14:anchorId="65A0FBE4" wp14:editId="2A6AD0B9">
            <wp:extent cx="5943600" cy="7112000"/>
            <wp:effectExtent l="0" t="0" r="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0034F8EF" w14:textId="77777777" w:rsidR="00017838" w:rsidRDefault="00017838">
      <w:pPr>
        <w:spacing w:after="200" w:line="276" w:lineRule="auto"/>
        <w:jc w:val="left"/>
      </w:pPr>
      <w:r>
        <w:br w:type="page"/>
      </w:r>
    </w:p>
    <w:p w14:paraId="42C9BE79" w14:textId="56EEB584" w:rsidR="00017838" w:rsidRDefault="00017838">
      <w:pPr>
        <w:spacing w:after="200" w:line="276" w:lineRule="auto"/>
        <w:jc w:val="left"/>
      </w:pPr>
      <w:r w:rsidRPr="00017838">
        <w:rPr>
          <w:noProof/>
        </w:rPr>
        <w:drawing>
          <wp:inline distT="0" distB="0" distL="0" distR="0" wp14:anchorId="45B4E817" wp14:editId="388E80BB">
            <wp:extent cx="5943600" cy="6880578"/>
            <wp:effectExtent l="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5943600" cy="6880578"/>
                    </a:xfrm>
                    <a:prstGeom prst="rect">
                      <a:avLst/>
                    </a:prstGeom>
                    <a:noFill/>
                    <a:ln>
                      <a:noFill/>
                    </a:ln>
                  </pic:spPr>
                </pic:pic>
              </a:graphicData>
            </a:graphic>
          </wp:inline>
        </w:drawing>
      </w:r>
    </w:p>
    <w:p w14:paraId="1EB66C76" w14:textId="77777777" w:rsidR="00017838" w:rsidRDefault="00017838">
      <w:pPr>
        <w:spacing w:after="200" w:line="276" w:lineRule="auto"/>
        <w:jc w:val="left"/>
      </w:pPr>
      <w:r>
        <w:br w:type="page"/>
      </w:r>
    </w:p>
    <w:p w14:paraId="1712353B" w14:textId="0D9F46AC" w:rsidR="00017838" w:rsidRDefault="00017838">
      <w:pPr>
        <w:spacing w:after="200" w:line="276" w:lineRule="auto"/>
        <w:jc w:val="left"/>
      </w:pPr>
      <w:r w:rsidRPr="00017838">
        <w:rPr>
          <w:noProof/>
        </w:rPr>
        <w:drawing>
          <wp:inline distT="0" distB="0" distL="0" distR="0" wp14:anchorId="567CFA16" wp14:editId="1A43156D">
            <wp:extent cx="5943600" cy="7112000"/>
            <wp:effectExtent l="0" t="0" r="0"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3266F154" w14:textId="77777777" w:rsidR="00017838" w:rsidRDefault="00017838">
      <w:pPr>
        <w:spacing w:after="200" w:line="276" w:lineRule="auto"/>
        <w:jc w:val="left"/>
      </w:pPr>
      <w:r>
        <w:br w:type="page"/>
      </w:r>
    </w:p>
    <w:p w14:paraId="696ED936" w14:textId="3EB59411" w:rsidR="00017838" w:rsidRDefault="00017838">
      <w:pPr>
        <w:spacing w:after="200" w:line="276" w:lineRule="auto"/>
        <w:jc w:val="left"/>
      </w:pPr>
      <w:r w:rsidRPr="00017838">
        <w:rPr>
          <w:noProof/>
        </w:rPr>
        <w:drawing>
          <wp:inline distT="0" distB="0" distL="0" distR="0" wp14:anchorId="36A2D4C1" wp14:editId="13649FFC">
            <wp:extent cx="5943600" cy="6880578"/>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5943600" cy="6880578"/>
                    </a:xfrm>
                    <a:prstGeom prst="rect">
                      <a:avLst/>
                    </a:prstGeom>
                    <a:noFill/>
                    <a:ln>
                      <a:noFill/>
                    </a:ln>
                  </pic:spPr>
                </pic:pic>
              </a:graphicData>
            </a:graphic>
          </wp:inline>
        </w:drawing>
      </w:r>
    </w:p>
    <w:p w14:paraId="56FE3567" w14:textId="77777777" w:rsidR="00017838" w:rsidRDefault="00017838">
      <w:pPr>
        <w:spacing w:after="200" w:line="276" w:lineRule="auto"/>
        <w:jc w:val="left"/>
      </w:pPr>
      <w:r>
        <w:br w:type="page"/>
      </w:r>
    </w:p>
    <w:p w14:paraId="4C0517D1" w14:textId="7849BE7A" w:rsidR="00342D32" w:rsidRDefault="00342D32">
      <w:pPr>
        <w:spacing w:after="200" w:line="276" w:lineRule="auto"/>
        <w:jc w:val="left"/>
      </w:pPr>
      <w:r w:rsidRPr="00342D32">
        <w:rPr>
          <w:noProof/>
        </w:rPr>
        <w:drawing>
          <wp:inline distT="0" distB="0" distL="0" distR="0" wp14:anchorId="12A2976C" wp14:editId="5C4BE884">
            <wp:extent cx="5943600" cy="7112000"/>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5943600" cy="7112000"/>
                    </a:xfrm>
                    <a:prstGeom prst="rect">
                      <a:avLst/>
                    </a:prstGeom>
                    <a:noFill/>
                    <a:ln>
                      <a:noFill/>
                    </a:ln>
                  </pic:spPr>
                </pic:pic>
              </a:graphicData>
            </a:graphic>
          </wp:inline>
        </w:drawing>
      </w:r>
    </w:p>
    <w:p w14:paraId="401D4D53" w14:textId="77777777" w:rsidR="00342D32" w:rsidRDefault="00342D32">
      <w:pPr>
        <w:spacing w:after="200" w:line="276" w:lineRule="auto"/>
        <w:jc w:val="left"/>
      </w:pPr>
      <w:r>
        <w:br w:type="page"/>
      </w:r>
    </w:p>
    <w:p w14:paraId="11CA4986" w14:textId="77777777" w:rsidR="00B10FB7" w:rsidRDefault="00B10FB7" w:rsidP="00B10FB7">
      <w:pPr>
        <w:pStyle w:val="Heading1"/>
        <w:jc w:val="left"/>
        <w:rPr>
          <w:rFonts w:ascii="Arial" w:hAnsi="Arial" w:cs="Arial"/>
          <w:b/>
          <w:color w:val="auto"/>
        </w:rPr>
      </w:pPr>
      <w:bookmarkStart w:id="332" w:name="_Toc535495678"/>
      <w:r>
        <w:rPr>
          <w:rFonts w:ascii="Arial" w:hAnsi="Arial" w:cs="Arial"/>
          <w:b/>
          <w:color w:val="auto"/>
        </w:rPr>
        <w:t>9.3</w:t>
      </w:r>
      <w:r w:rsidRPr="00CA3008">
        <w:rPr>
          <w:rFonts w:ascii="Arial" w:hAnsi="Arial" w:cs="Arial"/>
          <w:b/>
          <w:color w:val="auto"/>
        </w:rPr>
        <w:tab/>
      </w:r>
      <w:r>
        <w:rPr>
          <w:rFonts w:ascii="Arial" w:hAnsi="Arial" w:cs="Arial"/>
          <w:b/>
          <w:color w:val="auto"/>
        </w:rPr>
        <w:t>ACTUAL &amp; EXPECTED INTERRUPTIBLE DEMAND</w:t>
      </w:r>
      <w:bookmarkEnd w:id="332"/>
    </w:p>
    <w:p w14:paraId="18735DDE" w14:textId="77777777" w:rsidR="00B10FB7" w:rsidRDefault="00B10FB7" w:rsidP="00B10FB7">
      <w:pPr>
        <w:jc w:val="left"/>
      </w:pPr>
    </w:p>
    <w:p w14:paraId="1CE4CC5E" w14:textId="243E4ACF" w:rsidR="003C274F" w:rsidRDefault="00B10FB7" w:rsidP="00B81C22">
      <w:pPr>
        <w:jc w:val="left"/>
      </w:pPr>
      <w:r w:rsidRPr="00B10FB7">
        <w:t xml:space="preserve">Attachment 9.3-1: Budget </w:t>
      </w:r>
      <w:r w:rsidR="002E5949" w:rsidRPr="00B10FB7">
        <w:t>20</w:t>
      </w:r>
      <w:r w:rsidR="002E5949">
        <w:t>19</w:t>
      </w:r>
      <w:r w:rsidR="002E5949" w:rsidRPr="00B10FB7">
        <w:t xml:space="preserve"> </w:t>
      </w:r>
      <w:r w:rsidRPr="00B10FB7">
        <w:t>Actual &amp; Expected Interruptible Demand</w:t>
      </w:r>
    </w:p>
    <w:p w14:paraId="04C89D9A" w14:textId="77777777" w:rsidR="000F291D" w:rsidRDefault="000F291D" w:rsidP="00B81C22">
      <w:pPr>
        <w:jc w:val="left"/>
      </w:pPr>
    </w:p>
    <w:p w14:paraId="1080E6E7" w14:textId="01CFC47C" w:rsidR="003C274F" w:rsidRDefault="00342D32" w:rsidP="008329E7">
      <w:r w:rsidRPr="00342D32">
        <w:rPr>
          <w:noProof/>
        </w:rPr>
        <w:drawing>
          <wp:inline distT="0" distB="0" distL="0" distR="0" wp14:anchorId="7496AABA" wp14:editId="332732AC">
            <wp:extent cx="4429125" cy="5181600"/>
            <wp:effectExtent l="0" t="0" r="9525"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4429125" cy="5181600"/>
                    </a:xfrm>
                    <a:prstGeom prst="rect">
                      <a:avLst/>
                    </a:prstGeom>
                    <a:noFill/>
                    <a:ln>
                      <a:noFill/>
                    </a:ln>
                  </pic:spPr>
                </pic:pic>
              </a:graphicData>
            </a:graphic>
          </wp:inline>
        </w:drawing>
      </w:r>
    </w:p>
    <w:p w14:paraId="4113C866" w14:textId="429D902F" w:rsidR="00C43390" w:rsidRDefault="00C43390" w:rsidP="00B81C22">
      <w:pPr>
        <w:jc w:val="left"/>
      </w:pPr>
    </w:p>
    <w:p w14:paraId="3C26DA99" w14:textId="56CCEB1F" w:rsidR="00B10FB7" w:rsidRDefault="00B10FB7" w:rsidP="00B81C22">
      <w:pPr>
        <w:jc w:val="left"/>
        <w:rPr>
          <w:b w:val="0"/>
        </w:rPr>
      </w:pPr>
    </w:p>
    <w:p w14:paraId="7395121F" w14:textId="77777777" w:rsidR="00134312" w:rsidRDefault="00134312" w:rsidP="00B81C22">
      <w:pPr>
        <w:jc w:val="left"/>
        <w:rPr>
          <w:b w:val="0"/>
        </w:rPr>
      </w:pPr>
    </w:p>
    <w:p w14:paraId="399CFFA4" w14:textId="54F0B29D" w:rsidR="00A40E5E" w:rsidRPr="00A40E5E" w:rsidRDefault="00A40E5E" w:rsidP="00A40E5E">
      <w:pPr>
        <w:pStyle w:val="Heading1"/>
        <w:jc w:val="left"/>
        <w:rPr>
          <w:rFonts w:ascii="Arial" w:hAnsi="Arial" w:cs="Arial"/>
          <w:b/>
          <w:color w:val="auto"/>
        </w:rPr>
      </w:pPr>
      <w:bookmarkStart w:id="333" w:name="_Toc347120482"/>
      <w:bookmarkStart w:id="334" w:name="_Toc535495679"/>
      <w:bookmarkStart w:id="335" w:name="_Toc497031916"/>
      <w:bookmarkStart w:id="336" w:name="_Toc503665910"/>
      <w:bookmarkStart w:id="337" w:name="_Toc59359839"/>
      <w:r w:rsidRPr="00A40E5E">
        <w:rPr>
          <w:rFonts w:ascii="Arial" w:hAnsi="Arial" w:cs="Arial"/>
          <w:b/>
          <w:color w:val="auto"/>
        </w:rPr>
        <w:t>9.4</w:t>
      </w:r>
      <w:r w:rsidRPr="00A40E5E">
        <w:rPr>
          <w:rFonts w:ascii="Arial" w:hAnsi="Arial" w:cs="Arial"/>
          <w:b/>
          <w:color w:val="auto"/>
        </w:rPr>
        <w:tab/>
        <w:t>EVALUATION OF PREVIOUS FORECASTS</w:t>
      </w:r>
      <w:bookmarkEnd w:id="333"/>
      <w:bookmarkEnd w:id="334"/>
      <w:r w:rsidRPr="00A40E5E">
        <w:rPr>
          <w:rFonts w:ascii="Arial" w:hAnsi="Arial" w:cs="Arial"/>
          <w:b/>
          <w:color w:val="auto"/>
        </w:rPr>
        <w:t xml:space="preserve"> </w:t>
      </w:r>
      <w:bookmarkEnd w:id="335"/>
      <w:bookmarkEnd w:id="336"/>
      <w:bookmarkEnd w:id="337"/>
    </w:p>
    <w:p w14:paraId="57080B2C" w14:textId="77777777" w:rsidR="00A40E5E" w:rsidRPr="00A40E5E" w:rsidRDefault="00A40E5E" w:rsidP="00A40E5E">
      <w:pPr>
        <w:pStyle w:val="BodyText"/>
        <w:spacing w:line="360" w:lineRule="auto"/>
        <w:jc w:val="left"/>
        <w:rPr>
          <w:b w:val="0"/>
        </w:rPr>
      </w:pPr>
    </w:p>
    <w:p w14:paraId="6AA17398" w14:textId="571BAF45" w:rsidR="00A40E5E" w:rsidRPr="00A40E5E" w:rsidRDefault="00A40E5E" w:rsidP="00714556">
      <w:pPr>
        <w:pStyle w:val="BodyText"/>
        <w:spacing w:line="360" w:lineRule="auto"/>
        <w:jc w:val="both"/>
        <w:rPr>
          <w:b w:val="0"/>
        </w:rPr>
      </w:pPr>
      <w:r w:rsidRPr="00A40E5E">
        <w:rPr>
          <w:b w:val="0"/>
        </w:rPr>
        <w:t xml:space="preserve">This section describes an evaluation of the last four forecasts developed over the past five years. This includes Budget </w:t>
      </w:r>
      <w:r w:rsidR="00397710" w:rsidRPr="00A40E5E">
        <w:rPr>
          <w:b w:val="0"/>
        </w:rPr>
        <w:t>20</w:t>
      </w:r>
      <w:r w:rsidR="00397710">
        <w:rPr>
          <w:b w:val="0"/>
        </w:rPr>
        <w:t>15</w:t>
      </w:r>
      <w:r w:rsidRPr="00A40E5E">
        <w:rPr>
          <w:b w:val="0"/>
        </w:rPr>
        <w:t xml:space="preserve">, Budget </w:t>
      </w:r>
      <w:r w:rsidR="00397710" w:rsidRPr="00A40E5E">
        <w:rPr>
          <w:b w:val="0"/>
        </w:rPr>
        <w:t>20</w:t>
      </w:r>
      <w:r w:rsidR="00397710">
        <w:rPr>
          <w:b w:val="0"/>
        </w:rPr>
        <w:t>16</w:t>
      </w:r>
      <w:r w:rsidRPr="00A40E5E">
        <w:rPr>
          <w:b w:val="0"/>
        </w:rPr>
        <w:t xml:space="preserve">, Budget </w:t>
      </w:r>
      <w:r w:rsidR="00397710" w:rsidRPr="00A40E5E">
        <w:rPr>
          <w:b w:val="0"/>
        </w:rPr>
        <w:t>20</w:t>
      </w:r>
      <w:r w:rsidR="00397710">
        <w:rPr>
          <w:b w:val="0"/>
        </w:rPr>
        <w:t>17</w:t>
      </w:r>
      <w:r w:rsidRPr="00A40E5E">
        <w:rPr>
          <w:b w:val="0"/>
        </w:rPr>
        <w:t xml:space="preserve">, and Budget </w:t>
      </w:r>
      <w:r w:rsidR="00397710" w:rsidRPr="00A40E5E">
        <w:rPr>
          <w:b w:val="0"/>
        </w:rPr>
        <w:t>20</w:t>
      </w:r>
      <w:r w:rsidR="00397710">
        <w:rPr>
          <w:b w:val="0"/>
        </w:rPr>
        <w:t>18</w:t>
      </w:r>
      <w:r w:rsidRPr="00A40E5E">
        <w:rPr>
          <w:b w:val="0"/>
        </w:rPr>
        <w:t>. This section will show comparisons of actual and weather normalized energy and demand to the various Budgets. This section will also give a qualitative assessment of the general changes that were made in the development of each forecast and the specific major changes that have been made in the development of recent forecasts.</w:t>
      </w:r>
    </w:p>
    <w:p w14:paraId="4EDC7B8A" w14:textId="77777777" w:rsidR="00A40E5E" w:rsidRPr="00A40E5E" w:rsidRDefault="00A40E5E" w:rsidP="00714556">
      <w:pPr>
        <w:pStyle w:val="BodyText"/>
        <w:spacing w:line="360" w:lineRule="auto"/>
        <w:jc w:val="both"/>
        <w:rPr>
          <w:b w:val="0"/>
        </w:rPr>
      </w:pPr>
    </w:p>
    <w:p w14:paraId="7B7C377E" w14:textId="617696AE" w:rsidR="00A40E5E" w:rsidRPr="00A40E5E" w:rsidRDefault="00A40E5E" w:rsidP="00714556">
      <w:pPr>
        <w:pStyle w:val="BodyText"/>
        <w:spacing w:line="360" w:lineRule="auto"/>
        <w:jc w:val="both"/>
        <w:rPr>
          <w:b w:val="0"/>
        </w:rPr>
      </w:pPr>
      <w:r w:rsidRPr="00A40E5E">
        <w:rPr>
          <w:b w:val="0"/>
        </w:rPr>
        <w:t xml:space="preserve">Georgia Power monitors the performance of the current forecast </w:t>
      </w:r>
      <w:r w:rsidR="00C43390">
        <w:rPr>
          <w:b w:val="0"/>
        </w:rPr>
        <w:t>on a</w:t>
      </w:r>
      <w:r w:rsidRPr="00A40E5E">
        <w:rPr>
          <w:b w:val="0"/>
        </w:rPr>
        <w:t xml:space="preserve"> month</w:t>
      </w:r>
      <w:r w:rsidR="00C43390">
        <w:rPr>
          <w:b w:val="0"/>
        </w:rPr>
        <w:t>ly basis</w:t>
      </w:r>
      <w:r w:rsidRPr="00A40E5E">
        <w:rPr>
          <w:b w:val="0"/>
        </w:rPr>
        <w:t xml:space="preserve">. This is done through a forecast variance report. The monthly forecast variance report compares the forecast of class sales for the current month to the actual class sales of the current month. This report also identifies how much </w:t>
      </w:r>
      <w:r w:rsidR="00C43390">
        <w:rPr>
          <w:b w:val="0"/>
        </w:rPr>
        <w:t xml:space="preserve">of the </w:t>
      </w:r>
      <w:r w:rsidRPr="00A40E5E">
        <w:rPr>
          <w:b w:val="0"/>
        </w:rPr>
        <w:t xml:space="preserve">energy </w:t>
      </w:r>
      <w:r w:rsidR="00C43390">
        <w:rPr>
          <w:b w:val="0"/>
        </w:rPr>
        <w:t xml:space="preserve">variance </w:t>
      </w:r>
      <w:r w:rsidRPr="00A40E5E">
        <w:rPr>
          <w:b w:val="0"/>
        </w:rPr>
        <w:t xml:space="preserve">is a result of the deviation between the actual weather conditions for the month and those used in the forecast. </w:t>
      </w:r>
      <w:r w:rsidR="00E0258A">
        <w:rPr>
          <w:b w:val="0"/>
        </w:rPr>
        <w:t>A</w:t>
      </w:r>
      <w:r w:rsidRPr="00A40E5E">
        <w:rPr>
          <w:b w:val="0"/>
        </w:rPr>
        <w:t xml:space="preserve">ctual </w:t>
      </w:r>
      <w:r w:rsidR="00E0258A">
        <w:rPr>
          <w:b w:val="0"/>
        </w:rPr>
        <w:t xml:space="preserve">and weather normalized actual </w:t>
      </w:r>
      <w:r w:rsidRPr="00A40E5E">
        <w:rPr>
          <w:b w:val="0"/>
        </w:rPr>
        <w:t xml:space="preserve">sales (by class) are compared to the </w:t>
      </w:r>
      <w:r w:rsidR="00E0258A">
        <w:rPr>
          <w:b w:val="0"/>
        </w:rPr>
        <w:t xml:space="preserve">energy </w:t>
      </w:r>
      <w:r w:rsidRPr="00A40E5E">
        <w:rPr>
          <w:b w:val="0"/>
        </w:rPr>
        <w:t xml:space="preserve">forecast. These comparisons are made for the billing month and calendar month for each class. Reports of this sort help detect deviations from </w:t>
      </w:r>
      <w:r w:rsidR="00397710">
        <w:rPr>
          <w:b w:val="0"/>
        </w:rPr>
        <w:t xml:space="preserve">the </w:t>
      </w:r>
      <w:r w:rsidRPr="00A40E5E">
        <w:rPr>
          <w:b w:val="0"/>
        </w:rPr>
        <w:t xml:space="preserve">forecast and help identify discrepancies that may be systematic. </w:t>
      </w:r>
    </w:p>
    <w:p w14:paraId="6769DF39" w14:textId="77777777" w:rsidR="00A40E5E" w:rsidRPr="00A40E5E" w:rsidRDefault="00A40E5E" w:rsidP="00714556">
      <w:pPr>
        <w:pStyle w:val="BodyText"/>
        <w:spacing w:line="360" w:lineRule="auto"/>
        <w:jc w:val="both"/>
        <w:rPr>
          <w:b w:val="0"/>
        </w:rPr>
      </w:pPr>
    </w:p>
    <w:p w14:paraId="63A570AF" w14:textId="18550C8B" w:rsidR="00A40E5E" w:rsidRPr="00A40E5E" w:rsidRDefault="00A40E5E" w:rsidP="00714556">
      <w:pPr>
        <w:pStyle w:val="BodyText"/>
        <w:spacing w:line="360" w:lineRule="auto"/>
        <w:jc w:val="both"/>
        <w:rPr>
          <w:b w:val="0"/>
        </w:rPr>
      </w:pPr>
      <w:r w:rsidRPr="00A40E5E">
        <w:rPr>
          <w:b w:val="0"/>
        </w:rPr>
        <w:t>Certain changes are made from year to year in response to evaluating previous forecasts, incorporating additional information, and meeting new or enhanced informational needs. These changes are generally described in two categories: (1) general activities and procedures used to produce new forecasts and (2) specific enhancements made to improve the forecasts.</w:t>
      </w:r>
    </w:p>
    <w:p w14:paraId="5CE0E7C1" w14:textId="77777777" w:rsidR="00A40E5E" w:rsidRPr="00A40E5E" w:rsidRDefault="00A40E5E" w:rsidP="00714556">
      <w:pPr>
        <w:pStyle w:val="BodyText"/>
        <w:spacing w:line="360" w:lineRule="auto"/>
        <w:jc w:val="both"/>
        <w:rPr>
          <w:b w:val="0"/>
        </w:rPr>
      </w:pPr>
    </w:p>
    <w:p w14:paraId="3B27AC75" w14:textId="11CEF13D" w:rsidR="00A40E5E" w:rsidRDefault="00A40E5E" w:rsidP="00714556">
      <w:pPr>
        <w:pStyle w:val="BodyText"/>
        <w:spacing w:line="360" w:lineRule="auto"/>
        <w:jc w:val="both"/>
        <w:rPr>
          <w:b w:val="0"/>
        </w:rPr>
      </w:pPr>
      <w:r w:rsidRPr="00A40E5E">
        <w:rPr>
          <w:b w:val="0"/>
        </w:rPr>
        <w:t>Attachment 9.4-1 shows comparisons of actual and weather adjusted (weather normalized) energy versus budget by class of service for Georgia Power. The report contains comparisons for residential, commercial, industrial, street lighting, MARTA, retail, and territorial.</w:t>
      </w:r>
    </w:p>
    <w:p w14:paraId="7C0FDA12" w14:textId="77777777" w:rsidR="00A40E5E" w:rsidRDefault="00A40E5E" w:rsidP="00A40E5E">
      <w:pPr>
        <w:pStyle w:val="BodyText"/>
        <w:spacing w:line="360" w:lineRule="auto"/>
        <w:jc w:val="left"/>
        <w:rPr>
          <w:b w:val="0"/>
        </w:rPr>
      </w:pPr>
    </w:p>
    <w:p w14:paraId="70A82AEF" w14:textId="77777777" w:rsidR="00491040" w:rsidRDefault="00491040">
      <w:pPr>
        <w:spacing w:after="200" w:line="276" w:lineRule="auto"/>
        <w:jc w:val="left"/>
      </w:pPr>
      <w:r>
        <w:br w:type="page"/>
      </w:r>
    </w:p>
    <w:p w14:paraId="072DCF04" w14:textId="07E17DEA" w:rsidR="00A40E5E" w:rsidRDefault="00A40E5E" w:rsidP="0016698C">
      <w:pPr>
        <w:keepNext/>
        <w:widowControl w:val="0"/>
        <w:spacing w:line="360" w:lineRule="auto"/>
        <w:jc w:val="left"/>
      </w:pPr>
      <w:r>
        <w:t>Attachment 9.4-1: Energy Comparisons by Class</w:t>
      </w:r>
      <w:r w:rsidR="00DD192A">
        <w:t xml:space="preserve"> (Calendar data)</w:t>
      </w:r>
    </w:p>
    <w:p w14:paraId="036B8447" w14:textId="035105E4" w:rsidR="0016698C" w:rsidRDefault="0016698C" w:rsidP="0016698C">
      <w:pPr>
        <w:keepNext/>
        <w:widowControl w:val="0"/>
        <w:spacing w:line="360" w:lineRule="auto"/>
        <w:jc w:val="left"/>
        <w:rPr>
          <w:b w:val="0"/>
        </w:rPr>
      </w:pPr>
    </w:p>
    <w:p w14:paraId="58A387C2" w14:textId="25E39A71" w:rsidR="0088102C" w:rsidRDefault="00342D32" w:rsidP="0016698C">
      <w:pPr>
        <w:keepNext/>
        <w:widowControl w:val="0"/>
        <w:spacing w:line="360" w:lineRule="auto"/>
        <w:jc w:val="left"/>
        <w:rPr>
          <w:b w:val="0"/>
          <w:noProof/>
        </w:rPr>
      </w:pPr>
      <w:r w:rsidRPr="00342D32">
        <w:rPr>
          <w:b w:val="0"/>
          <w:noProof/>
        </w:rPr>
        <w:drawing>
          <wp:inline distT="0" distB="0" distL="0" distR="0" wp14:anchorId="6A01D193" wp14:editId="3F08343A">
            <wp:extent cx="5943600" cy="1154845"/>
            <wp:effectExtent l="0" t="0" r="0" b="762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5943600" cy="1154845"/>
                    </a:xfrm>
                    <a:prstGeom prst="rect">
                      <a:avLst/>
                    </a:prstGeom>
                    <a:noFill/>
                    <a:ln>
                      <a:noFill/>
                    </a:ln>
                  </pic:spPr>
                </pic:pic>
              </a:graphicData>
            </a:graphic>
          </wp:inline>
        </w:drawing>
      </w:r>
    </w:p>
    <w:p w14:paraId="565B9D52" w14:textId="1DC775BF" w:rsidR="00265184" w:rsidRDefault="00265184" w:rsidP="0016698C">
      <w:pPr>
        <w:keepNext/>
        <w:widowControl w:val="0"/>
        <w:spacing w:line="360" w:lineRule="auto"/>
        <w:jc w:val="left"/>
        <w:rPr>
          <w:b w:val="0"/>
        </w:rPr>
      </w:pPr>
    </w:p>
    <w:p w14:paraId="4EBE57A2" w14:textId="275097E5" w:rsidR="00A40E5E" w:rsidRDefault="00A40E5E" w:rsidP="0016698C">
      <w:pPr>
        <w:keepNext/>
        <w:widowControl w:val="0"/>
        <w:spacing w:line="360" w:lineRule="auto"/>
        <w:rPr>
          <w:b w:val="0"/>
        </w:rPr>
      </w:pPr>
    </w:p>
    <w:p w14:paraId="7734B265" w14:textId="1D88E7CF" w:rsidR="00A40E5E" w:rsidRDefault="0080046E" w:rsidP="00A40E5E">
      <w:pPr>
        <w:spacing w:line="360" w:lineRule="auto"/>
        <w:jc w:val="left"/>
        <w:rPr>
          <w:b w:val="0"/>
        </w:rPr>
      </w:pPr>
      <w:r w:rsidRPr="0080046E">
        <w:rPr>
          <w:b w:val="0"/>
          <w:noProof/>
        </w:rPr>
        <w:drawing>
          <wp:inline distT="0" distB="0" distL="0" distR="0" wp14:anchorId="238E178C" wp14:editId="7E3A3E87">
            <wp:extent cx="5943600" cy="1285727"/>
            <wp:effectExtent l="0" t="0" r="0" b="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5943600" cy="1285727"/>
                    </a:xfrm>
                    <a:prstGeom prst="rect">
                      <a:avLst/>
                    </a:prstGeom>
                    <a:noFill/>
                    <a:ln>
                      <a:noFill/>
                    </a:ln>
                  </pic:spPr>
                </pic:pic>
              </a:graphicData>
            </a:graphic>
          </wp:inline>
        </w:drawing>
      </w:r>
    </w:p>
    <w:p w14:paraId="09436608" w14:textId="347746B5" w:rsidR="000B48A6" w:rsidRDefault="000B48A6" w:rsidP="006A148D">
      <w:pPr>
        <w:spacing w:line="360" w:lineRule="auto"/>
        <w:rPr>
          <w:b w:val="0"/>
          <w:noProof/>
        </w:rPr>
      </w:pPr>
    </w:p>
    <w:p w14:paraId="3BACD702" w14:textId="2ACB12AE" w:rsidR="00A40E5E" w:rsidRDefault="00A40E5E" w:rsidP="006A148D">
      <w:pPr>
        <w:spacing w:line="360" w:lineRule="auto"/>
        <w:rPr>
          <w:b w:val="0"/>
        </w:rPr>
      </w:pPr>
    </w:p>
    <w:p w14:paraId="70C14D8D" w14:textId="71CE31D5" w:rsidR="00DD192A" w:rsidRDefault="0080046E" w:rsidP="00A40E5E">
      <w:pPr>
        <w:spacing w:line="360" w:lineRule="auto"/>
        <w:jc w:val="left"/>
        <w:rPr>
          <w:b w:val="0"/>
        </w:rPr>
      </w:pPr>
      <w:r w:rsidRPr="0080046E">
        <w:rPr>
          <w:b w:val="0"/>
          <w:noProof/>
        </w:rPr>
        <w:drawing>
          <wp:inline distT="0" distB="0" distL="0" distR="0" wp14:anchorId="178B2A62" wp14:editId="43043544">
            <wp:extent cx="5943600" cy="1154845"/>
            <wp:effectExtent l="0" t="0" r="0" b="762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5943600" cy="1154845"/>
                    </a:xfrm>
                    <a:prstGeom prst="rect">
                      <a:avLst/>
                    </a:prstGeom>
                    <a:noFill/>
                    <a:ln>
                      <a:noFill/>
                    </a:ln>
                  </pic:spPr>
                </pic:pic>
              </a:graphicData>
            </a:graphic>
          </wp:inline>
        </w:drawing>
      </w:r>
    </w:p>
    <w:p w14:paraId="1C5EDA0A" w14:textId="2EDA55B2" w:rsidR="005B3428" w:rsidRDefault="005B3428" w:rsidP="006A148D">
      <w:pPr>
        <w:spacing w:line="360" w:lineRule="auto"/>
        <w:rPr>
          <w:b w:val="0"/>
          <w:noProof/>
        </w:rPr>
      </w:pPr>
    </w:p>
    <w:p w14:paraId="42C914A8" w14:textId="684B833D" w:rsidR="00DD192A" w:rsidRDefault="00DD192A" w:rsidP="006A148D">
      <w:pPr>
        <w:spacing w:line="360" w:lineRule="auto"/>
        <w:rPr>
          <w:b w:val="0"/>
        </w:rPr>
      </w:pPr>
    </w:p>
    <w:p w14:paraId="372A4361" w14:textId="0AF74CE9" w:rsidR="00DD192A" w:rsidRDefault="0080046E" w:rsidP="00A40E5E">
      <w:pPr>
        <w:spacing w:line="360" w:lineRule="auto"/>
        <w:jc w:val="left"/>
        <w:rPr>
          <w:b w:val="0"/>
        </w:rPr>
      </w:pPr>
      <w:r w:rsidRPr="0080046E">
        <w:rPr>
          <w:b w:val="0"/>
          <w:noProof/>
        </w:rPr>
        <w:drawing>
          <wp:inline distT="0" distB="0" distL="0" distR="0" wp14:anchorId="7DEB35F1" wp14:editId="68214F0E">
            <wp:extent cx="5943600" cy="1285727"/>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5943600" cy="1285727"/>
                    </a:xfrm>
                    <a:prstGeom prst="rect">
                      <a:avLst/>
                    </a:prstGeom>
                    <a:noFill/>
                    <a:ln>
                      <a:noFill/>
                    </a:ln>
                  </pic:spPr>
                </pic:pic>
              </a:graphicData>
            </a:graphic>
          </wp:inline>
        </w:drawing>
      </w:r>
    </w:p>
    <w:p w14:paraId="5BA3EB16" w14:textId="2DCB847B" w:rsidR="005B3428" w:rsidRDefault="005B3428" w:rsidP="006A148D">
      <w:pPr>
        <w:spacing w:line="360" w:lineRule="auto"/>
        <w:rPr>
          <w:b w:val="0"/>
          <w:noProof/>
        </w:rPr>
      </w:pPr>
    </w:p>
    <w:p w14:paraId="6B67AB9D" w14:textId="0C010DCC" w:rsidR="00DD192A" w:rsidRDefault="00DD192A" w:rsidP="006A148D">
      <w:pPr>
        <w:spacing w:line="360" w:lineRule="auto"/>
        <w:rPr>
          <w:b w:val="0"/>
        </w:rPr>
      </w:pPr>
    </w:p>
    <w:p w14:paraId="032F9BE7" w14:textId="77777777" w:rsidR="006277E8" w:rsidRDefault="006277E8" w:rsidP="006A148D">
      <w:pPr>
        <w:spacing w:line="360" w:lineRule="auto"/>
        <w:rPr>
          <w:b w:val="0"/>
        </w:rPr>
      </w:pPr>
    </w:p>
    <w:p w14:paraId="49E5A917" w14:textId="7ED4DAE9" w:rsidR="005B3428" w:rsidRDefault="005B3428" w:rsidP="006A148D">
      <w:pPr>
        <w:spacing w:line="360" w:lineRule="auto"/>
        <w:rPr>
          <w:b w:val="0"/>
          <w:noProof/>
        </w:rPr>
      </w:pPr>
    </w:p>
    <w:p w14:paraId="547C95C1" w14:textId="7C6386A3" w:rsidR="00DD192A" w:rsidRDefault="00DD192A" w:rsidP="006A148D">
      <w:pPr>
        <w:spacing w:line="360" w:lineRule="auto"/>
        <w:rPr>
          <w:b w:val="0"/>
        </w:rPr>
      </w:pPr>
    </w:p>
    <w:p w14:paraId="4A89E6BB" w14:textId="77777777" w:rsidR="00DD192A" w:rsidRDefault="00DD192A" w:rsidP="00A40E5E">
      <w:pPr>
        <w:spacing w:line="360" w:lineRule="auto"/>
        <w:jc w:val="left"/>
        <w:rPr>
          <w:b w:val="0"/>
        </w:rPr>
      </w:pPr>
    </w:p>
    <w:p w14:paraId="1CEA028E" w14:textId="77777777" w:rsidR="00990564" w:rsidRDefault="00990564" w:rsidP="006A148D">
      <w:pPr>
        <w:spacing w:line="360" w:lineRule="auto"/>
        <w:rPr>
          <w:b w:val="0"/>
          <w:noProof/>
        </w:rPr>
      </w:pPr>
    </w:p>
    <w:p w14:paraId="78B83324" w14:textId="7D653B0D" w:rsidR="0088102C" w:rsidRDefault="0080046E" w:rsidP="006A148D">
      <w:pPr>
        <w:spacing w:line="360" w:lineRule="auto"/>
        <w:rPr>
          <w:b w:val="0"/>
          <w:noProof/>
        </w:rPr>
      </w:pPr>
      <w:r w:rsidRPr="0080046E">
        <w:rPr>
          <w:b w:val="0"/>
          <w:noProof/>
        </w:rPr>
        <w:drawing>
          <wp:inline distT="0" distB="0" distL="0" distR="0" wp14:anchorId="5015D3F6" wp14:editId="2045B6EE">
            <wp:extent cx="5943600" cy="1154845"/>
            <wp:effectExtent l="0" t="0" r="0" b="762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5943600" cy="1154845"/>
                    </a:xfrm>
                    <a:prstGeom prst="rect">
                      <a:avLst/>
                    </a:prstGeom>
                    <a:noFill/>
                    <a:ln>
                      <a:noFill/>
                    </a:ln>
                  </pic:spPr>
                </pic:pic>
              </a:graphicData>
            </a:graphic>
          </wp:inline>
        </w:drawing>
      </w:r>
    </w:p>
    <w:p w14:paraId="7B3A03DF" w14:textId="77777777" w:rsidR="0088102C" w:rsidRDefault="0088102C" w:rsidP="006A148D">
      <w:pPr>
        <w:spacing w:line="360" w:lineRule="auto"/>
        <w:rPr>
          <w:b w:val="0"/>
          <w:noProof/>
        </w:rPr>
      </w:pPr>
    </w:p>
    <w:p w14:paraId="2ED3FE1C" w14:textId="15C8340B" w:rsidR="0088102C" w:rsidRDefault="0088102C" w:rsidP="006A148D">
      <w:pPr>
        <w:spacing w:line="360" w:lineRule="auto"/>
        <w:rPr>
          <w:b w:val="0"/>
          <w:noProof/>
        </w:rPr>
      </w:pPr>
    </w:p>
    <w:p w14:paraId="3C81427E" w14:textId="6B4B82CD" w:rsidR="0088102C" w:rsidRDefault="0080046E" w:rsidP="006A148D">
      <w:pPr>
        <w:spacing w:line="360" w:lineRule="auto"/>
        <w:rPr>
          <w:b w:val="0"/>
          <w:noProof/>
        </w:rPr>
      </w:pPr>
      <w:r w:rsidRPr="0080046E">
        <w:rPr>
          <w:b w:val="0"/>
          <w:noProof/>
        </w:rPr>
        <w:drawing>
          <wp:inline distT="0" distB="0" distL="0" distR="0" wp14:anchorId="373F8884" wp14:editId="2F772686">
            <wp:extent cx="5943600" cy="1285727"/>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5943600" cy="1285727"/>
                    </a:xfrm>
                    <a:prstGeom prst="rect">
                      <a:avLst/>
                    </a:prstGeom>
                    <a:noFill/>
                    <a:ln>
                      <a:noFill/>
                    </a:ln>
                  </pic:spPr>
                </pic:pic>
              </a:graphicData>
            </a:graphic>
          </wp:inline>
        </w:drawing>
      </w:r>
    </w:p>
    <w:p w14:paraId="75AD18D1" w14:textId="54AAD88E" w:rsidR="005B3428" w:rsidRDefault="005B3428" w:rsidP="006A148D">
      <w:pPr>
        <w:spacing w:line="360" w:lineRule="auto"/>
        <w:rPr>
          <w:b w:val="0"/>
          <w:noProof/>
        </w:rPr>
      </w:pPr>
    </w:p>
    <w:p w14:paraId="276567B5" w14:textId="2FE5536F" w:rsidR="006A148D" w:rsidRDefault="006A148D" w:rsidP="006A148D">
      <w:pPr>
        <w:spacing w:line="360" w:lineRule="auto"/>
        <w:rPr>
          <w:b w:val="0"/>
        </w:rPr>
      </w:pPr>
    </w:p>
    <w:p w14:paraId="78484113" w14:textId="37D911FC" w:rsidR="006A148D" w:rsidRDefault="0080046E" w:rsidP="00A40E5E">
      <w:pPr>
        <w:spacing w:line="360" w:lineRule="auto"/>
        <w:jc w:val="left"/>
        <w:rPr>
          <w:b w:val="0"/>
        </w:rPr>
      </w:pPr>
      <w:r w:rsidRPr="0080046E">
        <w:rPr>
          <w:b w:val="0"/>
          <w:noProof/>
        </w:rPr>
        <w:drawing>
          <wp:inline distT="0" distB="0" distL="0" distR="0" wp14:anchorId="1919FA5B" wp14:editId="79A4DAE7">
            <wp:extent cx="5943600" cy="1154845"/>
            <wp:effectExtent l="0" t="0" r="0" b="762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5943600" cy="1154845"/>
                    </a:xfrm>
                    <a:prstGeom prst="rect">
                      <a:avLst/>
                    </a:prstGeom>
                    <a:noFill/>
                    <a:ln>
                      <a:noFill/>
                    </a:ln>
                  </pic:spPr>
                </pic:pic>
              </a:graphicData>
            </a:graphic>
          </wp:inline>
        </w:drawing>
      </w:r>
    </w:p>
    <w:p w14:paraId="12CDD267" w14:textId="7057C5F5" w:rsidR="005B3428" w:rsidRDefault="005B3428" w:rsidP="006A148D">
      <w:pPr>
        <w:spacing w:line="360" w:lineRule="auto"/>
        <w:rPr>
          <w:b w:val="0"/>
          <w:noProof/>
        </w:rPr>
      </w:pPr>
    </w:p>
    <w:p w14:paraId="06F56A32" w14:textId="55E32364" w:rsidR="006A148D" w:rsidRDefault="006A148D" w:rsidP="006A148D">
      <w:pPr>
        <w:spacing w:line="360" w:lineRule="auto"/>
        <w:rPr>
          <w:b w:val="0"/>
        </w:rPr>
      </w:pPr>
    </w:p>
    <w:p w14:paraId="0FF7B00C" w14:textId="1B5A15F6" w:rsidR="006A148D" w:rsidRDefault="0080046E" w:rsidP="00A40E5E">
      <w:pPr>
        <w:spacing w:line="360" w:lineRule="auto"/>
        <w:jc w:val="left"/>
        <w:rPr>
          <w:b w:val="0"/>
        </w:rPr>
      </w:pPr>
      <w:r w:rsidRPr="0080046E">
        <w:rPr>
          <w:b w:val="0"/>
          <w:noProof/>
        </w:rPr>
        <w:drawing>
          <wp:inline distT="0" distB="0" distL="0" distR="0" wp14:anchorId="1FAB2F36" wp14:editId="497CA3DD">
            <wp:extent cx="5943600" cy="1285727"/>
            <wp:effectExtent l="0" t="0" r="0" b="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5943600" cy="1285727"/>
                    </a:xfrm>
                    <a:prstGeom prst="rect">
                      <a:avLst/>
                    </a:prstGeom>
                    <a:noFill/>
                    <a:ln>
                      <a:noFill/>
                    </a:ln>
                  </pic:spPr>
                </pic:pic>
              </a:graphicData>
            </a:graphic>
          </wp:inline>
        </w:drawing>
      </w:r>
    </w:p>
    <w:p w14:paraId="216CE804" w14:textId="5B46A225" w:rsidR="005B3428" w:rsidRDefault="005B3428" w:rsidP="006A148D">
      <w:pPr>
        <w:spacing w:line="360" w:lineRule="auto"/>
        <w:rPr>
          <w:b w:val="0"/>
          <w:noProof/>
        </w:rPr>
      </w:pPr>
    </w:p>
    <w:p w14:paraId="2C297276" w14:textId="6DB8D0C7" w:rsidR="006A148D" w:rsidRDefault="006A148D" w:rsidP="006A148D">
      <w:pPr>
        <w:spacing w:line="360" w:lineRule="auto"/>
        <w:rPr>
          <w:b w:val="0"/>
        </w:rPr>
      </w:pPr>
    </w:p>
    <w:p w14:paraId="4D18D1E3" w14:textId="77777777" w:rsidR="006277E8" w:rsidRDefault="006277E8" w:rsidP="006A148D">
      <w:pPr>
        <w:spacing w:line="360" w:lineRule="auto"/>
        <w:rPr>
          <w:b w:val="0"/>
        </w:rPr>
      </w:pPr>
    </w:p>
    <w:p w14:paraId="0237DA80" w14:textId="77777777" w:rsidR="00B164C3" w:rsidRDefault="00B164C3" w:rsidP="006A148D">
      <w:pPr>
        <w:spacing w:line="360" w:lineRule="auto"/>
        <w:rPr>
          <w:b w:val="0"/>
          <w:noProof/>
        </w:rPr>
      </w:pPr>
    </w:p>
    <w:p w14:paraId="0AFD2915" w14:textId="52AAD74F" w:rsidR="005B3428" w:rsidRDefault="005B3428" w:rsidP="006A148D">
      <w:pPr>
        <w:spacing w:line="360" w:lineRule="auto"/>
        <w:rPr>
          <w:b w:val="0"/>
          <w:noProof/>
        </w:rPr>
      </w:pPr>
    </w:p>
    <w:p w14:paraId="5D754E06" w14:textId="77777777" w:rsidR="0088102C" w:rsidRDefault="0088102C" w:rsidP="006A148D">
      <w:pPr>
        <w:spacing w:line="360" w:lineRule="auto"/>
        <w:rPr>
          <w:b w:val="0"/>
          <w:noProof/>
        </w:rPr>
      </w:pPr>
    </w:p>
    <w:p w14:paraId="4C38D412" w14:textId="19281CB0" w:rsidR="006A148D" w:rsidRDefault="006A148D" w:rsidP="006A148D">
      <w:pPr>
        <w:spacing w:line="360" w:lineRule="auto"/>
        <w:rPr>
          <w:b w:val="0"/>
        </w:rPr>
      </w:pPr>
    </w:p>
    <w:p w14:paraId="3B2C91E1" w14:textId="77777777" w:rsidR="006A148D" w:rsidRDefault="006A148D" w:rsidP="00A40E5E">
      <w:pPr>
        <w:spacing w:line="360" w:lineRule="auto"/>
        <w:jc w:val="left"/>
        <w:rPr>
          <w:b w:val="0"/>
        </w:rPr>
      </w:pPr>
    </w:p>
    <w:p w14:paraId="118702BE" w14:textId="19418A0F" w:rsidR="0088102C" w:rsidRDefault="0080046E" w:rsidP="006A148D">
      <w:pPr>
        <w:spacing w:line="360" w:lineRule="auto"/>
        <w:rPr>
          <w:b w:val="0"/>
          <w:noProof/>
        </w:rPr>
      </w:pPr>
      <w:r w:rsidRPr="0080046E">
        <w:rPr>
          <w:b w:val="0"/>
          <w:noProof/>
        </w:rPr>
        <w:drawing>
          <wp:inline distT="0" distB="0" distL="0" distR="0" wp14:anchorId="68CB2536" wp14:editId="7EB0A196">
            <wp:extent cx="5943600" cy="1154845"/>
            <wp:effectExtent l="0" t="0" r="0" b="762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5943600" cy="1154845"/>
                    </a:xfrm>
                    <a:prstGeom prst="rect">
                      <a:avLst/>
                    </a:prstGeom>
                    <a:noFill/>
                    <a:ln>
                      <a:noFill/>
                    </a:ln>
                  </pic:spPr>
                </pic:pic>
              </a:graphicData>
            </a:graphic>
          </wp:inline>
        </w:drawing>
      </w:r>
    </w:p>
    <w:p w14:paraId="4AF7315E" w14:textId="08875596" w:rsidR="005B3428" w:rsidRDefault="005B3428" w:rsidP="006A148D">
      <w:pPr>
        <w:spacing w:line="360" w:lineRule="auto"/>
        <w:rPr>
          <w:b w:val="0"/>
          <w:noProof/>
        </w:rPr>
      </w:pPr>
    </w:p>
    <w:p w14:paraId="37E52853" w14:textId="0352DE8B" w:rsidR="006A148D" w:rsidRDefault="006A148D" w:rsidP="006A148D">
      <w:pPr>
        <w:spacing w:line="360" w:lineRule="auto"/>
        <w:rPr>
          <w:b w:val="0"/>
        </w:rPr>
      </w:pPr>
    </w:p>
    <w:p w14:paraId="6D48CBD8" w14:textId="39028AAE" w:rsidR="006A148D" w:rsidRDefault="0080046E" w:rsidP="00A40E5E">
      <w:pPr>
        <w:spacing w:line="360" w:lineRule="auto"/>
        <w:jc w:val="left"/>
        <w:rPr>
          <w:b w:val="0"/>
        </w:rPr>
      </w:pPr>
      <w:r w:rsidRPr="0080046E">
        <w:rPr>
          <w:b w:val="0"/>
          <w:noProof/>
        </w:rPr>
        <w:drawing>
          <wp:inline distT="0" distB="0" distL="0" distR="0" wp14:anchorId="721B599E" wp14:editId="32AB816F">
            <wp:extent cx="5943600" cy="1285727"/>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5943600" cy="1285727"/>
                    </a:xfrm>
                    <a:prstGeom prst="rect">
                      <a:avLst/>
                    </a:prstGeom>
                    <a:noFill/>
                    <a:ln>
                      <a:noFill/>
                    </a:ln>
                  </pic:spPr>
                </pic:pic>
              </a:graphicData>
            </a:graphic>
          </wp:inline>
        </w:drawing>
      </w:r>
    </w:p>
    <w:p w14:paraId="5C829706" w14:textId="2522A3DC" w:rsidR="005B3428" w:rsidRDefault="005B3428" w:rsidP="006A148D">
      <w:pPr>
        <w:spacing w:line="360" w:lineRule="auto"/>
        <w:rPr>
          <w:b w:val="0"/>
          <w:noProof/>
        </w:rPr>
      </w:pPr>
    </w:p>
    <w:p w14:paraId="1CC1198D" w14:textId="7189B156" w:rsidR="006A148D" w:rsidRDefault="006A148D" w:rsidP="006A148D">
      <w:pPr>
        <w:spacing w:line="360" w:lineRule="auto"/>
        <w:rPr>
          <w:b w:val="0"/>
        </w:rPr>
      </w:pPr>
    </w:p>
    <w:p w14:paraId="36FE0845" w14:textId="09BEE7E7" w:rsidR="006A148D" w:rsidRDefault="0080046E" w:rsidP="00A40E5E">
      <w:pPr>
        <w:spacing w:line="360" w:lineRule="auto"/>
        <w:jc w:val="left"/>
        <w:rPr>
          <w:b w:val="0"/>
        </w:rPr>
      </w:pPr>
      <w:r w:rsidRPr="0080046E">
        <w:rPr>
          <w:b w:val="0"/>
          <w:noProof/>
        </w:rPr>
        <w:drawing>
          <wp:inline distT="0" distB="0" distL="0" distR="0" wp14:anchorId="2781D48A" wp14:editId="30903F54">
            <wp:extent cx="5943600" cy="1154845"/>
            <wp:effectExtent l="0" t="0" r="0" b="762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5943600" cy="1154845"/>
                    </a:xfrm>
                    <a:prstGeom prst="rect">
                      <a:avLst/>
                    </a:prstGeom>
                    <a:noFill/>
                    <a:ln>
                      <a:noFill/>
                    </a:ln>
                  </pic:spPr>
                </pic:pic>
              </a:graphicData>
            </a:graphic>
          </wp:inline>
        </w:drawing>
      </w:r>
    </w:p>
    <w:p w14:paraId="42C503C3" w14:textId="1AEE317F" w:rsidR="005B3428" w:rsidRDefault="005B3428" w:rsidP="006A148D">
      <w:pPr>
        <w:spacing w:line="360" w:lineRule="auto"/>
        <w:rPr>
          <w:b w:val="0"/>
          <w:noProof/>
        </w:rPr>
      </w:pPr>
    </w:p>
    <w:p w14:paraId="4A9014EF" w14:textId="0A5C2C08" w:rsidR="006A148D" w:rsidRDefault="006A148D" w:rsidP="006A148D">
      <w:pPr>
        <w:spacing w:line="360" w:lineRule="auto"/>
        <w:rPr>
          <w:b w:val="0"/>
        </w:rPr>
      </w:pPr>
    </w:p>
    <w:p w14:paraId="147FF4CF" w14:textId="73FCC1BE" w:rsidR="006A148D" w:rsidRDefault="0080046E" w:rsidP="00A40E5E">
      <w:pPr>
        <w:spacing w:line="360" w:lineRule="auto"/>
        <w:jc w:val="left"/>
      </w:pPr>
      <w:r w:rsidRPr="0080046E">
        <w:rPr>
          <w:noProof/>
        </w:rPr>
        <w:drawing>
          <wp:inline distT="0" distB="0" distL="0" distR="0" wp14:anchorId="03C8EF5D" wp14:editId="1EA9B0CB">
            <wp:extent cx="5943600" cy="1154845"/>
            <wp:effectExtent l="0" t="0" r="0" b="762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5943600" cy="1154845"/>
                    </a:xfrm>
                    <a:prstGeom prst="rect">
                      <a:avLst/>
                    </a:prstGeom>
                    <a:noFill/>
                    <a:ln>
                      <a:noFill/>
                    </a:ln>
                  </pic:spPr>
                </pic:pic>
              </a:graphicData>
            </a:graphic>
          </wp:inline>
        </w:drawing>
      </w:r>
    </w:p>
    <w:p w14:paraId="0BDF76D4" w14:textId="77777777" w:rsidR="00A40E5E" w:rsidRDefault="00A40E5E" w:rsidP="006277E8">
      <w:pPr>
        <w:keepNext/>
        <w:widowControl w:val="0"/>
        <w:spacing w:line="360" w:lineRule="auto"/>
        <w:jc w:val="left"/>
      </w:pPr>
      <w:r>
        <w:t>Attachment 9.4-2: Actual and Budget Peak Demand</w:t>
      </w:r>
      <w:r w:rsidR="00DD192A">
        <w:t xml:space="preserve"> (Calendar data)</w:t>
      </w:r>
    </w:p>
    <w:p w14:paraId="16DE5D63" w14:textId="49BD0659" w:rsidR="00C05310" w:rsidRDefault="00C05310" w:rsidP="006277E8">
      <w:pPr>
        <w:keepNext/>
        <w:widowControl w:val="0"/>
        <w:spacing w:line="360" w:lineRule="auto"/>
        <w:jc w:val="left"/>
      </w:pPr>
    </w:p>
    <w:p w14:paraId="73A95148" w14:textId="2678CE7F" w:rsidR="00133744" w:rsidRDefault="00BC7CAC" w:rsidP="000F291D">
      <w:pPr>
        <w:keepNext/>
        <w:widowControl w:val="0"/>
        <w:spacing w:line="360" w:lineRule="auto"/>
      </w:pPr>
      <w:r w:rsidRPr="00BC7CAC">
        <w:rPr>
          <w:noProof/>
        </w:rPr>
        <w:drawing>
          <wp:inline distT="0" distB="0" distL="0" distR="0" wp14:anchorId="13FA8C07" wp14:editId="205CE2E2">
            <wp:extent cx="4705350" cy="5000625"/>
            <wp:effectExtent l="0" t="0" r="0"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4705350" cy="5000625"/>
                    </a:xfrm>
                    <a:prstGeom prst="rect">
                      <a:avLst/>
                    </a:prstGeom>
                    <a:noFill/>
                    <a:ln>
                      <a:noFill/>
                    </a:ln>
                  </pic:spPr>
                </pic:pic>
              </a:graphicData>
            </a:graphic>
          </wp:inline>
        </w:drawing>
      </w:r>
    </w:p>
    <w:p w14:paraId="0006E9F1" w14:textId="4654D971" w:rsidR="00265184" w:rsidRPr="00A40E5E" w:rsidRDefault="00265184" w:rsidP="00B164C3">
      <w:pPr>
        <w:keepNext/>
        <w:widowControl w:val="0"/>
        <w:spacing w:line="360" w:lineRule="auto"/>
      </w:pPr>
    </w:p>
    <w:p w14:paraId="5D5E2ECA" w14:textId="77777777" w:rsidR="00A40E5E" w:rsidRDefault="00A40E5E" w:rsidP="00A40E5E">
      <w:pPr>
        <w:spacing w:line="360" w:lineRule="auto"/>
        <w:jc w:val="left"/>
        <w:rPr>
          <w:b w:val="0"/>
        </w:rPr>
      </w:pPr>
    </w:p>
    <w:p w14:paraId="0135E363" w14:textId="419AA1E9" w:rsidR="00A40E5E" w:rsidRDefault="00A40E5E" w:rsidP="00CC5D8C">
      <w:pPr>
        <w:keepNext/>
        <w:spacing w:line="360" w:lineRule="auto"/>
        <w:jc w:val="left"/>
      </w:pPr>
      <w:r>
        <w:t>Attachment 9.4-3: Comparison of Forecast and Actual Demand</w:t>
      </w:r>
    </w:p>
    <w:p w14:paraId="64422E73" w14:textId="77777777" w:rsidR="00B164C3" w:rsidRPr="00A40E5E" w:rsidRDefault="00B164C3" w:rsidP="00CC5D8C">
      <w:pPr>
        <w:keepNext/>
        <w:spacing w:line="360" w:lineRule="auto"/>
        <w:jc w:val="left"/>
      </w:pPr>
    </w:p>
    <w:p w14:paraId="0A3FA29C" w14:textId="070A44B2" w:rsidR="00265184" w:rsidRDefault="00360ECC" w:rsidP="00CC5D8C">
      <w:pPr>
        <w:spacing w:line="360" w:lineRule="auto"/>
        <w:rPr>
          <w:noProof/>
        </w:rPr>
      </w:pPr>
      <w:r w:rsidRPr="00360ECC">
        <w:rPr>
          <w:noProof/>
        </w:rPr>
        <w:drawing>
          <wp:inline distT="0" distB="0" distL="0" distR="0" wp14:anchorId="19F8CBA6" wp14:editId="0A28E23F">
            <wp:extent cx="4791075" cy="1323975"/>
            <wp:effectExtent l="0" t="0" r="9525"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4791075" cy="1323975"/>
                    </a:xfrm>
                    <a:prstGeom prst="rect">
                      <a:avLst/>
                    </a:prstGeom>
                    <a:noFill/>
                    <a:ln>
                      <a:noFill/>
                    </a:ln>
                  </pic:spPr>
                </pic:pic>
              </a:graphicData>
            </a:graphic>
          </wp:inline>
        </w:drawing>
      </w:r>
    </w:p>
    <w:p w14:paraId="0B6104F1" w14:textId="2BCAD431" w:rsidR="00A40E5E" w:rsidRDefault="00A40E5E" w:rsidP="00CC5D8C">
      <w:pPr>
        <w:spacing w:line="360" w:lineRule="auto"/>
        <w:rPr>
          <w:b w:val="0"/>
        </w:rPr>
      </w:pPr>
    </w:p>
    <w:p w14:paraId="240738F7" w14:textId="77777777" w:rsidR="00A40E5E" w:rsidRDefault="00A40E5E" w:rsidP="00A40E5E">
      <w:pPr>
        <w:spacing w:line="360" w:lineRule="auto"/>
        <w:jc w:val="left"/>
        <w:rPr>
          <w:b w:val="0"/>
        </w:rPr>
      </w:pPr>
    </w:p>
    <w:p w14:paraId="44212F8A" w14:textId="77777777" w:rsidR="00A40E5E" w:rsidRDefault="00A40E5E" w:rsidP="00A40E5E">
      <w:pPr>
        <w:spacing w:line="360" w:lineRule="auto"/>
        <w:jc w:val="left"/>
        <w:rPr>
          <w:b w:val="0"/>
        </w:rPr>
      </w:pPr>
    </w:p>
    <w:p w14:paraId="48298E1F" w14:textId="121DCF86" w:rsidR="00A40E5E" w:rsidRDefault="00A40E5E" w:rsidP="00A40E5E">
      <w:pPr>
        <w:spacing w:line="360" w:lineRule="auto"/>
        <w:jc w:val="left"/>
      </w:pPr>
      <w:r>
        <w:t>Attachment 9.4-4: Comparison of Forecast and Weather Normal Demand</w:t>
      </w:r>
    </w:p>
    <w:p w14:paraId="1CAEF936" w14:textId="77777777" w:rsidR="00B164C3" w:rsidRDefault="00B164C3" w:rsidP="00A40E5E">
      <w:pPr>
        <w:spacing w:line="360" w:lineRule="auto"/>
        <w:jc w:val="left"/>
        <w:rPr>
          <w:b w:val="0"/>
        </w:rPr>
      </w:pPr>
    </w:p>
    <w:p w14:paraId="66B4C529" w14:textId="70378D10" w:rsidR="000B48A6" w:rsidRDefault="000B48A6" w:rsidP="00CC5D8C">
      <w:pPr>
        <w:spacing w:line="360" w:lineRule="auto"/>
        <w:rPr>
          <w:noProof/>
        </w:rPr>
      </w:pPr>
      <w:r w:rsidRPr="000B48A6">
        <w:rPr>
          <w:noProof/>
        </w:rPr>
        <w:drawing>
          <wp:inline distT="0" distB="0" distL="0" distR="0" wp14:anchorId="71B96206" wp14:editId="62339713">
            <wp:extent cx="4829175" cy="132397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4829175" cy="1323975"/>
                    </a:xfrm>
                    <a:prstGeom prst="rect">
                      <a:avLst/>
                    </a:prstGeom>
                    <a:noFill/>
                    <a:ln>
                      <a:noFill/>
                    </a:ln>
                  </pic:spPr>
                </pic:pic>
              </a:graphicData>
            </a:graphic>
          </wp:inline>
        </w:drawing>
      </w:r>
    </w:p>
    <w:p w14:paraId="7D3E1A44" w14:textId="6B4E9AEF" w:rsidR="00A40E5E" w:rsidRDefault="00A40E5E" w:rsidP="00CC5D8C">
      <w:pPr>
        <w:spacing w:line="360" w:lineRule="auto"/>
        <w:rPr>
          <w:b w:val="0"/>
        </w:rPr>
      </w:pPr>
    </w:p>
    <w:p w14:paraId="5282AF31" w14:textId="77777777" w:rsidR="00A40E5E" w:rsidRDefault="00A40E5E" w:rsidP="00A40E5E">
      <w:pPr>
        <w:spacing w:line="360" w:lineRule="auto"/>
        <w:jc w:val="left"/>
        <w:rPr>
          <w:b w:val="0"/>
        </w:rPr>
      </w:pPr>
    </w:p>
    <w:p w14:paraId="7A87DAD1" w14:textId="77777777" w:rsidR="00A40E5E" w:rsidRPr="00500FA1" w:rsidRDefault="00A40E5E" w:rsidP="00A40E5E">
      <w:pPr>
        <w:pStyle w:val="Heading2"/>
        <w:jc w:val="left"/>
        <w:rPr>
          <w:rFonts w:ascii="Arial" w:hAnsi="Arial" w:cs="Arial"/>
          <w:b/>
          <w:color w:val="auto"/>
          <w:sz w:val="20"/>
          <w:szCs w:val="20"/>
        </w:rPr>
      </w:pPr>
      <w:bookmarkStart w:id="338" w:name="_Toc59359840"/>
      <w:bookmarkStart w:id="339" w:name="_Toc347120487"/>
      <w:bookmarkStart w:id="340" w:name="_Toc535495680"/>
      <w:r w:rsidRPr="00500FA1">
        <w:rPr>
          <w:rFonts w:ascii="Arial" w:hAnsi="Arial" w:cs="Arial"/>
          <w:b/>
          <w:color w:val="auto"/>
          <w:sz w:val="20"/>
          <w:szCs w:val="20"/>
        </w:rPr>
        <w:t>9.4.1</w:t>
      </w:r>
      <w:r w:rsidRPr="00500FA1">
        <w:rPr>
          <w:rFonts w:ascii="Arial" w:hAnsi="Arial" w:cs="Arial"/>
          <w:b/>
          <w:color w:val="auto"/>
          <w:sz w:val="20"/>
          <w:szCs w:val="20"/>
        </w:rPr>
        <w:tab/>
        <w:t>General Enhancements</w:t>
      </w:r>
      <w:bookmarkEnd w:id="338"/>
      <w:bookmarkEnd w:id="339"/>
      <w:bookmarkEnd w:id="340"/>
    </w:p>
    <w:p w14:paraId="48E272F8" w14:textId="77777777" w:rsidR="00500FA1" w:rsidRDefault="00500FA1" w:rsidP="00A40E5E">
      <w:pPr>
        <w:pStyle w:val="BodyText"/>
      </w:pPr>
    </w:p>
    <w:p w14:paraId="3261756D" w14:textId="3593A5A6" w:rsidR="00A40E5E" w:rsidRPr="00500FA1" w:rsidRDefault="00A40E5E" w:rsidP="00714556">
      <w:pPr>
        <w:pStyle w:val="BodyText"/>
        <w:spacing w:line="360" w:lineRule="auto"/>
        <w:jc w:val="both"/>
        <w:rPr>
          <w:b w:val="0"/>
        </w:rPr>
      </w:pPr>
      <w:r w:rsidRPr="00500FA1">
        <w:rPr>
          <w:b w:val="0"/>
        </w:rPr>
        <w:t>Whenever possible, each new forecast incorporates changes in a variety of areas that will improve the quality of the forecast. New and revised data relating to the economy, demographic conditions, and fuel, for example, are included. In addition, existing models are enhanced or are replaced with new models that take advantage of better data or improved estimation techniques. Model specification, parameters, and equations are reviewed, assessed, and changed as appropriate.</w:t>
      </w:r>
    </w:p>
    <w:p w14:paraId="5FE2AE90" w14:textId="77777777" w:rsidR="00A40E5E" w:rsidRPr="00500FA1" w:rsidRDefault="00A40E5E" w:rsidP="00714556">
      <w:pPr>
        <w:pStyle w:val="BodyText"/>
        <w:spacing w:line="360" w:lineRule="auto"/>
        <w:jc w:val="both"/>
        <w:rPr>
          <w:b w:val="0"/>
        </w:rPr>
      </w:pPr>
    </w:p>
    <w:p w14:paraId="164FAD98" w14:textId="7E3B5673" w:rsidR="00A40E5E" w:rsidRPr="00500FA1" w:rsidRDefault="00A40E5E" w:rsidP="00714556">
      <w:pPr>
        <w:pStyle w:val="BodyText"/>
        <w:spacing w:line="360" w:lineRule="auto"/>
        <w:jc w:val="both"/>
        <w:rPr>
          <w:b w:val="0"/>
        </w:rPr>
      </w:pPr>
      <w:r w:rsidRPr="007E103D">
        <w:rPr>
          <w:b w:val="0"/>
          <w:u w:val="single"/>
        </w:rPr>
        <w:t>Data</w:t>
      </w:r>
      <w:r w:rsidRPr="00500FA1">
        <w:rPr>
          <w:b w:val="0"/>
        </w:rPr>
        <w:t>:  Each energy and demand forecast uses a recent, comprehensive set of consistent economic and demographic variables</w:t>
      </w:r>
      <w:r w:rsidR="00E0258A">
        <w:rPr>
          <w:b w:val="0"/>
        </w:rPr>
        <w:t xml:space="preserve"> such as </w:t>
      </w:r>
      <w:r w:rsidRPr="00D44723">
        <w:rPr>
          <w:b w:val="0"/>
        </w:rPr>
        <w:t xml:space="preserve">income, households, </w:t>
      </w:r>
      <w:r w:rsidR="00F874DE">
        <w:rPr>
          <w:b w:val="0"/>
        </w:rPr>
        <w:t xml:space="preserve">commercial </w:t>
      </w:r>
      <w:r w:rsidRPr="00D44723">
        <w:rPr>
          <w:b w:val="0"/>
        </w:rPr>
        <w:t xml:space="preserve">floor space, </w:t>
      </w:r>
      <w:r w:rsidR="007E103D">
        <w:rPr>
          <w:b w:val="0"/>
        </w:rPr>
        <w:t xml:space="preserve">housing stock </w:t>
      </w:r>
      <w:r w:rsidRPr="00D44723">
        <w:rPr>
          <w:b w:val="0"/>
        </w:rPr>
        <w:t>and employment.</w:t>
      </w:r>
      <w:r w:rsidRPr="003619F4">
        <w:rPr>
          <w:b w:val="0"/>
          <w:color w:val="FF0000"/>
        </w:rPr>
        <w:t xml:space="preserve"> </w:t>
      </w:r>
      <w:r w:rsidRPr="00500FA1">
        <w:rPr>
          <w:b w:val="0"/>
        </w:rPr>
        <w:t>The latest available forecasts of the prices of alternative fuels (generally gas and electricity) and the latest available saturation data are also incor</w:t>
      </w:r>
      <w:r w:rsidR="00A6007B">
        <w:rPr>
          <w:b w:val="0"/>
        </w:rPr>
        <w:t>porated where appropriate. End-</w:t>
      </w:r>
      <w:r w:rsidRPr="00500FA1">
        <w:rPr>
          <w:b w:val="0"/>
        </w:rPr>
        <w:t>use device standards are reassessed and updated as available information permits. Market profile data from survey and end-use research are assembled and used as newer or better data become available. Weather files are updated annually.</w:t>
      </w:r>
    </w:p>
    <w:p w14:paraId="09C36D8C" w14:textId="77777777" w:rsidR="00A40E5E" w:rsidRPr="00500FA1" w:rsidRDefault="00A40E5E" w:rsidP="00714556">
      <w:pPr>
        <w:pStyle w:val="BodyText"/>
        <w:spacing w:line="360" w:lineRule="auto"/>
        <w:jc w:val="both"/>
        <w:rPr>
          <w:b w:val="0"/>
        </w:rPr>
      </w:pPr>
    </w:p>
    <w:p w14:paraId="294E58B8" w14:textId="7FDD50E0" w:rsidR="00A40E5E" w:rsidRPr="00500FA1" w:rsidRDefault="00A40E5E" w:rsidP="00714556">
      <w:pPr>
        <w:pStyle w:val="BodyText"/>
        <w:spacing w:line="360" w:lineRule="auto"/>
        <w:jc w:val="both"/>
        <w:rPr>
          <w:b w:val="0"/>
        </w:rPr>
      </w:pPr>
      <w:r w:rsidRPr="007E103D">
        <w:rPr>
          <w:b w:val="0"/>
          <w:u w:val="single"/>
        </w:rPr>
        <w:t>Models</w:t>
      </w:r>
      <w:r w:rsidRPr="00500FA1">
        <w:rPr>
          <w:b w:val="0"/>
        </w:rPr>
        <w:t xml:space="preserve">:  Model specifications are reviewed and adjusted </w:t>
      </w:r>
      <w:r w:rsidR="00F874DE">
        <w:rPr>
          <w:b w:val="0"/>
        </w:rPr>
        <w:t>as</w:t>
      </w:r>
      <w:r w:rsidR="00F874DE" w:rsidRPr="00500FA1">
        <w:rPr>
          <w:b w:val="0"/>
        </w:rPr>
        <w:t xml:space="preserve"> </w:t>
      </w:r>
      <w:r w:rsidRPr="00500FA1">
        <w:rPr>
          <w:b w:val="0"/>
        </w:rPr>
        <w:t>necessary to account for new products, data availability, and significant events that may affect model accuracy.</w:t>
      </w:r>
      <w:r w:rsidR="000F7478">
        <w:rPr>
          <w:b w:val="0"/>
        </w:rPr>
        <w:t xml:space="preserve"> </w:t>
      </w:r>
      <w:r w:rsidR="00E0258A">
        <w:rPr>
          <w:b w:val="0"/>
        </w:rPr>
        <w:t xml:space="preserve">New explanatory variables may be added to the short-term econometric models to capture recent changes, while variables that no longer explain the variable being forecasted </w:t>
      </w:r>
      <w:r w:rsidR="000F7478">
        <w:rPr>
          <w:b w:val="0"/>
        </w:rPr>
        <w:t>are</w:t>
      </w:r>
      <w:r w:rsidR="00E0258A">
        <w:rPr>
          <w:b w:val="0"/>
        </w:rPr>
        <w:t xml:space="preserve"> </w:t>
      </w:r>
      <w:r w:rsidR="000F7478">
        <w:rPr>
          <w:b w:val="0"/>
        </w:rPr>
        <w:t>remov</w:t>
      </w:r>
      <w:r w:rsidR="00E0258A">
        <w:rPr>
          <w:b w:val="0"/>
        </w:rPr>
        <w:t>ed.</w:t>
      </w:r>
      <w:r w:rsidR="00806DCF">
        <w:rPr>
          <w:b w:val="0"/>
        </w:rPr>
        <w:t xml:space="preserve"> </w:t>
      </w:r>
    </w:p>
    <w:p w14:paraId="3DAE61E9" w14:textId="77777777" w:rsidR="00A40E5E" w:rsidRPr="00500FA1" w:rsidRDefault="00A40E5E" w:rsidP="00500FA1">
      <w:pPr>
        <w:pStyle w:val="BodyText"/>
        <w:spacing w:line="360" w:lineRule="auto"/>
        <w:jc w:val="left"/>
        <w:rPr>
          <w:b w:val="0"/>
        </w:rPr>
      </w:pPr>
    </w:p>
    <w:p w14:paraId="65EF0407" w14:textId="72130CB8" w:rsidR="00A40E5E" w:rsidRPr="00500FA1" w:rsidRDefault="00A40E5E" w:rsidP="00714556">
      <w:pPr>
        <w:pStyle w:val="BodyText"/>
        <w:spacing w:line="360" w:lineRule="auto"/>
        <w:jc w:val="both"/>
        <w:rPr>
          <w:b w:val="0"/>
        </w:rPr>
      </w:pPr>
      <w:r w:rsidRPr="007E103D">
        <w:rPr>
          <w:b w:val="0"/>
          <w:u w:val="single"/>
        </w:rPr>
        <w:t>Model Coefficients</w:t>
      </w:r>
      <w:r w:rsidRPr="00500FA1">
        <w:rPr>
          <w:b w:val="0"/>
        </w:rPr>
        <w:t>: Whenever new data are available or model specifications change, the forecasting equations</w:t>
      </w:r>
      <w:r w:rsidR="00384B08">
        <w:rPr>
          <w:b w:val="0"/>
        </w:rPr>
        <w:t xml:space="preserve"> are re-estimated</w:t>
      </w:r>
      <w:r w:rsidRPr="00500FA1">
        <w:rPr>
          <w:b w:val="0"/>
        </w:rPr>
        <w:t xml:space="preserve">, </w:t>
      </w:r>
      <w:r w:rsidR="00806DCF">
        <w:rPr>
          <w:b w:val="0"/>
        </w:rPr>
        <w:t xml:space="preserve">and </w:t>
      </w:r>
      <w:r w:rsidRPr="00500FA1">
        <w:rPr>
          <w:b w:val="0"/>
        </w:rPr>
        <w:t>new model coefficients</w:t>
      </w:r>
      <w:r w:rsidR="00384B08">
        <w:rPr>
          <w:b w:val="0"/>
        </w:rPr>
        <w:t xml:space="preserve"> are generated</w:t>
      </w:r>
      <w:r w:rsidRPr="00500FA1">
        <w:rPr>
          <w:b w:val="0"/>
        </w:rPr>
        <w:t>.</w:t>
      </w:r>
    </w:p>
    <w:p w14:paraId="1D7A7F53" w14:textId="77777777" w:rsidR="00A40E5E" w:rsidRPr="00500FA1" w:rsidRDefault="00A40E5E" w:rsidP="00714556">
      <w:pPr>
        <w:pStyle w:val="BodyText"/>
        <w:spacing w:line="360" w:lineRule="auto"/>
        <w:jc w:val="both"/>
        <w:rPr>
          <w:b w:val="0"/>
        </w:rPr>
      </w:pPr>
    </w:p>
    <w:p w14:paraId="7F735383" w14:textId="77777777" w:rsidR="00A40E5E" w:rsidRPr="00500FA1" w:rsidRDefault="00A40E5E" w:rsidP="00714556">
      <w:pPr>
        <w:pStyle w:val="BodyText"/>
        <w:spacing w:line="360" w:lineRule="auto"/>
        <w:jc w:val="both"/>
        <w:rPr>
          <w:b w:val="0"/>
        </w:rPr>
      </w:pPr>
      <w:r w:rsidRPr="007E103D">
        <w:rPr>
          <w:b w:val="0"/>
          <w:u w:val="single"/>
        </w:rPr>
        <w:t>Judgment</w:t>
      </w:r>
      <w:r w:rsidRPr="00500FA1">
        <w:rPr>
          <w:b w:val="0"/>
        </w:rPr>
        <w:t>:  Based on new research, information, and experience, the collective expertise available to the Company is used to refine model results to produce the best possible forecast.</w:t>
      </w:r>
    </w:p>
    <w:p w14:paraId="0657C9EC" w14:textId="77777777" w:rsidR="00A40E5E" w:rsidRPr="00500FA1" w:rsidRDefault="00A40E5E" w:rsidP="00500FA1">
      <w:pPr>
        <w:spacing w:line="360" w:lineRule="auto"/>
        <w:jc w:val="left"/>
        <w:rPr>
          <w:b w:val="0"/>
        </w:rPr>
      </w:pPr>
    </w:p>
    <w:p w14:paraId="70EA03A0" w14:textId="77777777" w:rsidR="00A40E5E" w:rsidRPr="003A3426" w:rsidRDefault="00A40E5E" w:rsidP="00500FA1">
      <w:pPr>
        <w:pStyle w:val="Heading2"/>
        <w:spacing w:line="360" w:lineRule="auto"/>
        <w:jc w:val="left"/>
      </w:pPr>
      <w:bookmarkStart w:id="341" w:name="_Toc503665912"/>
      <w:bookmarkStart w:id="342" w:name="_Toc59359841"/>
      <w:bookmarkStart w:id="343" w:name="_Toc347120488"/>
      <w:bookmarkStart w:id="344" w:name="_Toc535495681"/>
      <w:r w:rsidRPr="00500FA1">
        <w:rPr>
          <w:rFonts w:ascii="Arial" w:hAnsi="Arial" w:cs="Arial"/>
          <w:b/>
          <w:color w:val="auto"/>
          <w:sz w:val="20"/>
          <w:szCs w:val="20"/>
        </w:rPr>
        <w:t>9.4.2</w:t>
      </w:r>
      <w:r w:rsidRPr="00500FA1">
        <w:rPr>
          <w:rFonts w:ascii="Arial" w:hAnsi="Arial" w:cs="Arial"/>
          <w:b/>
          <w:color w:val="auto"/>
          <w:sz w:val="20"/>
          <w:szCs w:val="20"/>
        </w:rPr>
        <w:tab/>
        <w:t>Specific Enhancements</w:t>
      </w:r>
      <w:bookmarkEnd w:id="341"/>
      <w:bookmarkEnd w:id="342"/>
      <w:bookmarkEnd w:id="343"/>
      <w:bookmarkEnd w:id="344"/>
    </w:p>
    <w:p w14:paraId="5C9A075C" w14:textId="77777777" w:rsidR="00500FA1" w:rsidRDefault="00500FA1" w:rsidP="00500FA1">
      <w:pPr>
        <w:pStyle w:val="BodyText"/>
        <w:spacing w:line="360" w:lineRule="auto"/>
        <w:jc w:val="left"/>
        <w:rPr>
          <w:b w:val="0"/>
        </w:rPr>
      </w:pPr>
    </w:p>
    <w:p w14:paraId="1C19468A" w14:textId="04792B1C" w:rsidR="00A40E5E" w:rsidRPr="00500FA1" w:rsidRDefault="00A40E5E" w:rsidP="00586499">
      <w:pPr>
        <w:pStyle w:val="BodyText"/>
        <w:spacing w:line="360" w:lineRule="auto"/>
        <w:jc w:val="both"/>
        <w:rPr>
          <w:b w:val="0"/>
        </w:rPr>
      </w:pPr>
      <w:r w:rsidRPr="00500FA1">
        <w:rPr>
          <w:b w:val="0"/>
        </w:rPr>
        <w:t xml:space="preserve">Research, new information, and reviews of previous forecasts often reveal findings that enable the Company to make improvements </w:t>
      </w:r>
      <w:r w:rsidR="00B77294">
        <w:rPr>
          <w:b w:val="0"/>
        </w:rPr>
        <w:t>to</w:t>
      </w:r>
      <w:r w:rsidRPr="00500FA1">
        <w:rPr>
          <w:b w:val="0"/>
        </w:rPr>
        <w:t xml:space="preserve"> the forecast. The changes identified below chronicle the evolution of the Budget 1998 forecast through the current Budget </w:t>
      </w:r>
      <w:r w:rsidR="00FB75EB">
        <w:rPr>
          <w:b w:val="0"/>
        </w:rPr>
        <w:t>2019</w:t>
      </w:r>
      <w:r w:rsidR="00FB75EB" w:rsidRPr="00500FA1">
        <w:rPr>
          <w:b w:val="0"/>
        </w:rPr>
        <w:t xml:space="preserve"> </w:t>
      </w:r>
      <w:r w:rsidRPr="00500FA1">
        <w:rPr>
          <w:b w:val="0"/>
        </w:rPr>
        <w:t xml:space="preserve">forecast. Budgets are typically completed in the </w:t>
      </w:r>
      <w:r w:rsidR="00B77294">
        <w:rPr>
          <w:b w:val="0"/>
        </w:rPr>
        <w:t>F</w:t>
      </w:r>
      <w:r w:rsidRPr="00500FA1">
        <w:rPr>
          <w:b w:val="0"/>
        </w:rPr>
        <w:t xml:space="preserve">all of the previous year (Budget </w:t>
      </w:r>
      <w:r w:rsidR="00FB75EB">
        <w:rPr>
          <w:b w:val="0"/>
        </w:rPr>
        <w:t>2019</w:t>
      </w:r>
      <w:r w:rsidR="00FB75EB" w:rsidRPr="00500FA1">
        <w:rPr>
          <w:b w:val="0"/>
        </w:rPr>
        <w:t xml:space="preserve"> </w:t>
      </w:r>
      <w:r w:rsidRPr="00500FA1">
        <w:rPr>
          <w:b w:val="0"/>
        </w:rPr>
        <w:t xml:space="preserve">was completed during </w:t>
      </w:r>
      <w:r w:rsidR="00B77294">
        <w:rPr>
          <w:b w:val="0"/>
        </w:rPr>
        <w:t>F</w:t>
      </w:r>
      <w:r w:rsidRPr="00500FA1">
        <w:rPr>
          <w:b w:val="0"/>
        </w:rPr>
        <w:t xml:space="preserve">all </w:t>
      </w:r>
      <w:r w:rsidR="00FB75EB">
        <w:rPr>
          <w:b w:val="0"/>
        </w:rPr>
        <w:t>2018</w:t>
      </w:r>
      <w:r w:rsidRPr="00500FA1">
        <w:rPr>
          <w:b w:val="0"/>
        </w:rPr>
        <w:t xml:space="preserve">). The major changes are identified below:  </w:t>
      </w:r>
    </w:p>
    <w:p w14:paraId="10B3E81D" w14:textId="77777777" w:rsidR="00A40E5E" w:rsidRPr="00500FA1" w:rsidRDefault="00A40E5E" w:rsidP="00500FA1">
      <w:pPr>
        <w:pStyle w:val="Heading9"/>
        <w:spacing w:line="360" w:lineRule="auto"/>
        <w:jc w:val="left"/>
        <w:rPr>
          <w:b w:val="0"/>
        </w:rPr>
      </w:pPr>
    </w:p>
    <w:p w14:paraId="60DC5B0D" w14:textId="77777777" w:rsidR="00A40E5E" w:rsidRPr="00500FA1" w:rsidRDefault="00A40E5E" w:rsidP="00500FA1">
      <w:pPr>
        <w:pStyle w:val="BodyText"/>
        <w:spacing w:line="360" w:lineRule="auto"/>
        <w:jc w:val="left"/>
      </w:pPr>
      <w:r w:rsidRPr="00500FA1">
        <w:t xml:space="preserve">Budget 1998 </w:t>
      </w:r>
    </w:p>
    <w:p w14:paraId="009DFC9C" w14:textId="37777D3B" w:rsidR="00A40E5E" w:rsidRPr="00500FA1" w:rsidRDefault="00A40E5E" w:rsidP="00586499">
      <w:pPr>
        <w:pStyle w:val="BodyText"/>
        <w:spacing w:line="360" w:lineRule="auto"/>
        <w:jc w:val="both"/>
        <w:rPr>
          <w:b w:val="0"/>
        </w:rPr>
      </w:pPr>
      <w:r w:rsidRPr="00500FA1">
        <w:rPr>
          <w:b w:val="0"/>
        </w:rPr>
        <w:t>Modeling of the economic and demographic forecasts and production of the economic forecast for the state of Georgia were outsourced to Regional Financial Associate</w:t>
      </w:r>
      <w:r w:rsidR="00A27BE8">
        <w:rPr>
          <w:b w:val="0"/>
        </w:rPr>
        <w:t>s. Data Resources Incorporated</w:t>
      </w:r>
      <w:r w:rsidRPr="00500FA1">
        <w:rPr>
          <w:b w:val="0"/>
        </w:rPr>
        <w:t xml:space="preserve"> provided the national economic forecast.  </w:t>
      </w:r>
    </w:p>
    <w:p w14:paraId="47F09BF4" w14:textId="77777777" w:rsidR="00A40E5E" w:rsidRPr="00500FA1" w:rsidRDefault="00A40E5E" w:rsidP="00586499">
      <w:pPr>
        <w:pStyle w:val="BodyText"/>
        <w:spacing w:line="360" w:lineRule="auto"/>
        <w:jc w:val="both"/>
        <w:rPr>
          <w:b w:val="0"/>
        </w:rPr>
      </w:pPr>
    </w:p>
    <w:p w14:paraId="749BAAB8" w14:textId="77777777" w:rsidR="00A40E5E" w:rsidRPr="00500FA1" w:rsidRDefault="00A40E5E" w:rsidP="00586499">
      <w:pPr>
        <w:pStyle w:val="BodyText"/>
        <w:spacing w:line="360" w:lineRule="auto"/>
        <w:jc w:val="both"/>
        <w:rPr>
          <w:b w:val="0"/>
        </w:rPr>
      </w:pPr>
      <w:r w:rsidRPr="00500FA1">
        <w:rPr>
          <w:b w:val="0"/>
        </w:rPr>
        <w:t xml:space="preserve">The existing commercial and industrial models were replaced by EPRI models, COMMEND and INFORM.  This was done to maximize resource efficiency, minimize costs, and maximize resource expertise.  Forecasts for all three major energy classes were developed using EPRI products (REEPS for residential).  The EPRI products </w:t>
      </w:r>
      <w:r w:rsidR="00FF4DDB">
        <w:rPr>
          <w:b w:val="0"/>
        </w:rPr>
        <w:t>were</w:t>
      </w:r>
      <w:r w:rsidRPr="00500FA1">
        <w:rPr>
          <w:b w:val="0"/>
        </w:rPr>
        <w:t xml:space="preserve"> well recognized nationally throughout the utility industry and employ consistent frameworks in each model while specifically targeting the necessary elements unique to each class.  </w:t>
      </w:r>
    </w:p>
    <w:p w14:paraId="12F13A4D" w14:textId="77777777" w:rsidR="00A40E5E" w:rsidRPr="00500FA1" w:rsidRDefault="00A40E5E" w:rsidP="00500FA1">
      <w:pPr>
        <w:pStyle w:val="BodyText"/>
        <w:spacing w:line="360" w:lineRule="auto"/>
        <w:jc w:val="left"/>
        <w:rPr>
          <w:b w:val="0"/>
        </w:rPr>
      </w:pPr>
    </w:p>
    <w:p w14:paraId="4B564D5A" w14:textId="77777777" w:rsidR="00A40E5E" w:rsidRPr="00500FA1" w:rsidRDefault="00A40E5E" w:rsidP="00500FA1">
      <w:pPr>
        <w:pStyle w:val="BodyText"/>
        <w:spacing w:line="360" w:lineRule="auto"/>
        <w:jc w:val="left"/>
      </w:pPr>
      <w:r w:rsidRPr="00500FA1">
        <w:t xml:space="preserve">Budget 2000 </w:t>
      </w:r>
    </w:p>
    <w:p w14:paraId="48E24412" w14:textId="77777777" w:rsidR="00A40E5E" w:rsidRPr="00500FA1" w:rsidRDefault="00A40E5E" w:rsidP="00586499">
      <w:pPr>
        <w:pStyle w:val="BodyText"/>
        <w:spacing w:line="360" w:lineRule="auto"/>
        <w:jc w:val="both"/>
        <w:rPr>
          <w:b w:val="0"/>
        </w:rPr>
      </w:pPr>
      <w:r w:rsidRPr="00500FA1">
        <w:rPr>
          <w:b w:val="0"/>
        </w:rPr>
        <w:t>Trend-regression (econometric) methods used to develop residential, commercial, and industrial short-term energy models.</w:t>
      </w:r>
    </w:p>
    <w:p w14:paraId="2B5A403B" w14:textId="77777777" w:rsidR="00A40E5E" w:rsidRPr="00500FA1" w:rsidRDefault="00A40E5E" w:rsidP="00500FA1">
      <w:pPr>
        <w:pStyle w:val="BodyText"/>
        <w:spacing w:line="360" w:lineRule="auto"/>
        <w:jc w:val="left"/>
        <w:rPr>
          <w:b w:val="0"/>
          <w:highlight w:val="green"/>
        </w:rPr>
      </w:pPr>
    </w:p>
    <w:p w14:paraId="405EDB2B" w14:textId="77777777" w:rsidR="00A40E5E" w:rsidRPr="00500FA1" w:rsidRDefault="00A40E5E" w:rsidP="00500FA1">
      <w:pPr>
        <w:pStyle w:val="BodyText"/>
        <w:spacing w:line="360" w:lineRule="auto"/>
        <w:jc w:val="left"/>
      </w:pPr>
      <w:r w:rsidRPr="00500FA1">
        <w:t xml:space="preserve">Budget 2001 </w:t>
      </w:r>
    </w:p>
    <w:p w14:paraId="120AE241" w14:textId="77777777" w:rsidR="00A40E5E" w:rsidRPr="00500FA1" w:rsidRDefault="00A40E5E" w:rsidP="00586499">
      <w:pPr>
        <w:pStyle w:val="BodyText"/>
        <w:spacing w:line="360" w:lineRule="auto"/>
        <w:jc w:val="both"/>
        <w:rPr>
          <w:b w:val="0"/>
        </w:rPr>
      </w:pPr>
      <w:r w:rsidRPr="00500FA1">
        <w:rPr>
          <w:b w:val="0"/>
        </w:rPr>
        <w:t>Consistent 15-year weather normal definition adopted for both the econometric (short-term) and end-use (long-term) models for the energy sales forecast.</w:t>
      </w:r>
    </w:p>
    <w:p w14:paraId="4696A517" w14:textId="77777777" w:rsidR="00A40E5E" w:rsidRPr="00500FA1" w:rsidRDefault="00A40E5E" w:rsidP="00586499">
      <w:pPr>
        <w:pStyle w:val="BodyText"/>
        <w:spacing w:line="360" w:lineRule="auto"/>
        <w:jc w:val="both"/>
        <w:rPr>
          <w:b w:val="0"/>
        </w:rPr>
      </w:pPr>
    </w:p>
    <w:p w14:paraId="1C483627" w14:textId="77777777" w:rsidR="00A40E5E" w:rsidRPr="00500FA1" w:rsidRDefault="00A40E5E" w:rsidP="00586499">
      <w:pPr>
        <w:pStyle w:val="BodyText"/>
        <w:spacing w:line="360" w:lineRule="auto"/>
        <w:jc w:val="both"/>
        <w:rPr>
          <w:b w:val="0"/>
        </w:rPr>
      </w:pPr>
      <w:r w:rsidRPr="00500FA1">
        <w:rPr>
          <w:b w:val="0"/>
        </w:rPr>
        <w:t>Adopted HELM to determine peak demand weather normalization, beginning with 2000’s peak.   Regression model used for years prior to 2000.</w:t>
      </w:r>
    </w:p>
    <w:p w14:paraId="195244FF" w14:textId="77777777" w:rsidR="00500FA1" w:rsidRDefault="00500FA1" w:rsidP="00586499">
      <w:pPr>
        <w:pStyle w:val="BodyText"/>
        <w:spacing w:line="360" w:lineRule="auto"/>
        <w:jc w:val="both"/>
        <w:rPr>
          <w:b w:val="0"/>
        </w:rPr>
      </w:pPr>
    </w:p>
    <w:p w14:paraId="042DA16A" w14:textId="77777777" w:rsidR="00500FA1" w:rsidRDefault="00A40E5E" w:rsidP="00586499">
      <w:pPr>
        <w:pStyle w:val="BodyText"/>
        <w:spacing w:line="360" w:lineRule="auto"/>
        <w:jc w:val="both"/>
        <w:rPr>
          <w:b w:val="0"/>
        </w:rPr>
      </w:pPr>
      <w:r w:rsidRPr="00500FA1">
        <w:rPr>
          <w:b w:val="0"/>
        </w:rPr>
        <w:t xml:space="preserve">Updated HELM with new class load data and included multiple years in the development.  </w:t>
      </w:r>
    </w:p>
    <w:p w14:paraId="65960A84" w14:textId="77777777" w:rsidR="00500FA1" w:rsidRDefault="00500FA1" w:rsidP="00500FA1">
      <w:pPr>
        <w:pStyle w:val="BodyText"/>
        <w:spacing w:line="360" w:lineRule="auto"/>
        <w:jc w:val="left"/>
        <w:rPr>
          <w:b w:val="0"/>
        </w:rPr>
      </w:pPr>
    </w:p>
    <w:p w14:paraId="481E4DD5" w14:textId="77777777" w:rsidR="00A40E5E" w:rsidRPr="00500FA1" w:rsidRDefault="00A40E5E" w:rsidP="00500FA1">
      <w:pPr>
        <w:pStyle w:val="BodyText"/>
        <w:spacing w:line="360" w:lineRule="auto"/>
        <w:jc w:val="left"/>
      </w:pPr>
      <w:r w:rsidRPr="00500FA1">
        <w:t>Budget 2004</w:t>
      </w:r>
    </w:p>
    <w:p w14:paraId="4D9CC316" w14:textId="77777777" w:rsidR="00A40E5E" w:rsidRPr="00500FA1" w:rsidRDefault="00A40E5E" w:rsidP="00500FA1">
      <w:pPr>
        <w:pStyle w:val="BodyText2"/>
        <w:spacing w:line="360" w:lineRule="auto"/>
        <w:jc w:val="left"/>
        <w:rPr>
          <w:b w:val="0"/>
        </w:rPr>
      </w:pPr>
      <w:r w:rsidRPr="00500FA1">
        <w:rPr>
          <w:b w:val="0"/>
        </w:rPr>
        <w:t>Normal weather definition in HELM changed from a 30-year average to a 15-year average, making HELM normal weather consistent with the energy models.</w:t>
      </w:r>
    </w:p>
    <w:p w14:paraId="11F5139D" w14:textId="77777777" w:rsidR="00A40E5E" w:rsidRPr="00500FA1" w:rsidRDefault="00A40E5E" w:rsidP="00500FA1">
      <w:pPr>
        <w:pStyle w:val="BodyText2"/>
        <w:spacing w:line="360" w:lineRule="auto"/>
        <w:jc w:val="left"/>
        <w:rPr>
          <w:b w:val="0"/>
        </w:rPr>
      </w:pPr>
    </w:p>
    <w:p w14:paraId="01FE21BD" w14:textId="77777777" w:rsidR="00A40E5E" w:rsidRPr="00500FA1" w:rsidRDefault="00A40E5E" w:rsidP="00500FA1">
      <w:pPr>
        <w:pStyle w:val="BodyText2"/>
        <w:spacing w:line="360" w:lineRule="auto"/>
        <w:jc w:val="left"/>
      </w:pPr>
      <w:r w:rsidRPr="00500FA1">
        <w:t xml:space="preserve">Budget 2006 </w:t>
      </w:r>
    </w:p>
    <w:p w14:paraId="0D610FE1" w14:textId="77777777" w:rsidR="00A40E5E" w:rsidRPr="00500FA1" w:rsidRDefault="00A40E5E" w:rsidP="00500FA1">
      <w:pPr>
        <w:pStyle w:val="BodyText2"/>
        <w:spacing w:line="360" w:lineRule="auto"/>
        <w:jc w:val="left"/>
        <w:rPr>
          <w:b w:val="0"/>
        </w:rPr>
      </w:pPr>
      <w:r w:rsidRPr="00500FA1">
        <w:rPr>
          <w:b w:val="0"/>
        </w:rPr>
        <w:t>Updated the RTP response model.</w:t>
      </w:r>
    </w:p>
    <w:p w14:paraId="5FAAD167" w14:textId="77777777" w:rsidR="00A40E5E" w:rsidRPr="00500FA1" w:rsidRDefault="00A40E5E" w:rsidP="00500FA1">
      <w:pPr>
        <w:pStyle w:val="BodyText2"/>
        <w:spacing w:line="360" w:lineRule="auto"/>
        <w:jc w:val="left"/>
        <w:rPr>
          <w:b w:val="0"/>
        </w:rPr>
      </w:pPr>
      <w:r w:rsidRPr="00500FA1">
        <w:rPr>
          <w:b w:val="0"/>
        </w:rPr>
        <w:t>Made adjustments in data to capture continuing customer reclassification.</w:t>
      </w:r>
    </w:p>
    <w:p w14:paraId="373042C5" w14:textId="77777777" w:rsidR="00A40E5E" w:rsidRPr="00500FA1" w:rsidRDefault="00A40E5E" w:rsidP="00500FA1">
      <w:pPr>
        <w:pStyle w:val="BodyText2"/>
        <w:spacing w:line="360" w:lineRule="auto"/>
        <w:jc w:val="left"/>
        <w:rPr>
          <w:b w:val="0"/>
        </w:rPr>
      </w:pPr>
    </w:p>
    <w:p w14:paraId="517E5E0D" w14:textId="77777777" w:rsidR="00A40E5E" w:rsidRPr="00500FA1" w:rsidRDefault="00A40E5E" w:rsidP="00500FA1">
      <w:pPr>
        <w:pStyle w:val="BodyText2"/>
        <w:spacing w:line="360" w:lineRule="auto"/>
        <w:jc w:val="left"/>
      </w:pPr>
      <w:r w:rsidRPr="00500FA1">
        <w:t xml:space="preserve">Budget 2007 </w:t>
      </w:r>
    </w:p>
    <w:p w14:paraId="77EAF46F" w14:textId="77777777" w:rsidR="00A40E5E" w:rsidRPr="00500FA1" w:rsidRDefault="00A40E5E" w:rsidP="00500FA1">
      <w:pPr>
        <w:pStyle w:val="BodyText2"/>
        <w:spacing w:line="360" w:lineRule="auto"/>
        <w:jc w:val="left"/>
        <w:rPr>
          <w:b w:val="0"/>
        </w:rPr>
      </w:pPr>
      <w:r w:rsidRPr="00500FA1">
        <w:rPr>
          <w:b w:val="0"/>
        </w:rPr>
        <w:t>Energy histories further adjusted for customer reclassification.</w:t>
      </w:r>
    </w:p>
    <w:p w14:paraId="0BB02CC1" w14:textId="77777777" w:rsidR="00A40E5E" w:rsidRPr="00500FA1" w:rsidRDefault="00A40E5E" w:rsidP="00500FA1">
      <w:pPr>
        <w:pStyle w:val="BodyText2"/>
        <w:spacing w:line="360" w:lineRule="auto"/>
        <w:jc w:val="left"/>
        <w:rPr>
          <w:b w:val="0"/>
        </w:rPr>
      </w:pPr>
      <w:r w:rsidRPr="00500FA1">
        <w:rPr>
          <w:b w:val="0"/>
        </w:rPr>
        <w:t>Transmission and distribution loss factor methodology updated.</w:t>
      </w:r>
    </w:p>
    <w:p w14:paraId="00B1A748" w14:textId="77777777" w:rsidR="00A40E5E" w:rsidRPr="00500FA1" w:rsidRDefault="00A40E5E" w:rsidP="00500FA1">
      <w:pPr>
        <w:pStyle w:val="BodyText2"/>
        <w:spacing w:line="360" w:lineRule="auto"/>
        <w:jc w:val="left"/>
        <w:rPr>
          <w:b w:val="0"/>
        </w:rPr>
      </w:pPr>
      <w:r w:rsidRPr="00500FA1">
        <w:rPr>
          <w:b w:val="0"/>
        </w:rPr>
        <w:t>Savannah merger impacts:</w:t>
      </w:r>
    </w:p>
    <w:p w14:paraId="3A6B2D5A" w14:textId="77777777" w:rsidR="00A40E5E" w:rsidRPr="00500FA1" w:rsidRDefault="00A40E5E" w:rsidP="00500FA1">
      <w:pPr>
        <w:pStyle w:val="BodyText2"/>
        <w:spacing w:line="360" w:lineRule="auto"/>
        <w:ind w:firstLine="720"/>
        <w:jc w:val="left"/>
        <w:rPr>
          <w:b w:val="0"/>
        </w:rPr>
      </w:pPr>
      <w:r w:rsidRPr="00500FA1">
        <w:rPr>
          <w:b w:val="0"/>
        </w:rPr>
        <w:t>Energy histories updated</w:t>
      </w:r>
    </w:p>
    <w:p w14:paraId="3CB7B861" w14:textId="77777777" w:rsidR="00A40E5E" w:rsidRPr="00500FA1" w:rsidRDefault="00A40E5E" w:rsidP="00500FA1">
      <w:pPr>
        <w:pStyle w:val="BodyText2"/>
        <w:spacing w:line="360" w:lineRule="auto"/>
        <w:ind w:firstLine="720"/>
        <w:jc w:val="left"/>
        <w:rPr>
          <w:b w:val="0"/>
        </w:rPr>
      </w:pPr>
      <w:r w:rsidRPr="00500FA1">
        <w:rPr>
          <w:b w:val="0"/>
        </w:rPr>
        <w:t xml:space="preserve">Weather history updated </w:t>
      </w:r>
    </w:p>
    <w:p w14:paraId="6F2928A4" w14:textId="385FC921" w:rsidR="00A40E5E" w:rsidRDefault="00A40E5E" w:rsidP="00F37943">
      <w:pPr>
        <w:pStyle w:val="BodyText2"/>
        <w:spacing w:line="360" w:lineRule="auto"/>
        <w:ind w:firstLine="720"/>
        <w:jc w:val="left"/>
        <w:rPr>
          <w:b w:val="0"/>
        </w:rPr>
      </w:pPr>
      <w:r w:rsidRPr="00500FA1">
        <w:rPr>
          <w:b w:val="0"/>
        </w:rPr>
        <w:t xml:space="preserve">REEPS, COMMEND and INFORM </w:t>
      </w:r>
      <w:r w:rsidR="00F37943">
        <w:rPr>
          <w:b w:val="0"/>
        </w:rPr>
        <w:t xml:space="preserve">and HELM </w:t>
      </w:r>
      <w:r w:rsidRPr="00500FA1">
        <w:rPr>
          <w:b w:val="0"/>
        </w:rPr>
        <w:t>updated</w:t>
      </w:r>
    </w:p>
    <w:p w14:paraId="4DB3D433" w14:textId="77777777" w:rsidR="00FB75EB" w:rsidRPr="00500FA1" w:rsidRDefault="00FB75EB" w:rsidP="00F37943">
      <w:pPr>
        <w:pStyle w:val="BodyText2"/>
        <w:spacing w:line="360" w:lineRule="auto"/>
        <w:ind w:firstLine="720"/>
        <w:jc w:val="left"/>
        <w:rPr>
          <w:b w:val="0"/>
        </w:rPr>
      </w:pPr>
    </w:p>
    <w:p w14:paraId="19091FC1" w14:textId="77777777" w:rsidR="00A40E5E" w:rsidRPr="00500FA1" w:rsidRDefault="00A40E5E" w:rsidP="00500FA1">
      <w:pPr>
        <w:pStyle w:val="BodyText2"/>
        <w:spacing w:line="360" w:lineRule="auto"/>
        <w:jc w:val="left"/>
      </w:pPr>
      <w:r w:rsidRPr="00500FA1">
        <w:t>Budget 2009</w:t>
      </w:r>
    </w:p>
    <w:p w14:paraId="0E13F27A" w14:textId="77777777" w:rsidR="00A40E5E" w:rsidRPr="00500FA1" w:rsidRDefault="00A40E5E" w:rsidP="00500FA1">
      <w:pPr>
        <w:pStyle w:val="BodyText2"/>
        <w:spacing w:line="360" w:lineRule="auto"/>
        <w:jc w:val="left"/>
        <w:rPr>
          <w:b w:val="0"/>
        </w:rPr>
      </w:pPr>
      <w:r w:rsidRPr="00500FA1">
        <w:rPr>
          <w:b w:val="0"/>
        </w:rPr>
        <w:t>Added price variables to short-term energy models.</w:t>
      </w:r>
    </w:p>
    <w:p w14:paraId="2E49F11D" w14:textId="77777777" w:rsidR="00A40E5E" w:rsidRPr="00500FA1" w:rsidRDefault="00A40E5E" w:rsidP="00500FA1">
      <w:pPr>
        <w:pStyle w:val="BodyText2"/>
        <w:spacing w:line="360" w:lineRule="auto"/>
        <w:jc w:val="left"/>
        <w:rPr>
          <w:b w:val="0"/>
        </w:rPr>
      </w:pPr>
    </w:p>
    <w:p w14:paraId="65B3A140" w14:textId="77777777" w:rsidR="00A40E5E" w:rsidRPr="00500FA1" w:rsidRDefault="00A40E5E" w:rsidP="00500FA1">
      <w:pPr>
        <w:pStyle w:val="BodyText2"/>
        <w:spacing w:line="360" w:lineRule="auto"/>
        <w:jc w:val="left"/>
      </w:pPr>
      <w:r w:rsidRPr="00500FA1">
        <w:t>Budget 2010</w:t>
      </w:r>
    </w:p>
    <w:p w14:paraId="373E0B89" w14:textId="6B57541B" w:rsidR="00A40E5E" w:rsidRPr="00500FA1" w:rsidRDefault="00A40E5E" w:rsidP="00586499">
      <w:pPr>
        <w:pStyle w:val="BodyText2"/>
        <w:spacing w:line="360" w:lineRule="auto"/>
        <w:jc w:val="both"/>
        <w:rPr>
          <w:b w:val="0"/>
        </w:rPr>
      </w:pPr>
      <w:r w:rsidRPr="00500FA1">
        <w:rPr>
          <w:b w:val="0"/>
        </w:rPr>
        <w:t xml:space="preserve">Replaced industrial </w:t>
      </w:r>
      <w:r w:rsidR="001434CD">
        <w:rPr>
          <w:b w:val="0"/>
        </w:rPr>
        <w:t>Gross State Product (“GSP”)</w:t>
      </w:r>
      <w:r w:rsidRPr="00500FA1">
        <w:rPr>
          <w:b w:val="0"/>
        </w:rPr>
        <w:t xml:space="preserve"> with industrial production to measure output in the short-term industrial energy models. Replaced 15-year weather with 20-year weather to improve forecast consistency across operating companies.</w:t>
      </w:r>
      <w:bookmarkStart w:id="345" w:name="_Toc497031917"/>
      <w:bookmarkStart w:id="346" w:name="_Toc503665913"/>
      <w:bookmarkStart w:id="347" w:name="_Toc59359842"/>
    </w:p>
    <w:p w14:paraId="624D6733" w14:textId="77777777" w:rsidR="00A40E5E" w:rsidRPr="00500FA1" w:rsidRDefault="00A40E5E" w:rsidP="00500FA1">
      <w:pPr>
        <w:pStyle w:val="BodyText2"/>
        <w:spacing w:line="360" w:lineRule="auto"/>
        <w:jc w:val="left"/>
        <w:rPr>
          <w:b w:val="0"/>
        </w:rPr>
      </w:pPr>
    </w:p>
    <w:p w14:paraId="4E7D06F6" w14:textId="77777777" w:rsidR="00A40E5E" w:rsidRPr="00500FA1" w:rsidRDefault="00A40E5E" w:rsidP="00500FA1">
      <w:pPr>
        <w:pStyle w:val="BodyText2"/>
        <w:spacing w:line="360" w:lineRule="auto"/>
        <w:jc w:val="left"/>
      </w:pPr>
      <w:r w:rsidRPr="00500FA1">
        <w:t>Budget 2011</w:t>
      </w:r>
    </w:p>
    <w:p w14:paraId="2D80F9BD" w14:textId="77777777" w:rsidR="00A40E5E" w:rsidRPr="00500FA1" w:rsidRDefault="00A40E5E" w:rsidP="00586499">
      <w:pPr>
        <w:pStyle w:val="BodyText2"/>
        <w:spacing w:line="360" w:lineRule="auto"/>
        <w:jc w:val="both"/>
        <w:rPr>
          <w:b w:val="0"/>
        </w:rPr>
      </w:pPr>
      <w:r w:rsidRPr="00500FA1">
        <w:rPr>
          <w:b w:val="0"/>
        </w:rPr>
        <w:t>In the long-term residential model, added several new end uses, including computers, ceiling fans, DVRs, pool pumps, well pumps; split lighting into two types (traditional and fluorescent); split television into 2 types (conventional and other technologies such as plasma &amp; LCD).</w:t>
      </w:r>
    </w:p>
    <w:p w14:paraId="47F9907E" w14:textId="77777777" w:rsidR="00A40E5E" w:rsidRPr="00500FA1" w:rsidRDefault="00A40E5E" w:rsidP="00586499">
      <w:pPr>
        <w:pStyle w:val="BodyText2"/>
        <w:spacing w:line="360" w:lineRule="auto"/>
        <w:jc w:val="both"/>
        <w:rPr>
          <w:b w:val="0"/>
        </w:rPr>
      </w:pPr>
    </w:p>
    <w:p w14:paraId="4C28FA87" w14:textId="30394E09" w:rsidR="00A40E5E" w:rsidRPr="00500FA1" w:rsidRDefault="00A40E5E" w:rsidP="00586499">
      <w:pPr>
        <w:pStyle w:val="BodyText2"/>
        <w:spacing w:line="360" w:lineRule="auto"/>
        <w:jc w:val="both"/>
        <w:rPr>
          <w:b w:val="0"/>
        </w:rPr>
      </w:pPr>
      <w:r w:rsidRPr="00500FA1">
        <w:rPr>
          <w:b w:val="0"/>
        </w:rPr>
        <w:t>In the long-term commercial model, revised base year EUIs for education and warehouses due to addition of some base year share for office equipment. Added office occupancy rate as an exogenous variable to capture downturn in the economy.</w:t>
      </w:r>
    </w:p>
    <w:p w14:paraId="5B1FF531" w14:textId="77777777" w:rsidR="00A40E5E" w:rsidRPr="00500FA1" w:rsidRDefault="00A40E5E" w:rsidP="00586499">
      <w:pPr>
        <w:pStyle w:val="BodyText2"/>
        <w:spacing w:line="360" w:lineRule="auto"/>
        <w:jc w:val="both"/>
        <w:rPr>
          <w:b w:val="0"/>
        </w:rPr>
      </w:pPr>
    </w:p>
    <w:p w14:paraId="740E4512" w14:textId="037CF377" w:rsidR="00A40E5E" w:rsidRPr="00500FA1" w:rsidRDefault="00A40E5E" w:rsidP="00586499">
      <w:pPr>
        <w:pStyle w:val="BodyText2"/>
        <w:spacing w:line="360" w:lineRule="auto"/>
        <w:jc w:val="both"/>
        <w:rPr>
          <w:b w:val="0"/>
        </w:rPr>
      </w:pPr>
      <w:r w:rsidRPr="00500FA1">
        <w:rPr>
          <w:b w:val="0"/>
        </w:rPr>
        <w:t xml:space="preserve">In the residential customer model, the </w:t>
      </w:r>
      <w:r w:rsidR="00202E70">
        <w:rPr>
          <w:b w:val="0"/>
        </w:rPr>
        <w:t xml:space="preserve">number of </w:t>
      </w:r>
      <w:r w:rsidRPr="00500FA1">
        <w:rPr>
          <w:b w:val="0"/>
        </w:rPr>
        <w:t xml:space="preserve">households variable was replaced with housing stock and housing starts to capture new housing activity.  </w:t>
      </w:r>
    </w:p>
    <w:p w14:paraId="627CAF6F" w14:textId="77777777" w:rsidR="00A40E5E" w:rsidRPr="00500FA1" w:rsidRDefault="00A40E5E" w:rsidP="00586499">
      <w:pPr>
        <w:pStyle w:val="BodyText2"/>
        <w:spacing w:line="360" w:lineRule="auto"/>
        <w:jc w:val="both"/>
        <w:rPr>
          <w:b w:val="0"/>
        </w:rPr>
      </w:pPr>
    </w:p>
    <w:p w14:paraId="646324BE" w14:textId="28409EBB" w:rsidR="00A40E5E" w:rsidRPr="00500FA1" w:rsidRDefault="00A40E5E" w:rsidP="00586499">
      <w:pPr>
        <w:pStyle w:val="BodyText2"/>
        <w:spacing w:line="360" w:lineRule="auto"/>
        <w:jc w:val="both"/>
        <w:rPr>
          <w:b w:val="0"/>
        </w:rPr>
      </w:pPr>
      <w:r w:rsidRPr="00500FA1">
        <w:rPr>
          <w:b w:val="0"/>
        </w:rPr>
        <w:t>A number of changes were made in the short-term commercial model. The data range was shortened to begin in 2000 rather than 1990. Also, the interaction of the weather variables (heating and cooling degree days) with square footage was dropped because of the increase in the commercial vacancy rate associated with the Great Recession. The billing days variable was dropped, and Atlanta population was added as a variable to capture new business formation.</w:t>
      </w:r>
    </w:p>
    <w:p w14:paraId="4A856AAF" w14:textId="77777777" w:rsidR="00A40E5E" w:rsidRPr="00500FA1" w:rsidRDefault="00A40E5E" w:rsidP="00586499">
      <w:pPr>
        <w:pStyle w:val="BodyText2"/>
        <w:spacing w:line="360" w:lineRule="auto"/>
        <w:jc w:val="both"/>
        <w:rPr>
          <w:b w:val="0"/>
        </w:rPr>
      </w:pPr>
    </w:p>
    <w:p w14:paraId="7B5A975C" w14:textId="77777777" w:rsidR="00A40E5E" w:rsidRPr="00500FA1" w:rsidRDefault="00A40E5E" w:rsidP="00586499">
      <w:pPr>
        <w:pStyle w:val="BodyText2"/>
        <w:spacing w:line="360" w:lineRule="auto"/>
        <w:jc w:val="both"/>
        <w:rPr>
          <w:b w:val="0"/>
        </w:rPr>
      </w:pPr>
      <w:r w:rsidRPr="00500FA1">
        <w:rPr>
          <w:b w:val="0"/>
        </w:rPr>
        <w:t xml:space="preserve">In the short-term industrial model, cooling degree days interacted with monthly binaries replaced individual monthly dummy variables.  </w:t>
      </w:r>
    </w:p>
    <w:p w14:paraId="5D6D91D1" w14:textId="77777777" w:rsidR="00A40E5E" w:rsidRPr="00500FA1" w:rsidRDefault="00A40E5E" w:rsidP="00500FA1">
      <w:pPr>
        <w:spacing w:line="360" w:lineRule="auto"/>
        <w:jc w:val="left"/>
        <w:rPr>
          <w:b w:val="0"/>
        </w:rPr>
      </w:pPr>
    </w:p>
    <w:p w14:paraId="4F7FE042" w14:textId="77777777" w:rsidR="00A40E5E" w:rsidRPr="00500FA1" w:rsidRDefault="00A40E5E" w:rsidP="00500FA1">
      <w:pPr>
        <w:pStyle w:val="BodyText2"/>
        <w:spacing w:line="360" w:lineRule="auto"/>
        <w:jc w:val="left"/>
      </w:pPr>
      <w:r w:rsidRPr="00500FA1">
        <w:t>Budget 2012</w:t>
      </w:r>
    </w:p>
    <w:p w14:paraId="77CB1BF0" w14:textId="77777777" w:rsidR="00A40E5E" w:rsidRPr="00500FA1" w:rsidRDefault="00A40E5E" w:rsidP="00586499">
      <w:pPr>
        <w:pStyle w:val="BodyText2"/>
        <w:spacing w:line="360" w:lineRule="auto"/>
        <w:jc w:val="both"/>
        <w:rPr>
          <w:b w:val="0"/>
        </w:rPr>
      </w:pPr>
      <w:r w:rsidRPr="00500FA1">
        <w:rPr>
          <w:b w:val="0"/>
        </w:rPr>
        <w:t>In the long-term residential model, the following changes were made:</w:t>
      </w:r>
    </w:p>
    <w:p w14:paraId="45FBCFD5" w14:textId="77777777" w:rsidR="00A40E5E" w:rsidRPr="00500FA1" w:rsidRDefault="00A40E5E" w:rsidP="00636F0A">
      <w:pPr>
        <w:pStyle w:val="BodyText2"/>
        <w:numPr>
          <w:ilvl w:val="0"/>
          <w:numId w:val="16"/>
        </w:numPr>
        <w:spacing w:line="360" w:lineRule="auto"/>
        <w:jc w:val="both"/>
        <w:rPr>
          <w:b w:val="0"/>
        </w:rPr>
      </w:pPr>
      <w:r w:rsidRPr="00500FA1">
        <w:rPr>
          <w:b w:val="0"/>
        </w:rPr>
        <w:t>Base year was changed from 1999 to 2007</w:t>
      </w:r>
    </w:p>
    <w:p w14:paraId="6860EBC7" w14:textId="77777777" w:rsidR="00A40E5E" w:rsidRPr="00500FA1" w:rsidRDefault="00A40E5E" w:rsidP="00636F0A">
      <w:pPr>
        <w:pStyle w:val="BodyText2"/>
        <w:numPr>
          <w:ilvl w:val="0"/>
          <w:numId w:val="16"/>
        </w:numPr>
        <w:spacing w:line="360" w:lineRule="auto"/>
        <w:jc w:val="both"/>
        <w:rPr>
          <w:b w:val="0"/>
        </w:rPr>
      </w:pPr>
      <w:r w:rsidRPr="00500FA1">
        <w:rPr>
          <w:b w:val="0"/>
        </w:rPr>
        <w:t xml:space="preserve">Vintages for shares/size/efficiency were updated so that prior to 2005 </w:t>
      </w:r>
      <w:r w:rsidR="00FF4DDB">
        <w:rPr>
          <w:b w:val="0"/>
        </w:rPr>
        <w:t>wa</w:t>
      </w:r>
      <w:r w:rsidRPr="00500FA1">
        <w:rPr>
          <w:b w:val="0"/>
        </w:rPr>
        <w:t xml:space="preserve">s “old” and 2005 to current </w:t>
      </w:r>
      <w:r w:rsidR="00FF4DDB">
        <w:rPr>
          <w:b w:val="0"/>
        </w:rPr>
        <w:t>wa</w:t>
      </w:r>
      <w:r w:rsidRPr="00500FA1">
        <w:rPr>
          <w:b w:val="0"/>
        </w:rPr>
        <w:t>s “new”</w:t>
      </w:r>
    </w:p>
    <w:p w14:paraId="6942237B" w14:textId="77777777" w:rsidR="00A40E5E" w:rsidRPr="00500FA1" w:rsidRDefault="00A40E5E" w:rsidP="00636F0A">
      <w:pPr>
        <w:pStyle w:val="BodyText2"/>
        <w:numPr>
          <w:ilvl w:val="0"/>
          <w:numId w:val="16"/>
        </w:numPr>
        <w:spacing w:line="360" w:lineRule="auto"/>
        <w:jc w:val="both"/>
        <w:rPr>
          <w:b w:val="0"/>
        </w:rPr>
      </w:pPr>
      <w:r w:rsidRPr="00500FA1">
        <w:rPr>
          <w:b w:val="0"/>
        </w:rPr>
        <w:t>Base year “existing” shares obtained from 2007 Saturation Survey</w:t>
      </w:r>
    </w:p>
    <w:p w14:paraId="29581EFF" w14:textId="77777777" w:rsidR="00A40E5E" w:rsidRPr="00500FA1" w:rsidRDefault="00A40E5E" w:rsidP="00636F0A">
      <w:pPr>
        <w:pStyle w:val="BodyText2"/>
        <w:numPr>
          <w:ilvl w:val="0"/>
          <w:numId w:val="16"/>
        </w:numPr>
        <w:spacing w:line="360" w:lineRule="auto"/>
        <w:jc w:val="both"/>
        <w:rPr>
          <w:b w:val="0"/>
        </w:rPr>
      </w:pPr>
      <w:r w:rsidRPr="00500FA1">
        <w:rPr>
          <w:b w:val="0"/>
        </w:rPr>
        <w:t>Penetration “new” shares obtained from 2010 Saturation Survey</w:t>
      </w:r>
    </w:p>
    <w:p w14:paraId="34A9D309" w14:textId="3B8FAAD8" w:rsidR="00A40E5E" w:rsidRPr="00500FA1" w:rsidRDefault="00A40E5E" w:rsidP="00636F0A">
      <w:pPr>
        <w:pStyle w:val="BodyText2"/>
        <w:numPr>
          <w:ilvl w:val="0"/>
          <w:numId w:val="16"/>
        </w:numPr>
        <w:spacing w:line="360" w:lineRule="auto"/>
        <w:jc w:val="both"/>
        <w:rPr>
          <w:b w:val="0"/>
        </w:rPr>
      </w:pPr>
      <w:r w:rsidRPr="00500FA1">
        <w:rPr>
          <w:b w:val="0"/>
        </w:rPr>
        <w:t xml:space="preserve">Changed UEC source (for all end uses except HVAC) from national RECS data to </w:t>
      </w:r>
      <w:r w:rsidR="000270E2" w:rsidRPr="00500FA1">
        <w:rPr>
          <w:b w:val="0"/>
        </w:rPr>
        <w:t>E</w:t>
      </w:r>
      <w:r w:rsidR="000270E2">
        <w:rPr>
          <w:b w:val="0"/>
        </w:rPr>
        <w:t>ner</w:t>
      </w:r>
      <w:r w:rsidR="000270E2" w:rsidRPr="00500FA1">
        <w:rPr>
          <w:b w:val="0"/>
        </w:rPr>
        <w:t>S</w:t>
      </w:r>
      <w:r w:rsidR="000270E2">
        <w:rPr>
          <w:b w:val="0"/>
        </w:rPr>
        <w:t>im</w:t>
      </w:r>
      <w:r w:rsidR="000270E2" w:rsidRPr="00500FA1">
        <w:rPr>
          <w:b w:val="0"/>
        </w:rPr>
        <w:t xml:space="preserve"> </w:t>
      </w:r>
      <w:r w:rsidRPr="00500FA1">
        <w:rPr>
          <w:b w:val="0"/>
        </w:rPr>
        <w:t xml:space="preserve">results run in-house, in order to get a more realistic picture of usage specific to </w:t>
      </w:r>
      <w:r w:rsidR="000F7478">
        <w:rPr>
          <w:b w:val="0"/>
        </w:rPr>
        <w:t xml:space="preserve">the </w:t>
      </w:r>
      <w:r w:rsidRPr="00500FA1">
        <w:rPr>
          <w:b w:val="0"/>
        </w:rPr>
        <w:t>G</w:t>
      </w:r>
      <w:r w:rsidR="000F7478">
        <w:rPr>
          <w:b w:val="0"/>
        </w:rPr>
        <w:t xml:space="preserve">eorgia </w:t>
      </w:r>
      <w:r w:rsidRPr="00500FA1">
        <w:rPr>
          <w:b w:val="0"/>
        </w:rPr>
        <w:t>P</w:t>
      </w:r>
      <w:r w:rsidR="000F7478">
        <w:rPr>
          <w:b w:val="0"/>
        </w:rPr>
        <w:t>ower</w:t>
      </w:r>
      <w:r w:rsidRPr="00500FA1">
        <w:rPr>
          <w:b w:val="0"/>
        </w:rPr>
        <w:t xml:space="preserve"> service territory</w:t>
      </w:r>
    </w:p>
    <w:p w14:paraId="7211D529" w14:textId="77777777" w:rsidR="00A40E5E" w:rsidRPr="00500FA1" w:rsidRDefault="00A40E5E" w:rsidP="00636F0A">
      <w:pPr>
        <w:pStyle w:val="BodyText2"/>
        <w:numPr>
          <w:ilvl w:val="0"/>
          <w:numId w:val="16"/>
        </w:numPr>
        <w:spacing w:line="360" w:lineRule="auto"/>
        <w:jc w:val="both"/>
        <w:rPr>
          <w:b w:val="0"/>
        </w:rPr>
      </w:pPr>
      <w:r w:rsidRPr="00500FA1">
        <w:rPr>
          <w:b w:val="0"/>
        </w:rPr>
        <w:t>Split COOK into two categories (oven and stovetop)</w:t>
      </w:r>
    </w:p>
    <w:p w14:paraId="312B7E61" w14:textId="77777777" w:rsidR="00A40E5E" w:rsidRPr="00500FA1" w:rsidRDefault="00A40E5E" w:rsidP="00636F0A">
      <w:pPr>
        <w:pStyle w:val="BodyText2"/>
        <w:numPr>
          <w:ilvl w:val="0"/>
          <w:numId w:val="16"/>
        </w:numPr>
        <w:spacing w:line="360" w:lineRule="auto"/>
        <w:jc w:val="both"/>
        <w:rPr>
          <w:b w:val="0"/>
        </w:rPr>
      </w:pPr>
      <w:r w:rsidRPr="00500FA1">
        <w:rPr>
          <w:b w:val="0"/>
        </w:rPr>
        <w:t>Split water heating from two to five end uses (electric resistance, electric HP, electric tankless, gas, gas tankless)</w:t>
      </w:r>
    </w:p>
    <w:p w14:paraId="6C9C2C12" w14:textId="77777777" w:rsidR="00A40E5E" w:rsidRPr="00500FA1" w:rsidRDefault="00A40E5E" w:rsidP="00636F0A">
      <w:pPr>
        <w:pStyle w:val="BodyText2"/>
        <w:numPr>
          <w:ilvl w:val="0"/>
          <w:numId w:val="16"/>
        </w:numPr>
        <w:spacing w:line="360" w:lineRule="auto"/>
        <w:jc w:val="both"/>
        <w:rPr>
          <w:b w:val="0"/>
        </w:rPr>
      </w:pPr>
      <w:r w:rsidRPr="00500FA1">
        <w:rPr>
          <w:b w:val="0"/>
        </w:rPr>
        <w:t>Updated income and home size elasticities</w:t>
      </w:r>
    </w:p>
    <w:p w14:paraId="3E53B0C4" w14:textId="77777777" w:rsidR="00A40E5E" w:rsidRPr="00500FA1" w:rsidRDefault="00A40E5E" w:rsidP="00586499">
      <w:pPr>
        <w:spacing w:line="360" w:lineRule="auto"/>
        <w:jc w:val="both"/>
        <w:rPr>
          <w:b w:val="0"/>
        </w:rPr>
      </w:pPr>
    </w:p>
    <w:p w14:paraId="2BB11D5B" w14:textId="52162D92" w:rsidR="00A40E5E" w:rsidRPr="00500FA1" w:rsidRDefault="00A40E5E" w:rsidP="00586499">
      <w:pPr>
        <w:pStyle w:val="BodyText2"/>
        <w:spacing w:line="360" w:lineRule="auto"/>
        <w:jc w:val="both"/>
        <w:rPr>
          <w:b w:val="0"/>
        </w:rPr>
      </w:pPr>
      <w:r w:rsidRPr="00500FA1">
        <w:rPr>
          <w:b w:val="0"/>
        </w:rPr>
        <w:t xml:space="preserve">In the residential customer model, the data range was shortened to begin in 2000 rather than 1990. The unemployment rate replaced housing starts as an economic variable.  </w:t>
      </w:r>
    </w:p>
    <w:p w14:paraId="44BFF0D8" w14:textId="77777777" w:rsidR="00A40E5E" w:rsidRPr="00500FA1" w:rsidRDefault="00A40E5E" w:rsidP="00500FA1">
      <w:pPr>
        <w:pStyle w:val="BodyText2"/>
        <w:spacing w:line="360" w:lineRule="auto"/>
        <w:jc w:val="left"/>
        <w:rPr>
          <w:b w:val="0"/>
        </w:rPr>
      </w:pPr>
    </w:p>
    <w:p w14:paraId="12875E92" w14:textId="77777777" w:rsidR="00A40E5E" w:rsidRPr="00500FA1" w:rsidRDefault="00A40E5E" w:rsidP="00500FA1">
      <w:pPr>
        <w:pStyle w:val="BodyText2"/>
        <w:spacing w:line="360" w:lineRule="auto"/>
        <w:jc w:val="left"/>
      </w:pPr>
      <w:r w:rsidRPr="00500FA1">
        <w:t>Budget 2013</w:t>
      </w:r>
    </w:p>
    <w:p w14:paraId="6E43C12E" w14:textId="04B6E8A8" w:rsidR="00A40E5E" w:rsidRPr="00500FA1" w:rsidRDefault="00A40E5E" w:rsidP="00586499">
      <w:pPr>
        <w:pStyle w:val="BodyText2"/>
        <w:spacing w:line="360" w:lineRule="auto"/>
        <w:jc w:val="both"/>
        <w:rPr>
          <w:b w:val="0"/>
        </w:rPr>
      </w:pPr>
      <w:r w:rsidRPr="00500FA1">
        <w:rPr>
          <w:b w:val="0"/>
        </w:rPr>
        <w:t xml:space="preserve">Historical data ranges were shortened in the short-term residential, commercial, and industrial models. For residential, the data for the new model </w:t>
      </w:r>
      <w:r w:rsidR="00FF4DDB">
        <w:rPr>
          <w:b w:val="0"/>
        </w:rPr>
        <w:t>began</w:t>
      </w:r>
      <w:r w:rsidRPr="00500FA1">
        <w:rPr>
          <w:b w:val="0"/>
        </w:rPr>
        <w:t xml:space="preserve"> in 2002 rather than 1999, and for commercial and industrial, it </w:t>
      </w:r>
      <w:r w:rsidR="00FF4DDB">
        <w:rPr>
          <w:b w:val="0"/>
        </w:rPr>
        <w:t>began</w:t>
      </w:r>
      <w:r w:rsidRPr="00500FA1">
        <w:rPr>
          <w:b w:val="0"/>
        </w:rPr>
        <w:t xml:space="preserve"> in 2005 rather than 2000. In the industrial energy model, manufacturing employment was dropped.  </w:t>
      </w:r>
    </w:p>
    <w:p w14:paraId="3857001E" w14:textId="77777777" w:rsidR="00A40E5E" w:rsidRDefault="00A40E5E" w:rsidP="00500FA1">
      <w:pPr>
        <w:pStyle w:val="BodyText2"/>
        <w:spacing w:line="360" w:lineRule="auto"/>
        <w:jc w:val="left"/>
        <w:rPr>
          <w:b w:val="0"/>
        </w:rPr>
      </w:pPr>
    </w:p>
    <w:p w14:paraId="7CAC42DB" w14:textId="77777777" w:rsidR="003619F4" w:rsidRPr="00500FA1" w:rsidRDefault="003619F4" w:rsidP="003619F4">
      <w:pPr>
        <w:pStyle w:val="BodyText2"/>
        <w:spacing w:line="360" w:lineRule="auto"/>
        <w:jc w:val="left"/>
      </w:pPr>
      <w:r w:rsidRPr="00500FA1">
        <w:t>Budget 201</w:t>
      </w:r>
      <w:r>
        <w:t>4</w:t>
      </w:r>
    </w:p>
    <w:p w14:paraId="778DC218" w14:textId="77777777" w:rsidR="003619F4" w:rsidRDefault="004E1B9F" w:rsidP="00586499">
      <w:pPr>
        <w:pStyle w:val="BodyText2"/>
        <w:spacing w:line="360" w:lineRule="auto"/>
        <w:jc w:val="both"/>
        <w:rPr>
          <w:b w:val="0"/>
        </w:rPr>
      </w:pPr>
      <w:r>
        <w:rPr>
          <w:b w:val="0"/>
        </w:rPr>
        <w:t>The new long-term energy model (LoadMAP) and peak model (PDM) were run in parallel with the previous models, REEPS, COMMEND, INFORM, and HELM.</w:t>
      </w:r>
    </w:p>
    <w:p w14:paraId="145BFA59" w14:textId="77777777" w:rsidR="00B06CAE" w:rsidRDefault="00B06CAE" w:rsidP="00586499">
      <w:pPr>
        <w:pStyle w:val="BodyText2"/>
        <w:spacing w:line="360" w:lineRule="auto"/>
        <w:jc w:val="both"/>
        <w:rPr>
          <w:b w:val="0"/>
        </w:rPr>
      </w:pPr>
    </w:p>
    <w:p w14:paraId="279FE3E7" w14:textId="69663329" w:rsidR="004E1B9F" w:rsidRDefault="00B06CAE" w:rsidP="00586499">
      <w:pPr>
        <w:pStyle w:val="BodyText2"/>
        <w:spacing w:line="360" w:lineRule="auto"/>
        <w:jc w:val="both"/>
        <w:rPr>
          <w:b w:val="0"/>
        </w:rPr>
      </w:pPr>
      <w:r>
        <w:rPr>
          <w:b w:val="0"/>
        </w:rPr>
        <w:t xml:space="preserve">In the short-term energy models, the sample periods over which the models were estimated changed. In the residential model, the sample period began in 2002, rather than 2000 </w:t>
      </w:r>
      <w:r w:rsidR="00FF4DDB">
        <w:rPr>
          <w:b w:val="0"/>
        </w:rPr>
        <w:t xml:space="preserve">as was the case </w:t>
      </w:r>
      <w:r>
        <w:rPr>
          <w:b w:val="0"/>
        </w:rPr>
        <w:t xml:space="preserve">in the Budget 2013 forecast. The commercial and industrial sample periods were lengthened, with commercial beginning in 2001 rather than 2005, and with industrial beginning in 2000 rather than 2004.  </w:t>
      </w:r>
    </w:p>
    <w:p w14:paraId="3BF6D7E8" w14:textId="77777777" w:rsidR="00B06CAE" w:rsidRDefault="00B06CAE" w:rsidP="00586499">
      <w:pPr>
        <w:pStyle w:val="BodyText2"/>
        <w:spacing w:line="360" w:lineRule="auto"/>
        <w:jc w:val="both"/>
        <w:rPr>
          <w:b w:val="0"/>
        </w:rPr>
      </w:pPr>
    </w:p>
    <w:p w14:paraId="07C5A199" w14:textId="09B3137D" w:rsidR="00B06CAE" w:rsidRDefault="00B06CAE" w:rsidP="00586499">
      <w:pPr>
        <w:pStyle w:val="BodyText2"/>
        <w:spacing w:line="360" w:lineRule="auto"/>
        <w:jc w:val="both"/>
        <w:rPr>
          <w:b w:val="0"/>
        </w:rPr>
      </w:pPr>
      <w:r>
        <w:rPr>
          <w:b w:val="0"/>
        </w:rPr>
        <w:t>Other changes include</w:t>
      </w:r>
      <w:r w:rsidR="00FF4DDB">
        <w:rPr>
          <w:b w:val="0"/>
        </w:rPr>
        <w:t>d</w:t>
      </w:r>
      <w:r>
        <w:rPr>
          <w:b w:val="0"/>
        </w:rPr>
        <w:t xml:space="preserve"> dropping the humidity variable from the residential use</w:t>
      </w:r>
      <w:r w:rsidR="000F7478">
        <w:rPr>
          <w:b w:val="0"/>
        </w:rPr>
        <w:t>-</w:t>
      </w:r>
      <w:r>
        <w:rPr>
          <w:b w:val="0"/>
        </w:rPr>
        <w:t>per</w:t>
      </w:r>
      <w:r w:rsidR="000F7478">
        <w:rPr>
          <w:b w:val="0"/>
        </w:rPr>
        <w:t>-</w:t>
      </w:r>
      <w:r>
        <w:rPr>
          <w:b w:val="0"/>
        </w:rPr>
        <w:t xml:space="preserve">customer model and using the Georgia Industrial Production Index instead of the Georgia Industrial Production Index for Manufacturing. </w:t>
      </w:r>
    </w:p>
    <w:p w14:paraId="43D5148B" w14:textId="77777777" w:rsidR="004E1B9F" w:rsidRDefault="004E1B9F" w:rsidP="00500FA1">
      <w:pPr>
        <w:pStyle w:val="BodyText2"/>
        <w:spacing w:line="360" w:lineRule="auto"/>
        <w:jc w:val="left"/>
        <w:rPr>
          <w:b w:val="0"/>
        </w:rPr>
      </w:pPr>
    </w:p>
    <w:p w14:paraId="2FBF6199" w14:textId="77777777" w:rsidR="000F291D" w:rsidRDefault="000F291D">
      <w:pPr>
        <w:spacing w:after="200" w:line="276" w:lineRule="auto"/>
        <w:jc w:val="left"/>
      </w:pPr>
      <w:r>
        <w:br w:type="page"/>
      </w:r>
    </w:p>
    <w:p w14:paraId="6081E78B" w14:textId="00DCC006" w:rsidR="003619F4" w:rsidRPr="00500FA1" w:rsidRDefault="003619F4" w:rsidP="003619F4">
      <w:pPr>
        <w:pStyle w:val="BodyText2"/>
        <w:spacing w:line="360" w:lineRule="auto"/>
        <w:jc w:val="left"/>
      </w:pPr>
      <w:r w:rsidRPr="00500FA1">
        <w:t>Budget 201</w:t>
      </w:r>
      <w:r>
        <w:t>5</w:t>
      </w:r>
    </w:p>
    <w:p w14:paraId="729CB189" w14:textId="10E79C3D" w:rsidR="003619F4" w:rsidRDefault="004E1B9F" w:rsidP="00586499">
      <w:pPr>
        <w:pStyle w:val="BodyText2"/>
        <w:spacing w:line="360" w:lineRule="auto"/>
        <w:jc w:val="both"/>
        <w:rPr>
          <w:b w:val="0"/>
        </w:rPr>
      </w:pPr>
      <w:r>
        <w:rPr>
          <w:b w:val="0"/>
        </w:rPr>
        <w:t xml:space="preserve">REEPS, COMMEND, INFORM and </w:t>
      </w:r>
      <w:r w:rsidR="004D7E6D">
        <w:rPr>
          <w:b w:val="0"/>
        </w:rPr>
        <w:t>HELM</w:t>
      </w:r>
      <w:r>
        <w:rPr>
          <w:b w:val="0"/>
        </w:rPr>
        <w:t xml:space="preserve"> </w:t>
      </w:r>
      <w:r w:rsidR="007D2D27">
        <w:rPr>
          <w:b w:val="0"/>
        </w:rPr>
        <w:t>were not</w:t>
      </w:r>
      <w:r>
        <w:rPr>
          <w:b w:val="0"/>
        </w:rPr>
        <w:t xml:space="preserve"> used. LoadMAP and PDM became the official long-term energy and peak models.</w:t>
      </w:r>
      <w:r w:rsidR="00592A0F">
        <w:rPr>
          <w:b w:val="0"/>
        </w:rPr>
        <w:t xml:space="preserve"> LoadMAP models use</w:t>
      </w:r>
      <w:r w:rsidR="00FF4DDB">
        <w:rPr>
          <w:b w:val="0"/>
        </w:rPr>
        <w:t>d</w:t>
      </w:r>
      <w:r w:rsidR="00592A0F">
        <w:rPr>
          <w:b w:val="0"/>
        </w:rPr>
        <w:t xml:space="preserve"> 2007 as the base year.</w:t>
      </w:r>
      <w:r w:rsidR="007C209A">
        <w:rPr>
          <w:b w:val="0"/>
        </w:rPr>
        <w:t xml:space="preserve"> Load shape re</w:t>
      </w:r>
      <w:r w:rsidR="00C400AD">
        <w:rPr>
          <w:b w:val="0"/>
        </w:rPr>
        <w:t>presentations used in the PD</w:t>
      </w:r>
      <w:r w:rsidR="007C209A">
        <w:rPr>
          <w:b w:val="0"/>
        </w:rPr>
        <w:t xml:space="preserve">M </w:t>
      </w:r>
      <w:r w:rsidR="00FF4DDB">
        <w:rPr>
          <w:b w:val="0"/>
        </w:rPr>
        <w:t>we</w:t>
      </w:r>
      <w:r w:rsidR="007C209A">
        <w:rPr>
          <w:b w:val="0"/>
        </w:rPr>
        <w:t>re from 2010 and 2011.</w:t>
      </w:r>
    </w:p>
    <w:p w14:paraId="0053C025" w14:textId="77777777" w:rsidR="007D2D27" w:rsidRDefault="007D2D27" w:rsidP="00586499">
      <w:pPr>
        <w:pStyle w:val="BodyText2"/>
        <w:spacing w:line="360" w:lineRule="auto"/>
        <w:jc w:val="both"/>
        <w:rPr>
          <w:b w:val="0"/>
        </w:rPr>
      </w:pPr>
    </w:p>
    <w:p w14:paraId="27FF0A28" w14:textId="281AF8CD" w:rsidR="00CD5BB1" w:rsidRDefault="00CD5BB1" w:rsidP="00586499">
      <w:pPr>
        <w:pStyle w:val="BodyText2"/>
        <w:spacing w:line="360" w:lineRule="auto"/>
        <w:jc w:val="both"/>
        <w:rPr>
          <w:b w:val="0"/>
        </w:rPr>
      </w:pPr>
      <w:r>
        <w:rPr>
          <w:b w:val="0"/>
        </w:rPr>
        <w:t xml:space="preserve">The sample periods for the commercial and industrial models were extended back </w:t>
      </w:r>
      <w:r w:rsidR="00C400AD">
        <w:rPr>
          <w:b w:val="0"/>
        </w:rPr>
        <w:t>one</w:t>
      </w:r>
      <w:r>
        <w:rPr>
          <w:b w:val="0"/>
        </w:rPr>
        <w:t xml:space="preserve"> year to 2000 and 1999, respectively. The autoregressive term that had been included in the commercial model previously was no longer necessary. In the industrial model, the </w:t>
      </w:r>
      <w:r w:rsidR="00755920">
        <w:rPr>
          <w:b w:val="0"/>
        </w:rPr>
        <w:t>U.S.</w:t>
      </w:r>
      <w:r>
        <w:rPr>
          <w:b w:val="0"/>
        </w:rPr>
        <w:t xml:space="preserve"> Industrial </w:t>
      </w:r>
      <w:r w:rsidR="00C400AD">
        <w:rPr>
          <w:b w:val="0"/>
        </w:rPr>
        <w:t>P</w:t>
      </w:r>
      <w:r>
        <w:rPr>
          <w:b w:val="0"/>
        </w:rPr>
        <w:t xml:space="preserve">roduction Index replaced the Georgia Industrial </w:t>
      </w:r>
      <w:r w:rsidR="00C82126">
        <w:rPr>
          <w:b w:val="0"/>
        </w:rPr>
        <w:t>P</w:t>
      </w:r>
      <w:r>
        <w:rPr>
          <w:b w:val="0"/>
        </w:rPr>
        <w:t xml:space="preserve">roduction Index used in Budget 2014, and manufacturing employment was included as an additional driver. </w:t>
      </w:r>
    </w:p>
    <w:p w14:paraId="7E357BA4" w14:textId="77777777" w:rsidR="004E1B9F" w:rsidRDefault="004E1B9F" w:rsidP="00500FA1">
      <w:pPr>
        <w:pStyle w:val="BodyText2"/>
        <w:spacing w:line="360" w:lineRule="auto"/>
        <w:jc w:val="left"/>
        <w:rPr>
          <w:b w:val="0"/>
        </w:rPr>
      </w:pPr>
    </w:p>
    <w:p w14:paraId="64D54C5F" w14:textId="77777777" w:rsidR="003619F4" w:rsidRPr="00500FA1" w:rsidRDefault="003619F4" w:rsidP="003619F4">
      <w:pPr>
        <w:pStyle w:val="BodyText2"/>
        <w:spacing w:line="360" w:lineRule="auto"/>
        <w:jc w:val="left"/>
      </w:pPr>
      <w:r w:rsidRPr="00500FA1">
        <w:t>Budget 201</w:t>
      </w:r>
      <w:r>
        <w:t>6</w:t>
      </w:r>
    </w:p>
    <w:p w14:paraId="65DFB3D9" w14:textId="7CAFF2B7" w:rsidR="007D2D27" w:rsidRDefault="003177A9" w:rsidP="00586499">
      <w:pPr>
        <w:pStyle w:val="BodyText2"/>
        <w:spacing w:line="360" w:lineRule="auto"/>
        <w:jc w:val="both"/>
        <w:rPr>
          <w:b w:val="0"/>
        </w:rPr>
      </w:pPr>
      <w:r>
        <w:rPr>
          <w:b w:val="0"/>
        </w:rPr>
        <w:t xml:space="preserve">The short-term residential use-per-customer model underwent two significant changes. The first was that the summer weather </w:t>
      </w:r>
      <w:r w:rsidR="00A5071D">
        <w:rPr>
          <w:b w:val="0"/>
        </w:rPr>
        <w:t xml:space="preserve">variables are no longer divided by the </w:t>
      </w:r>
      <w:r>
        <w:rPr>
          <w:b w:val="0"/>
        </w:rPr>
        <w:t xml:space="preserve">SEER </w:t>
      </w:r>
      <w:r w:rsidR="00A5071D">
        <w:rPr>
          <w:b w:val="0"/>
        </w:rPr>
        <w:t xml:space="preserve">index. The second change </w:t>
      </w:r>
      <w:r w:rsidR="00C400AD">
        <w:rPr>
          <w:b w:val="0"/>
        </w:rPr>
        <w:t xml:space="preserve">was </w:t>
      </w:r>
      <w:r w:rsidR="00A5071D">
        <w:rPr>
          <w:b w:val="0"/>
        </w:rPr>
        <w:t xml:space="preserve">that real personal income </w:t>
      </w:r>
      <w:r w:rsidR="00C400AD">
        <w:rPr>
          <w:b w:val="0"/>
        </w:rPr>
        <w:t>w</w:t>
      </w:r>
      <w:r w:rsidR="00A5071D">
        <w:rPr>
          <w:b w:val="0"/>
        </w:rPr>
        <w:t xml:space="preserve">as replaced as a driver by the total housing stock in Georgia. A strong forecast of real personal income resulted in </w:t>
      </w:r>
      <w:r w:rsidR="009F6032">
        <w:rPr>
          <w:b w:val="0"/>
        </w:rPr>
        <w:t xml:space="preserve">unrealistic </w:t>
      </w:r>
      <w:r w:rsidR="00A5071D">
        <w:rPr>
          <w:b w:val="0"/>
        </w:rPr>
        <w:t>growth rates for residential use-per-customer.</w:t>
      </w:r>
      <w:r w:rsidR="009F6032">
        <w:rPr>
          <w:b w:val="0"/>
        </w:rPr>
        <w:t xml:space="preserve"> Thus, real personal income was not used as a driver in the model.</w:t>
      </w:r>
      <w:r w:rsidR="00A5071D">
        <w:rPr>
          <w:b w:val="0"/>
        </w:rPr>
        <w:t xml:space="preserve">   </w:t>
      </w:r>
    </w:p>
    <w:p w14:paraId="520375C8" w14:textId="77777777" w:rsidR="00A5071D" w:rsidRDefault="00A5071D" w:rsidP="00586499">
      <w:pPr>
        <w:pStyle w:val="BodyText2"/>
        <w:spacing w:line="360" w:lineRule="auto"/>
        <w:jc w:val="both"/>
        <w:rPr>
          <w:b w:val="0"/>
        </w:rPr>
      </w:pPr>
    </w:p>
    <w:p w14:paraId="69CA4D59" w14:textId="5411B949" w:rsidR="00C82126" w:rsidRDefault="00A5071D" w:rsidP="00586499">
      <w:pPr>
        <w:pStyle w:val="BodyText2"/>
        <w:spacing w:line="360" w:lineRule="auto"/>
        <w:jc w:val="both"/>
        <w:rPr>
          <w:b w:val="0"/>
        </w:rPr>
      </w:pPr>
      <w:r>
        <w:rPr>
          <w:b w:val="0"/>
        </w:rPr>
        <w:t xml:space="preserve">The short-term commercial </w:t>
      </w:r>
      <w:r w:rsidR="00586499">
        <w:rPr>
          <w:b w:val="0"/>
        </w:rPr>
        <w:t xml:space="preserve">energy forecast </w:t>
      </w:r>
      <w:r>
        <w:rPr>
          <w:b w:val="0"/>
        </w:rPr>
        <w:t xml:space="preserve">model also </w:t>
      </w:r>
      <w:r w:rsidR="00586499">
        <w:rPr>
          <w:b w:val="0"/>
        </w:rPr>
        <w:t xml:space="preserve">underwent significant revisions for Budget 2016. The key economic driver of the commercial model is total Georgia population. This replaces Atlanta population and </w:t>
      </w:r>
      <w:r w:rsidR="00C82126">
        <w:rPr>
          <w:b w:val="0"/>
        </w:rPr>
        <w:t xml:space="preserve">real </w:t>
      </w:r>
      <w:r w:rsidR="00586499">
        <w:rPr>
          <w:b w:val="0"/>
        </w:rPr>
        <w:t>Georgia Commercial G</w:t>
      </w:r>
      <w:r w:rsidR="00C82126">
        <w:rPr>
          <w:b w:val="0"/>
        </w:rPr>
        <w:t>D</w:t>
      </w:r>
      <w:r w:rsidR="00586499">
        <w:rPr>
          <w:b w:val="0"/>
        </w:rPr>
        <w:t xml:space="preserve">P, </w:t>
      </w:r>
      <w:r w:rsidR="00C82126">
        <w:rPr>
          <w:b w:val="0"/>
        </w:rPr>
        <w:t>which</w:t>
      </w:r>
      <w:r w:rsidR="00586499">
        <w:rPr>
          <w:b w:val="0"/>
        </w:rPr>
        <w:t xml:space="preserve"> had been used as drivers in previous years. </w:t>
      </w:r>
      <w:r w:rsidR="00C82126">
        <w:rPr>
          <w:b w:val="0"/>
        </w:rPr>
        <w:t>Lastly, the beginning year of the sample period was changed to 2001 from 2000.</w:t>
      </w:r>
    </w:p>
    <w:p w14:paraId="7A23426F" w14:textId="77777777" w:rsidR="000D28D2" w:rsidRDefault="000D28D2" w:rsidP="00586499">
      <w:pPr>
        <w:pStyle w:val="BodyText2"/>
        <w:spacing w:line="360" w:lineRule="auto"/>
        <w:jc w:val="both"/>
        <w:rPr>
          <w:b w:val="0"/>
        </w:rPr>
      </w:pPr>
    </w:p>
    <w:p w14:paraId="731D30F3" w14:textId="77777777" w:rsidR="000D28D2" w:rsidRDefault="000D28D2" w:rsidP="000D28D2">
      <w:pPr>
        <w:pStyle w:val="BodyText2"/>
        <w:spacing w:line="360" w:lineRule="auto"/>
        <w:jc w:val="both"/>
        <w:rPr>
          <w:b w:val="0"/>
        </w:rPr>
      </w:pPr>
      <w:r>
        <w:rPr>
          <w:b w:val="0"/>
        </w:rPr>
        <w:t xml:space="preserve">The short-term industrial energy forecast model used the Georgia Industrial Production Index instead of the U.S. Industrial Production Index.    </w:t>
      </w:r>
    </w:p>
    <w:p w14:paraId="41EBD11D" w14:textId="77777777" w:rsidR="000D28D2" w:rsidRDefault="000D28D2" w:rsidP="000D28D2">
      <w:pPr>
        <w:pStyle w:val="BodyText2"/>
        <w:spacing w:line="360" w:lineRule="auto"/>
        <w:jc w:val="both"/>
        <w:rPr>
          <w:b w:val="0"/>
        </w:rPr>
      </w:pPr>
    </w:p>
    <w:p w14:paraId="27B558D2" w14:textId="0EC222AD" w:rsidR="000D28D2" w:rsidRDefault="000D28D2" w:rsidP="000D28D2">
      <w:pPr>
        <w:pStyle w:val="BodyText2"/>
        <w:spacing w:line="360" w:lineRule="auto"/>
        <w:jc w:val="both"/>
        <w:rPr>
          <w:b w:val="0"/>
        </w:rPr>
      </w:pPr>
      <w:r>
        <w:rPr>
          <w:b w:val="0"/>
        </w:rPr>
        <w:t>The RTP response model was updated by Christensen Associates Energy Consulting, LLC.</w:t>
      </w:r>
    </w:p>
    <w:p w14:paraId="304130B3" w14:textId="4FF61D2A" w:rsidR="006932A2" w:rsidRDefault="006932A2" w:rsidP="00586499">
      <w:pPr>
        <w:pStyle w:val="BodyText2"/>
        <w:spacing w:line="360" w:lineRule="auto"/>
        <w:jc w:val="both"/>
        <w:rPr>
          <w:b w:val="0"/>
        </w:rPr>
      </w:pPr>
    </w:p>
    <w:p w14:paraId="2FC9C1CE" w14:textId="493363EA" w:rsidR="006932A2" w:rsidRPr="00636F0A" w:rsidRDefault="006932A2" w:rsidP="00586499">
      <w:pPr>
        <w:pStyle w:val="BodyText2"/>
        <w:spacing w:line="360" w:lineRule="auto"/>
        <w:jc w:val="both"/>
      </w:pPr>
      <w:r w:rsidRPr="00636F0A">
        <w:t>Budget 2017</w:t>
      </w:r>
    </w:p>
    <w:p w14:paraId="538CDF26" w14:textId="2A5458BB" w:rsidR="006932A2" w:rsidRDefault="0052034B" w:rsidP="00586499">
      <w:pPr>
        <w:pStyle w:val="BodyText2"/>
        <w:spacing w:line="360" w:lineRule="auto"/>
        <w:jc w:val="both"/>
        <w:rPr>
          <w:b w:val="0"/>
        </w:rPr>
      </w:pPr>
      <w:r>
        <w:rPr>
          <w:b w:val="0"/>
        </w:rPr>
        <w:t xml:space="preserve">In Budget 2017, the ratio of multi-family housing stock to total housing stock was used to capture the lower energy usage of the growing multi-family sector.     </w:t>
      </w:r>
    </w:p>
    <w:p w14:paraId="2E2F3131" w14:textId="637EE589" w:rsidR="006932A2" w:rsidRDefault="006932A2" w:rsidP="00586499">
      <w:pPr>
        <w:pStyle w:val="BodyText2"/>
        <w:spacing w:line="360" w:lineRule="auto"/>
        <w:jc w:val="both"/>
        <w:rPr>
          <w:b w:val="0"/>
        </w:rPr>
      </w:pPr>
    </w:p>
    <w:p w14:paraId="1638B694" w14:textId="149F5319" w:rsidR="006932A2" w:rsidRPr="00636F0A" w:rsidRDefault="006932A2" w:rsidP="00586499">
      <w:pPr>
        <w:pStyle w:val="BodyText2"/>
        <w:spacing w:line="360" w:lineRule="auto"/>
        <w:jc w:val="both"/>
      </w:pPr>
      <w:r w:rsidRPr="00636F0A">
        <w:t>Budget 2018</w:t>
      </w:r>
    </w:p>
    <w:p w14:paraId="5CF9873E" w14:textId="74CC7223" w:rsidR="00E953EB" w:rsidRDefault="00A97CE8" w:rsidP="00586499">
      <w:pPr>
        <w:pStyle w:val="BodyText2"/>
        <w:spacing w:line="360" w:lineRule="auto"/>
        <w:jc w:val="both"/>
        <w:rPr>
          <w:b w:val="0"/>
        </w:rPr>
      </w:pPr>
      <w:r>
        <w:rPr>
          <w:b w:val="0"/>
        </w:rPr>
        <w:t xml:space="preserve">Budget 2018 included updates </w:t>
      </w:r>
      <w:r w:rsidR="00D21D06">
        <w:rPr>
          <w:b w:val="0"/>
        </w:rPr>
        <w:t xml:space="preserve">to </w:t>
      </w:r>
      <w:r>
        <w:rPr>
          <w:b w:val="0"/>
        </w:rPr>
        <w:t xml:space="preserve">the weather variables used in the short and long-term </w:t>
      </w:r>
      <w:r w:rsidR="00E40A52">
        <w:rPr>
          <w:b w:val="0"/>
        </w:rPr>
        <w:t xml:space="preserve">energy </w:t>
      </w:r>
      <w:r>
        <w:rPr>
          <w:b w:val="0"/>
        </w:rPr>
        <w:t xml:space="preserve">forecast models. The number of weather stations used and the weighting of each station; the breakpoints used to calculate HDH and CDH; and the definition of normal weather were updated </w:t>
      </w:r>
      <w:r w:rsidR="00E953EB">
        <w:rPr>
          <w:b w:val="0"/>
        </w:rPr>
        <w:t>with recent historical data to capture changing customer trends.</w:t>
      </w:r>
    </w:p>
    <w:p w14:paraId="2CAF38FC" w14:textId="77777777" w:rsidR="00E953EB" w:rsidRDefault="00E953EB" w:rsidP="00586499">
      <w:pPr>
        <w:pStyle w:val="BodyText2"/>
        <w:spacing w:line="360" w:lineRule="auto"/>
        <w:jc w:val="both"/>
        <w:rPr>
          <w:b w:val="0"/>
        </w:rPr>
      </w:pPr>
    </w:p>
    <w:p w14:paraId="3B71FED6" w14:textId="1D91510D" w:rsidR="00451DC3" w:rsidRDefault="00E953EB" w:rsidP="00586499">
      <w:pPr>
        <w:pStyle w:val="BodyText2"/>
        <w:spacing w:line="360" w:lineRule="auto"/>
        <w:jc w:val="both"/>
        <w:rPr>
          <w:b w:val="0"/>
        </w:rPr>
      </w:pPr>
      <w:r>
        <w:rPr>
          <w:b w:val="0"/>
        </w:rPr>
        <w:t xml:space="preserve">There were </w:t>
      </w:r>
      <w:r w:rsidR="00A75702">
        <w:rPr>
          <w:b w:val="0"/>
        </w:rPr>
        <w:t xml:space="preserve">three </w:t>
      </w:r>
      <w:r>
        <w:rPr>
          <w:b w:val="0"/>
        </w:rPr>
        <w:t xml:space="preserve">changes to the short-term forecast models. </w:t>
      </w:r>
      <w:r w:rsidR="00A75702">
        <w:rPr>
          <w:b w:val="0"/>
        </w:rPr>
        <w:t>F</w:t>
      </w:r>
      <w:r>
        <w:rPr>
          <w:b w:val="0"/>
        </w:rPr>
        <w:t>irst</w:t>
      </w:r>
      <w:r w:rsidR="00A75702">
        <w:rPr>
          <w:b w:val="0"/>
        </w:rPr>
        <w:t xml:space="preserve">, </w:t>
      </w:r>
      <w:r>
        <w:rPr>
          <w:b w:val="0"/>
        </w:rPr>
        <w:t xml:space="preserve">an energy efficiency variable </w:t>
      </w:r>
      <w:r w:rsidR="00A75702">
        <w:rPr>
          <w:b w:val="0"/>
        </w:rPr>
        <w:t xml:space="preserve">was included </w:t>
      </w:r>
      <w:r w:rsidR="000F7478">
        <w:rPr>
          <w:b w:val="0"/>
        </w:rPr>
        <w:t xml:space="preserve">in the </w:t>
      </w:r>
      <w:r>
        <w:rPr>
          <w:b w:val="0"/>
        </w:rPr>
        <w:t xml:space="preserve">residential and commercial </w:t>
      </w:r>
      <w:r w:rsidR="000F7478">
        <w:rPr>
          <w:b w:val="0"/>
        </w:rPr>
        <w:t>forecast models, as suggested by the Georgia Public Service Commission (“Commission”) staff in the 2016 IRP</w:t>
      </w:r>
      <w:r>
        <w:rPr>
          <w:b w:val="0"/>
        </w:rPr>
        <w:t xml:space="preserve">. </w:t>
      </w:r>
      <w:r w:rsidR="00A75702">
        <w:rPr>
          <w:b w:val="0"/>
        </w:rPr>
        <w:t>S</w:t>
      </w:r>
      <w:r>
        <w:rPr>
          <w:b w:val="0"/>
        </w:rPr>
        <w:t>econd</w:t>
      </w:r>
      <w:r w:rsidR="00A75702">
        <w:rPr>
          <w:b w:val="0"/>
        </w:rPr>
        <w:t>, the ratio of multi-family housing stock to total housing stock</w:t>
      </w:r>
      <w:r>
        <w:rPr>
          <w:b w:val="0"/>
        </w:rPr>
        <w:t xml:space="preserve"> </w:t>
      </w:r>
      <w:r w:rsidR="00A75702">
        <w:rPr>
          <w:b w:val="0"/>
        </w:rPr>
        <w:t xml:space="preserve">was dropped as a driver of residential energy usage. Lastly, </w:t>
      </w:r>
      <w:r>
        <w:rPr>
          <w:b w:val="0"/>
        </w:rPr>
        <w:t xml:space="preserve">the number of Georgia households </w:t>
      </w:r>
      <w:r w:rsidR="00A75702">
        <w:rPr>
          <w:b w:val="0"/>
        </w:rPr>
        <w:t>replaced</w:t>
      </w:r>
      <w:r>
        <w:rPr>
          <w:b w:val="0"/>
        </w:rPr>
        <w:t xml:space="preserve"> population as a driver of residential customers and commercial energy</w:t>
      </w:r>
      <w:r w:rsidR="009F1FBB">
        <w:rPr>
          <w:b w:val="0"/>
        </w:rPr>
        <w:t>.</w:t>
      </w:r>
      <w:r>
        <w:rPr>
          <w:b w:val="0"/>
        </w:rPr>
        <w:t xml:space="preserve"> </w:t>
      </w:r>
    </w:p>
    <w:p w14:paraId="7A6E890B" w14:textId="77777777" w:rsidR="00451DC3" w:rsidRDefault="00451DC3" w:rsidP="00586499">
      <w:pPr>
        <w:pStyle w:val="BodyText2"/>
        <w:spacing w:line="360" w:lineRule="auto"/>
        <w:jc w:val="both"/>
        <w:rPr>
          <w:b w:val="0"/>
        </w:rPr>
      </w:pPr>
    </w:p>
    <w:p w14:paraId="3F4397C3" w14:textId="20663EC9" w:rsidR="006932A2" w:rsidRDefault="00451DC3" w:rsidP="00586499">
      <w:pPr>
        <w:pStyle w:val="BodyText2"/>
        <w:spacing w:line="360" w:lineRule="auto"/>
        <w:jc w:val="both"/>
        <w:rPr>
          <w:b w:val="0"/>
        </w:rPr>
      </w:pPr>
      <w:r>
        <w:rPr>
          <w:b w:val="0"/>
        </w:rPr>
        <w:t>There were also a few changes to the long-term and peak demand forecast models. Navigant lighting saturation assumptions were adopted in the residential, commercial and industrial LoadMAP models. The load shape representations used in the peak demand model were re-estimated using actual 2015 and 2016 load</w:t>
      </w:r>
      <w:r w:rsidR="00A97CE8">
        <w:rPr>
          <w:b w:val="0"/>
        </w:rPr>
        <w:t xml:space="preserve"> </w:t>
      </w:r>
      <w:r>
        <w:rPr>
          <w:b w:val="0"/>
        </w:rPr>
        <w:t>data.</w:t>
      </w:r>
      <w:r w:rsidR="00A97CE8">
        <w:rPr>
          <w:b w:val="0"/>
        </w:rPr>
        <w:t xml:space="preserve">  </w:t>
      </w:r>
    </w:p>
    <w:p w14:paraId="705DC3C6" w14:textId="582C6E87" w:rsidR="006932A2" w:rsidRDefault="006932A2" w:rsidP="00586499">
      <w:pPr>
        <w:pStyle w:val="BodyText2"/>
        <w:spacing w:line="360" w:lineRule="auto"/>
        <w:jc w:val="both"/>
        <w:rPr>
          <w:b w:val="0"/>
        </w:rPr>
      </w:pPr>
    </w:p>
    <w:p w14:paraId="3B990497" w14:textId="0E3E8A0B" w:rsidR="006932A2" w:rsidRPr="00636F0A" w:rsidRDefault="006932A2" w:rsidP="00586499">
      <w:pPr>
        <w:pStyle w:val="BodyText2"/>
        <w:spacing w:line="360" w:lineRule="auto"/>
        <w:jc w:val="both"/>
      </w:pPr>
      <w:r w:rsidRPr="00636F0A">
        <w:t>Budget 2019</w:t>
      </w:r>
    </w:p>
    <w:p w14:paraId="62027513" w14:textId="08613B3A" w:rsidR="004F5118" w:rsidRDefault="004F5118" w:rsidP="00586499">
      <w:pPr>
        <w:pStyle w:val="BodyText2"/>
        <w:spacing w:line="360" w:lineRule="auto"/>
        <w:jc w:val="both"/>
        <w:rPr>
          <w:b w:val="0"/>
        </w:rPr>
      </w:pPr>
      <w:r>
        <w:rPr>
          <w:b w:val="0"/>
        </w:rPr>
        <w:t xml:space="preserve">Changed economic service providers from Moody’s Analytics to IHS Markit following the issuance of a Request For Proposals in 2017. IHS Markit became Georgia Power’s provider of economic data and forecasts in January 2018 and these economic forecasts were used to produce Budget 2019.  </w:t>
      </w:r>
    </w:p>
    <w:p w14:paraId="1529DE91" w14:textId="77777777" w:rsidR="00895954" w:rsidRDefault="00895954" w:rsidP="00586499">
      <w:pPr>
        <w:pStyle w:val="BodyText2"/>
        <w:spacing w:line="360" w:lineRule="auto"/>
        <w:jc w:val="both"/>
        <w:rPr>
          <w:b w:val="0"/>
        </w:rPr>
      </w:pPr>
    </w:p>
    <w:p w14:paraId="74345E7D" w14:textId="6E4C8626" w:rsidR="00376C12" w:rsidRDefault="00313CF2" w:rsidP="00586499">
      <w:pPr>
        <w:pStyle w:val="BodyText2"/>
        <w:spacing w:line="360" w:lineRule="auto"/>
        <w:jc w:val="both"/>
        <w:rPr>
          <w:b w:val="0"/>
        </w:rPr>
      </w:pPr>
      <w:r>
        <w:rPr>
          <w:b w:val="0"/>
        </w:rPr>
        <w:t xml:space="preserve">The </w:t>
      </w:r>
      <w:r w:rsidR="000F7478">
        <w:rPr>
          <w:b w:val="0"/>
        </w:rPr>
        <w:t xml:space="preserve">short-term </w:t>
      </w:r>
      <w:r>
        <w:rPr>
          <w:b w:val="0"/>
        </w:rPr>
        <w:t xml:space="preserve">econometric </w:t>
      </w:r>
      <w:r w:rsidR="000F7478">
        <w:rPr>
          <w:b w:val="0"/>
        </w:rPr>
        <w:t xml:space="preserve">forecast </w:t>
      </w:r>
      <w:r w:rsidR="0025425B">
        <w:rPr>
          <w:b w:val="0"/>
        </w:rPr>
        <w:t xml:space="preserve">models </w:t>
      </w:r>
      <w:r w:rsidR="00B70FA3">
        <w:rPr>
          <w:b w:val="0"/>
        </w:rPr>
        <w:t xml:space="preserve">were tested for structural breaks and it was determined that </w:t>
      </w:r>
      <w:r w:rsidR="00A75702">
        <w:rPr>
          <w:b w:val="0"/>
        </w:rPr>
        <w:t xml:space="preserve">the </w:t>
      </w:r>
      <w:r w:rsidR="00B70FA3">
        <w:rPr>
          <w:b w:val="0"/>
        </w:rPr>
        <w:t>estimation periods needed to be</w:t>
      </w:r>
      <w:r w:rsidR="009F1FBB">
        <w:rPr>
          <w:b w:val="0"/>
        </w:rPr>
        <w:t xml:space="preserve"> shortened to better capture </w:t>
      </w:r>
      <w:r w:rsidR="00A75702">
        <w:rPr>
          <w:b w:val="0"/>
        </w:rPr>
        <w:t>the changing relationships impacting</w:t>
      </w:r>
      <w:r w:rsidR="00B70FA3">
        <w:rPr>
          <w:b w:val="0"/>
        </w:rPr>
        <w:t xml:space="preserve"> energy use</w:t>
      </w:r>
      <w:r w:rsidR="008B13CA">
        <w:rPr>
          <w:b w:val="0"/>
        </w:rPr>
        <w:t xml:space="preserve">. The time period used to estimate the residential model begins in January 2011; the commercial model begins in January 2009; and the industrial model begins in January 2010. </w:t>
      </w:r>
      <w:r>
        <w:rPr>
          <w:b w:val="0"/>
        </w:rPr>
        <w:t>In addition, e</w:t>
      </w:r>
      <w:r w:rsidR="00B70FA3">
        <w:rPr>
          <w:b w:val="0"/>
        </w:rPr>
        <w:t xml:space="preserve">lectricity prices </w:t>
      </w:r>
      <w:r>
        <w:rPr>
          <w:b w:val="0"/>
        </w:rPr>
        <w:t>we</w:t>
      </w:r>
      <w:r w:rsidR="00B70FA3">
        <w:rPr>
          <w:b w:val="0"/>
        </w:rPr>
        <w:t xml:space="preserve">re </w:t>
      </w:r>
      <w:r>
        <w:rPr>
          <w:b w:val="0"/>
        </w:rPr>
        <w:t>ex</w:t>
      </w:r>
      <w:r w:rsidR="00B70FA3">
        <w:rPr>
          <w:b w:val="0"/>
        </w:rPr>
        <w:t xml:space="preserve">cluded as </w:t>
      </w:r>
      <w:r w:rsidR="008B13CA">
        <w:rPr>
          <w:b w:val="0"/>
        </w:rPr>
        <w:t xml:space="preserve">a driver </w:t>
      </w:r>
      <w:r>
        <w:rPr>
          <w:b w:val="0"/>
        </w:rPr>
        <w:t>in</w:t>
      </w:r>
      <w:r w:rsidR="008B13CA">
        <w:rPr>
          <w:b w:val="0"/>
        </w:rPr>
        <w:t xml:space="preserve"> the short-term </w:t>
      </w:r>
      <w:r w:rsidR="00B70FA3">
        <w:rPr>
          <w:b w:val="0"/>
        </w:rPr>
        <w:t>energy</w:t>
      </w:r>
      <w:r w:rsidR="0025425B">
        <w:rPr>
          <w:b w:val="0"/>
        </w:rPr>
        <w:t xml:space="preserve"> </w:t>
      </w:r>
      <w:r w:rsidR="008B13CA">
        <w:rPr>
          <w:b w:val="0"/>
        </w:rPr>
        <w:t>models, although a price variable remains in the long-term model</w:t>
      </w:r>
      <w:r w:rsidR="00B70FA3">
        <w:rPr>
          <w:b w:val="0"/>
        </w:rPr>
        <w:t>s</w:t>
      </w:r>
      <w:r w:rsidR="008B13CA">
        <w:rPr>
          <w:b w:val="0"/>
        </w:rPr>
        <w:t xml:space="preserve">. </w:t>
      </w:r>
      <w:r>
        <w:rPr>
          <w:b w:val="0"/>
        </w:rPr>
        <w:t xml:space="preserve">Lastly, the </w:t>
      </w:r>
      <w:r w:rsidR="000F7478">
        <w:rPr>
          <w:b w:val="0"/>
        </w:rPr>
        <w:t xml:space="preserve">short-term </w:t>
      </w:r>
      <w:r>
        <w:rPr>
          <w:b w:val="0"/>
        </w:rPr>
        <w:t xml:space="preserve">commercial model no longer includes households as a driver of energy use, and the short-term industrial model no longer </w:t>
      </w:r>
      <w:r w:rsidR="008D3811">
        <w:rPr>
          <w:b w:val="0"/>
        </w:rPr>
        <w:t xml:space="preserve">includes </w:t>
      </w:r>
      <w:r w:rsidR="00491040">
        <w:rPr>
          <w:b w:val="0"/>
        </w:rPr>
        <w:t xml:space="preserve">the </w:t>
      </w:r>
      <w:r>
        <w:rPr>
          <w:b w:val="0"/>
        </w:rPr>
        <w:t>Georgia Industrial Production Index</w:t>
      </w:r>
      <w:r w:rsidR="008D3811">
        <w:rPr>
          <w:b w:val="0"/>
        </w:rPr>
        <w:t xml:space="preserve"> as a driver</w:t>
      </w:r>
      <w:r>
        <w:rPr>
          <w:b w:val="0"/>
        </w:rPr>
        <w:t xml:space="preserve">. </w:t>
      </w:r>
    </w:p>
    <w:p w14:paraId="3102D79D" w14:textId="77777777" w:rsidR="00376C12" w:rsidRDefault="00376C12" w:rsidP="00586499">
      <w:pPr>
        <w:pStyle w:val="BodyText2"/>
        <w:spacing w:line="360" w:lineRule="auto"/>
        <w:jc w:val="both"/>
        <w:rPr>
          <w:b w:val="0"/>
        </w:rPr>
      </w:pPr>
    </w:p>
    <w:p w14:paraId="337F462F" w14:textId="4A9D3A98" w:rsidR="00202E70" w:rsidRDefault="00376C12" w:rsidP="00586499">
      <w:pPr>
        <w:pStyle w:val="BodyText2"/>
        <w:spacing w:line="360" w:lineRule="auto"/>
        <w:jc w:val="both"/>
        <w:rPr>
          <w:b w:val="0"/>
        </w:rPr>
      </w:pPr>
      <w:r>
        <w:rPr>
          <w:b w:val="0"/>
        </w:rPr>
        <w:t xml:space="preserve">The </w:t>
      </w:r>
      <w:r w:rsidR="000F7478">
        <w:rPr>
          <w:b w:val="0"/>
        </w:rPr>
        <w:t>C</w:t>
      </w:r>
      <w:r>
        <w:rPr>
          <w:b w:val="0"/>
        </w:rPr>
        <w:t xml:space="preserve">ommercial LoadMAP model was updated to better capture the impacts of energy efficiency and customer behavior. Specifically, the model </w:t>
      </w:r>
      <w:r w:rsidR="00560AEB">
        <w:rPr>
          <w:b w:val="0"/>
        </w:rPr>
        <w:t xml:space="preserve">used </w:t>
      </w:r>
      <w:r>
        <w:rPr>
          <w:b w:val="0"/>
        </w:rPr>
        <w:t xml:space="preserve">updated </w:t>
      </w:r>
      <w:r w:rsidR="00560AEB">
        <w:rPr>
          <w:b w:val="0"/>
        </w:rPr>
        <w:t>technology specifications</w:t>
      </w:r>
      <w:r w:rsidR="002B041E">
        <w:rPr>
          <w:b w:val="0"/>
        </w:rPr>
        <w:t>,</w:t>
      </w:r>
      <w:r w:rsidR="00560AEB">
        <w:rPr>
          <w:b w:val="0"/>
        </w:rPr>
        <w:t xml:space="preserve"> such as EERs and unit energy consumption, throughout the end-use categories</w:t>
      </w:r>
      <w:r>
        <w:rPr>
          <w:b w:val="0"/>
        </w:rPr>
        <w:t xml:space="preserve">. </w:t>
      </w:r>
      <w:r w:rsidR="008B13CA">
        <w:rPr>
          <w:b w:val="0"/>
        </w:rPr>
        <w:t xml:space="preserve"> </w:t>
      </w:r>
    </w:p>
    <w:p w14:paraId="02E0E393" w14:textId="77777777" w:rsidR="00202E70" w:rsidRDefault="00202E70" w:rsidP="00586499">
      <w:pPr>
        <w:pStyle w:val="BodyText2"/>
        <w:spacing w:line="360" w:lineRule="auto"/>
        <w:jc w:val="both"/>
        <w:rPr>
          <w:b w:val="0"/>
        </w:rPr>
      </w:pPr>
    </w:p>
    <w:p w14:paraId="5CD8F30D" w14:textId="77777777" w:rsidR="00D21D06" w:rsidRDefault="00D21D06" w:rsidP="00D21D06">
      <w:pPr>
        <w:pStyle w:val="BodyText2"/>
        <w:spacing w:line="360" w:lineRule="auto"/>
        <w:jc w:val="both"/>
        <w:rPr>
          <w:b w:val="0"/>
        </w:rPr>
      </w:pPr>
      <w:r>
        <w:rPr>
          <w:b w:val="0"/>
        </w:rPr>
        <w:t>The RTP response model was updated by Christensen Associates Energy Consulting, LLC.</w:t>
      </w:r>
    </w:p>
    <w:p w14:paraId="5DF5961F" w14:textId="33C5CF2B" w:rsidR="002B4B97" w:rsidRDefault="002B4B97" w:rsidP="00586499">
      <w:pPr>
        <w:pStyle w:val="BodyText2"/>
        <w:spacing w:line="360" w:lineRule="auto"/>
        <w:jc w:val="both"/>
        <w:rPr>
          <w:b w:val="0"/>
        </w:rPr>
      </w:pPr>
    </w:p>
    <w:p w14:paraId="318D1740" w14:textId="77777777" w:rsidR="00A40E5E" w:rsidRPr="00500FA1" w:rsidRDefault="00A40E5E" w:rsidP="00500FA1">
      <w:pPr>
        <w:pStyle w:val="Heading1"/>
        <w:jc w:val="left"/>
        <w:rPr>
          <w:rFonts w:ascii="Arial" w:hAnsi="Arial" w:cs="Arial"/>
          <w:b/>
          <w:color w:val="auto"/>
        </w:rPr>
      </w:pPr>
      <w:bookmarkStart w:id="348" w:name="_Toc347120489"/>
      <w:bookmarkStart w:id="349" w:name="_Toc535495682"/>
      <w:r w:rsidRPr="00500FA1">
        <w:rPr>
          <w:rFonts w:ascii="Arial" w:hAnsi="Arial" w:cs="Arial"/>
          <w:b/>
          <w:bCs w:val="0"/>
          <w:color w:val="auto"/>
        </w:rPr>
        <w:t>9.5</w:t>
      </w:r>
      <w:r w:rsidRPr="00500FA1">
        <w:rPr>
          <w:rFonts w:ascii="Arial" w:hAnsi="Arial" w:cs="Arial"/>
          <w:b/>
          <w:bCs w:val="0"/>
          <w:color w:val="auto"/>
        </w:rPr>
        <w:tab/>
        <w:t>ENERGY RESEARCH PLAN</w:t>
      </w:r>
      <w:bookmarkEnd w:id="348"/>
      <w:bookmarkEnd w:id="349"/>
    </w:p>
    <w:p w14:paraId="0CC1D2FC" w14:textId="77777777" w:rsidR="00500FA1" w:rsidRDefault="00500FA1" w:rsidP="00262E1C">
      <w:pPr>
        <w:pStyle w:val="BodyText"/>
        <w:jc w:val="both"/>
      </w:pPr>
    </w:p>
    <w:p w14:paraId="02C7D422" w14:textId="61B1609C" w:rsidR="00A40E5E" w:rsidRPr="00500FA1" w:rsidRDefault="00F144E4" w:rsidP="00262E1C">
      <w:pPr>
        <w:pStyle w:val="BodyText"/>
        <w:spacing w:line="360" w:lineRule="auto"/>
        <w:jc w:val="both"/>
        <w:rPr>
          <w:b w:val="0"/>
        </w:rPr>
      </w:pPr>
      <w:r w:rsidRPr="00500FA1">
        <w:rPr>
          <w:b w:val="0"/>
        </w:rPr>
        <w:t>Th</w:t>
      </w:r>
      <w:r>
        <w:rPr>
          <w:b w:val="0"/>
        </w:rPr>
        <w:t xml:space="preserve">e following sections contain a description of </w:t>
      </w:r>
      <w:r w:rsidR="00A40E5E" w:rsidRPr="00500FA1">
        <w:rPr>
          <w:b w:val="0"/>
        </w:rPr>
        <w:t xml:space="preserve">Georgia Power’s Energy Research Plan </w:t>
      </w:r>
      <w:r>
        <w:rPr>
          <w:b w:val="0"/>
        </w:rPr>
        <w:t xml:space="preserve">for </w:t>
      </w:r>
      <w:r w:rsidR="00397710" w:rsidRPr="00500FA1">
        <w:rPr>
          <w:b w:val="0"/>
        </w:rPr>
        <w:t>20</w:t>
      </w:r>
      <w:r w:rsidR="00397710">
        <w:rPr>
          <w:b w:val="0"/>
        </w:rPr>
        <w:t>19</w:t>
      </w:r>
      <w:r w:rsidR="00A40E5E" w:rsidRPr="00500FA1">
        <w:rPr>
          <w:b w:val="0"/>
        </w:rPr>
        <w:t>-</w:t>
      </w:r>
      <w:r w:rsidR="00397710" w:rsidRPr="00500FA1">
        <w:rPr>
          <w:b w:val="0"/>
        </w:rPr>
        <w:t>20</w:t>
      </w:r>
      <w:r w:rsidR="00397710">
        <w:rPr>
          <w:b w:val="0"/>
        </w:rPr>
        <w:t>22</w:t>
      </w:r>
      <w:r w:rsidR="00A40E5E" w:rsidRPr="00500FA1">
        <w:rPr>
          <w:b w:val="0"/>
        </w:rPr>
        <w:t>.</w:t>
      </w:r>
      <w:r>
        <w:rPr>
          <w:b w:val="0"/>
        </w:rPr>
        <w:t xml:space="preserve"> This plan will allow Georgia Power to meet the </w:t>
      </w:r>
      <w:r w:rsidR="003E3E85">
        <w:rPr>
          <w:b w:val="0"/>
        </w:rPr>
        <w:t xml:space="preserve">Commission’s </w:t>
      </w:r>
      <w:r>
        <w:rPr>
          <w:b w:val="0"/>
        </w:rPr>
        <w:t xml:space="preserve">requirements, including required filing of information, development of forecasts, and evaluation of demand and supply side resources. </w:t>
      </w:r>
    </w:p>
    <w:p w14:paraId="4721D3E0" w14:textId="77777777" w:rsidR="00A40E5E" w:rsidRPr="00500FA1" w:rsidRDefault="00A40E5E" w:rsidP="00500FA1">
      <w:pPr>
        <w:pStyle w:val="BodyText"/>
        <w:spacing w:line="360" w:lineRule="auto"/>
        <w:jc w:val="left"/>
        <w:rPr>
          <w:b w:val="0"/>
        </w:rPr>
      </w:pPr>
    </w:p>
    <w:p w14:paraId="77CA02B4" w14:textId="77777777" w:rsidR="00A40E5E" w:rsidRPr="00500FA1" w:rsidRDefault="00A40E5E" w:rsidP="00500FA1">
      <w:pPr>
        <w:pStyle w:val="Heading2"/>
        <w:spacing w:line="360" w:lineRule="auto"/>
        <w:jc w:val="left"/>
        <w:rPr>
          <w:rFonts w:ascii="Arial" w:hAnsi="Arial" w:cs="Arial"/>
          <w:b/>
          <w:color w:val="auto"/>
          <w:sz w:val="20"/>
          <w:szCs w:val="20"/>
        </w:rPr>
      </w:pPr>
      <w:bookmarkStart w:id="350" w:name="_Toc347120491"/>
      <w:bookmarkStart w:id="351" w:name="_Toc535495683"/>
      <w:r w:rsidRPr="00500FA1">
        <w:rPr>
          <w:rFonts w:ascii="Arial" w:hAnsi="Arial" w:cs="Arial"/>
          <w:b/>
          <w:color w:val="auto"/>
          <w:sz w:val="20"/>
          <w:szCs w:val="20"/>
        </w:rPr>
        <w:t>9.5.</w:t>
      </w:r>
      <w:r w:rsidR="007E103D">
        <w:rPr>
          <w:rFonts w:ascii="Arial" w:hAnsi="Arial" w:cs="Arial"/>
          <w:b/>
          <w:color w:val="auto"/>
          <w:sz w:val="20"/>
          <w:szCs w:val="20"/>
        </w:rPr>
        <w:t>1</w:t>
      </w:r>
      <w:r w:rsidRPr="00500FA1">
        <w:rPr>
          <w:rFonts w:ascii="Arial" w:hAnsi="Arial" w:cs="Arial"/>
          <w:b/>
          <w:color w:val="auto"/>
          <w:sz w:val="20"/>
          <w:szCs w:val="20"/>
        </w:rPr>
        <w:tab/>
        <w:t>Introduction</w:t>
      </w:r>
      <w:bookmarkEnd w:id="350"/>
      <w:bookmarkEnd w:id="351"/>
    </w:p>
    <w:p w14:paraId="1BD6AB6E" w14:textId="77777777" w:rsidR="00500FA1" w:rsidRDefault="00500FA1" w:rsidP="00A40E5E">
      <w:pPr>
        <w:pStyle w:val="BodyText"/>
      </w:pPr>
    </w:p>
    <w:p w14:paraId="157B4E24" w14:textId="4D203199" w:rsidR="00A40E5E" w:rsidRPr="00500FA1" w:rsidRDefault="00A40E5E" w:rsidP="00DF7BAF">
      <w:pPr>
        <w:pStyle w:val="BodyText"/>
        <w:spacing w:line="360" w:lineRule="auto"/>
        <w:jc w:val="both"/>
        <w:rPr>
          <w:b w:val="0"/>
        </w:rPr>
      </w:pPr>
      <w:r w:rsidRPr="00500FA1">
        <w:rPr>
          <w:b w:val="0"/>
        </w:rPr>
        <w:t xml:space="preserve">In compliance with </w:t>
      </w:r>
      <w:r w:rsidR="007E103D">
        <w:rPr>
          <w:b w:val="0"/>
        </w:rPr>
        <w:t xml:space="preserve">the </w:t>
      </w:r>
      <w:r w:rsidRPr="00500FA1">
        <w:rPr>
          <w:b w:val="0"/>
        </w:rPr>
        <w:t>Commission</w:t>
      </w:r>
      <w:r w:rsidR="007E103D">
        <w:rPr>
          <w:b w:val="0"/>
        </w:rPr>
        <w:t>’s</w:t>
      </w:r>
      <w:r w:rsidRPr="00500FA1">
        <w:rPr>
          <w:b w:val="0"/>
        </w:rPr>
        <w:t xml:space="preserve"> </w:t>
      </w:r>
      <w:r w:rsidR="007E103D">
        <w:rPr>
          <w:b w:val="0"/>
        </w:rPr>
        <w:t>rules</w:t>
      </w:r>
      <w:r w:rsidRPr="00500FA1">
        <w:rPr>
          <w:b w:val="0"/>
        </w:rPr>
        <w:t xml:space="preserve">, Georgia Power submits its four-year Research Plan, </w:t>
      </w:r>
      <w:r w:rsidR="00397710" w:rsidRPr="00500FA1">
        <w:rPr>
          <w:b w:val="0"/>
        </w:rPr>
        <w:t>20</w:t>
      </w:r>
      <w:r w:rsidR="00397710">
        <w:rPr>
          <w:b w:val="0"/>
        </w:rPr>
        <w:t>19</w:t>
      </w:r>
      <w:r w:rsidRPr="00500FA1">
        <w:rPr>
          <w:b w:val="0"/>
        </w:rPr>
        <w:t>-</w:t>
      </w:r>
      <w:r w:rsidR="00397710" w:rsidRPr="00500FA1">
        <w:rPr>
          <w:b w:val="0"/>
        </w:rPr>
        <w:t>20</w:t>
      </w:r>
      <w:r w:rsidR="00397710">
        <w:rPr>
          <w:b w:val="0"/>
        </w:rPr>
        <w:t>22</w:t>
      </w:r>
      <w:r w:rsidRPr="00500FA1">
        <w:rPr>
          <w:b w:val="0"/>
        </w:rPr>
        <w:t>. This plan contains three major sections:</w:t>
      </w:r>
    </w:p>
    <w:p w14:paraId="367170E1" w14:textId="44B91118" w:rsidR="00A40E5E" w:rsidRPr="00500FA1" w:rsidRDefault="00A40E5E" w:rsidP="00DF7BAF">
      <w:pPr>
        <w:spacing w:line="360" w:lineRule="auto"/>
        <w:jc w:val="left"/>
        <w:rPr>
          <w:b w:val="0"/>
        </w:rPr>
      </w:pPr>
    </w:p>
    <w:p w14:paraId="39042B40" w14:textId="0AD19AD8" w:rsidR="00A40E5E" w:rsidRPr="00500FA1" w:rsidRDefault="00A40E5E" w:rsidP="00DF7BAF">
      <w:pPr>
        <w:spacing w:line="360" w:lineRule="auto"/>
        <w:ind w:left="720"/>
        <w:jc w:val="left"/>
        <w:rPr>
          <w:b w:val="0"/>
        </w:rPr>
      </w:pPr>
      <w:r w:rsidRPr="00500FA1">
        <w:rPr>
          <w:b w:val="0"/>
        </w:rPr>
        <w:t xml:space="preserve">1. </w:t>
      </w:r>
      <w:r w:rsidRPr="00500FA1">
        <w:rPr>
          <w:b w:val="0"/>
        </w:rPr>
        <w:tab/>
        <w:t>Survey Research</w:t>
      </w:r>
    </w:p>
    <w:p w14:paraId="6FFC02F9" w14:textId="262E01C6" w:rsidR="00A40E5E" w:rsidRPr="00500FA1" w:rsidRDefault="00A40E5E" w:rsidP="00DF7BAF">
      <w:pPr>
        <w:spacing w:line="360" w:lineRule="auto"/>
        <w:ind w:left="720"/>
        <w:jc w:val="left"/>
        <w:rPr>
          <w:b w:val="0"/>
        </w:rPr>
      </w:pPr>
      <w:r w:rsidRPr="00500FA1">
        <w:rPr>
          <w:b w:val="0"/>
        </w:rPr>
        <w:t>2.</w:t>
      </w:r>
      <w:r w:rsidRPr="00500FA1">
        <w:rPr>
          <w:b w:val="0"/>
        </w:rPr>
        <w:tab/>
        <w:t>Load Research</w:t>
      </w:r>
    </w:p>
    <w:p w14:paraId="320B0AA9" w14:textId="4E06D056" w:rsidR="00A40E5E" w:rsidRPr="00500FA1" w:rsidRDefault="00A40E5E" w:rsidP="00DF7BAF">
      <w:pPr>
        <w:spacing w:line="360" w:lineRule="auto"/>
        <w:ind w:left="720"/>
        <w:jc w:val="left"/>
        <w:rPr>
          <w:b w:val="0"/>
        </w:rPr>
      </w:pPr>
      <w:r w:rsidRPr="00500FA1">
        <w:rPr>
          <w:b w:val="0"/>
        </w:rPr>
        <w:t>3.</w:t>
      </w:r>
      <w:r w:rsidRPr="00500FA1">
        <w:rPr>
          <w:b w:val="0"/>
        </w:rPr>
        <w:tab/>
        <w:t>Analysis</w:t>
      </w:r>
      <w:r w:rsidRPr="00500FA1">
        <w:rPr>
          <w:b w:val="0"/>
        </w:rPr>
        <w:tab/>
      </w:r>
    </w:p>
    <w:p w14:paraId="6CA4C724" w14:textId="7673510D" w:rsidR="00A40E5E" w:rsidRPr="00500FA1" w:rsidRDefault="00A40E5E" w:rsidP="00500FA1">
      <w:pPr>
        <w:spacing w:line="360" w:lineRule="auto"/>
        <w:jc w:val="left"/>
        <w:rPr>
          <w:b w:val="0"/>
        </w:rPr>
      </w:pPr>
    </w:p>
    <w:p w14:paraId="3ED1BE57" w14:textId="20C8D2DE" w:rsidR="00DC6093" w:rsidRDefault="00A40E5E" w:rsidP="005A6ACA">
      <w:pPr>
        <w:spacing w:after="120" w:line="360" w:lineRule="auto"/>
        <w:jc w:val="both"/>
        <w:rPr>
          <w:b w:val="0"/>
        </w:rPr>
      </w:pPr>
      <w:r w:rsidRPr="00500FA1">
        <w:rPr>
          <w:b w:val="0"/>
        </w:rPr>
        <w:t xml:space="preserve">The research program addresses specific requirements of the </w:t>
      </w:r>
      <w:r w:rsidR="00A75934">
        <w:rPr>
          <w:b w:val="0"/>
        </w:rPr>
        <w:t xml:space="preserve">Commission </w:t>
      </w:r>
      <w:r w:rsidRPr="00500FA1">
        <w:rPr>
          <w:b w:val="0"/>
        </w:rPr>
        <w:t xml:space="preserve">rules. It includes only that research which is designed to meet specific filing requirements or </w:t>
      </w:r>
      <w:r w:rsidR="000F291D">
        <w:rPr>
          <w:b w:val="0"/>
        </w:rPr>
        <w:t xml:space="preserve">is </w:t>
      </w:r>
      <w:r w:rsidRPr="00500FA1">
        <w:rPr>
          <w:b w:val="0"/>
        </w:rPr>
        <w:t>associated with meeting data requirements to support the filing of an integrated resource plan. Research programs associated with evaluation plans for demand side program certification are contained in the respective program filing. Table 9.5.</w:t>
      </w:r>
      <w:r w:rsidR="00A75934">
        <w:rPr>
          <w:b w:val="0"/>
        </w:rPr>
        <w:t>1</w:t>
      </w:r>
      <w:r w:rsidRPr="00500FA1">
        <w:rPr>
          <w:b w:val="0"/>
        </w:rPr>
        <w:t>-1 summarizes the specific sections of the rules, and the proposed research program.</w:t>
      </w:r>
      <w:bookmarkStart w:id="352" w:name="_Toc347120492"/>
    </w:p>
    <w:p w14:paraId="6DF4B76A" w14:textId="77777777" w:rsidR="00636F0A" w:rsidRDefault="00636F0A" w:rsidP="00636F0A">
      <w:pPr>
        <w:spacing w:after="120" w:line="360" w:lineRule="auto"/>
        <w:jc w:val="left"/>
      </w:pPr>
    </w:p>
    <w:p w14:paraId="03B20B50" w14:textId="77777777" w:rsidR="00AB0004" w:rsidRDefault="00AB0004">
      <w:pPr>
        <w:spacing w:after="200" w:line="276" w:lineRule="auto"/>
        <w:jc w:val="left"/>
      </w:pPr>
      <w:r>
        <w:br w:type="page"/>
      </w:r>
    </w:p>
    <w:p w14:paraId="58749A9C" w14:textId="48B28556" w:rsidR="00A40E5E" w:rsidRDefault="00A40E5E" w:rsidP="00636F0A">
      <w:pPr>
        <w:spacing w:after="200" w:line="276" w:lineRule="auto"/>
        <w:jc w:val="left"/>
      </w:pPr>
      <w:r w:rsidRPr="00500FA1">
        <w:t>Table 9.5.</w:t>
      </w:r>
      <w:r w:rsidR="007E103D">
        <w:t>1</w:t>
      </w:r>
      <w:r w:rsidRPr="00500FA1">
        <w:t xml:space="preserve">-1: Research Requirements for Complying with </w:t>
      </w:r>
      <w:r w:rsidR="00A75934">
        <w:t>Commission</w:t>
      </w:r>
      <w:r w:rsidRPr="00500FA1">
        <w:t xml:space="preserve"> Rules 515-3-4</w:t>
      </w:r>
      <w:bookmarkEnd w:id="352"/>
    </w:p>
    <w:p w14:paraId="0C5C4624" w14:textId="77777777" w:rsidR="00500FA1" w:rsidRPr="00500FA1" w:rsidRDefault="00500FA1" w:rsidP="00500FA1">
      <w:pPr>
        <w:jc w:val="left"/>
      </w:pPr>
    </w:p>
    <w:tbl>
      <w:tblPr>
        <w:tblW w:w="0" w:type="auto"/>
        <w:tblLayout w:type="fixed"/>
        <w:tblLook w:val="0000" w:firstRow="0" w:lastRow="0" w:firstColumn="0" w:lastColumn="0" w:noHBand="0" w:noVBand="0"/>
      </w:tblPr>
      <w:tblGrid>
        <w:gridCol w:w="2880"/>
        <w:gridCol w:w="2880"/>
        <w:gridCol w:w="2880"/>
      </w:tblGrid>
      <w:tr w:rsidR="00A40E5E" w:rsidRPr="00500FA1" w14:paraId="423D12D8" w14:textId="77777777" w:rsidTr="00966D80">
        <w:trPr>
          <w:cantSplit/>
        </w:trPr>
        <w:tc>
          <w:tcPr>
            <w:tcW w:w="2880" w:type="dxa"/>
            <w:tcBorders>
              <w:top w:val="double" w:sz="6" w:space="0" w:color="auto"/>
              <w:left w:val="double" w:sz="6" w:space="0" w:color="auto"/>
              <w:bottom w:val="single" w:sz="6" w:space="0" w:color="auto"/>
              <w:right w:val="single" w:sz="6" w:space="0" w:color="auto"/>
            </w:tcBorders>
          </w:tcPr>
          <w:p w14:paraId="4AFB8308" w14:textId="77777777" w:rsidR="00A40E5E" w:rsidRPr="00500FA1" w:rsidRDefault="00A40E5E" w:rsidP="00500FA1">
            <w:pPr>
              <w:spacing w:line="276" w:lineRule="auto"/>
              <w:jc w:val="left"/>
              <w:rPr>
                <w:b w:val="0"/>
              </w:rPr>
            </w:pPr>
            <w:r w:rsidRPr="00500FA1">
              <w:rPr>
                <w:b w:val="0"/>
              </w:rPr>
              <w:t>Section</w:t>
            </w:r>
          </w:p>
        </w:tc>
        <w:tc>
          <w:tcPr>
            <w:tcW w:w="2880" w:type="dxa"/>
            <w:tcBorders>
              <w:top w:val="double" w:sz="6" w:space="0" w:color="auto"/>
              <w:left w:val="single" w:sz="6" w:space="0" w:color="auto"/>
              <w:bottom w:val="single" w:sz="6" w:space="0" w:color="auto"/>
              <w:right w:val="single" w:sz="6" w:space="0" w:color="auto"/>
            </w:tcBorders>
          </w:tcPr>
          <w:p w14:paraId="2DDEAD56" w14:textId="77777777" w:rsidR="00A40E5E" w:rsidRPr="00500FA1" w:rsidRDefault="00A40E5E" w:rsidP="00500FA1">
            <w:pPr>
              <w:spacing w:line="276" w:lineRule="auto"/>
              <w:jc w:val="left"/>
              <w:rPr>
                <w:b w:val="0"/>
              </w:rPr>
            </w:pPr>
            <w:r w:rsidRPr="00500FA1">
              <w:rPr>
                <w:b w:val="0"/>
              </w:rPr>
              <w:t>Requirement</w:t>
            </w:r>
          </w:p>
        </w:tc>
        <w:tc>
          <w:tcPr>
            <w:tcW w:w="2880" w:type="dxa"/>
            <w:tcBorders>
              <w:top w:val="double" w:sz="6" w:space="0" w:color="auto"/>
              <w:left w:val="single" w:sz="6" w:space="0" w:color="auto"/>
              <w:bottom w:val="single" w:sz="6" w:space="0" w:color="auto"/>
              <w:right w:val="double" w:sz="6" w:space="0" w:color="auto"/>
            </w:tcBorders>
          </w:tcPr>
          <w:p w14:paraId="52AC9781" w14:textId="77777777" w:rsidR="00A40E5E" w:rsidRPr="00500FA1" w:rsidRDefault="00A40E5E" w:rsidP="00500FA1">
            <w:pPr>
              <w:spacing w:line="276" w:lineRule="auto"/>
              <w:jc w:val="left"/>
              <w:rPr>
                <w:b w:val="0"/>
              </w:rPr>
            </w:pPr>
            <w:r w:rsidRPr="00500FA1">
              <w:rPr>
                <w:b w:val="0"/>
              </w:rPr>
              <w:t>Research Program</w:t>
            </w:r>
          </w:p>
        </w:tc>
      </w:tr>
      <w:tr w:rsidR="00A40E5E" w:rsidRPr="00500FA1" w14:paraId="5012033B" w14:textId="77777777" w:rsidTr="00966D80">
        <w:trPr>
          <w:cantSplit/>
        </w:trPr>
        <w:tc>
          <w:tcPr>
            <w:tcW w:w="2880" w:type="dxa"/>
            <w:tcBorders>
              <w:top w:val="single" w:sz="6" w:space="0" w:color="auto"/>
              <w:left w:val="double" w:sz="6" w:space="0" w:color="auto"/>
              <w:bottom w:val="single" w:sz="6" w:space="0" w:color="auto"/>
              <w:right w:val="single" w:sz="6" w:space="0" w:color="auto"/>
            </w:tcBorders>
          </w:tcPr>
          <w:p w14:paraId="3C08C049" w14:textId="77777777" w:rsidR="00A40E5E" w:rsidRPr="00500FA1" w:rsidRDefault="00A40E5E" w:rsidP="00500FA1">
            <w:pPr>
              <w:spacing w:line="276" w:lineRule="auto"/>
              <w:jc w:val="left"/>
              <w:rPr>
                <w:b w:val="0"/>
              </w:rPr>
            </w:pPr>
            <w:r w:rsidRPr="00500FA1">
              <w:rPr>
                <w:b w:val="0"/>
              </w:rPr>
              <w:t>515-3-4.03 (1) - (2) (b)</w:t>
            </w:r>
          </w:p>
          <w:p w14:paraId="36C585DD" w14:textId="77777777" w:rsidR="00A40E5E" w:rsidRPr="00500FA1" w:rsidRDefault="00A40E5E" w:rsidP="00500FA1">
            <w:pPr>
              <w:spacing w:line="276" w:lineRule="auto"/>
              <w:jc w:val="left"/>
              <w:rPr>
                <w:b w:val="0"/>
              </w:rPr>
            </w:pPr>
            <w:r w:rsidRPr="00500FA1">
              <w:rPr>
                <w:b w:val="0"/>
              </w:rPr>
              <w:t>Energy and demand forecasting requirements</w:t>
            </w:r>
          </w:p>
        </w:tc>
        <w:tc>
          <w:tcPr>
            <w:tcW w:w="2880" w:type="dxa"/>
            <w:tcBorders>
              <w:top w:val="single" w:sz="6" w:space="0" w:color="auto"/>
              <w:left w:val="single" w:sz="6" w:space="0" w:color="auto"/>
              <w:bottom w:val="single" w:sz="6" w:space="0" w:color="auto"/>
              <w:right w:val="single" w:sz="6" w:space="0" w:color="auto"/>
            </w:tcBorders>
          </w:tcPr>
          <w:p w14:paraId="52AD44DA" w14:textId="77777777" w:rsidR="00A40E5E" w:rsidRPr="00500FA1" w:rsidRDefault="00A40E5E" w:rsidP="00500FA1">
            <w:pPr>
              <w:spacing w:line="276" w:lineRule="auto"/>
              <w:jc w:val="left"/>
              <w:rPr>
                <w:b w:val="0"/>
              </w:rPr>
            </w:pPr>
            <w:r w:rsidRPr="00500FA1">
              <w:rPr>
                <w:b w:val="0"/>
              </w:rPr>
              <w:t>Historical peak demands, load factors, energy consumption by class.</w:t>
            </w:r>
          </w:p>
        </w:tc>
        <w:tc>
          <w:tcPr>
            <w:tcW w:w="2880" w:type="dxa"/>
            <w:tcBorders>
              <w:top w:val="single" w:sz="6" w:space="0" w:color="auto"/>
              <w:left w:val="single" w:sz="6" w:space="0" w:color="auto"/>
              <w:bottom w:val="single" w:sz="6" w:space="0" w:color="auto"/>
              <w:right w:val="double" w:sz="6" w:space="0" w:color="auto"/>
            </w:tcBorders>
          </w:tcPr>
          <w:p w14:paraId="5C3749AB" w14:textId="77777777" w:rsidR="00A40E5E" w:rsidRPr="00500FA1" w:rsidRDefault="00A40E5E" w:rsidP="00500FA1">
            <w:pPr>
              <w:spacing w:line="276" w:lineRule="auto"/>
              <w:jc w:val="left"/>
              <w:rPr>
                <w:b w:val="0"/>
              </w:rPr>
            </w:pPr>
            <w:r w:rsidRPr="00500FA1">
              <w:rPr>
                <w:b w:val="0"/>
              </w:rPr>
              <w:t>Perform a continuous class load research study.</w:t>
            </w:r>
          </w:p>
        </w:tc>
      </w:tr>
      <w:tr w:rsidR="00A40E5E" w:rsidRPr="00500FA1" w14:paraId="153A8C6B" w14:textId="77777777" w:rsidTr="00966D80">
        <w:trPr>
          <w:cantSplit/>
        </w:trPr>
        <w:tc>
          <w:tcPr>
            <w:tcW w:w="2880" w:type="dxa"/>
            <w:tcBorders>
              <w:top w:val="single" w:sz="6" w:space="0" w:color="auto"/>
              <w:left w:val="double" w:sz="6" w:space="0" w:color="auto"/>
              <w:right w:val="single" w:sz="6" w:space="0" w:color="auto"/>
            </w:tcBorders>
          </w:tcPr>
          <w:p w14:paraId="5E12CDAA" w14:textId="77777777" w:rsidR="00A40E5E" w:rsidRPr="00500FA1" w:rsidRDefault="00A40E5E" w:rsidP="00500FA1">
            <w:pPr>
              <w:spacing w:line="276" w:lineRule="auto"/>
              <w:jc w:val="left"/>
              <w:rPr>
                <w:b w:val="0"/>
              </w:rPr>
            </w:pPr>
            <w:r w:rsidRPr="00500FA1">
              <w:rPr>
                <w:b w:val="0"/>
              </w:rPr>
              <w:t xml:space="preserve">515-3-4-.03 (3) (a) </w:t>
            </w:r>
          </w:p>
          <w:p w14:paraId="1268EDCB" w14:textId="77777777" w:rsidR="00A40E5E" w:rsidRPr="00290AEC" w:rsidRDefault="00A40E5E" w:rsidP="00500FA1">
            <w:pPr>
              <w:pStyle w:val="FootnoteText"/>
              <w:spacing w:line="276" w:lineRule="auto"/>
              <w:jc w:val="left"/>
              <w:rPr>
                <w:rFonts w:ascii="Arial" w:hAnsi="Arial"/>
              </w:rPr>
            </w:pPr>
            <w:r w:rsidRPr="00290AEC">
              <w:rPr>
                <w:rFonts w:ascii="Arial" w:hAnsi="Arial"/>
              </w:rPr>
              <w:t>Forecast methodology</w:t>
            </w:r>
          </w:p>
        </w:tc>
        <w:tc>
          <w:tcPr>
            <w:tcW w:w="2880" w:type="dxa"/>
            <w:tcBorders>
              <w:top w:val="single" w:sz="6" w:space="0" w:color="auto"/>
              <w:left w:val="single" w:sz="6" w:space="0" w:color="auto"/>
              <w:right w:val="single" w:sz="6" w:space="0" w:color="auto"/>
            </w:tcBorders>
          </w:tcPr>
          <w:p w14:paraId="5E7741F6" w14:textId="77777777" w:rsidR="00A40E5E" w:rsidRPr="00500FA1" w:rsidRDefault="00A40E5E" w:rsidP="00A6007B">
            <w:pPr>
              <w:spacing w:line="276" w:lineRule="auto"/>
              <w:jc w:val="left"/>
              <w:rPr>
                <w:b w:val="0"/>
              </w:rPr>
            </w:pPr>
            <w:r w:rsidRPr="00500FA1">
              <w:rPr>
                <w:b w:val="0"/>
              </w:rPr>
              <w:t>Most current data on end</w:t>
            </w:r>
            <w:r w:rsidR="00A6007B">
              <w:rPr>
                <w:b w:val="0"/>
              </w:rPr>
              <w:t>-</w:t>
            </w:r>
            <w:r w:rsidRPr="00500FA1">
              <w:rPr>
                <w:b w:val="0"/>
              </w:rPr>
              <w:t>use penetration and saturation; penetration and saturation of the market of competing fuel end uses; behavioral factors affecting energy use.</w:t>
            </w:r>
          </w:p>
        </w:tc>
        <w:tc>
          <w:tcPr>
            <w:tcW w:w="2880" w:type="dxa"/>
            <w:tcBorders>
              <w:top w:val="single" w:sz="6" w:space="0" w:color="auto"/>
              <w:left w:val="single" w:sz="6" w:space="0" w:color="auto"/>
              <w:right w:val="double" w:sz="6" w:space="0" w:color="auto"/>
            </w:tcBorders>
          </w:tcPr>
          <w:p w14:paraId="202A6392" w14:textId="72475E17" w:rsidR="00A40E5E" w:rsidRPr="00500FA1" w:rsidRDefault="00A40E5E" w:rsidP="00500FA1">
            <w:pPr>
              <w:spacing w:line="276" w:lineRule="auto"/>
              <w:jc w:val="left"/>
              <w:rPr>
                <w:b w:val="0"/>
              </w:rPr>
            </w:pPr>
            <w:r w:rsidRPr="00500FA1">
              <w:rPr>
                <w:b w:val="0"/>
              </w:rPr>
              <w:t>Identify and incorporate secondary sources of data and behavioral factors affecting energy use.</w:t>
            </w:r>
          </w:p>
        </w:tc>
      </w:tr>
      <w:tr w:rsidR="00A40E5E" w:rsidRPr="00500FA1" w14:paraId="42F9A962" w14:textId="77777777" w:rsidTr="00966D80">
        <w:trPr>
          <w:cantSplit/>
        </w:trPr>
        <w:tc>
          <w:tcPr>
            <w:tcW w:w="2880" w:type="dxa"/>
            <w:tcBorders>
              <w:top w:val="single" w:sz="6" w:space="0" w:color="auto"/>
              <w:left w:val="double" w:sz="6" w:space="0" w:color="auto"/>
              <w:bottom w:val="single" w:sz="6" w:space="0" w:color="auto"/>
              <w:right w:val="single" w:sz="6" w:space="0" w:color="auto"/>
            </w:tcBorders>
          </w:tcPr>
          <w:p w14:paraId="02299714" w14:textId="77777777" w:rsidR="00A40E5E" w:rsidRPr="00500FA1" w:rsidRDefault="00A40E5E" w:rsidP="00500FA1">
            <w:pPr>
              <w:spacing w:line="276" w:lineRule="auto"/>
              <w:jc w:val="left"/>
              <w:rPr>
                <w:b w:val="0"/>
              </w:rPr>
            </w:pPr>
            <w:r w:rsidRPr="00500FA1">
              <w:rPr>
                <w:b w:val="0"/>
              </w:rPr>
              <w:t>515-3-4-.03 (3) (c)</w:t>
            </w:r>
          </w:p>
          <w:p w14:paraId="10958235" w14:textId="77777777" w:rsidR="00A40E5E" w:rsidRPr="00500FA1" w:rsidRDefault="00A40E5E" w:rsidP="00500FA1">
            <w:pPr>
              <w:spacing w:line="276" w:lineRule="auto"/>
              <w:jc w:val="left"/>
              <w:rPr>
                <w:b w:val="0"/>
              </w:rPr>
            </w:pPr>
            <w:r w:rsidRPr="00500FA1">
              <w:rPr>
                <w:b w:val="0"/>
              </w:rPr>
              <w:t>Data requirements</w:t>
            </w:r>
          </w:p>
        </w:tc>
        <w:tc>
          <w:tcPr>
            <w:tcW w:w="2880" w:type="dxa"/>
            <w:tcBorders>
              <w:top w:val="single" w:sz="6" w:space="0" w:color="auto"/>
              <w:left w:val="single" w:sz="6" w:space="0" w:color="auto"/>
              <w:bottom w:val="single" w:sz="6" w:space="0" w:color="auto"/>
              <w:right w:val="single" w:sz="6" w:space="0" w:color="auto"/>
            </w:tcBorders>
          </w:tcPr>
          <w:p w14:paraId="52B0D79D" w14:textId="77777777" w:rsidR="00A40E5E" w:rsidRPr="00500FA1" w:rsidRDefault="00A40E5E" w:rsidP="00500FA1">
            <w:pPr>
              <w:spacing w:line="276" w:lineRule="auto"/>
              <w:jc w:val="left"/>
              <w:rPr>
                <w:b w:val="0"/>
              </w:rPr>
            </w:pPr>
            <w:r w:rsidRPr="00500FA1">
              <w:rPr>
                <w:b w:val="0"/>
              </w:rPr>
              <w:t>Develop a data base of electricity consumption patterns by customer class and end use.</w:t>
            </w:r>
          </w:p>
        </w:tc>
        <w:tc>
          <w:tcPr>
            <w:tcW w:w="2880" w:type="dxa"/>
            <w:tcBorders>
              <w:top w:val="single" w:sz="6" w:space="0" w:color="auto"/>
              <w:left w:val="single" w:sz="6" w:space="0" w:color="auto"/>
              <w:bottom w:val="single" w:sz="6" w:space="0" w:color="auto"/>
              <w:right w:val="double" w:sz="6" w:space="0" w:color="auto"/>
            </w:tcBorders>
          </w:tcPr>
          <w:p w14:paraId="654C80E4" w14:textId="27C1E3B8" w:rsidR="00A40E5E" w:rsidRPr="00500FA1" w:rsidRDefault="005F2DC4" w:rsidP="00442E1D">
            <w:pPr>
              <w:spacing w:line="276" w:lineRule="auto"/>
              <w:jc w:val="left"/>
              <w:rPr>
                <w:b w:val="0"/>
              </w:rPr>
            </w:pPr>
            <w:r w:rsidRPr="00636F0A">
              <w:rPr>
                <w:b w:val="0"/>
              </w:rPr>
              <w:t>Maintain and leverage existing end-use load shape information with Energy Simulation tools.</w:t>
            </w:r>
          </w:p>
        </w:tc>
      </w:tr>
      <w:tr w:rsidR="00A40E5E" w:rsidRPr="00500FA1" w14:paraId="552985FB" w14:textId="77777777" w:rsidTr="00966D80">
        <w:trPr>
          <w:cantSplit/>
        </w:trPr>
        <w:tc>
          <w:tcPr>
            <w:tcW w:w="2880" w:type="dxa"/>
            <w:tcBorders>
              <w:left w:val="double" w:sz="6" w:space="0" w:color="auto"/>
              <w:bottom w:val="single" w:sz="6" w:space="0" w:color="auto"/>
              <w:right w:val="single" w:sz="6" w:space="0" w:color="auto"/>
            </w:tcBorders>
          </w:tcPr>
          <w:p w14:paraId="7EE3E66B" w14:textId="77777777" w:rsidR="00A40E5E" w:rsidRPr="00500FA1" w:rsidRDefault="00A40E5E" w:rsidP="00500FA1">
            <w:pPr>
              <w:spacing w:line="276" w:lineRule="auto"/>
              <w:jc w:val="left"/>
              <w:rPr>
                <w:b w:val="0"/>
              </w:rPr>
            </w:pPr>
            <w:r w:rsidRPr="00500FA1">
              <w:rPr>
                <w:b w:val="0"/>
              </w:rPr>
              <w:t>515-3-4-.03 (3) (e)</w:t>
            </w:r>
          </w:p>
        </w:tc>
        <w:tc>
          <w:tcPr>
            <w:tcW w:w="2880" w:type="dxa"/>
            <w:tcBorders>
              <w:left w:val="single" w:sz="6" w:space="0" w:color="auto"/>
              <w:bottom w:val="single" w:sz="6" w:space="0" w:color="auto"/>
              <w:right w:val="single" w:sz="6" w:space="0" w:color="auto"/>
            </w:tcBorders>
          </w:tcPr>
          <w:p w14:paraId="080BA490" w14:textId="77777777" w:rsidR="00A40E5E" w:rsidRPr="00500FA1" w:rsidRDefault="00A40E5E" w:rsidP="00500FA1">
            <w:pPr>
              <w:spacing w:line="276" w:lineRule="auto"/>
              <w:jc w:val="left"/>
              <w:rPr>
                <w:b w:val="0"/>
              </w:rPr>
            </w:pPr>
            <w:r w:rsidRPr="00500FA1">
              <w:rPr>
                <w:b w:val="0"/>
              </w:rPr>
              <w:t>Identify and describe ongoing and planned load research</w:t>
            </w:r>
          </w:p>
        </w:tc>
        <w:tc>
          <w:tcPr>
            <w:tcW w:w="2880" w:type="dxa"/>
            <w:tcBorders>
              <w:left w:val="single" w:sz="6" w:space="0" w:color="auto"/>
              <w:bottom w:val="single" w:sz="6" w:space="0" w:color="auto"/>
              <w:right w:val="double" w:sz="6" w:space="0" w:color="auto"/>
            </w:tcBorders>
          </w:tcPr>
          <w:p w14:paraId="41B4EE5F" w14:textId="67A4FA33" w:rsidR="00A40E5E" w:rsidRPr="00500FA1" w:rsidRDefault="00A40E5E" w:rsidP="00500FA1">
            <w:pPr>
              <w:spacing w:line="276" w:lineRule="auto"/>
              <w:jc w:val="left"/>
              <w:rPr>
                <w:b w:val="0"/>
              </w:rPr>
            </w:pPr>
            <w:r w:rsidRPr="00500FA1">
              <w:rPr>
                <w:b w:val="0"/>
              </w:rPr>
              <w:t xml:space="preserve">Continuous load research studies of all customer classes. The quality of each sample is checked </w:t>
            </w:r>
            <w:r w:rsidR="000F291D" w:rsidRPr="00500FA1">
              <w:rPr>
                <w:b w:val="0"/>
              </w:rPr>
              <w:t>periodically,</w:t>
            </w:r>
            <w:r w:rsidRPr="00500FA1">
              <w:rPr>
                <w:b w:val="0"/>
              </w:rPr>
              <w:t xml:space="preserve"> and the sample is replaced if needed.</w:t>
            </w:r>
          </w:p>
        </w:tc>
      </w:tr>
      <w:tr w:rsidR="00A40E5E" w:rsidRPr="00500FA1" w14:paraId="6D1CC546" w14:textId="77777777" w:rsidTr="00966D80">
        <w:trPr>
          <w:cantSplit/>
        </w:trPr>
        <w:tc>
          <w:tcPr>
            <w:tcW w:w="2880" w:type="dxa"/>
            <w:tcBorders>
              <w:left w:val="double" w:sz="6" w:space="0" w:color="auto"/>
              <w:bottom w:val="double" w:sz="6" w:space="0" w:color="auto"/>
              <w:right w:val="single" w:sz="6" w:space="0" w:color="auto"/>
            </w:tcBorders>
          </w:tcPr>
          <w:p w14:paraId="3505D55C" w14:textId="77777777" w:rsidR="00A40E5E" w:rsidRPr="00500FA1" w:rsidRDefault="00A40E5E" w:rsidP="00500FA1">
            <w:pPr>
              <w:spacing w:line="276" w:lineRule="auto"/>
              <w:jc w:val="left"/>
              <w:rPr>
                <w:b w:val="0"/>
              </w:rPr>
            </w:pPr>
            <w:r w:rsidRPr="00500FA1">
              <w:rPr>
                <w:b w:val="0"/>
              </w:rPr>
              <w:t>515-3-4-.04 (4).</w:t>
            </w:r>
          </w:p>
          <w:p w14:paraId="3BD708D5" w14:textId="77777777" w:rsidR="00A40E5E" w:rsidRPr="00500FA1" w:rsidRDefault="00A40E5E" w:rsidP="00500FA1">
            <w:pPr>
              <w:spacing w:line="276" w:lineRule="auto"/>
              <w:jc w:val="left"/>
              <w:rPr>
                <w:b w:val="0"/>
              </w:rPr>
            </w:pPr>
            <w:r w:rsidRPr="00500FA1">
              <w:rPr>
                <w:b w:val="0"/>
              </w:rPr>
              <w:t>Potential new demand side resources</w:t>
            </w:r>
          </w:p>
        </w:tc>
        <w:tc>
          <w:tcPr>
            <w:tcW w:w="2880" w:type="dxa"/>
            <w:tcBorders>
              <w:left w:val="single" w:sz="6" w:space="0" w:color="auto"/>
              <w:bottom w:val="double" w:sz="6" w:space="0" w:color="auto"/>
              <w:right w:val="single" w:sz="6" w:space="0" w:color="auto"/>
            </w:tcBorders>
          </w:tcPr>
          <w:p w14:paraId="437AA81F" w14:textId="77777777" w:rsidR="00A40E5E" w:rsidRPr="00500FA1" w:rsidRDefault="00A40E5E" w:rsidP="00500FA1">
            <w:pPr>
              <w:spacing w:line="276" w:lineRule="auto"/>
              <w:jc w:val="left"/>
              <w:rPr>
                <w:b w:val="0"/>
              </w:rPr>
            </w:pPr>
            <w:r w:rsidRPr="00500FA1">
              <w:rPr>
                <w:b w:val="0"/>
              </w:rPr>
              <w:t>Data to support analysis of new demand side resources, including identification of customer needs, and assessment of market potential.</w:t>
            </w:r>
          </w:p>
        </w:tc>
        <w:tc>
          <w:tcPr>
            <w:tcW w:w="2880" w:type="dxa"/>
            <w:tcBorders>
              <w:left w:val="single" w:sz="6" w:space="0" w:color="auto"/>
              <w:bottom w:val="double" w:sz="6" w:space="0" w:color="auto"/>
              <w:right w:val="double" w:sz="6" w:space="0" w:color="auto"/>
            </w:tcBorders>
          </w:tcPr>
          <w:p w14:paraId="539097CF" w14:textId="37CF48D2" w:rsidR="00A40E5E" w:rsidRPr="00500FA1" w:rsidRDefault="00ED29BD" w:rsidP="00500FA1">
            <w:pPr>
              <w:spacing w:line="276" w:lineRule="auto"/>
              <w:jc w:val="left"/>
              <w:rPr>
                <w:b w:val="0"/>
              </w:rPr>
            </w:pPr>
            <w:r w:rsidRPr="00BC43FA">
              <w:rPr>
                <w:b w:val="0"/>
              </w:rPr>
              <w:t>Evaluate energy efficiency measures that are suitable for Georgia Power customers, climate, residences, buildings, and facilities. Conduct an energy efficiency technical, economic, and achievable potential study.</w:t>
            </w:r>
          </w:p>
        </w:tc>
      </w:tr>
    </w:tbl>
    <w:p w14:paraId="03C90FE9" w14:textId="77777777" w:rsidR="00A40E5E" w:rsidRPr="003A3426" w:rsidRDefault="00A40E5E" w:rsidP="00A40E5E"/>
    <w:p w14:paraId="375688D7" w14:textId="5DCC3AB3" w:rsidR="00F144E4" w:rsidRPr="00C85266" w:rsidRDefault="00A40E5E" w:rsidP="00C85266">
      <w:pPr>
        <w:pStyle w:val="Heading2"/>
        <w:spacing w:line="360" w:lineRule="auto"/>
        <w:jc w:val="left"/>
        <w:rPr>
          <w:b/>
          <w:u w:val="single"/>
        </w:rPr>
      </w:pPr>
      <w:r w:rsidRPr="003A3426">
        <w:br w:type="page"/>
      </w:r>
    </w:p>
    <w:p w14:paraId="4A107D4F" w14:textId="160C6E67" w:rsidR="00A40E5E" w:rsidRPr="00500FA1" w:rsidRDefault="00A40E5E" w:rsidP="00500FA1">
      <w:pPr>
        <w:pStyle w:val="Heading2"/>
        <w:spacing w:line="360" w:lineRule="auto"/>
        <w:jc w:val="left"/>
        <w:rPr>
          <w:rFonts w:ascii="Arial" w:hAnsi="Arial" w:cs="Arial"/>
          <w:b/>
          <w:color w:val="auto"/>
          <w:sz w:val="20"/>
          <w:szCs w:val="20"/>
        </w:rPr>
      </w:pPr>
      <w:bookmarkStart w:id="353" w:name="_Toc347120494"/>
      <w:bookmarkStart w:id="354" w:name="_Toc535495684"/>
      <w:r w:rsidRPr="00500FA1">
        <w:rPr>
          <w:rFonts w:ascii="Arial" w:hAnsi="Arial" w:cs="Arial"/>
          <w:b/>
          <w:color w:val="auto"/>
          <w:sz w:val="20"/>
          <w:szCs w:val="20"/>
        </w:rPr>
        <w:t>9.5.</w:t>
      </w:r>
      <w:r w:rsidR="00C85266">
        <w:rPr>
          <w:rFonts w:ascii="Arial" w:hAnsi="Arial" w:cs="Arial"/>
          <w:b/>
          <w:color w:val="auto"/>
          <w:sz w:val="20"/>
          <w:szCs w:val="20"/>
        </w:rPr>
        <w:t>2</w:t>
      </w:r>
      <w:r w:rsidRPr="00500FA1">
        <w:rPr>
          <w:rFonts w:ascii="Arial" w:hAnsi="Arial" w:cs="Arial"/>
          <w:b/>
          <w:color w:val="auto"/>
          <w:sz w:val="20"/>
          <w:szCs w:val="20"/>
        </w:rPr>
        <w:tab/>
        <w:t>Survey Research</w:t>
      </w:r>
      <w:bookmarkEnd w:id="353"/>
      <w:bookmarkEnd w:id="354"/>
    </w:p>
    <w:p w14:paraId="75A41544" w14:textId="5A86B88D" w:rsidR="00A40E5E" w:rsidRDefault="00A40E5E" w:rsidP="00D9586A">
      <w:pPr>
        <w:pStyle w:val="Heading3"/>
        <w:jc w:val="left"/>
        <w:rPr>
          <w:sz w:val="18"/>
          <w:szCs w:val="18"/>
        </w:rPr>
      </w:pPr>
      <w:bookmarkStart w:id="355" w:name="_Toc347120495"/>
      <w:bookmarkStart w:id="356" w:name="_Toc535495685"/>
      <w:r w:rsidRPr="00D9586A">
        <w:rPr>
          <w:sz w:val="18"/>
          <w:szCs w:val="18"/>
        </w:rPr>
        <w:t>9.5.</w:t>
      </w:r>
      <w:r w:rsidR="00C85266">
        <w:rPr>
          <w:sz w:val="18"/>
          <w:szCs w:val="18"/>
        </w:rPr>
        <w:t>2</w:t>
      </w:r>
      <w:r w:rsidRPr="00D9586A">
        <w:rPr>
          <w:sz w:val="18"/>
          <w:szCs w:val="18"/>
        </w:rPr>
        <w:t>.1  Regulatory Requirements</w:t>
      </w:r>
      <w:bookmarkEnd w:id="355"/>
      <w:bookmarkEnd w:id="356"/>
    </w:p>
    <w:p w14:paraId="32D0BC2D" w14:textId="77777777" w:rsidR="004C3F4F" w:rsidRPr="004C3F4F" w:rsidRDefault="004C3F4F" w:rsidP="004C3F4F"/>
    <w:p w14:paraId="0CCFE889" w14:textId="6E572A06" w:rsidR="00A40E5E" w:rsidRPr="00D9586A" w:rsidRDefault="00A40E5E" w:rsidP="00262E1C">
      <w:pPr>
        <w:pStyle w:val="BodyText2"/>
        <w:spacing w:line="360" w:lineRule="auto"/>
        <w:jc w:val="both"/>
        <w:rPr>
          <w:b w:val="0"/>
        </w:rPr>
      </w:pPr>
      <w:r w:rsidRPr="00D9586A">
        <w:rPr>
          <w:b w:val="0"/>
        </w:rPr>
        <w:t>Commission rules require the filing of information on the saturation and penetration of end</w:t>
      </w:r>
      <w:r w:rsidR="004C3F4F">
        <w:rPr>
          <w:b w:val="0"/>
        </w:rPr>
        <w:t>-</w:t>
      </w:r>
      <w:r w:rsidRPr="00D9586A">
        <w:rPr>
          <w:b w:val="0"/>
        </w:rPr>
        <w:t>use equipment, including both electrical and alternative fueled end uses. In addition, the rules require that the forecast be based on a disaggregated end</w:t>
      </w:r>
      <w:r w:rsidR="004C3F4F">
        <w:rPr>
          <w:b w:val="0"/>
        </w:rPr>
        <w:t>-</w:t>
      </w:r>
      <w:r w:rsidRPr="00D9586A">
        <w:rPr>
          <w:b w:val="0"/>
        </w:rPr>
        <w:t>use method or some other comparable forecasting methodology, which requires information on the saturation and penetration of end</w:t>
      </w:r>
      <w:r w:rsidR="004C3F4F">
        <w:rPr>
          <w:b w:val="0"/>
        </w:rPr>
        <w:t>-</w:t>
      </w:r>
      <w:r w:rsidRPr="00D9586A">
        <w:rPr>
          <w:b w:val="0"/>
        </w:rPr>
        <w:t>use equipment. Further, the rules require the development of an end</w:t>
      </w:r>
      <w:r w:rsidR="004C3F4F">
        <w:rPr>
          <w:b w:val="0"/>
        </w:rPr>
        <w:t>-</w:t>
      </w:r>
      <w:r w:rsidRPr="00D9586A">
        <w:rPr>
          <w:b w:val="0"/>
        </w:rPr>
        <w:t>use technology catalog based on service area specific information, including information on equipment efficiencies, useful life, and energy and capacity impact information. To the extent that the disaggregated end</w:t>
      </w:r>
      <w:r w:rsidR="004C3F4F">
        <w:rPr>
          <w:b w:val="0"/>
        </w:rPr>
        <w:t>-</w:t>
      </w:r>
      <w:r w:rsidRPr="00D9586A">
        <w:rPr>
          <w:b w:val="0"/>
        </w:rPr>
        <w:t>use methodology is used to develop the forecast, this research program will provide the data necessary to support this analysis and development of the forecast.</w:t>
      </w:r>
    </w:p>
    <w:p w14:paraId="1F188F9C" w14:textId="77777777" w:rsidR="00A40E5E" w:rsidRPr="003A3426" w:rsidRDefault="00A40E5E" w:rsidP="00A40E5E"/>
    <w:p w14:paraId="0C4A2439" w14:textId="20F4138E" w:rsidR="00A40E5E" w:rsidRDefault="00A40E5E" w:rsidP="00D9586A">
      <w:pPr>
        <w:pStyle w:val="Heading3"/>
        <w:jc w:val="left"/>
        <w:rPr>
          <w:sz w:val="18"/>
          <w:szCs w:val="18"/>
        </w:rPr>
      </w:pPr>
      <w:bookmarkStart w:id="357" w:name="_Toc347120496"/>
      <w:bookmarkStart w:id="358" w:name="_Toc535495686"/>
      <w:r w:rsidRPr="00D9586A">
        <w:rPr>
          <w:sz w:val="18"/>
          <w:szCs w:val="18"/>
        </w:rPr>
        <w:t>9.5.</w:t>
      </w:r>
      <w:r w:rsidR="00C85266">
        <w:rPr>
          <w:sz w:val="18"/>
          <w:szCs w:val="18"/>
        </w:rPr>
        <w:t>2</w:t>
      </w:r>
      <w:r w:rsidRPr="00D9586A">
        <w:rPr>
          <w:sz w:val="18"/>
          <w:szCs w:val="18"/>
        </w:rPr>
        <w:t>.2  Data Collection and Utilization Plan</w:t>
      </w:r>
      <w:bookmarkEnd w:id="357"/>
      <w:bookmarkEnd w:id="358"/>
    </w:p>
    <w:p w14:paraId="135C5C4D" w14:textId="77777777" w:rsidR="004C3F4F" w:rsidRPr="004C3F4F" w:rsidRDefault="004C3F4F" w:rsidP="004C3F4F"/>
    <w:p w14:paraId="052AD9E5" w14:textId="3AB5FD6B" w:rsidR="00A40E5E" w:rsidRPr="00D9586A" w:rsidRDefault="00F144E4" w:rsidP="00262E1C">
      <w:pPr>
        <w:pStyle w:val="BodyText2"/>
        <w:spacing w:line="360" w:lineRule="auto"/>
        <w:jc w:val="both"/>
        <w:rPr>
          <w:b w:val="0"/>
        </w:rPr>
      </w:pPr>
      <w:r w:rsidRPr="00500FA1">
        <w:rPr>
          <w:b w:val="0"/>
        </w:rPr>
        <w:t xml:space="preserve">Use readily available information such as the United States Department of Energy’s Energy Information Administration RECS, </w:t>
      </w:r>
      <w:r>
        <w:rPr>
          <w:b w:val="0"/>
        </w:rPr>
        <w:t>Commercial Building Energy Consumption Survey (“</w:t>
      </w:r>
      <w:r w:rsidRPr="00500FA1">
        <w:rPr>
          <w:b w:val="0"/>
        </w:rPr>
        <w:t>CBECS</w:t>
      </w:r>
      <w:r>
        <w:rPr>
          <w:b w:val="0"/>
        </w:rPr>
        <w:t>”)</w:t>
      </w:r>
      <w:r w:rsidRPr="00500FA1">
        <w:rPr>
          <w:b w:val="0"/>
        </w:rPr>
        <w:t xml:space="preserve"> and MECS for the South Atlantic Region to develop end</w:t>
      </w:r>
      <w:r>
        <w:rPr>
          <w:b w:val="0"/>
        </w:rPr>
        <w:t>-</w:t>
      </w:r>
      <w:r w:rsidRPr="00500FA1">
        <w:rPr>
          <w:b w:val="0"/>
        </w:rPr>
        <w:t>use penetration and saturation trends and measure customer building characteristics.</w:t>
      </w:r>
      <w:r w:rsidR="00A40E5E" w:rsidRPr="00D9586A">
        <w:rPr>
          <w:b w:val="0"/>
        </w:rPr>
        <w:t xml:space="preserve"> </w:t>
      </w:r>
    </w:p>
    <w:p w14:paraId="57F5E2E2" w14:textId="77777777" w:rsidR="00A40E5E" w:rsidRPr="00D9586A" w:rsidRDefault="00A40E5E" w:rsidP="00262E1C">
      <w:pPr>
        <w:pStyle w:val="BodyText2"/>
        <w:spacing w:line="360" w:lineRule="auto"/>
        <w:jc w:val="both"/>
        <w:rPr>
          <w:b w:val="0"/>
        </w:rPr>
      </w:pPr>
    </w:p>
    <w:p w14:paraId="0F0DD6E4" w14:textId="4EF2D374" w:rsidR="00A40E5E" w:rsidRPr="00E46AA1" w:rsidRDefault="00A40E5E" w:rsidP="00D9586A">
      <w:pPr>
        <w:pStyle w:val="Heading2"/>
        <w:spacing w:line="360" w:lineRule="auto"/>
        <w:jc w:val="left"/>
        <w:rPr>
          <w:sz w:val="24"/>
          <w:szCs w:val="24"/>
        </w:rPr>
      </w:pPr>
      <w:bookmarkStart w:id="359" w:name="_Toc347120497"/>
      <w:bookmarkStart w:id="360" w:name="_Toc535495687"/>
      <w:r w:rsidRPr="00D9586A">
        <w:rPr>
          <w:rFonts w:ascii="Arial" w:hAnsi="Arial" w:cs="Arial"/>
          <w:b/>
          <w:color w:val="auto"/>
          <w:sz w:val="20"/>
          <w:szCs w:val="20"/>
        </w:rPr>
        <w:t>9.5.</w:t>
      </w:r>
      <w:r w:rsidR="00C85266">
        <w:rPr>
          <w:rFonts w:ascii="Arial" w:hAnsi="Arial" w:cs="Arial"/>
          <w:b/>
          <w:color w:val="auto"/>
          <w:sz w:val="20"/>
          <w:szCs w:val="20"/>
        </w:rPr>
        <w:t>3</w:t>
      </w:r>
      <w:r w:rsidRPr="00D9586A">
        <w:rPr>
          <w:rFonts w:ascii="Arial" w:hAnsi="Arial" w:cs="Arial"/>
          <w:b/>
          <w:color w:val="auto"/>
          <w:sz w:val="20"/>
          <w:szCs w:val="20"/>
        </w:rPr>
        <w:tab/>
        <w:t>Load Research</w:t>
      </w:r>
      <w:bookmarkEnd w:id="359"/>
      <w:bookmarkEnd w:id="360"/>
    </w:p>
    <w:p w14:paraId="20F993B0" w14:textId="77777777" w:rsidR="00A40E5E" w:rsidRPr="003A3426" w:rsidRDefault="00A40E5E" w:rsidP="00A40E5E">
      <w:pPr>
        <w:jc w:val="left"/>
      </w:pPr>
    </w:p>
    <w:p w14:paraId="21A39CE2" w14:textId="135F1841" w:rsidR="00A40E5E" w:rsidRPr="00D9586A" w:rsidRDefault="00A40E5E" w:rsidP="00D9586A">
      <w:pPr>
        <w:pStyle w:val="Heading3"/>
        <w:jc w:val="left"/>
        <w:rPr>
          <w:sz w:val="18"/>
          <w:szCs w:val="18"/>
        </w:rPr>
      </w:pPr>
      <w:bookmarkStart w:id="361" w:name="_Toc347120498"/>
      <w:bookmarkStart w:id="362" w:name="_Toc535495688"/>
      <w:r w:rsidRPr="00D9586A">
        <w:rPr>
          <w:sz w:val="18"/>
          <w:szCs w:val="18"/>
        </w:rPr>
        <w:t>9.5.</w:t>
      </w:r>
      <w:r w:rsidR="00C85266">
        <w:rPr>
          <w:sz w:val="18"/>
          <w:szCs w:val="18"/>
        </w:rPr>
        <w:t>3</w:t>
      </w:r>
      <w:r w:rsidRPr="00D9586A">
        <w:rPr>
          <w:sz w:val="18"/>
          <w:szCs w:val="18"/>
        </w:rPr>
        <w:t>.1  Regulatory Requirements</w:t>
      </w:r>
      <w:bookmarkEnd w:id="361"/>
      <w:bookmarkEnd w:id="362"/>
    </w:p>
    <w:p w14:paraId="1CC64AB1" w14:textId="77777777" w:rsidR="00D9586A" w:rsidRDefault="00D9586A" w:rsidP="00A40E5E">
      <w:pPr>
        <w:pStyle w:val="BodyText"/>
      </w:pPr>
    </w:p>
    <w:p w14:paraId="7E2C31CD" w14:textId="77777777" w:rsidR="00A40E5E" w:rsidRPr="00D9586A" w:rsidRDefault="00A40E5E" w:rsidP="00262E1C">
      <w:pPr>
        <w:pStyle w:val="BodyText"/>
        <w:spacing w:line="360" w:lineRule="auto"/>
        <w:jc w:val="both"/>
        <w:rPr>
          <w:b w:val="0"/>
        </w:rPr>
      </w:pPr>
      <w:r w:rsidRPr="00D9586A">
        <w:rPr>
          <w:b w:val="0"/>
        </w:rPr>
        <w:t>Commission rules require the filing of information on the demand and energy characteristics of each of the utility's classes, including load profiles, on-peak, off-peak, and shoulder kWh, and summer, winter and annual peak demands, for the most recent three years of history and the first three years of the forecast period.</w:t>
      </w:r>
    </w:p>
    <w:p w14:paraId="007F8CF2" w14:textId="77777777" w:rsidR="00A40E5E" w:rsidRPr="00D9586A" w:rsidRDefault="00A40E5E" w:rsidP="00262E1C">
      <w:pPr>
        <w:pStyle w:val="BodyText"/>
        <w:spacing w:line="360" w:lineRule="auto"/>
        <w:jc w:val="both"/>
        <w:rPr>
          <w:b w:val="0"/>
        </w:rPr>
      </w:pPr>
    </w:p>
    <w:p w14:paraId="384EE2FA" w14:textId="0FF7D689" w:rsidR="00A40E5E" w:rsidRPr="00D9586A" w:rsidRDefault="00A40E5E" w:rsidP="00262E1C">
      <w:pPr>
        <w:pStyle w:val="BodyText"/>
        <w:spacing w:line="360" w:lineRule="auto"/>
        <w:jc w:val="both"/>
        <w:rPr>
          <w:b w:val="0"/>
        </w:rPr>
      </w:pPr>
      <w:r w:rsidRPr="00D9586A">
        <w:rPr>
          <w:b w:val="0"/>
        </w:rPr>
        <w:t>The rules require the development and filing of load and consumption information for each customer class.  In addition, the rules require that the forecast used in the Integrated Resource Plan filing be based on disaggregated end-use methods or some other comparable forecasting methodology.</w:t>
      </w:r>
    </w:p>
    <w:p w14:paraId="45665A1A" w14:textId="77777777" w:rsidR="00A40E5E" w:rsidRPr="00D9586A" w:rsidRDefault="00A40E5E" w:rsidP="00262E1C">
      <w:pPr>
        <w:pStyle w:val="BodyText"/>
        <w:spacing w:line="360" w:lineRule="auto"/>
        <w:jc w:val="both"/>
        <w:rPr>
          <w:b w:val="0"/>
        </w:rPr>
      </w:pPr>
    </w:p>
    <w:p w14:paraId="029B6F1E" w14:textId="77777777" w:rsidR="00A40E5E" w:rsidRDefault="00A40E5E" w:rsidP="00262E1C">
      <w:pPr>
        <w:pStyle w:val="BodyText"/>
        <w:spacing w:line="360" w:lineRule="auto"/>
        <w:jc w:val="both"/>
        <w:rPr>
          <w:b w:val="0"/>
        </w:rPr>
      </w:pPr>
      <w:r w:rsidRPr="00D9586A">
        <w:rPr>
          <w:b w:val="0"/>
        </w:rPr>
        <w:t>The load research component of this research plan will provide the data to meet these requirements.</w:t>
      </w:r>
    </w:p>
    <w:p w14:paraId="200272F2" w14:textId="77777777" w:rsidR="00491959" w:rsidRPr="00D9586A" w:rsidRDefault="00491959" w:rsidP="00262E1C">
      <w:pPr>
        <w:pStyle w:val="BodyText"/>
        <w:spacing w:line="360" w:lineRule="auto"/>
        <w:jc w:val="both"/>
        <w:rPr>
          <w:b w:val="0"/>
        </w:rPr>
      </w:pPr>
    </w:p>
    <w:p w14:paraId="1900655E" w14:textId="31EDFF77" w:rsidR="00A40E5E" w:rsidRDefault="00A75934" w:rsidP="00D9586A">
      <w:pPr>
        <w:pStyle w:val="Heading3"/>
        <w:jc w:val="left"/>
        <w:rPr>
          <w:sz w:val="18"/>
          <w:szCs w:val="18"/>
        </w:rPr>
      </w:pPr>
      <w:bookmarkStart w:id="363" w:name="_Toc347120499"/>
      <w:bookmarkStart w:id="364" w:name="_Toc535495689"/>
      <w:r>
        <w:rPr>
          <w:sz w:val="18"/>
          <w:szCs w:val="18"/>
        </w:rPr>
        <w:t>9.5.</w:t>
      </w:r>
      <w:r w:rsidR="00C85266">
        <w:rPr>
          <w:sz w:val="18"/>
          <w:szCs w:val="18"/>
        </w:rPr>
        <w:t>3</w:t>
      </w:r>
      <w:r w:rsidR="00A40E5E" w:rsidRPr="00D9586A">
        <w:rPr>
          <w:sz w:val="18"/>
          <w:szCs w:val="18"/>
        </w:rPr>
        <w:t>.2  Class Load Research Project</w:t>
      </w:r>
      <w:bookmarkEnd w:id="363"/>
      <w:bookmarkEnd w:id="364"/>
    </w:p>
    <w:p w14:paraId="3F3D7B26" w14:textId="77777777" w:rsidR="00B04F96" w:rsidRPr="00B04F96" w:rsidRDefault="00B04F96" w:rsidP="00B04F96"/>
    <w:p w14:paraId="34AA3CE4" w14:textId="212BA8B0" w:rsidR="00A40E5E" w:rsidRPr="003A3426" w:rsidRDefault="00A40E5E" w:rsidP="00262E1C">
      <w:pPr>
        <w:spacing w:line="360" w:lineRule="auto"/>
        <w:jc w:val="both"/>
      </w:pPr>
      <w:r w:rsidRPr="000F5502">
        <w:rPr>
          <w:b w:val="0"/>
        </w:rPr>
        <w:t xml:space="preserve">Georgia Power </w:t>
      </w:r>
      <w:r>
        <w:rPr>
          <w:b w:val="0"/>
        </w:rPr>
        <w:t xml:space="preserve">uses </w:t>
      </w:r>
      <w:r w:rsidRPr="000F5502">
        <w:rPr>
          <w:b w:val="0"/>
        </w:rPr>
        <w:t>continuous load studies of the residential, commercial and industrial classes t</w:t>
      </w:r>
      <w:r>
        <w:rPr>
          <w:b w:val="0"/>
        </w:rPr>
        <w:t>hat</w:t>
      </w:r>
      <w:r w:rsidRPr="000F5502">
        <w:rPr>
          <w:b w:val="0"/>
        </w:rPr>
        <w:t xml:space="preserve"> include a series of studies designed to the rate/class level. Over </w:t>
      </w:r>
      <w:r w:rsidR="001440EB">
        <w:rPr>
          <w:b w:val="0"/>
        </w:rPr>
        <w:t>2,000</w:t>
      </w:r>
      <w:r w:rsidRPr="000F5502">
        <w:rPr>
          <w:b w:val="0"/>
        </w:rPr>
        <w:t xml:space="preserve"> customers </w:t>
      </w:r>
      <w:r>
        <w:rPr>
          <w:b w:val="0"/>
        </w:rPr>
        <w:t>are</w:t>
      </w:r>
      <w:r w:rsidRPr="000F5502">
        <w:rPr>
          <w:b w:val="0"/>
        </w:rPr>
        <w:t xml:space="preserve"> selected for these studies. The studies have a combination of census groups for small populations and statistical samples for larger customer groups served at secondary distribution. These studies have installed load metering equipment on a sample of customers from each rate/class combination. Combined with over </w:t>
      </w:r>
      <w:r w:rsidR="004941A8">
        <w:rPr>
          <w:b w:val="0"/>
        </w:rPr>
        <w:t>3</w:t>
      </w:r>
      <w:r w:rsidRPr="000F5502">
        <w:rPr>
          <w:b w:val="0"/>
        </w:rPr>
        <w:t>,</w:t>
      </w:r>
      <w:r w:rsidR="004941A8">
        <w:rPr>
          <w:b w:val="0"/>
        </w:rPr>
        <w:t>0</w:t>
      </w:r>
      <w:r w:rsidRPr="000F5502">
        <w:rPr>
          <w:b w:val="0"/>
        </w:rPr>
        <w:t>00 customers with interval metering equipment used for billing, the studies provide half hour data for each rate/class combination.</w:t>
      </w:r>
      <w:r w:rsidRPr="003A3426">
        <w:t xml:space="preserve"> </w:t>
      </w:r>
    </w:p>
    <w:p w14:paraId="01EED9BD" w14:textId="77777777" w:rsidR="00A40E5E" w:rsidRPr="003A3426" w:rsidRDefault="00A40E5E" w:rsidP="00A40E5E">
      <w:pPr>
        <w:pStyle w:val="Heading2"/>
      </w:pPr>
    </w:p>
    <w:p w14:paraId="4323D225" w14:textId="22F33F15" w:rsidR="00A40E5E" w:rsidRPr="00D9586A" w:rsidRDefault="00A75934" w:rsidP="00D9586A">
      <w:pPr>
        <w:pStyle w:val="Heading2"/>
        <w:spacing w:line="360" w:lineRule="auto"/>
        <w:jc w:val="left"/>
        <w:rPr>
          <w:rFonts w:ascii="Arial" w:hAnsi="Arial" w:cs="Arial"/>
          <w:b/>
          <w:color w:val="auto"/>
          <w:sz w:val="20"/>
          <w:szCs w:val="20"/>
        </w:rPr>
      </w:pPr>
      <w:bookmarkStart w:id="365" w:name="_Toc347120500"/>
      <w:bookmarkStart w:id="366" w:name="_Toc535495690"/>
      <w:r>
        <w:rPr>
          <w:rFonts w:ascii="Arial" w:hAnsi="Arial" w:cs="Arial"/>
          <w:b/>
          <w:color w:val="auto"/>
          <w:sz w:val="20"/>
          <w:szCs w:val="20"/>
        </w:rPr>
        <w:t>9.5.</w:t>
      </w:r>
      <w:r w:rsidR="00C85266">
        <w:rPr>
          <w:rFonts w:ascii="Arial" w:hAnsi="Arial" w:cs="Arial"/>
          <w:b/>
          <w:color w:val="auto"/>
          <w:sz w:val="20"/>
          <w:szCs w:val="20"/>
        </w:rPr>
        <w:t>4</w:t>
      </w:r>
      <w:r w:rsidR="00A40E5E" w:rsidRPr="00D9586A">
        <w:rPr>
          <w:rFonts w:ascii="Arial" w:hAnsi="Arial" w:cs="Arial"/>
          <w:b/>
          <w:color w:val="auto"/>
          <w:sz w:val="20"/>
          <w:szCs w:val="20"/>
        </w:rPr>
        <w:tab/>
        <w:t>Analysis</w:t>
      </w:r>
      <w:bookmarkEnd w:id="365"/>
      <w:bookmarkEnd w:id="366"/>
    </w:p>
    <w:p w14:paraId="5041AEE8" w14:textId="77777777" w:rsidR="00A40E5E" w:rsidRPr="003A3426" w:rsidRDefault="00A40E5E" w:rsidP="00A40E5E">
      <w:pPr>
        <w:jc w:val="left"/>
      </w:pPr>
    </w:p>
    <w:p w14:paraId="02DFE67B" w14:textId="6ABE959A" w:rsidR="00A40E5E" w:rsidRPr="00D9586A" w:rsidRDefault="00A40E5E" w:rsidP="00D9586A">
      <w:pPr>
        <w:pStyle w:val="Heading3"/>
        <w:jc w:val="left"/>
        <w:rPr>
          <w:sz w:val="18"/>
          <w:szCs w:val="18"/>
        </w:rPr>
      </w:pPr>
      <w:bookmarkStart w:id="367" w:name="_Toc347120501"/>
      <w:bookmarkStart w:id="368" w:name="_Toc535495691"/>
      <w:r w:rsidRPr="00D9586A">
        <w:rPr>
          <w:sz w:val="18"/>
          <w:szCs w:val="18"/>
        </w:rPr>
        <w:t>9.5.</w:t>
      </w:r>
      <w:r w:rsidR="00C85266">
        <w:rPr>
          <w:sz w:val="18"/>
          <w:szCs w:val="18"/>
        </w:rPr>
        <w:t>4</w:t>
      </w:r>
      <w:r w:rsidRPr="00D9586A">
        <w:rPr>
          <w:sz w:val="18"/>
          <w:szCs w:val="18"/>
        </w:rPr>
        <w:t>.1  Regulatory Requirements</w:t>
      </w:r>
      <w:bookmarkEnd w:id="367"/>
      <w:bookmarkEnd w:id="368"/>
    </w:p>
    <w:p w14:paraId="6299BB3F" w14:textId="77777777" w:rsidR="00D9586A" w:rsidRDefault="00D9586A" w:rsidP="00A40E5E">
      <w:pPr>
        <w:pStyle w:val="BodyText"/>
      </w:pPr>
    </w:p>
    <w:p w14:paraId="3EB1536E" w14:textId="77777777" w:rsidR="00A40E5E" w:rsidRPr="00D9586A" w:rsidRDefault="00A40E5E" w:rsidP="00262E1C">
      <w:pPr>
        <w:pStyle w:val="BodyText"/>
        <w:spacing w:line="360" w:lineRule="auto"/>
        <w:jc w:val="both"/>
        <w:rPr>
          <w:b w:val="0"/>
        </w:rPr>
      </w:pPr>
      <w:r w:rsidRPr="00D9586A">
        <w:rPr>
          <w:b w:val="0"/>
        </w:rPr>
        <w:t>Commission Rule 515-3-4 ha</w:t>
      </w:r>
      <w:r w:rsidR="00A75934">
        <w:rPr>
          <w:b w:val="0"/>
        </w:rPr>
        <w:t>s</w:t>
      </w:r>
      <w:r w:rsidRPr="00D9586A">
        <w:rPr>
          <w:b w:val="0"/>
        </w:rPr>
        <w:t xml:space="preserve"> the following requirements that will continue to be met through analysis of data collected in the preceding described research projects and/or review of existing currently available data from other sources:</w:t>
      </w:r>
    </w:p>
    <w:p w14:paraId="33DA70E3" w14:textId="77777777" w:rsidR="00A40E5E" w:rsidRPr="00D9586A" w:rsidRDefault="00A40E5E" w:rsidP="00262E1C">
      <w:pPr>
        <w:pStyle w:val="BodyText"/>
        <w:spacing w:line="360" w:lineRule="auto"/>
        <w:jc w:val="both"/>
        <w:rPr>
          <w:b w:val="0"/>
        </w:rPr>
      </w:pPr>
    </w:p>
    <w:p w14:paraId="5E298AB5" w14:textId="77777777" w:rsidR="00A40E5E" w:rsidRPr="00D9586A" w:rsidRDefault="00A40E5E" w:rsidP="00262E1C">
      <w:pPr>
        <w:pStyle w:val="BodyText"/>
        <w:spacing w:line="360" w:lineRule="auto"/>
        <w:jc w:val="both"/>
        <w:rPr>
          <w:b w:val="0"/>
        </w:rPr>
      </w:pPr>
      <w:r w:rsidRPr="00D9586A">
        <w:rPr>
          <w:b w:val="0"/>
        </w:rPr>
        <w:t>Development of a data base of electricity consumption patterns by customer class and end use. (</w:t>
      </w:r>
      <w:r w:rsidR="00A75934">
        <w:rPr>
          <w:b w:val="0"/>
        </w:rPr>
        <w:t>Commission Rule</w:t>
      </w:r>
      <w:r w:rsidRPr="00D9586A">
        <w:rPr>
          <w:b w:val="0"/>
        </w:rPr>
        <w:t xml:space="preserve"> 515-3-4-.03 (3) (c))</w:t>
      </w:r>
    </w:p>
    <w:p w14:paraId="7ABB1E36" w14:textId="77777777" w:rsidR="00A40E5E" w:rsidRPr="003A3426" w:rsidRDefault="00A40E5E" w:rsidP="00A40E5E"/>
    <w:p w14:paraId="7783035C" w14:textId="65CB861B" w:rsidR="00A40E5E" w:rsidRPr="00D9586A" w:rsidRDefault="00A75934" w:rsidP="00D9586A">
      <w:pPr>
        <w:pStyle w:val="Heading3"/>
        <w:jc w:val="left"/>
        <w:rPr>
          <w:sz w:val="18"/>
          <w:szCs w:val="18"/>
        </w:rPr>
      </w:pPr>
      <w:bookmarkStart w:id="369" w:name="_Toc347120502"/>
      <w:bookmarkStart w:id="370" w:name="_Toc535495692"/>
      <w:r>
        <w:rPr>
          <w:sz w:val="18"/>
          <w:szCs w:val="18"/>
        </w:rPr>
        <w:t>9.5.</w:t>
      </w:r>
      <w:r w:rsidR="00C85266">
        <w:rPr>
          <w:sz w:val="18"/>
          <w:szCs w:val="18"/>
        </w:rPr>
        <w:t>4</w:t>
      </w:r>
      <w:r w:rsidR="00A40E5E" w:rsidRPr="00D9586A">
        <w:rPr>
          <w:sz w:val="18"/>
          <w:szCs w:val="18"/>
        </w:rPr>
        <w:t>.2  Analysis Projects</w:t>
      </w:r>
      <w:bookmarkEnd w:id="369"/>
      <w:bookmarkEnd w:id="370"/>
    </w:p>
    <w:p w14:paraId="7824E976" w14:textId="77777777" w:rsidR="00A40E5E" w:rsidRPr="003A3426" w:rsidRDefault="00A40E5E" w:rsidP="00A40E5E">
      <w:pPr>
        <w:pStyle w:val="Heading4Red"/>
        <w:jc w:val="left"/>
        <w:rPr>
          <w:color w:val="auto"/>
        </w:rPr>
      </w:pPr>
    </w:p>
    <w:p w14:paraId="3B1D5C9D" w14:textId="3F16C4C4" w:rsidR="00A40E5E" w:rsidRPr="00D9586A" w:rsidRDefault="00A40E5E" w:rsidP="00D9586A">
      <w:pPr>
        <w:pStyle w:val="Heading4"/>
        <w:jc w:val="left"/>
        <w:rPr>
          <w:rFonts w:ascii="Arial" w:hAnsi="Arial" w:cs="Arial"/>
          <w:color w:val="auto"/>
          <w:sz w:val="18"/>
          <w:szCs w:val="18"/>
        </w:rPr>
      </w:pPr>
      <w:bookmarkStart w:id="371" w:name="_Toc347120503"/>
      <w:r w:rsidRPr="00D9586A">
        <w:rPr>
          <w:rFonts w:ascii="Arial" w:hAnsi="Arial" w:cs="Arial"/>
          <w:color w:val="auto"/>
          <w:sz w:val="18"/>
          <w:szCs w:val="18"/>
        </w:rPr>
        <w:t>9.5.</w:t>
      </w:r>
      <w:r w:rsidR="00C85266">
        <w:rPr>
          <w:rFonts w:ascii="Arial" w:hAnsi="Arial" w:cs="Arial"/>
          <w:color w:val="auto"/>
          <w:sz w:val="18"/>
          <w:szCs w:val="18"/>
        </w:rPr>
        <w:t>4</w:t>
      </w:r>
      <w:r w:rsidRPr="00D9586A">
        <w:rPr>
          <w:rFonts w:ascii="Arial" w:hAnsi="Arial" w:cs="Arial"/>
          <w:color w:val="auto"/>
          <w:sz w:val="18"/>
          <w:szCs w:val="18"/>
        </w:rPr>
        <w:t>.2-1  End</w:t>
      </w:r>
      <w:r w:rsidR="00442E1D">
        <w:rPr>
          <w:rFonts w:ascii="Arial" w:hAnsi="Arial" w:cs="Arial"/>
          <w:color w:val="auto"/>
          <w:sz w:val="18"/>
          <w:szCs w:val="18"/>
        </w:rPr>
        <w:t>-</w:t>
      </w:r>
      <w:r w:rsidRPr="00D9586A">
        <w:rPr>
          <w:rFonts w:ascii="Arial" w:hAnsi="Arial" w:cs="Arial"/>
          <w:color w:val="auto"/>
          <w:sz w:val="18"/>
          <w:szCs w:val="18"/>
        </w:rPr>
        <w:t>Use Load Shape Catalog</w:t>
      </w:r>
      <w:bookmarkEnd w:id="371"/>
    </w:p>
    <w:p w14:paraId="7076B98A" w14:textId="77777777" w:rsidR="00D9586A" w:rsidRDefault="00D9586A" w:rsidP="00A40E5E">
      <w:pPr>
        <w:pStyle w:val="BodyText"/>
      </w:pPr>
    </w:p>
    <w:p w14:paraId="2A5506A5" w14:textId="74287501" w:rsidR="00CD49B2" w:rsidRPr="00CD49B2" w:rsidRDefault="00CD49B2" w:rsidP="00C85266">
      <w:pPr>
        <w:spacing w:after="120" w:line="360" w:lineRule="auto"/>
        <w:jc w:val="both"/>
        <w:rPr>
          <w:rFonts w:ascii="Calibri" w:hAnsi="Calibri" w:cs="Calibri"/>
          <w:b w:val="0"/>
        </w:rPr>
      </w:pPr>
      <w:r w:rsidRPr="00C85266">
        <w:rPr>
          <w:b w:val="0"/>
        </w:rPr>
        <w:t xml:space="preserve">Georgia Power, in support of the development of the technical potential study, develops a catalog of end-use load profiles. These profiles are based on engineering studies that are supplemented with the best available internal and external end-use load research. Additionally, Georgia </w:t>
      </w:r>
      <w:r w:rsidR="0005125C">
        <w:rPr>
          <w:b w:val="0"/>
        </w:rPr>
        <w:t xml:space="preserve">Power </w:t>
      </w:r>
      <w:r w:rsidRPr="00C85266">
        <w:rPr>
          <w:b w:val="0"/>
        </w:rPr>
        <w:t>conducts an annual rate and class load research study that is used in the Company’s cost of service studies and forecasts.</w:t>
      </w:r>
    </w:p>
    <w:p w14:paraId="1AECBC50" w14:textId="77777777" w:rsidR="00CD49B2" w:rsidRPr="00C85266" w:rsidRDefault="00CD49B2" w:rsidP="00C85266">
      <w:pPr>
        <w:spacing w:after="120" w:line="360" w:lineRule="auto"/>
        <w:jc w:val="both"/>
        <w:rPr>
          <w:b w:val="0"/>
        </w:rPr>
      </w:pPr>
    </w:p>
    <w:p w14:paraId="15B8E06A" w14:textId="66ED2E2F" w:rsidR="00A40E5E" w:rsidRPr="00D9586A" w:rsidRDefault="00CD49B2" w:rsidP="00CD49B2">
      <w:pPr>
        <w:pStyle w:val="BodyText"/>
        <w:spacing w:line="360" w:lineRule="auto"/>
        <w:jc w:val="both"/>
        <w:rPr>
          <w:b w:val="0"/>
        </w:rPr>
      </w:pPr>
      <w:r w:rsidRPr="00C85266">
        <w:rPr>
          <w:b w:val="0"/>
        </w:rPr>
        <w:t>Going forward Georgia Power plans to continue to update the end use load catalog as needed to support future Technical Potential Studies and continue its annual load research program at the rate and class level.</w:t>
      </w:r>
      <w:r w:rsidRPr="00CD49B2" w:rsidDel="00CD49B2">
        <w:rPr>
          <w:b w:val="0"/>
        </w:rPr>
        <w:t xml:space="preserve"> </w:t>
      </w:r>
    </w:p>
    <w:p w14:paraId="708610F5" w14:textId="77777777" w:rsidR="00A40E5E" w:rsidRPr="00D9586A" w:rsidRDefault="00A40E5E" w:rsidP="00D9586A">
      <w:pPr>
        <w:pStyle w:val="BodyText"/>
        <w:spacing w:line="360" w:lineRule="auto"/>
        <w:jc w:val="left"/>
        <w:rPr>
          <w:b w:val="0"/>
        </w:rPr>
      </w:pPr>
    </w:p>
    <w:p w14:paraId="624567A9" w14:textId="3411B85C" w:rsidR="00A40E5E" w:rsidRPr="001E6532" w:rsidRDefault="00A40E5E" w:rsidP="001E6532">
      <w:pPr>
        <w:pStyle w:val="Heading4"/>
        <w:jc w:val="left"/>
        <w:rPr>
          <w:rFonts w:ascii="Arial" w:hAnsi="Arial" w:cs="Arial"/>
          <w:color w:val="auto"/>
          <w:sz w:val="18"/>
          <w:szCs w:val="18"/>
        </w:rPr>
      </w:pPr>
      <w:bookmarkStart w:id="372" w:name="_Toc347120504"/>
      <w:r w:rsidRPr="001E6532">
        <w:rPr>
          <w:rFonts w:ascii="Arial" w:hAnsi="Arial" w:cs="Arial"/>
          <w:color w:val="auto"/>
          <w:sz w:val="18"/>
          <w:szCs w:val="18"/>
        </w:rPr>
        <w:t>9.5.</w:t>
      </w:r>
      <w:r w:rsidR="00C85266">
        <w:rPr>
          <w:rFonts w:ascii="Arial" w:hAnsi="Arial" w:cs="Arial"/>
          <w:color w:val="auto"/>
          <w:sz w:val="18"/>
          <w:szCs w:val="18"/>
        </w:rPr>
        <w:t>4</w:t>
      </w:r>
      <w:r w:rsidR="00442E1D">
        <w:rPr>
          <w:rFonts w:ascii="Arial" w:hAnsi="Arial" w:cs="Arial"/>
          <w:color w:val="auto"/>
          <w:sz w:val="18"/>
          <w:szCs w:val="18"/>
        </w:rPr>
        <w:t>.2-2  End-</w:t>
      </w:r>
      <w:r w:rsidRPr="001E6532">
        <w:rPr>
          <w:rFonts w:ascii="Arial" w:hAnsi="Arial" w:cs="Arial"/>
          <w:color w:val="auto"/>
          <w:sz w:val="18"/>
          <w:szCs w:val="18"/>
        </w:rPr>
        <w:t>Use Load Shape Modeling</w:t>
      </w:r>
      <w:bookmarkEnd w:id="372"/>
    </w:p>
    <w:p w14:paraId="1BA6A486" w14:textId="77777777" w:rsidR="00D9586A" w:rsidRDefault="00D9586A" w:rsidP="00A40E5E">
      <w:pPr>
        <w:pStyle w:val="BodyText"/>
      </w:pPr>
    </w:p>
    <w:p w14:paraId="63027242" w14:textId="7FF4AD22" w:rsidR="00A40E5E" w:rsidRPr="00D9586A" w:rsidRDefault="005F2DC4" w:rsidP="00262E1C">
      <w:pPr>
        <w:pStyle w:val="BodyText"/>
        <w:spacing w:line="360" w:lineRule="auto"/>
        <w:jc w:val="both"/>
        <w:rPr>
          <w:b w:val="0"/>
        </w:rPr>
      </w:pPr>
      <w:r w:rsidRPr="00C85266">
        <w:rPr>
          <w:b w:val="0"/>
        </w:rPr>
        <w:t xml:space="preserve">An </w:t>
      </w:r>
      <w:r w:rsidR="00560AEB">
        <w:rPr>
          <w:b w:val="0"/>
        </w:rPr>
        <w:t>e</w:t>
      </w:r>
      <w:r w:rsidRPr="00C85266">
        <w:rPr>
          <w:b w:val="0"/>
        </w:rPr>
        <w:t xml:space="preserve">nergy </w:t>
      </w:r>
      <w:r w:rsidR="00560AEB">
        <w:rPr>
          <w:b w:val="0"/>
        </w:rPr>
        <w:t>s</w:t>
      </w:r>
      <w:r w:rsidRPr="00C85266">
        <w:rPr>
          <w:b w:val="0"/>
        </w:rPr>
        <w:t>imulation tool is being used to develop end-use and total premise load shapes based on both previously collected empirical data and engineering simulation.  It is an engineering-based simulation tool that enables the user to develop energy use profiles and load shapes for various building types and energy system combinations.</w:t>
      </w:r>
      <w:r w:rsidR="00A40E5E" w:rsidRPr="00D9586A">
        <w:rPr>
          <w:b w:val="0"/>
        </w:rPr>
        <w:t xml:space="preserve">  </w:t>
      </w:r>
    </w:p>
    <w:bookmarkEnd w:id="345"/>
    <w:bookmarkEnd w:id="346"/>
    <w:bookmarkEnd w:id="347"/>
    <w:p w14:paraId="6FE6360D" w14:textId="77777777" w:rsidR="00A40E5E" w:rsidRPr="003A3426" w:rsidRDefault="00A40E5E" w:rsidP="00A40E5E">
      <w:pPr>
        <w:pStyle w:val="BodyText"/>
      </w:pPr>
    </w:p>
    <w:p w14:paraId="6DB47606" w14:textId="77777777" w:rsidR="00A40E5E" w:rsidRPr="003A3426" w:rsidRDefault="00A40E5E" w:rsidP="00A40E5E">
      <w:pPr>
        <w:pStyle w:val="BodyText"/>
        <w:sectPr w:rsidR="00A40E5E" w:rsidRPr="003A3426" w:rsidSect="00966D80">
          <w:pgSz w:w="12240" w:h="15840"/>
          <w:pgMar w:top="1440" w:right="1440" w:bottom="1440" w:left="1440" w:header="720" w:footer="720" w:gutter="0"/>
          <w:cols w:space="720"/>
          <w:docGrid w:linePitch="273"/>
        </w:sectPr>
      </w:pPr>
    </w:p>
    <w:p w14:paraId="3F20B433" w14:textId="7E604492" w:rsidR="00A40E5E" w:rsidRDefault="00A40E5E" w:rsidP="00A40E5E">
      <w:pPr>
        <w:pStyle w:val="Heading1"/>
        <w:jc w:val="left"/>
        <w:rPr>
          <w:rFonts w:ascii="Arial" w:hAnsi="Arial" w:cs="Arial"/>
          <w:b/>
          <w:bCs w:val="0"/>
          <w:color w:val="auto"/>
        </w:rPr>
      </w:pPr>
      <w:bookmarkStart w:id="373" w:name="_Toc347120505"/>
      <w:bookmarkStart w:id="374" w:name="_Toc535495693"/>
      <w:r w:rsidRPr="00D9586A">
        <w:rPr>
          <w:rFonts w:ascii="Arial" w:hAnsi="Arial" w:cs="Arial"/>
          <w:b/>
          <w:bCs w:val="0"/>
          <w:color w:val="auto"/>
        </w:rPr>
        <w:t>10.0 ACRONYM &amp; ABBREVIATION GLOSSARY</w:t>
      </w:r>
      <w:bookmarkEnd w:id="373"/>
      <w:bookmarkEnd w:id="374"/>
    </w:p>
    <w:p w14:paraId="4E339C0F" w14:textId="2CF6D194" w:rsidR="00A11A32" w:rsidRDefault="00A11A32" w:rsidP="00A11A32"/>
    <w:p w14:paraId="3202474D" w14:textId="1C761EA1" w:rsidR="00A11A32" w:rsidRDefault="00A11A32" w:rsidP="00A11A32"/>
    <w:p w14:paraId="64ADD148" w14:textId="77777777" w:rsidR="00013145" w:rsidRPr="00013145" w:rsidRDefault="00013145" w:rsidP="00013145"/>
    <w:tbl>
      <w:tblPr>
        <w:tblW w:w="0" w:type="auto"/>
        <w:tblLayout w:type="fixed"/>
        <w:tblCellMar>
          <w:left w:w="30" w:type="dxa"/>
          <w:right w:w="30" w:type="dxa"/>
        </w:tblCellMar>
        <w:tblLook w:val="0000" w:firstRow="0" w:lastRow="0" w:firstColumn="0" w:lastColumn="0" w:noHBand="0" w:noVBand="0"/>
      </w:tblPr>
      <w:tblGrid>
        <w:gridCol w:w="1466"/>
        <w:gridCol w:w="6135"/>
      </w:tblGrid>
      <w:tr w:rsidR="00A40E5E" w:rsidRPr="003A3426" w14:paraId="31EEA948" w14:textId="77777777" w:rsidTr="0050323B">
        <w:trPr>
          <w:trHeight w:val="348"/>
        </w:trPr>
        <w:tc>
          <w:tcPr>
            <w:tcW w:w="1466" w:type="dxa"/>
            <w:tcBorders>
              <w:top w:val="single" w:sz="6" w:space="0" w:color="auto"/>
              <w:left w:val="single" w:sz="6" w:space="0" w:color="auto"/>
              <w:bottom w:val="single" w:sz="6" w:space="0" w:color="auto"/>
              <w:right w:val="single" w:sz="6" w:space="0" w:color="auto"/>
            </w:tcBorders>
            <w:shd w:val="clear" w:color="auto" w:fill="A6A6A6" w:themeFill="background1" w:themeFillShade="A6"/>
          </w:tcPr>
          <w:p w14:paraId="7B429F4E" w14:textId="77777777" w:rsidR="00A40E5E" w:rsidRPr="003A3426" w:rsidRDefault="00A40E5E" w:rsidP="00966D80">
            <w:pPr>
              <w:rPr>
                <w:snapToGrid w:val="0"/>
              </w:rPr>
            </w:pPr>
            <w:r w:rsidRPr="003A3426">
              <w:rPr>
                <w:snapToGrid w:val="0"/>
              </w:rPr>
              <w:t>Acronym</w:t>
            </w:r>
          </w:p>
        </w:tc>
        <w:tc>
          <w:tcPr>
            <w:tcW w:w="6135" w:type="dxa"/>
            <w:tcBorders>
              <w:top w:val="single" w:sz="6" w:space="0" w:color="auto"/>
              <w:left w:val="single" w:sz="6" w:space="0" w:color="auto"/>
              <w:bottom w:val="single" w:sz="6" w:space="0" w:color="auto"/>
              <w:right w:val="single" w:sz="6" w:space="0" w:color="auto"/>
            </w:tcBorders>
            <w:shd w:val="clear" w:color="auto" w:fill="A6A6A6" w:themeFill="background1" w:themeFillShade="A6"/>
          </w:tcPr>
          <w:p w14:paraId="45E65F9B" w14:textId="77777777" w:rsidR="00A40E5E" w:rsidRPr="003A3426" w:rsidRDefault="00A40E5E" w:rsidP="00966D80">
            <w:pPr>
              <w:rPr>
                <w:snapToGrid w:val="0"/>
              </w:rPr>
            </w:pPr>
            <w:r w:rsidRPr="003A3426">
              <w:rPr>
                <w:snapToGrid w:val="0"/>
              </w:rPr>
              <w:t>Definition</w:t>
            </w:r>
          </w:p>
        </w:tc>
      </w:tr>
      <w:tr w:rsidR="00A40E5E" w:rsidRPr="003A3426" w14:paraId="3061B06A"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2BE0FF2E" w14:textId="77777777" w:rsidR="00A40E5E" w:rsidRPr="003A3426" w:rsidRDefault="00A40E5E" w:rsidP="008D0BFF">
            <w:pPr>
              <w:jc w:val="left"/>
              <w:rPr>
                <w:snapToGrid w:val="0"/>
              </w:rPr>
            </w:pPr>
            <w:r w:rsidRPr="003A3426">
              <w:rPr>
                <w:snapToGrid w:val="0"/>
              </w:rPr>
              <w:t>AAGR</w:t>
            </w:r>
          </w:p>
        </w:tc>
        <w:tc>
          <w:tcPr>
            <w:tcW w:w="6135" w:type="dxa"/>
            <w:tcBorders>
              <w:top w:val="single" w:sz="6" w:space="0" w:color="auto"/>
              <w:left w:val="single" w:sz="6" w:space="0" w:color="auto"/>
              <w:bottom w:val="single" w:sz="6" w:space="0" w:color="auto"/>
              <w:right w:val="single" w:sz="6" w:space="0" w:color="auto"/>
            </w:tcBorders>
          </w:tcPr>
          <w:p w14:paraId="71AA613F" w14:textId="77777777" w:rsidR="00A40E5E" w:rsidRPr="003A3426" w:rsidRDefault="00A40E5E" w:rsidP="008D0BFF">
            <w:pPr>
              <w:jc w:val="left"/>
              <w:rPr>
                <w:snapToGrid w:val="0"/>
              </w:rPr>
            </w:pPr>
            <w:r w:rsidRPr="003A3426">
              <w:rPr>
                <w:snapToGrid w:val="0"/>
              </w:rPr>
              <w:t>Average Annual Growth Rate</w:t>
            </w:r>
          </w:p>
        </w:tc>
      </w:tr>
      <w:tr w:rsidR="00A40E5E" w:rsidRPr="003A3426" w14:paraId="6BD7241D"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2EB9962B" w14:textId="77777777" w:rsidR="00A40E5E" w:rsidRPr="003A3426" w:rsidRDefault="001B7216" w:rsidP="008D0BFF">
            <w:pPr>
              <w:jc w:val="left"/>
              <w:rPr>
                <w:snapToGrid w:val="0"/>
              </w:rPr>
            </w:pPr>
            <w:r>
              <w:rPr>
                <w:snapToGrid w:val="0"/>
              </w:rPr>
              <w:t>AHAM</w:t>
            </w:r>
          </w:p>
        </w:tc>
        <w:tc>
          <w:tcPr>
            <w:tcW w:w="6135" w:type="dxa"/>
            <w:tcBorders>
              <w:top w:val="single" w:sz="6" w:space="0" w:color="auto"/>
              <w:left w:val="single" w:sz="6" w:space="0" w:color="auto"/>
              <w:bottom w:val="single" w:sz="6" w:space="0" w:color="auto"/>
              <w:right w:val="single" w:sz="6" w:space="0" w:color="auto"/>
            </w:tcBorders>
          </w:tcPr>
          <w:p w14:paraId="20C2CA49" w14:textId="77777777" w:rsidR="00A40E5E" w:rsidRPr="003A3426" w:rsidRDefault="001B7216" w:rsidP="008D0BFF">
            <w:pPr>
              <w:jc w:val="left"/>
              <w:rPr>
                <w:snapToGrid w:val="0"/>
              </w:rPr>
            </w:pPr>
            <w:r>
              <w:rPr>
                <w:snapToGrid w:val="0"/>
              </w:rPr>
              <w:t>Association of Home Appliance Manufacturers</w:t>
            </w:r>
          </w:p>
        </w:tc>
      </w:tr>
      <w:tr w:rsidR="00283A85" w:rsidRPr="003A3426" w14:paraId="2B9E2E58"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03C969C1" w14:textId="12F4E10E" w:rsidR="00283A85" w:rsidRDefault="00283A85" w:rsidP="008D0BFF">
            <w:pPr>
              <w:jc w:val="left"/>
              <w:rPr>
                <w:snapToGrid w:val="0"/>
              </w:rPr>
            </w:pPr>
            <w:r>
              <w:rPr>
                <w:snapToGrid w:val="0"/>
              </w:rPr>
              <w:t>AEG</w:t>
            </w:r>
          </w:p>
        </w:tc>
        <w:tc>
          <w:tcPr>
            <w:tcW w:w="6135" w:type="dxa"/>
            <w:tcBorders>
              <w:top w:val="single" w:sz="6" w:space="0" w:color="auto"/>
              <w:left w:val="single" w:sz="6" w:space="0" w:color="auto"/>
              <w:bottom w:val="single" w:sz="6" w:space="0" w:color="auto"/>
              <w:right w:val="single" w:sz="6" w:space="0" w:color="auto"/>
            </w:tcBorders>
          </w:tcPr>
          <w:p w14:paraId="60EAD299" w14:textId="65288330" w:rsidR="00283A85" w:rsidRDefault="00283A85" w:rsidP="008D0BFF">
            <w:pPr>
              <w:jc w:val="left"/>
              <w:rPr>
                <w:snapToGrid w:val="0"/>
              </w:rPr>
            </w:pPr>
            <w:r>
              <w:rPr>
                <w:snapToGrid w:val="0"/>
              </w:rPr>
              <w:t>Applied Energy Group</w:t>
            </w:r>
          </w:p>
        </w:tc>
      </w:tr>
      <w:tr w:rsidR="001434CD" w:rsidRPr="003A3426" w14:paraId="65823B40"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77A60488" w14:textId="47C5A99C" w:rsidR="001434CD" w:rsidRPr="003A3426" w:rsidRDefault="001434CD" w:rsidP="008D0BFF">
            <w:pPr>
              <w:jc w:val="left"/>
              <w:rPr>
                <w:snapToGrid w:val="0"/>
              </w:rPr>
            </w:pPr>
            <w:r>
              <w:rPr>
                <w:snapToGrid w:val="0"/>
              </w:rPr>
              <w:t>BTM</w:t>
            </w:r>
          </w:p>
        </w:tc>
        <w:tc>
          <w:tcPr>
            <w:tcW w:w="6135" w:type="dxa"/>
            <w:tcBorders>
              <w:top w:val="single" w:sz="6" w:space="0" w:color="auto"/>
              <w:left w:val="single" w:sz="6" w:space="0" w:color="auto"/>
              <w:bottom w:val="single" w:sz="6" w:space="0" w:color="auto"/>
              <w:right w:val="single" w:sz="6" w:space="0" w:color="auto"/>
            </w:tcBorders>
          </w:tcPr>
          <w:p w14:paraId="3708BE88" w14:textId="7B3574F8" w:rsidR="001434CD" w:rsidRPr="003A3426" w:rsidRDefault="001434CD" w:rsidP="008D0BFF">
            <w:pPr>
              <w:jc w:val="left"/>
              <w:rPr>
                <w:snapToGrid w:val="0"/>
              </w:rPr>
            </w:pPr>
            <w:r>
              <w:rPr>
                <w:snapToGrid w:val="0"/>
              </w:rPr>
              <w:t>Behind-The-Meter</w:t>
            </w:r>
          </w:p>
        </w:tc>
      </w:tr>
      <w:tr w:rsidR="001B7216" w:rsidRPr="003A3426" w14:paraId="01128319"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37916552" w14:textId="77777777" w:rsidR="001B7216" w:rsidRPr="003A3426" w:rsidRDefault="001B7216" w:rsidP="008D0BFF">
            <w:pPr>
              <w:jc w:val="left"/>
              <w:rPr>
                <w:snapToGrid w:val="0"/>
              </w:rPr>
            </w:pPr>
            <w:r w:rsidRPr="003A3426">
              <w:rPr>
                <w:snapToGrid w:val="0"/>
              </w:rPr>
              <w:t>BTU</w:t>
            </w:r>
          </w:p>
        </w:tc>
        <w:tc>
          <w:tcPr>
            <w:tcW w:w="6135" w:type="dxa"/>
            <w:tcBorders>
              <w:top w:val="single" w:sz="6" w:space="0" w:color="auto"/>
              <w:left w:val="single" w:sz="6" w:space="0" w:color="auto"/>
              <w:bottom w:val="single" w:sz="6" w:space="0" w:color="auto"/>
              <w:right w:val="single" w:sz="6" w:space="0" w:color="auto"/>
            </w:tcBorders>
          </w:tcPr>
          <w:p w14:paraId="5FE8CD22" w14:textId="77777777" w:rsidR="001B7216" w:rsidRPr="003A3426" w:rsidRDefault="001B7216" w:rsidP="008D0BFF">
            <w:pPr>
              <w:jc w:val="left"/>
              <w:rPr>
                <w:snapToGrid w:val="0"/>
              </w:rPr>
            </w:pPr>
            <w:r w:rsidRPr="003A3426">
              <w:rPr>
                <w:snapToGrid w:val="0"/>
              </w:rPr>
              <w:t>British Thermal Unit</w:t>
            </w:r>
          </w:p>
        </w:tc>
      </w:tr>
      <w:tr w:rsidR="007000DA" w:rsidRPr="003A3426" w14:paraId="00C297B5"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3E3BFF38" w14:textId="21EE9299" w:rsidR="007000DA" w:rsidRPr="003A3426" w:rsidRDefault="007000DA" w:rsidP="008D0BFF">
            <w:pPr>
              <w:jc w:val="left"/>
              <w:rPr>
                <w:snapToGrid w:val="0"/>
              </w:rPr>
            </w:pPr>
            <w:r>
              <w:rPr>
                <w:snapToGrid w:val="0"/>
              </w:rPr>
              <w:t xml:space="preserve">Budget </w:t>
            </w:r>
            <w:r w:rsidR="004261EA">
              <w:rPr>
                <w:snapToGrid w:val="0"/>
              </w:rPr>
              <w:t>2019</w:t>
            </w:r>
          </w:p>
        </w:tc>
        <w:tc>
          <w:tcPr>
            <w:tcW w:w="6135" w:type="dxa"/>
            <w:tcBorders>
              <w:top w:val="single" w:sz="6" w:space="0" w:color="auto"/>
              <w:left w:val="single" w:sz="6" w:space="0" w:color="auto"/>
              <w:bottom w:val="single" w:sz="6" w:space="0" w:color="auto"/>
              <w:right w:val="single" w:sz="6" w:space="0" w:color="auto"/>
            </w:tcBorders>
          </w:tcPr>
          <w:p w14:paraId="1EBAD679" w14:textId="587AAA9B" w:rsidR="007000DA" w:rsidRPr="007000DA" w:rsidRDefault="007000DA" w:rsidP="008D0BFF">
            <w:pPr>
              <w:jc w:val="left"/>
              <w:rPr>
                <w:snapToGrid w:val="0"/>
              </w:rPr>
            </w:pPr>
            <w:r w:rsidRPr="007000DA">
              <w:t>Budget 201</w:t>
            </w:r>
            <w:r w:rsidR="00283A85">
              <w:t>9</w:t>
            </w:r>
            <w:r w:rsidRPr="007000DA">
              <w:t xml:space="preserve"> Load and Energy Forecast</w:t>
            </w:r>
          </w:p>
        </w:tc>
      </w:tr>
      <w:tr w:rsidR="001B7216" w:rsidRPr="003A3426" w14:paraId="51A3BBCA"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4442B3A0" w14:textId="77777777" w:rsidR="001B7216" w:rsidRPr="003A3426" w:rsidRDefault="001B7216" w:rsidP="008D0BFF">
            <w:pPr>
              <w:jc w:val="left"/>
              <w:rPr>
                <w:snapToGrid w:val="0"/>
              </w:rPr>
            </w:pPr>
            <w:r w:rsidRPr="003A3426">
              <w:rPr>
                <w:snapToGrid w:val="0"/>
              </w:rPr>
              <w:t>CAGR</w:t>
            </w:r>
          </w:p>
        </w:tc>
        <w:tc>
          <w:tcPr>
            <w:tcW w:w="6135" w:type="dxa"/>
            <w:tcBorders>
              <w:top w:val="single" w:sz="6" w:space="0" w:color="auto"/>
              <w:left w:val="single" w:sz="6" w:space="0" w:color="auto"/>
              <w:bottom w:val="single" w:sz="6" w:space="0" w:color="auto"/>
              <w:right w:val="single" w:sz="6" w:space="0" w:color="auto"/>
            </w:tcBorders>
          </w:tcPr>
          <w:p w14:paraId="4DF1D5CB" w14:textId="77777777" w:rsidR="001B7216" w:rsidRPr="003A3426" w:rsidRDefault="001B7216" w:rsidP="008D0BFF">
            <w:pPr>
              <w:jc w:val="left"/>
              <w:rPr>
                <w:snapToGrid w:val="0"/>
              </w:rPr>
            </w:pPr>
            <w:r w:rsidRPr="003A3426">
              <w:rPr>
                <w:snapToGrid w:val="0"/>
              </w:rPr>
              <w:t>Compound Annual Growth Rate</w:t>
            </w:r>
          </w:p>
        </w:tc>
      </w:tr>
      <w:tr w:rsidR="001B7216" w:rsidRPr="003A3426" w14:paraId="438355EA"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11681591" w14:textId="77777777" w:rsidR="001B7216" w:rsidRPr="003A3426" w:rsidRDefault="001B7216" w:rsidP="008D0BFF">
            <w:pPr>
              <w:jc w:val="left"/>
              <w:rPr>
                <w:snapToGrid w:val="0"/>
              </w:rPr>
            </w:pPr>
            <w:r w:rsidRPr="003A3426">
              <w:rPr>
                <w:snapToGrid w:val="0"/>
              </w:rPr>
              <w:t>CBECS</w:t>
            </w:r>
          </w:p>
        </w:tc>
        <w:tc>
          <w:tcPr>
            <w:tcW w:w="6135" w:type="dxa"/>
            <w:tcBorders>
              <w:top w:val="single" w:sz="6" w:space="0" w:color="auto"/>
              <w:left w:val="single" w:sz="6" w:space="0" w:color="auto"/>
              <w:bottom w:val="single" w:sz="6" w:space="0" w:color="auto"/>
              <w:right w:val="single" w:sz="6" w:space="0" w:color="auto"/>
            </w:tcBorders>
          </w:tcPr>
          <w:p w14:paraId="611025B4" w14:textId="77777777" w:rsidR="001B7216" w:rsidRPr="003A3426" w:rsidRDefault="001B7216" w:rsidP="008D0BFF">
            <w:pPr>
              <w:jc w:val="left"/>
              <w:rPr>
                <w:snapToGrid w:val="0"/>
              </w:rPr>
            </w:pPr>
            <w:r w:rsidRPr="003A3426">
              <w:rPr>
                <w:snapToGrid w:val="0"/>
              </w:rPr>
              <w:t>Commercial Building Energy Consumption Survey</w:t>
            </w:r>
          </w:p>
        </w:tc>
      </w:tr>
      <w:tr w:rsidR="00283A85" w:rsidRPr="003A3426" w14:paraId="4006989B"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2083BE96" w14:textId="0702741D" w:rsidR="00283A85" w:rsidRPr="003A3426" w:rsidRDefault="00283A85" w:rsidP="008D0BFF">
            <w:pPr>
              <w:jc w:val="left"/>
              <w:rPr>
                <w:snapToGrid w:val="0"/>
              </w:rPr>
            </w:pPr>
            <w:r>
              <w:rPr>
                <w:snapToGrid w:val="0"/>
              </w:rPr>
              <w:t>CDH</w:t>
            </w:r>
          </w:p>
        </w:tc>
        <w:tc>
          <w:tcPr>
            <w:tcW w:w="6135" w:type="dxa"/>
            <w:tcBorders>
              <w:top w:val="single" w:sz="6" w:space="0" w:color="auto"/>
              <w:left w:val="single" w:sz="6" w:space="0" w:color="auto"/>
              <w:bottom w:val="single" w:sz="6" w:space="0" w:color="auto"/>
              <w:right w:val="single" w:sz="6" w:space="0" w:color="auto"/>
            </w:tcBorders>
          </w:tcPr>
          <w:p w14:paraId="79334C64" w14:textId="042D2526" w:rsidR="00283A85" w:rsidRPr="003A3426" w:rsidRDefault="00283A85" w:rsidP="008D0BFF">
            <w:pPr>
              <w:jc w:val="left"/>
              <w:rPr>
                <w:snapToGrid w:val="0"/>
              </w:rPr>
            </w:pPr>
            <w:r>
              <w:rPr>
                <w:snapToGrid w:val="0"/>
              </w:rPr>
              <w:t>Cooling Degree Hours</w:t>
            </w:r>
          </w:p>
        </w:tc>
      </w:tr>
      <w:tr w:rsidR="007D0A43" w:rsidRPr="003A3426" w14:paraId="700E3DBD"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771FBEEF" w14:textId="1B4F8FC7" w:rsidR="007D0A43" w:rsidRDefault="00627AFC" w:rsidP="008D0BFF">
            <w:pPr>
              <w:jc w:val="left"/>
              <w:rPr>
                <w:snapToGrid w:val="0"/>
              </w:rPr>
            </w:pPr>
            <w:r>
              <w:rPr>
                <w:snapToGrid w:val="0"/>
              </w:rPr>
              <w:t>Commission</w:t>
            </w:r>
          </w:p>
        </w:tc>
        <w:tc>
          <w:tcPr>
            <w:tcW w:w="6135" w:type="dxa"/>
            <w:tcBorders>
              <w:top w:val="single" w:sz="6" w:space="0" w:color="auto"/>
              <w:left w:val="single" w:sz="6" w:space="0" w:color="auto"/>
              <w:bottom w:val="single" w:sz="6" w:space="0" w:color="auto"/>
              <w:right w:val="single" w:sz="6" w:space="0" w:color="auto"/>
            </w:tcBorders>
          </w:tcPr>
          <w:p w14:paraId="17ECBCA8" w14:textId="155F8C4D" w:rsidR="007D0A43" w:rsidRDefault="00627AFC" w:rsidP="008D0BFF">
            <w:pPr>
              <w:jc w:val="left"/>
              <w:rPr>
                <w:snapToGrid w:val="0"/>
              </w:rPr>
            </w:pPr>
            <w:r>
              <w:rPr>
                <w:snapToGrid w:val="0"/>
              </w:rPr>
              <w:t>Georgia Public Service Commission</w:t>
            </w:r>
          </w:p>
        </w:tc>
      </w:tr>
      <w:tr w:rsidR="00283A85" w:rsidRPr="003A3426" w14:paraId="58DCC675"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58194AF3" w14:textId="3F93709A" w:rsidR="00283A85" w:rsidRPr="003A3426" w:rsidRDefault="00283A85" w:rsidP="008D0BFF">
            <w:pPr>
              <w:jc w:val="left"/>
              <w:rPr>
                <w:snapToGrid w:val="0"/>
              </w:rPr>
            </w:pPr>
            <w:r>
              <w:rPr>
                <w:snapToGrid w:val="0"/>
              </w:rPr>
              <w:t>CP</w:t>
            </w:r>
          </w:p>
        </w:tc>
        <w:tc>
          <w:tcPr>
            <w:tcW w:w="6135" w:type="dxa"/>
            <w:tcBorders>
              <w:top w:val="single" w:sz="6" w:space="0" w:color="auto"/>
              <w:left w:val="single" w:sz="6" w:space="0" w:color="auto"/>
              <w:bottom w:val="single" w:sz="6" w:space="0" w:color="auto"/>
              <w:right w:val="single" w:sz="6" w:space="0" w:color="auto"/>
            </w:tcBorders>
          </w:tcPr>
          <w:p w14:paraId="5D5D218B" w14:textId="1653A5CE" w:rsidR="00283A85" w:rsidRPr="003A3426" w:rsidRDefault="00283A85" w:rsidP="008D0BFF">
            <w:pPr>
              <w:jc w:val="left"/>
              <w:rPr>
                <w:snapToGrid w:val="0"/>
              </w:rPr>
            </w:pPr>
            <w:r>
              <w:rPr>
                <w:snapToGrid w:val="0"/>
              </w:rPr>
              <w:t>Coincident Peak</w:t>
            </w:r>
          </w:p>
        </w:tc>
      </w:tr>
      <w:tr w:rsidR="00283A85" w:rsidRPr="003A3426" w14:paraId="62232DAE"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28B6651A" w14:textId="220C8BDB" w:rsidR="00283A85" w:rsidRPr="003A3426" w:rsidRDefault="00283A85" w:rsidP="008D0BFF">
            <w:pPr>
              <w:jc w:val="left"/>
              <w:rPr>
                <w:snapToGrid w:val="0"/>
              </w:rPr>
            </w:pPr>
            <w:r w:rsidRPr="003A3426">
              <w:rPr>
                <w:snapToGrid w:val="0"/>
              </w:rPr>
              <w:t>CRA</w:t>
            </w:r>
          </w:p>
        </w:tc>
        <w:tc>
          <w:tcPr>
            <w:tcW w:w="6135" w:type="dxa"/>
            <w:tcBorders>
              <w:top w:val="single" w:sz="6" w:space="0" w:color="auto"/>
              <w:left w:val="single" w:sz="6" w:space="0" w:color="auto"/>
              <w:bottom w:val="single" w:sz="6" w:space="0" w:color="auto"/>
              <w:right w:val="single" w:sz="6" w:space="0" w:color="auto"/>
            </w:tcBorders>
          </w:tcPr>
          <w:p w14:paraId="78514DD0" w14:textId="565E16FD" w:rsidR="00283A85" w:rsidRPr="003A3426" w:rsidRDefault="00283A85" w:rsidP="008D0BFF">
            <w:pPr>
              <w:jc w:val="left"/>
              <w:rPr>
                <w:snapToGrid w:val="0"/>
              </w:rPr>
            </w:pPr>
            <w:r w:rsidRPr="003A3426">
              <w:rPr>
                <w:snapToGrid w:val="0"/>
              </w:rPr>
              <w:t>Charles River</w:t>
            </w:r>
            <w:r>
              <w:rPr>
                <w:snapToGrid w:val="0"/>
              </w:rPr>
              <w:t xml:space="preserve"> Associates</w:t>
            </w:r>
          </w:p>
        </w:tc>
      </w:tr>
      <w:tr w:rsidR="00283A85" w:rsidRPr="003A3426" w14:paraId="18282F7E" w14:textId="77777777" w:rsidTr="001B7216">
        <w:trPr>
          <w:trHeight w:val="345"/>
        </w:trPr>
        <w:tc>
          <w:tcPr>
            <w:tcW w:w="1466" w:type="dxa"/>
            <w:tcBorders>
              <w:top w:val="single" w:sz="6" w:space="0" w:color="auto"/>
              <w:left w:val="single" w:sz="6" w:space="0" w:color="auto"/>
              <w:bottom w:val="single" w:sz="6" w:space="0" w:color="auto"/>
              <w:right w:val="single" w:sz="6" w:space="0" w:color="auto"/>
            </w:tcBorders>
          </w:tcPr>
          <w:p w14:paraId="7A9C55A2" w14:textId="72A4DE38" w:rsidR="00283A85" w:rsidRPr="003A3426" w:rsidRDefault="00283A85" w:rsidP="008D0BFF">
            <w:pPr>
              <w:jc w:val="left"/>
              <w:rPr>
                <w:snapToGrid w:val="0"/>
              </w:rPr>
            </w:pPr>
            <w:r w:rsidRPr="003A3426">
              <w:rPr>
                <w:snapToGrid w:val="0"/>
              </w:rPr>
              <w:t>CVR</w:t>
            </w:r>
          </w:p>
        </w:tc>
        <w:tc>
          <w:tcPr>
            <w:tcW w:w="6135" w:type="dxa"/>
            <w:tcBorders>
              <w:top w:val="single" w:sz="6" w:space="0" w:color="auto"/>
              <w:left w:val="single" w:sz="6" w:space="0" w:color="auto"/>
              <w:bottom w:val="single" w:sz="6" w:space="0" w:color="auto"/>
              <w:right w:val="single" w:sz="6" w:space="0" w:color="auto"/>
            </w:tcBorders>
          </w:tcPr>
          <w:p w14:paraId="5A8E177E" w14:textId="7B009B39" w:rsidR="00283A85" w:rsidRPr="003A3426" w:rsidRDefault="00283A85" w:rsidP="008D0BFF">
            <w:pPr>
              <w:jc w:val="left"/>
              <w:rPr>
                <w:snapToGrid w:val="0"/>
              </w:rPr>
            </w:pPr>
            <w:r w:rsidRPr="003A3426">
              <w:rPr>
                <w:snapToGrid w:val="0"/>
              </w:rPr>
              <w:t>Conservation Voltage Reduction</w:t>
            </w:r>
          </w:p>
        </w:tc>
      </w:tr>
      <w:tr w:rsidR="00283A85" w:rsidRPr="003A3426" w14:paraId="66FF57FC"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58B2ABC5" w14:textId="614FD124" w:rsidR="00283A85" w:rsidRPr="003A3426" w:rsidRDefault="00283A85" w:rsidP="008D0BFF">
            <w:pPr>
              <w:jc w:val="left"/>
              <w:rPr>
                <w:snapToGrid w:val="0"/>
              </w:rPr>
            </w:pPr>
            <w:r w:rsidRPr="003A3426">
              <w:rPr>
                <w:snapToGrid w:val="0"/>
              </w:rPr>
              <w:t>DEP</w:t>
            </w:r>
          </w:p>
        </w:tc>
        <w:tc>
          <w:tcPr>
            <w:tcW w:w="6135" w:type="dxa"/>
            <w:tcBorders>
              <w:top w:val="single" w:sz="6" w:space="0" w:color="auto"/>
              <w:left w:val="single" w:sz="6" w:space="0" w:color="auto"/>
              <w:bottom w:val="single" w:sz="6" w:space="0" w:color="auto"/>
              <w:right w:val="single" w:sz="6" w:space="0" w:color="auto"/>
            </w:tcBorders>
          </w:tcPr>
          <w:p w14:paraId="59748AD8" w14:textId="6D160459" w:rsidR="00283A85" w:rsidRPr="003A3426" w:rsidRDefault="00283A85" w:rsidP="008D0BFF">
            <w:pPr>
              <w:jc w:val="left"/>
              <w:rPr>
                <w:snapToGrid w:val="0"/>
              </w:rPr>
            </w:pPr>
            <w:r w:rsidRPr="003A3426">
              <w:rPr>
                <w:snapToGrid w:val="0"/>
              </w:rPr>
              <w:t>Distribution Efficiency Program</w:t>
            </w:r>
          </w:p>
        </w:tc>
      </w:tr>
      <w:tr w:rsidR="00283A85" w:rsidRPr="003A3426" w14:paraId="14970103"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6CDF3E61" w14:textId="00B1B136" w:rsidR="00283A85" w:rsidRPr="003A3426" w:rsidRDefault="00283A85" w:rsidP="008D0BFF">
            <w:pPr>
              <w:jc w:val="left"/>
              <w:rPr>
                <w:snapToGrid w:val="0"/>
              </w:rPr>
            </w:pPr>
            <w:r>
              <w:rPr>
                <w:snapToGrid w:val="0"/>
              </w:rPr>
              <w:t>DLC</w:t>
            </w:r>
          </w:p>
        </w:tc>
        <w:tc>
          <w:tcPr>
            <w:tcW w:w="6135" w:type="dxa"/>
            <w:tcBorders>
              <w:top w:val="single" w:sz="6" w:space="0" w:color="auto"/>
              <w:left w:val="single" w:sz="6" w:space="0" w:color="auto"/>
              <w:bottom w:val="single" w:sz="6" w:space="0" w:color="auto"/>
              <w:right w:val="single" w:sz="6" w:space="0" w:color="auto"/>
            </w:tcBorders>
          </w:tcPr>
          <w:p w14:paraId="4B68F54A" w14:textId="3BE8273B" w:rsidR="00283A85" w:rsidRPr="003A3426" w:rsidRDefault="00283A85" w:rsidP="008D0BFF">
            <w:pPr>
              <w:jc w:val="left"/>
              <w:rPr>
                <w:snapToGrid w:val="0"/>
              </w:rPr>
            </w:pPr>
            <w:r>
              <w:rPr>
                <w:snapToGrid w:val="0"/>
              </w:rPr>
              <w:t>Direct Load Control</w:t>
            </w:r>
          </w:p>
        </w:tc>
      </w:tr>
      <w:tr w:rsidR="00283A85" w:rsidRPr="003A3426" w14:paraId="32436595"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000E7D80" w14:textId="5435C844" w:rsidR="00283A85" w:rsidRPr="003A3426" w:rsidRDefault="00283A85" w:rsidP="008D0BFF">
            <w:pPr>
              <w:jc w:val="left"/>
              <w:rPr>
                <w:snapToGrid w:val="0"/>
              </w:rPr>
            </w:pPr>
            <w:r w:rsidRPr="003A3426">
              <w:rPr>
                <w:snapToGrid w:val="0"/>
              </w:rPr>
              <w:t>DOE</w:t>
            </w:r>
          </w:p>
        </w:tc>
        <w:tc>
          <w:tcPr>
            <w:tcW w:w="6135" w:type="dxa"/>
            <w:tcBorders>
              <w:top w:val="single" w:sz="6" w:space="0" w:color="auto"/>
              <w:left w:val="single" w:sz="6" w:space="0" w:color="auto"/>
              <w:bottom w:val="single" w:sz="6" w:space="0" w:color="auto"/>
              <w:right w:val="single" w:sz="6" w:space="0" w:color="auto"/>
            </w:tcBorders>
          </w:tcPr>
          <w:p w14:paraId="46F14DD3" w14:textId="2E50C919" w:rsidR="00283A85" w:rsidRPr="003A3426" w:rsidRDefault="00283A85" w:rsidP="008D0BFF">
            <w:pPr>
              <w:jc w:val="left"/>
              <w:rPr>
                <w:snapToGrid w:val="0"/>
              </w:rPr>
            </w:pPr>
            <w:r w:rsidRPr="003A3426">
              <w:rPr>
                <w:snapToGrid w:val="0"/>
              </w:rPr>
              <w:t>U.S. Department of Energy</w:t>
            </w:r>
          </w:p>
        </w:tc>
      </w:tr>
      <w:tr w:rsidR="00283A85" w:rsidRPr="003A3426" w14:paraId="4EAC5AEC"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5E9CC2A5" w14:textId="6C3F893D" w:rsidR="00283A85" w:rsidRPr="003A3426" w:rsidRDefault="00283A85" w:rsidP="008D0BFF">
            <w:pPr>
              <w:jc w:val="left"/>
              <w:rPr>
                <w:snapToGrid w:val="0"/>
              </w:rPr>
            </w:pPr>
            <w:r w:rsidRPr="003A3426">
              <w:rPr>
                <w:snapToGrid w:val="0"/>
              </w:rPr>
              <w:t>DPEC</w:t>
            </w:r>
          </w:p>
        </w:tc>
        <w:tc>
          <w:tcPr>
            <w:tcW w:w="6135" w:type="dxa"/>
            <w:tcBorders>
              <w:top w:val="single" w:sz="6" w:space="0" w:color="auto"/>
              <w:left w:val="single" w:sz="6" w:space="0" w:color="auto"/>
              <w:bottom w:val="single" w:sz="6" w:space="0" w:color="auto"/>
              <w:right w:val="single" w:sz="6" w:space="0" w:color="auto"/>
            </w:tcBorders>
          </w:tcPr>
          <w:p w14:paraId="3EE412A7" w14:textId="5C80DC19" w:rsidR="00283A85" w:rsidRPr="003A3426" w:rsidRDefault="00283A85" w:rsidP="008D0BFF">
            <w:pPr>
              <w:jc w:val="left"/>
              <w:rPr>
                <w:snapToGrid w:val="0"/>
              </w:rPr>
            </w:pPr>
            <w:r w:rsidRPr="003A3426">
              <w:rPr>
                <w:snapToGrid w:val="0"/>
              </w:rPr>
              <w:t xml:space="preserve">Demand Plus Energy Credit </w:t>
            </w:r>
          </w:p>
        </w:tc>
      </w:tr>
      <w:tr w:rsidR="00283A85" w:rsidRPr="003A3426" w14:paraId="45E5B5F7"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4528E9CC" w14:textId="56889D7F" w:rsidR="00283A85" w:rsidRPr="003A3426" w:rsidRDefault="00283A85" w:rsidP="008D0BFF">
            <w:pPr>
              <w:jc w:val="left"/>
              <w:rPr>
                <w:snapToGrid w:val="0"/>
              </w:rPr>
            </w:pPr>
            <w:r>
              <w:rPr>
                <w:snapToGrid w:val="0"/>
              </w:rPr>
              <w:t>DSM</w:t>
            </w:r>
          </w:p>
        </w:tc>
        <w:tc>
          <w:tcPr>
            <w:tcW w:w="6135" w:type="dxa"/>
            <w:tcBorders>
              <w:top w:val="single" w:sz="6" w:space="0" w:color="auto"/>
              <w:left w:val="single" w:sz="6" w:space="0" w:color="auto"/>
              <w:bottom w:val="single" w:sz="6" w:space="0" w:color="auto"/>
              <w:right w:val="single" w:sz="6" w:space="0" w:color="auto"/>
            </w:tcBorders>
          </w:tcPr>
          <w:p w14:paraId="4D9E1DB0" w14:textId="520EF8FD" w:rsidR="00283A85" w:rsidRPr="003A3426" w:rsidRDefault="00283A85" w:rsidP="008D0BFF">
            <w:pPr>
              <w:jc w:val="left"/>
              <w:rPr>
                <w:snapToGrid w:val="0"/>
              </w:rPr>
            </w:pPr>
            <w:r>
              <w:rPr>
                <w:snapToGrid w:val="0"/>
              </w:rPr>
              <w:t>Demand Side Management</w:t>
            </w:r>
          </w:p>
        </w:tc>
      </w:tr>
      <w:tr w:rsidR="00283A85" w:rsidRPr="003A3426" w14:paraId="5DE0EED0"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18829415" w14:textId="2372D24F" w:rsidR="00283A85" w:rsidRPr="003A3426" w:rsidRDefault="00283A85" w:rsidP="008D0BFF">
            <w:pPr>
              <w:jc w:val="left"/>
              <w:rPr>
                <w:snapToGrid w:val="0"/>
              </w:rPr>
            </w:pPr>
            <w:r w:rsidRPr="003A3426">
              <w:rPr>
                <w:snapToGrid w:val="0"/>
              </w:rPr>
              <w:t>DSO</w:t>
            </w:r>
          </w:p>
        </w:tc>
        <w:tc>
          <w:tcPr>
            <w:tcW w:w="6135" w:type="dxa"/>
            <w:tcBorders>
              <w:top w:val="single" w:sz="6" w:space="0" w:color="auto"/>
              <w:left w:val="single" w:sz="6" w:space="0" w:color="auto"/>
              <w:bottom w:val="single" w:sz="6" w:space="0" w:color="auto"/>
              <w:right w:val="single" w:sz="6" w:space="0" w:color="auto"/>
            </w:tcBorders>
          </w:tcPr>
          <w:p w14:paraId="6477AAD1" w14:textId="06FAF6B9" w:rsidR="00283A85" w:rsidRPr="003A3426" w:rsidRDefault="00283A85" w:rsidP="008D0BFF">
            <w:pPr>
              <w:jc w:val="left"/>
              <w:rPr>
                <w:snapToGrid w:val="0"/>
              </w:rPr>
            </w:pPr>
            <w:r w:rsidRPr="003A3426">
              <w:rPr>
                <w:snapToGrid w:val="0"/>
              </w:rPr>
              <w:t>Demand Side Options</w:t>
            </w:r>
          </w:p>
        </w:tc>
      </w:tr>
      <w:tr w:rsidR="00283A85" w:rsidRPr="003A3426" w14:paraId="35DB6ACA"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7316FA16" w14:textId="2BBCBD75" w:rsidR="00283A85" w:rsidRDefault="00283A85" w:rsidP="008D0BFF">
            <w:pPr>
              <w:jc w:val="left"/>
              <w:rPr>
                <w:snapToGrid w:val="0"/>
              </w:rPr>
            </w:pPr>
            <w:r>
              <w:rPr>
                <w:snapToGrid w:val="0"/>
              </w:rPr>
              <w:t>EIA</w:t>
            </w:r>
          </w:p>
        </w:tc>
        <w:tc>
          <w:tcPr>
            <w:tcW w:w="6135" w:type="dxa"/>
            <w:tcBorders>
              <w:top w:val="single" w:sz="6" w:space="0" w:color="auto"/>
              <w:left w:val="single" w:sz="6" w:space="0" w:color="auto"/>
              <w:bottom w:val="single" w:sz="6" w:space="0" w:color="auto"/>
              <w:right w:val="single" w:sz="6" w:space="0" w:color="auto"/>
            </w:tcBorders>
          </w:tcPr>
          <w:p w14:paraId="538524A3" w14:textId="5F617270" w:rsidR="00283A85" w:rsidRDefault="00283A85" w:rsidP="008D0BFF">
            <w:pPr>
              <w:jc w:val="left"/>
              <w:rPr>
                <w:snapToGrid w:val="0"/>
              </w:rPr>
            </w:pPr>
            <w:r>
              <w:rPr>
                <w:snapToGrid w:val="0"/>
              </w:rPr>
              <w:t>Energy Information Administration</w:t>
            </w:r>
          </w:p>
        </w:tc>
      </w:tr>
      <w:tr w:rsidR="00283A85" w:rsidRPr="003A3426" w14:paraId="3C0B6344"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19368811" w14:textId="64D7B866" w:rsidR="00283A85" w:rsidRPr="003A3426" w:rsidRDefault="00283A85" w:rsidP="008D0BFF">
            <w:pPr>
              <w:jc w:val="left"/>
              <w:rPr>
                <w:snapToGrid w:val="0"/>
              </w:rPr>
            </w:pPr>
            <w:r>
              <w:rPr>
                <w:snapToGrid w:val="0"/>
              </w:rPr>
              <w:t>EISA</w:t>
            </w:r>
          </w:p>
        </w:tc>
        <w:tc>
          <w:tcPr>
            <w:tcW w:w="6135" w:type="dxa"/>
            <w:tcBorders>
              <w:top w:val="single" w:sz="6" w:space="0" w:color="auto"/>
              <w:left w:val="single" w:sz="6" w:space="0" w:color="auto"/>
              <w:bottom w:val="single" w:sz="6" w:space="0" w:color="auto"/>
              <w:right w:val="single" w:sz="6" w:space="0" w:color="auto"/>
            </w:tcBorders>
          </w:tcPr>
          <w:p w14:paraId="5C0EBA3B" w14:textId="42CA0CCD" w:rsidR="00283A85" w:rsidRPr="003A3426" w:rsidRDefault="00283A85" w:rsidP="008D0BFF">
            <w:pPr>
              <w:jc w:val="left"/>
              <w:rPr>
                <w:snapToGrid w:val="0"/>
              </w:rPr>
            </w:pPr>
            <w:r>
              <w:rPr>
                <w:snapToGrid w:val="0"/>
              </w:rPr>
              <w:t>Energy Independence and Security Act of 2007</w:t>
            </w:r>
          </w:p>
        </w:tc>
      </w:tr>
      <w:tr w:rsidR="00283A85" w:rsidRPr="003A3426" w14:paraId="09F0028D"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1BEC0EE2" w14:textId="5C59F5F4" w:rsidR="00283A85" w:rsidRPr="003A3426" w:rsidRDefault="00283A85" w:rsidP="008D0BFF">
            <w:pPr>
              <w:jc w:val="left"/>
              <w:rPr>
                <w:snapToGrid w:val="0"/>
              </w:rPr>
            </w:pPr>
            <w:r>
              <w:rPr>
                <w:snapToGrid w:val="0"/>
              </w:rPr>
              <w:t>EPACT</w:t>
            </w:r>
          </w:p>
        </w:tc>
        <w:tc>
          <w:tcPr>
            <w:tcW w:w="6135" w:type="dxa"/>
            <w:tcBorders>
              <w:top w:val="single" w:sz="6" w:space="0" w:color="auto"/>
              <w:left w:val="single" w:sz="6" w:space="0" w:color="auto"/>
              <w:bottom w:val="single" w:sz="6" w:space="0" w:color="auto"/>
              <w:right w:val="single" w:sz="6" w:space="0" w:color="auto"/>
            </w:tcBorders>
          </w:tcPr>
          <w:p w14:paraId="4A03AC26" w14:textId="023D778C" w:rsidR="00283A85" w:rsidRPr="003A3426" w:rsidRDefault="00283A85" w:rsidP="008D0BFF">
            <w:pPr>
              <w:jc w:val="left"/>
              <w:rPr>
                <w:snapToGrid w:val="0"/>
              </w:rPr>
            </w:pPr>
            <w:r>
              <w:rPr>
                <w:snapToGrid w:val="0"/>
              </w:rPr>
              <w:t>Energy Policy Act of 2005</w:t>
            </w:r>
          </w:p>
        </w:tc>
      </w:tr>
      <w:tr w:rsidR="00283A85" w:rsidRPr="003A3426" w14:paraId="368FFC09"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579E9F68" w14:textId="0B1FEA8A" w:rsidR="00283A85" w:rsidRPr="003A3426" w:rsidRDefault="00283A85" w:rsidP="008D0BFF">
            <w:pPr>
              <w:jc w:val="left"/>
              <w:rPr>
                <w:snapToGrid w:val="0"/>
              </w:rPr>
            </w:pPr>
            <w:r w:rsidRPr="003A3426">
              <w:rPr>
                <w:snapToGrid w:val="0"/>
              </w:rPr>
              <w:t>EPRI</w:t>
            </w:r>
          </w:p>
        </w:tc>
        <w:tc>
          <w:tcPr>
            <w:tcW w:w="6135" w:type="dxa"/>
            <w:tcBorders>
              <w:top w:val="single" w:sz="6" w:space="0" w:color="auto"/>
              <w:left w:val="single" w:sz="6" w:space="0" w:color="auto"/>
              <w:bottom w:val="single" w:sz="6" w:space="0" w:color="auto"/>
              <w:right w:val="single" w:sz="6" w:space="0" w:color="auto"/>
            </w:tcBorders>
          </w:tcPr>
          <w:p w14:paraId="7B563DDB" w14:textId="627557D8" w:rsidR="00283A85" w:rsidRPr="003A3426" w:rsidRDefault="00283A85" w:rsidP="008D0BFF">
            <w:pPr>
              <w:jc w:val="left"/>
              <w:rPr>
                <w:snapToGrid w:val="0"/>
              </w:rPr>
            </w:pPr>
            <w:r w:rsidRPr="003A3426">
              <w:rPr>
                <w:snapToGrid w:val="0"/>
              </w:rPr>
              <w:t>Electric Power Research Institute</w:t>
            </w:r>
          </w:p>
        </w:tc>
      </w:tr>
      <w:tr w:rsidR="00283A85" w:rsidRPr="003A3426" w14:paraId="6DAFCCDA"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4CC4BA50" w14:textId="4AB7F4A4" w:rsidR="00283A85" w:rsidRPr="003A3426" w:rsidRDefault="00283A85" w:rsidP="008D0BFF">
            <w:pPr>
              <w:jc w:val="left"/>
              <w:rPr>
                <w:snapToGrid w:val="0"/>
              </w:rPr>
            </w:pPr>
            <w:r w:rsidRPr="003A3426">
              <w:rPr>
                <w:snapToGrid w:val="0"/>
              </w:rPr>
              <w:t>EUI</w:t>
            </w:r>
          </w:p>
        </w:tc>
        <w:tc>
          <w:tcPr>
            <w:tcW w:w="6135" w:type="dxa"/>
            <w:tcBorders>
              <w:top w:val="single" w:sz="6" w:space="0" w:color="auto"/>
              <w:left w:val="single" w:sz="6" w:space="0" w:color="auto"/>
              <w:bottom w:val="single" w:sz="6" w:space="0" w:color="auto"/>
              <w:right w:val="single" w:sz="6" w:space="0" w:color="auto"/>
            </w:tcBorders>
          </w:tcPr>
          <w:p w14:paraId="322C6F1F" w14:textId="0E3119D0" w:rsidR="00283A85" w:rsidRPr="003A3426" w:rsidRDefault="00283A85" w:rsidP="008D0BFF">
            <w:pPr>
              <w:jc w:val="left"/>
              <w:rPr>
                <w:snapToGrid w:val="0"/>
              </w:rPr>
            </w:pPr>
            <w:r w:rsidRPr="003A3426">
              <w:rPr>
                <w:snapToGrid w:val="0"/>
              </w:rPr>
              <w:t>Energy Usage Index</w:t>
            </w:r>
          </w:p>
        </w:tc>
      </w:tr>
      <w:tr w:rsidR="00283A85" w:rsidRPr="003A3426" w14:paraId="5350B7EA"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0C52CA2C" w14:textId="0CB7F910" w:rsidR="00283A85" w:rsidRPr="003A3426" w:rsidRDefault="00283A85" w:rsidP="008D0BFF">
            <w:pPr>
              <w:jc w:val="left"/>
              <w:rPr>
                <w:snapToGrid w:val="0"/>
              </w:rPr>
            </w:pPr>
            <w:r w:rsidRPr="003A3426">
              <w:rPr>
                <w:snapToGrid w:val="0"/>
              </w:rPr>
              <w:t>GDP</w:t>
            </w:r>
          </w:p>
        </w:tc>
        <w:tc>
          <w:tcPr>
            <w:tcW w:w="6135" w:type="dxa"/>
            <w:tcBorders>
              <w:top w:val="single" w:sz="6" w:space="0" w:color="auto"/>
              <w:left w:val="single" w:sz="6" w:space="0" w:color="auto"/>
              <w:bottom w:val="single" w:sz="6" w:space="0" w:color="auto"/>
              <w:right w:val="single" w:sz="6" w:space="0" w:color="auto"/>
            </w:tcBorders>
          </w:tcPr>
          <w:p w14:paraId="5F22C0F1" w14:textId="08DA8CA5" w:rsidR="00283A85" w:rsidRPr="003A3426" w:rsidRDefault="00283A85" w:rsidP="008D0BFF">
            <w:pPr>
              <w:jc w:val="left"/>
              <w:rPr>
                <w:snapToGrid w:val="0"/>
              </w:rPr>
            </w:pPr>
            <w:r w:rsidRPr="003A3426">
              <w:rPr>
                <w:snapToGrid w:val="0"/>
              </w:rPr>
              <w:t>Gross Domestic Product</w:t>
            </w:r>
          </w:p>
        </w:tc>
      </w:tr>
      <w:tr w:rsidR="00283A85" w:rsidRPr="003A3426" w14:paraId="748921F8"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5AAC6818" w14:textId="43524166" w:rsidR="00283A85" w:rsidRPr="003A3426" w:rsidRDefault="00283A85" w:rsidP="008D0BFF">
            <w:pPr>
              <w:jc w:val="left"/>
              <w:rPr>
                <w:snapToGrid w:val="0"/>
              </w:rPr>
            </w:pPr>
            <w:r w:rsidRPr="003A3426">
              <w:rPr>
                <w:snapToGrid w:val="0"/>
              </w:rPr>
              <w:t>GSP</w:t>
            </w:r>
          </w:p>
        </w:tc>
        <w:tc>
          <w:tcPr>
            <w:tcW w:w="6135" w:type="dxa"/>
            <w:tcBorders>
              <w:top w:val="single" w:sz="6" w:space="0" w:color="auto"/>
              <w:left w:val="single" w:sz="6" w:space="0" w:color="auto"/>
              <w:bottom w:val="single" w:sz="6" w:space="0" w:color="auto"/>
              <w:right w:val="single" w:sz="6" w:space="0" w:color="auto"/>
            </w:tcBorders>
          </w:tcPr>
          <w:p w14:paraId="232243A0" w14:textId="45A3CD61" w:rsidR="00283A85" w:rsidRPr="003A3426" w:rsidRDefault="00283A85" w:rsidP="008D0BFF">
            <w:pPr>
              <w:jc w:val="left"/>
              <w:rPr>
                <w:snapToGrid w:val="0"/>
              </w:rPr>
            </w:pPr>
            <w:r w:rsidRPr="003A3426">
              <w:rPr>
                <w:snapToGrid w:val="0"/>
              </w:rPr>
              <w:t>Gross State Product</w:t>
            </w:r>
          </w:p>
        </w:tc>
      </w:tr>
      <w:tr w:rsidR="00283A85" w:rsidRPr="003A3426" w14:paraId="01FB8693"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3821A2DA" w14:textId="57B24792" w:rsidR="00283A85" w:rsidRPr="003A3426" w:rsidRDefault="00283A85" w:rsidP="008D0BFF">
            <w:pPr>
              <w:jc w:val="left"/>
              <w:rPr>
                <w:snapToGrid w:val="0"/>
              </w:rPr>
            </w:pPr>
            <w:r>
              <w:rPr>
                <w:snapToGrid w:val="0"/>
              </w:rPr>
              <w:t>HDH</w:t>
            </w:r>
          </w:p>
        </w:tc>
        <w:tc>
          <w:tcPr>
            <w:tcW w:w="6135" w:type="dxa"/>
            <w:tcBorders>
              <w:top w:val="single" w:sz="6" w:space="0" w:color="auto"/>
              <w:left w:val="single" w:sz="6" w:space="0" w:color="auto"/>
              <w:bottom w:val="single" w:sz="6" w:space="0" w:color="auto"/>
              <w:right w:val="single" w:sz="6" w:space="0" w:color="auto"/>
            </w:tcBorders>
          </w:tcPr>
          <w:p w14:paraId="7D71634D" w14:textId="6D708A12" w:rsidR="00283A85" w:rsidRPr="003A3426" w:rsidRDefault="00283A85" w:rsidP="008D0BFF">
            <w:pPr>
              <w:jc w:val="left"/>
              <w:rPr>
                <w:snapToGrid w:val="0"/>
              </w:rPr>
            </w:pPr>
            <w:r>
              <w:rPr>
                <w:snapToGrid w:val="0"/>
              </w:rPr>
              <w:t>Heating Degree Hours</w:t>
            </w:r>
          </w:p>
        </w:tc>
      </w:tr>
      <w:tr w:rsidR="00283A85" w:rsidRPr="003A3426" w14:paraId="0978B1EC"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47BD3A81" w14:textId="7F21EC16" w:rsidR="00283A85" w:rsidRPr="003A3426" w:rsidRDefault="00283A85" w:rsidP="008D0BFF">
            <w:pPr>
              <w:jc w:val="left"/>
              <w:rPr>
                <w:snapToGrid w:val="0"/>
              </w:rPr>
            </w:pPr>
            <w:r w:rsidRPr="003A3426">
              <w:rPr>
                <w:snapToGrid w:val="0"/>
              </w:rPr>
              <w:t>HVAC</w:t>
            </w:r>
          </w:p>
        </w:tc>
        <w:tc>
          <w:tcPr>
            <w:tcW w:w="6135" w:type="dxa"/>
            <w:tcBorders>
              <w:top w:val="single" w:sz="6" w:space="0" w:color="auto"/>
              <w:left w:val="single" w:sz="6" w:space="0" w:color="auto"/>
              <w:bottom w:val="single" w:sz="6" w:space="0" w:color="auto"/>
              <w:right w:val="single" w:sz="6" w:space="0" w:color="auto"/>
            </w:tcBorders>
          </w:tcPr>
          <w:p w14:paraId="417A3CBB" w14:textId="536B12D5" w:rsidR="00283A85" w:rsidRPr="003A3426" w:rsidRDefault="00283A85" w:rsidP="008D0BFF">
            <w:pPr>
              <w:jc w:val="left"/>
              <w:rPr>
                <w:snapToGrid w:val="0"/>
              </w:rPr>
            </w:pPr>
            <w:r w:rsidRPr="003A3426">
              <w:rPr>
                <w:snapToGrid w:val="0"/>
              </w:rPr>
              <w:t xml:space="preserve">Heating Ventilation </w:t>
            </w:r>
            <w:r>
              <w:rPr>
                <w:snapToGrid w:val="0"/>
              </w:rPr>
              <w:t xml:space="preserve">&amp; </w:t>
            </w:r>
            <w:r w:rsidRPr="003A3426">
              <w:rPr>
                <w:snapToGrid w:val="0"/>
              </w:rPr>
              <w:t>Air Conditioning</w:t>
            </w:r>
          </w:p>
        </w:tc>
      </w:tr>
      <w:tr w:rsidR="008D0BFF" w:rsidRPr="003A3426" w14:paraId="19FC8B87"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743D1179" w14:textId="3EE8EC40" w:rsidR="008D0BFF" w:rsidRPr="003A3426" w:rsidRDefault="008D0BFF" w:rsidP="008D0BFF">
            <w:pPr>
              <w:jc w:val="left"/>
              <w:rPr>
                <w:snapToGrid w:val="0"/>
              </w:rPr>
            </w:pPr>
            <w:r>
              <w:rPr>
                <w:snapToGrid w:val="0"/>
              </w:rPr>
              <w:t>LoadMAP</w:t>
            </w:r>
          </w:p>
        </w:tc>
        <w:tc>
          <w:tcPr>
            <w:tcW w:w="6135" w:type="dxa"/>
            <w:tcBorders>
              <w:top w:val="single" w:sz="6" w:space="0" w:color="auto"/>
              <w:left w:val="single" w:sz="6" w:space="0" w:color="auto"/>
              <w:bottom w:val="single" w:sz="6" w:space="0" w:color="auto"/>
              <w:right w:val="single" w:sz="6" w:space="0" w:color="auto"/>
            </w:tcBorders>
          </w:tcPr>
          <w:p w14:paraId="65D43B87" w14:textId="08BC25AD" w:rsidR="008D0BFF" w:rsidRPr="003A3426" w:rsidRDefault="008D0BFF" w:rsidP="008D0BFF">
            <w:pPr>
              <w:jc w:val="left"/>
              <w:rPr>
                <w:snapToGrid w:val="0"/>
              </w:rPr>
            </w:pPr>
            <w:r>
              <w:rPr>
                <w:snapToGrid w:val="0"/>
              </w:rPr>
              <w:t>Load Management Analysis and Planning</w:t>
            </w:r>
          </w:p>
        </w:tc>
      </w:tr>
      <w:tr w:rsidR="008D0BFF" w:rsidRPr="003A3426" w14:paraId="3AD253B2"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08817996" w14:textId="34FE09D5" w:rsidR="008D0BFF" w:rsidRPr="003A3426" w:rsidRDefault="008D0BFF" w:rsidP="008D0BFF">
            <w:pPr>
              <w:jc w:val="left"/>
              <w:rPr>
                <w:snapToGrid w:val="0"/>
              </w:rPr>
            </w:pPr>
            <w:r w:rsidRPr="003A3426">
              <w:rPr>
                <w:snapToGrid w:val="0"/>
              </w:rPr>
              <w:t>LT</w:t>
            </w:r>
          </w:p>
        </w:tc>
        <w:tc>
          <w:tcPr>
            <w:tcW w:w="6135" w:type="dxa"/>
            <w:tcBorders>
              <w:top w:val="single" w:sz="6" w:space="0" w:color="auto"/>
              <w:left w:val="single" w:sz="6" w:space="0" w:color="auto"/>
              <w:bottom w:val="single" w:sz="6" w:space="0" w:color="auto"/>
              <w:right w:val="single" w:sz="6" w:space="0" w:color="auto"/>
            </w:tcBorders>
          </w:tcPr>
          <w:p w14:paraId="6A22242A" w14:textId="10CBFBC3" w:rsidR="008D0BFF" w:rsidRPr="003A3426" w:rsidRDefault="008D0BFF" w:rsidP="008D0BFF">
            <w:pPr>
              <w:jc w:val="left"/>
              <w:rPr>
                <w:snapToGrid w:val="0"/>
              </w:rPr>
            </w:pPr>
            <w:r w:rsidRPr="003A3426">
              <w:rPr>
                <w:snapToGrid w:val="0"/>
              </w:rPr>
              <w:t>Long Term</w:t>
            </w:r>
          </w:p>
        </w:tc>
      </w:tr>
      <w:tr w:rsidR="008D0BFF" w:rsidRPr="003A3426" w14:paraId="07521913"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31E1B7D8" w14:textId="7C8610F9" w:rsidR="008D0BFF" w:rsidRPr="003A3426" w:rsidRDefault="008D0BFF" w:rsidP="008D0BFF">
            <w:pPr>
              <w:jc w:val="left"/>
              <w:rPr>
                <w:snapToGrid w:val="0"/>
              </w:rPr>
            </w:pPr>
            <w:r>
              <w:rPr>
                <w:snapToGrid w:val="0"/>
              </w:rPr>
              <w:t>MARTA</w:t>
            </w:r>
          </w:p>
        </w:tc>
        <w:tc>
          <w:tcPr>
            <w:tcW w:w="6135" w:type="dxa"/>
            <w:tcBorders>
              <w:top w:val="single" w:sz="6" w:space="0" w:color="auto"/>
              <w:left w:val="single" w:sz="6" w:space="0" w:color="auto"/>
              <w:bottom w:val="single" w:sz="6" w:space="0" w:color="auto"/>
              <w:right w:val="single" w:sz="6" w:space="0" w:color="auto"/>
            </w:tcBorders>
          </w:tcPr>
          <w:p w14:paraId="3B56ADB0" w14:textId="3E4615F2" w:rsidR="008D0BFF" w:rsidRPr="003A3426" w:rsidRDefault="008D0BFF" w:rsidP="008D0BFF">
            <w:pPr>
              <w:jc w:val="left"/>
              <w:rPr>
                <w:snapToGrid w:val="0"/>
              </w:rPr>
            </w:pPr>
            <w:r>
              <w:rPr>
                <w:snapToGrid w:val="0"/>
              </w:rPr>
              <w:t>Metropolitan Atlanta Rapid Transit Authority</w:t>
            </w:r>
          </w:p>
        </w:tc>
      </w:tr>
      <w:tr w:rsidR="008D0BFF" w:rsidRPr="003A3426" w14:paraId="7C826297"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7398A319" w14:textId="21C4B790" w:rsidR="008D0BFF" w:rsidRPr="003A3426" w:rsidRDefault="008D0BFF" w:rsidP="008D0BFF">
            <w:pPr>
              <w:jc w:val="left"/>
              <w:rPr>
                <w:snapToGrid w:val="0"/>
              </w:rPr>
            </w:pPr>
            <w:r>
              <w:rPr>
                <w:snapToGrid w:val="0"/>
              </w:rPr>
              <w:t>MECS</w:t>
            </w:r>
          </w:p>
        </w:tc>
        <w:tc>
          <w:tcPr>
            <w:tcW w:w="6135" w:type="dxa"/>
            <w:tcBorders>
              <w:top w:val="single" w:sz="6" w:space="0" w:color="auto"/>
              <w:left w:val="single" w:sz="6" w:space="0" w:color="auto"/>
              <w:bottom w:val="single" w:sz="6" w:space="0" w:color="auto"/>
              <w:right w:val="single" w:sz="6" w:space="0" w:color="auto"/>
            </w:tcBorders>
          </w:tcPr>
          <w:p w14:paraId="41B5F4F0" w14:textId="12C2D034" w:rsidR="008D0BFF" w:rsidRPr="003A3426" w:rsidRDefault="008D0BFF" w:rsidP="008D0BFF">
            <w:pPr>
              <w:jc w:val="left"/>
              <w:rPr>
                <w:snapToGrid w:val="0"/>
              </w:rPr>
            </w:pPr>
            <w:r>
              <w:rPr>
                <w:snapToGrid w:val="0"/>
              </w:rPr>
              <w:t>Manufacturing Energy Consumption Survey</w:t>
            </w:r>
          </w:p>
        </w:tc>
      </w:tr>
      <w:tr w:rsidR="008D0BFF" w:rsidRPr="003A3426" w14:paraId="4D96EADB" w14:textId="77777777" w:rsidTr="008D0BFF">
        <w:trPr>
          <w:trHeight w:val="305"/>
        </w:trPr>
        <w:tc>
          <w:tcPr>
            <w:tcW w:w="1466" w:type="dxa"/>
            <w:tcBorders>
              <w:top w:val="single" w:sz="6" w:space="0" w:color="auto"/>
              <w:left w:val="single" w:sz="6" w:space="0" w:color="auto"/>
              <w:bottom w:val="single" w:sz="6" w:space="0" w:color="auto"/>
              <w:right w:val="single" w:sz="6" w:space="0" w:color="auto"/>
            </w:tcBorders>
            <w:shd w:val="clear" w:color="auto" w:fill="auto"/>
          </w:tcPr>
          <w:p w14:paraId="310D3F08" w14:textId="56BA19E7" w:rsidR="008D0BFF" w:rsidRPr="003A3426" w:rsidRDefault="008D0BFF" w:rsidP="008D0BFF">
            <w:pPr>
              <w:jc w:val="left"/>
              <w:rPr>
                <w:snapToGrid w:val="0"/>
              </w:rPr>
            </w:pPr>
            <w:r w:rsidRPr="003A3426">
              <w:rPr>
                <w:snapToGrid w:val="0"/>
              </w:rPr>
              <w:t>NAECA</w:t>
            </w:r>
          </w:p>
        </w:tc>
        <w:tc>
          <w:tcPr>
            <w:tcW w:w="6135" w:type="dxa"/>
            <w:tcBorders>
              <w:top w:val="single" w:sz="6" w:space="0" w:color="auto"/>
              <w:left w:val="single" w:sz="6" w:space="0" w:color="auto"/>
              <w:bottom w:val="single" w:sz="6" w:space="0" w:color="auto"/>
              <w:right w:val="single" w:sz="6" w:space="0" w:color="auto"/>
            </w:tcBorders>
            <w:shd w:val="clear" w:color="auto" w:fill="auto"/>
          </w:tcPr>
          <w:p w14:paraId="6437D944" w14:textId="3C80A9E8" w:rsidR="008D0BFF" w:rsidRPr="003A3426" w:rsidRDefault="008D0BFF" w:rsidP="008D0BFF">
            <w:pPr>
              <w:jc w:val="left"/>
              <w:rPr>
                <w:snapToGrid w:val="0"/>
              </w:rPr>
            </w:pPr>
            <w:r w:rsidRPr="003A3426">
              <w:rPr>
                <w:snapToGrid w:val="0"/>
              </w:rPr>
              <w:t>National Appliance Energy Conservation Act of 1987</w:t>
            </w:r>
          </w:p>
        </w:tc>
      </w:tr>
      <w:tr w:rsidR="008D0BFF" w:rsidRPr="003A3426" w14:paraId="55A9E3E2" w14:textId="77777777" w:rsidTr="008D0BFF">
        <w:trPr>
          <w:trHeight w:val="305"/>
        </w:trPr>
        <w:tc>
          <w:tcPr>
            <w:tcW w:w="1466" w:type="dxa"/>
            <w:tcBorders>
              <w:top w:val="single" w:sz="6" w:space="0" w:color="auto"/>
              <w:left w:val="single" w:sz="6" w:space="0" w:color="auto"/>
              <w:bottom w:val="single" w:sz="6" w:space="0" w:color="auto"/>
              <w:right w:val="single" w:sz="6" w:space="0" w:color="auto"/>
            </w:tcBorders>
          </w:tcPr>
          <w:p w14:paraId="5430C4E5" w14:textId="38FC6736" w:rsidR="008D0BFF" w:rsidRPr="003A3426" w:rsidRDefault="008D0BFF" w:rsidP="008D0BFF">
            <w:pPr>
              <w:jc w:val="left"/>
              <w:rPr>
                <w:snapToGrid w:val="0"/>
              </w:rPr>
            </w:pPr>
            <w:r w:rsidRPr="003A3426">
              <w:rPr>
                <w:snapToGrid w:val="0"/>
              </w:rPr>
              <w:t>NAICS</w:t>
            </w:r>
          </w:p>
        </w:tc>
        <w:tc>
          <w:tcPr>
            <w:tcW w:w="6135" w:type="dxa"/>
            <w:tcBorders>
              <w:top w:val="single" w:sz="6" w:space="0" w:color="auto"/>
              <w:left w:val="single" w:sz="6" w:space="0" w:color="auto"/>
              <w:bottom w:val="single" w:sz="6" w:space="0" w:color="auto"/>
              <w:right w:val="single" w:sz="6" w:space="0" w:color="auto"/>
            </w:tcBorders>
          </w:tcPr>
          <w:p w14:paraId="6DFE73B5" w14:textId="7DC03A46" w:rsidR="008D0BFF" w:rsidRPr="003A3426" w:rsidRDefault="008D0BFF" w:rsidP="008D0BFF">
            <w:pPr>
              <w:jc w:val="left"/>
              <w:rPr>
                <w:snapToGrid w:val="0"/>
              </w:rPr>
            </w:pPr>
            <w:r w:rsidRPr="003A3426">
              <w:rPr>
                <w:snapToGrid w:val="0"/>
              </w:rPr>
              <w:t>North American Industry Classification System</w:t>
            </w:r>
          </w:p>
        </w:tc>
      </w:tr>
      <w:tr w:rsidR="008D0BFF" w:rsidRPr="003A3426" w14:paraId="6C312200" w14:textId="77777777" w:rsidTr="00627AFC">
        <w:trPr>
          <w:trHeight w:val="305"/>
        </w:trPr>
        <w:tc>
          <w:tcPr>
            <w:tcW w:w="1466" w:type="dxa"/>
            <w:tcBorders>
              <w:top w:val="single" w:sz="6" w:space="0" w:color="auto"/>
              <w:left w:val="single" w:sz="6" w:space="0" w:color="auto"/>
              <w:bottom w:val="single" w:sz="6" w:space="0" w:color="auto"/>
              <w:right w:val="single" w:sz="6" w:space="0" w:color="auto"/>
            </w:tcBorders>
            <w:shd w:val="clear" w:color="auto" w:fill="A6A6A6" w:themeFill="background1" w:themeFillShade="A6"/>
          </w:tcPr>
          <w:p w14:paraId="71983C20" w14:textId="630B2741" w:rsidR="00627AFC" w:rsidRPr="003A3426" w:rsidRDefault="00627AFC" w:rsidP="00627AFC">
            <w:pPr>
              <w:rPr>
                <w:snapToGrid w:val="0"/>
              </w:rPr>
            </w:pPr>
            <w:r>
              <w:rPr>
                <w:snapToGrid w:val="0"/>
              </w:rPr>
              <w:t>Acronym</w:t>
            </w:r>
          </w:p>
        </w:tc>
        <w:tc>
          <w:tcPr>
            <w:tcW w:w="6135" w:type="dxa"/>
            <w:tcBorders>
              <w:top w:val="single" w:sz="6" w:space="0" w:color="auto"/>
              <w:left w:val="single" w:sz="6" w:space="0" w:color="auto"/>
              <w:bottom w:val="single" w:sz="6" w:space="0" w:color="auto"/>
              <w:right w:val="single" w:sz="6" w:space="0" w:color="auto"/>
            </w:tcBorders>
            <w:shd w:val="clear" w:color="auto" w:fill="A6A6A6" w:themeFill="background1" w:themeFillShade="A6"/>
          </w:tcPr>
          <w:p w14:paraId="78478E75" w14:textId="0DFF4A41" w:rsidR="008D0BFF" w:rsidRPr="003A3426" w:rsidRDefault="00627AFC" w:rsidP="00627AFC">
            <w:pPr>
              <w:rPr>
                <w:snapToGrid w:val="0"/>
              </w:rPr>
            </w:pPr>
            <w:r>
              <w:rPr>
                <w:snapToGrid w:val="0"/>
              </w:rPr>
              <w:t>Definition</w:t>
            </w:r>
          </w:p>
        </w:tc>
      </w:tr>
      <w:tr w:rsidR="00627AFC" w:rsidRPr="003A3426" w14:paraId="73E621A5" w14:textId="77777777" w:rsidTr="00627AFC">
        <w:trPr>
          <w:trHeight w:val="305"/>
        </w:trPr>
        <w:tc>
          <w:tcPr>
            <w:tcW w:w="1466" w:type="dxa"/>
            <w:tcBorders>
              <w:top w:val="single" w:sz="6" w:space="0" w:color="auto"/>
              <w:left w:val="single" w:sz="6" w:space="0" w:color="auto"/>
              <w:bottom w:val="single" w:sz="6" w:space="0" w:color="auto"/>
              <w:right w:val="single" w:sz="6" w:space="0" w:color="auto"/>
            </w:tcBorders>
            <w:shd w:val="clear" w:color="auto" w:fill="auto"/>
          </w:tcPr>
          <w:p w14:paraId="38E7DC48" w14:textId="355134A6" w:rsidR="00627AFC" w:rsidRPr="008D0BFF" w:rsidRDefault="00627AFC" w:rsidP="00627AFC">
            <w:pPr>
              <w:jc w:val="left"/>
              <w:rPr>
                <w:snapToGrid w:val="0"/>
              </w:rPr>
            </w:pPr>
            <w:r>
              <w:rPr>
                <w:snapToGrid w:val="0"/>
              </w:rPr>
              <w:t>NCP</w:t>
            </w:r>
          </w:p>
        </w:tc>
        <w:tc>
          <w:tcPr>
            <w:tcW w:w="6135" w:type="dxa"/>
            <w:tcBorders>
              <w:top w:val="single" w:sz="6" w:space="0" w:color="auto"/>
              <w:left w:val="single" w:sz="6" w:space="0" w:color="auto"/>
              <w:bottom w:val="single" w:sz="6" w:space="0" w:color="auto"/>
              <w:right w:val="single" w:sz="6" w:space="0" w:color="auto"/>
            </w:tcBorders>
            <w:shd w:val="clear" w:color="auto" w:fill="auto"/>
          </w:tcPr>
          <w:p w14:paraId="31FA8C53" w14:textId="29869149" w:rsidR="00627AFC" w:rsidRPr="008D0BFF" w:rsidRDefault="00627AFC" w:rsidP="00627AFC">
            <w:pPr>
              <w:jc w:val="left"/>
              <w:rPr>
                <w:snapToGrid w:val="0"/>
              </w:rPr>
            </w:pPr>
            <w:r>
              <w:rPr>
                <w:snapToGrid w:val="0"/>
              </w:rPr>
              <w:t>Non-Coincident Peak</w:t>
            </w:r>
          </w:p>
        </w:tc>
      </w:tr>
      <w:tr w:rsidR="00627AFC" w:rsidRPr="003A3426" w14:paraId="1DB64FD2" w14:textId="77777777" w:rsidTr="00283A85">
        <w:trPr>
          <w:trHeight w:val="305"/>
        </w:trPr>
        <w:tc>
          <w:tcPr>
            <w:tcW w:w="1466" w:type="dxa"/>
            <w:tcBorders>
              <w:top w:val="single" w:sz="6" w:space="0" w:color="auto"/>
              <w:left w:val="single" w:sz="6" w:space="0" w:color="auto"/>
              <w:bottom w:val="single" w:sz="6" w:space="0" w:color="auto"/>
              <w:right w:val="single" w:sz="6" w:space="0" w:color="auto"/>
            </w:tcBorders>
          </w:tcPr>
          <w:p w14:paraId="33F251D0" w14:textId="0BD3230A" w:rsidR="00627AFC" w:rsidRPr="003A3426" w:rsidRDefault="00627AFC" w:rsidP="00627AFC">
            <w:pPr>
              <w:jc w:val="left"/>
              <w:rPr>
                <w:snapToGrid w:val="0"/>
              </w:rPr>
            </w:pPr>
            <w:r>
              <w:rPr>
                <w:snapToGrid w:val="0"/>
              </w:rPr>
              <w:t>NCTA</w:t>
            </w:r>
          </w:p>
        </w:tc>
        <w:tc>
          <w:tcPr>
            <w:tcW w:w="6135" w:type="dxa"/>
            <w:tcBorders>
              <w:top w:val="single" w:sz="6" w:space="0" w:color="auto"/>
              <w:left w:val="single" w:sz="6" w:space="0" w:color="auto"/>
              <w:bottom w:val="single" w:sz="6" w:space="0" w:color="auto"/>
              <w:right w:val="single" w:sz="6" w:space="0" w:color="auto"/>
            </w:tcBorders>
          </w:tcPr>
          <w:p w14:paraId="72395D1F" w14:textId="3DF3EE9B" w:rsidR="00627AFC" w:rsidRPr="003A3426" w:rsidRDefault="00627AFC" w:rsidP="00627AFC">
            <w:pPr>
              <w:jc w:val="left"/>
              <w:rPr>
                <w:snapToGrid w:val="0"/>
              </w:rPr>
            </w:pPr>
            <w:r>
              <w:rPr>
                <w:snapToGrid w:val="0"/>
              </w:rPr>
              <w:t>National Cable and Telecommunications Association</w:t>
            </w:r>
          </w:p>
        </w:tc>
      </w:tr>
      <w:tr w:rsidR="00627AFC" w:rsidRPr="003A3426" w14:paraId="28C00CED" w14:textId="77777777" w:rsidTr="00283A85">
        <w:trPr>
          <w:trHeight w:val="305"/>
        </w:trPr>
        <w:tc>
          <w:tcPr>
            <w:tcW w:w="1466" w:type="dxa"/>
            <w:tcBorders>
              <w:top w:val="single" w:sz="6" w:space="0" w:color="auto"/>
              <w:left w:val="single" w:sz="6" w:space="0" w:color="auto"/>
              <w:bottom w:val="single" w:sz="6" w:space="0" w:color="auto"/>
              <w:right w:val="single" w:sz="6" w:space="0" w:color="auto"/>
            </w:tcBorders>
          </w:tcPr>
          <w:p w14:paraId="7620F1F2" w14:textId="52157E15" w:rsidR="00627AFC" w:rsidRPr="00596BE6" w:rsidRDefault="00627AFC" w:rsidP="00627AFC">
            <w:pPr>
              <w:jc w:val="left"/>
              <w:rPr>
                <w:snapToGrid w:val="0"/>
              </w:rPr>
            </w:pPr>
            <w:r w:rsidRPr="003A3426">
              <w:rPr>
                <w:snapToGrid w:val="0"/>
              </w:rPr>
              <w:t>NEPA</w:t>
            </w:r>
          </w:p>
        </w:tc>
        <w:tc>
          <w:tcPr>
            <w:tcW w:w="6135" w:type="dxa"/>
            <w:tcBorders>
              <w:top w:val="single" w:sz="6" w:space="0" w:color="auto"/>
              <w:left w:val="single" w:sz="6" w:space="0" w:color="auto"/>
              <w:bottom w:val="single" w:sz="6" w:space="0" w:color="auto"/>
              <w:right w:val="single" w:sz="6" w:space="0" w:color="auto"/>
            </w:tcBorders>
          </w:tcPr>
          <w:p w14:paraId="68EEB5C4" w14:textId="1D92DA4D" w:rsidR="00627AFC" w:rsidRPr="00596BE6" w:rsidRDefault="00627AFC" w:rsidP="00627AFC">
            <w:pPr>
              <w:jc w:val="left"/>
              <w:rPr>
                <w:snapToGrid w:val="0"/>
              </w:rPr>
            </w:pPr>
            <w:r w:rsidRPr="003A3426">
              <w:rPr>
                <w:snapToGrid w:val="0"/>
              </w:rPr>
              <w:t>National Energy Policy Act of 1992</w:t>
            </w:r>
          </w:p>
        </w:tc>
      </w:tr>
      <w:tr w:rsidR="00627AFC" w:rsidRPr="003A3426" w14:paraId="7775A8E9" w14:textId="77777777" w:rsidTr="000F43E2">
        <w:trPr>
          <w:trHeight w:val="305"/>
        </w:trPr>
        <w:tc>
          <w:tcPr>
            <w:tcW w:w="1466" w:type="dxa"/>
            <w:tcBorders>
              <w:top w:val="single" w:sz="6" w:space="0" w:color="auto"/>
              <w:left w:val="single" w:sz="6" w:space="0" w:color="auto"/>
              <w:bottom w:val="single" w:sz="6" w:space="0" w:color="auto"/>
              <w:right w:val="single" w:sz="6" w:space="0" w:color="auto"/>
            </w:tcBorders>
          </w:tcPr>
          <w:p w14:paraId="6ABCA913" w14:textId="25CD7A51" w:rsidR="00627AFC" w:rsidRPr="003A3426" w:rsidRDefault="00627AFC" w:rsidP="00627AFC">
            <w:pPr>
              <w:jc w:val="left"/>
              <w:rPr>
                <w:snapToGrid w:val="0"/>
              </w:rPr>
            </w:pPr>
            <w:r>
              <w:rPr>
                <w:snapToGrid w:val="0"/>
              </w:rPr>
              <w:t>PDM</w:t>
            </w:r>
          </w:p>
        </w:tc>
        <w:tc>
          <w:tcPr>
            <w:tcW w:w="6135" w:type="dxa"/>
            <w:tcBorders>
              <w:top w:val="single" w:sz="6" w:space="0" w:color="auto"/>
              <w:left w:val="single" w:sz="6" w:space="0" w:color="auto"/>
              <w:bottom w:val="single" w:sz="6" w:space="0" w:color="auto"/>
              <w:right w:val="single" w:sz="6" w:space="0" w:color="auto"/>
            </w:tcBorders>
          </w:tcPr>
          <w:p w14:paraId="62AF3AF5" w14:textId="56DA2DB2" w:rsidR="00627AFC" w:rsidRPr="003A3426" w:rsidRDefault="00627AFC" w:rsidP="00627AFC">
            <w:pPr>
              <w:jc w:val="left"/>
              <w:rPr>
                <w:snapToGrid w:val="0"/>
              </w:rPr>
            </w:pPr>
            <w:r>
              <w:rPr>
                <w:snapToGrid w:val="0"/>
              </w:rPr>
              <w:t>Peak Demand Model</w:t>
            </w:r>
          </w:p>
        </w:tc>
      </w:tr>
      <w:tr w:rsidR="00627AFC" w:rsidRPr="003A3426" w14:paraId="75E26A30"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77DDDFAA" w14:textId="0B17EF51" w:rsidR="00627AFC" w:rsidRPr="003A3426" w:rsidRDefault="00627AFC" w:rsidP="00627AFC">
            <w:pPr>
              <w:jc w:val="left"/>
              <w:rPr>
                <w:snapToGrid w:val="0"/>
              </w:rPr>
            </w:pPr>
            <w:r w:rsidRPr="003A3426">
              <w:rPr>
                <w:snapToGrid w:val="0"/>
              </w:rPr>
              <w:t>RECS</w:t>
            </w:r>
          </w:p>
        </w:tc>
        <w:tc>
          <w:tcPr>
            <w:tcW w:w="6135" w:type="dxa"/>
            <w:tcBorders>
              <w:top w:val="single" w:sz="6" w:space="0" w:color="auto"/>
              <w:left w:val="single" w:sz="6" w:space="0" w:color="auto"/>
              <w:bottom w:val="single" w:sz="6" w:space="0" w:color="auto"/>
              <w:right w:val="single" w:sz="6" w:space="0" w:color="auto"/>
            </w:tcBorders>
          </w:tcPr>
          <w:p w14:paraId="15DA61B0" w14:textId="3044AE40" w:rsidR="00627AFC" w:rsidRPr="003A3426" w:rsidRDefault="00627AFC" w:rsidP="00627AFC">
            <w:pPr>
              <w:jc w:val="left"/>
              <w:rPr>
                <w:snapToGrid w:val="0"/>
              </w:rPr>
            </w:pPr>
            <w:r w:rsidRPr="003A3426">
              <w:rPr>
                <w:snapToGrid w:val="0"/>
              </w:rPr>
              <w:t>Residential Energy Consumption Survey</w:t>
            </w:r>
          </w:p>
        </w:tc>
      </w:tr>
      <w:tr w:rsidR="00627AFC" w:rsidRPr="003A3426" w14:paraId="205B232A"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0A1097B2" w14:textId="55DD8D17" w:rsidR="00627AFC" w:rsidRPr="003A3426" w:rsidRDefault="00627AFC" w:rsidP="00627AFC">
            <w:pPr>
              <w:jc w:val="left"/>
              <w:rPr>
                <w:snapToGrid w:val="0"/>
              </w:rPr>
            </w:pPr>
            <w:r w:rsidRPr="003A3426">
              <w:rPr>
                <w:snapToGrid w:val="0"/>
              </w:rPr>
              <w:t>RTP</w:t>
            </w:r>
          </w:p>
        </w:tc>
        <w:tc>
          <w:tcPr>
            <w:tcW w:w="6135" w:type="dxa"/>
            <w:tcBorders>
              <w:top w:val="single" w:sz="6" w:space="0" w:color="auto"/>
              <w:left w:val="single" w:sz="6" w:space="0" w:color="auto"/>
              <w:bottom w:val="single" w:sz="6" w:space="0" w:color="auto"/>
              <w:right w:val="single" w:sz="6" w:space="0" w:color="auto"/>
            </w:tcBorders>
          </w:tcPr>
          <w:p w14:paraId="39983CA4" w14:textId="2F7A7BE8" w:rsidR="00627AFC" w:rsidRPr="003A3426" w:rsidRDefault="00627AFC" w:rsidP="00627AFC">
            <w:pPr>
              <w:jc w:val="left"/>
              <w:rPr>
                <w:snapToGrid w:val="0"/>
              </w:rPr>
            </w:pPr>
            <w:r w:rsidRPr="003A3426">
              <w:rPr>
                <w:snapToGrid w:val="0"/>
              </w:rPr>
              <w:t>Real Time Pricing</w:t>
            </w:r>
          </w:p>
        </w:tc>
      </w:tr>
      <w:tr w:rsidR="00627AFC" w:rsidRPr="003A3426" w14:paraId="4078E678" w14:textId="77777777" w:rsidTr="00714556">
        <w:trPr>
          <w:trHeight w:val="305"/>
        </w:trPr>
        <w:tc>
          <w:tcPr>
            <w:tcW w:w="1466" w:type="dxa"/>
            <w:tcBorders>
              <w:top w:val="single" w:sz="6" w:space="0" w:color="auto"/>
              <w:left w:val="single" w:sz="6" w:space="0" w:color="auto"/>
              <w:bottom w:val="single" w:sz="6" w:space="0" w:color="auto"/>
              <w:right w:val="single" w:sz="6" w:space="0" w:color="auto"/>
            </w:tcBorders>
          </w:tcPr>
          <w:p w14:paraId="6360D5F3" w14:textId="08F030E0" w:rsidR="00627AFC" w:rsidRPr="003A3426" w:rsidRDefault="00627AFC" w:rsidP="00627AFC">
            <w:pPr>
              <w:jc w:val="left"/>
              <w:rPr>
                <w:snapToGrid w:val="0"/>
              </w:rPr>
            </w:pPr>
            <w:r w:rsidRPr="003A3426">
              <w:rPr>
                <w:snapToGrid w:val="0"/>
              </w:rPr>
              <w:t>SBG</w:t>
            </w:r>
          </w:p>
        </w:tc>
        <w:tc>
          <w:tcPr>
            <w:tcW w:w="6135" w:type="dxa"/>
            <w:tcBorders>
              <w:top w:val="single" w:sz="6" w:space="0" w:color="auto"/>
              <w:left w:val="single" w:sz="6" w:space="0" w:color="auto"/>
              <w:bottom w:val="single" w:sz="6" w:space="0" w:color="auto"/>
              <w:right w:val="single" w:sz="6" w:space="0" w:color="auto"/>
            </w:tcBorders>
          </w:tcPr>
          <w:p w14:paraId="14FCC75D" w14:textId="02E00C70" w:rsidR="00627AFC" w:rsidRPr="003A3426" w:rsidRDefault="00627AFC" w:rsidP="00627AFC">
            <w:pPr>
              <w:jc w:val="left"/>
              <w:rPr>
                <w:snapToGrid w:val="0"/>
              </w:rPr>
            </w:pPr>
            <w:r w:rsidRPr="003A3426">
              <w:rPr>
                <w:snapToGrid w:val="0"/>
              </w:rPr>
              <w:t>Stand-by Generation</w:t>
            </w:r>
          </w:p>
        </w:tc>
      </w:tr>
      <w:tr w:rsidR="00627AFC" w:rsidRPr="003A3426" w14:paraId="6C58755F"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6B7729E4" w14:textId="6849D8C3" w:rsidR="00627AFC" w:rsidRPr="003A3426" w:rsidRDefault="00627AFC" w:rsidP="00627AFC">
            <w:pPr>
              <w:jc w:val="left"/>
              <w:rPr>
                <w:snapToGrid w:val="0"/>
              </w:rPr>
            </w:pPr>
            <w:r w:rsidRPr="003A3426">
              <w:rPr>
                <w:snapToGrid w:val="0"/>
              </w:rPr>
              <w:t>SCS</w:t>
            </w:r>
          </w:p>
        </w:tc>
        <w:tc>
          <w:tcPr>
            <w:tcW w:w="6135" w:type="dxa"/>
            <w:tcBorders>
              <w:top w:val="single" w:sz="6" w:space="0" w:color="auto"/>
              <w:left w:val="single" w:sz="6" w:space="0" w:color="auto"/>
              <w:bottom w:val="single" w:sz="6" w:space="0" w:color="auto"/>
              <w:right w:val="single" w:sz="6" w:space="0" w:color="auto"/>
            </w:tcBorders>
          </w:tcPr>
          <w:p w14:paraId="558F0FA8" w14:textId="740D9F64" w:rsidR="00627AFC" w:rsidRPr="003A3426" w:rsidRDefault="00627AFC" w:rsidP="00627AFC">
            <w:pPr>
              <w:jc w:val="left"/>
              <w:rPr>
                <w:snapToGrid w:val="0"/>
              </w:rPr>
            </w:pPr>
            <w:r w:rsidRPr="003A3426">
              <w:rPr>
                <w:snapToGrid w:val="0"/>
              </w:rPr>
              <w:t>Southern Company Services</w:t>
            </w:r>
          </w:p>
        </w:tc>
      </w:tr>
      <w:tr w:rsidR="00627AFC" w:rsidRPr="003A3426" w14:paraId="340DC888" w14:textId="77777777" w:rsidTr="008D0BFF">
        <w:trPr>
          <w:trHeight w:val="305"/>
        </w:trPr>
        <w:tc>
          <w:tcPr>
            <w:tcW w:w="1466" w:type="dxa"/>
            <w:tcBorders>
              <w:top w:val="single" w:sz="6" w:space="0" w:color="auto"/>
              <w:left w:val="single" w:sz="6" w:space="0" w:color="auto"/>
              <w:bottom w:val="single" w:sz="6" w:space="0" w:color="auto"/>
              <w:right w:val="single" w:sz="6" w:space="0" w:color="auto"/>
            </w:tcBorders>
            <w:shd w:val="clear" w:color="auto" w:fill="auto"/>
          </w:tcPr>
          <w:p w14:paraId="189BB972" w14:textId="49A8BC29" w:rsidR="00627AFC" w:rsidRPr="003A3426" w:rsidRDefault="00627AFC" w:rsidP="00627AFC">
            <w:pPr>
              <w:jc w:val="left"/>
              <w:rPr>
                <w:snapToGrid w:val="0"/>
              </w:rPr>
            </w:pPr>
            <w:r>
              <w:rPr>
                <w:snapToGrid w:val="0"/>
              </w:rPr>
              <w:t>SEER</w:t>
            </w:r>
          </w:p>
        </w:tc>
        <w:tc>
          <w:tcPr>
            <w:tcW w:w="6135" w:type="dxa"/>
            <w:tcBorders>
              <w:top w:val="single" w:sz="6" w:space="0" w:color="auto"/>
              <w:left w:val="single" w:sz="6" w:space="0" w:color="auto"/>
              <w:bottom w:val="single" w:sz="6" w:space="0" w:color="auto"/>
              <w:right w:val="single" w:sz="6" w:space="0" w:color="auto"/>
            </w:tcBorders>
            <w:shd w:val="clear" w:color="auto" w:fill="auto"/>
          </w:tcPr>
          <w:p w14:paraId="29260EAD" w14:textId="69473C0C" w:rsidR="00627AFC" w:rsidRPr="003A3426" w:rsidRDefault="00627AFC" w:rsidP="00627AFC">
            <w:pPr>
              <w:jc w:val="left"/>
              <w:rPr>
                <w:snapToGrid w:val="0"/>
              </w:rPr>
            </w:pPr>
            <w:r>
              <w:rPr>
                <w:snapToGrid w:val="0"/>
              </w:rPr>
              <w:t>Seasonal Energy Efficiency Ratio</w:t>
            </w:r>
          </w:p>
        </w:tc>
      </w:tr>
      <w:tr w:rsidR="00627AFC" w:rsidRPr="003A3426" w14:paraId="5CBBC47E" w14:textId="77777777" w:rsidTr="00966D80">
        <w:trPr>
          <w:trHeight w:val="305"/>
        </w:trPr>
        <w:tc>
          <w:tcPr>
            <w:tcW w:w="1466" w:type="dxa"/>
            <w:tcBorders>
              <w:top w:val="single" w:sz="6" w:space="0" w:color="auto"/>
              <w:left w:val="single" w:sz="6" w:space="0" w:color="auto"/>
              <w:bottom w:val="single" w:sz="6" w:space="0" w:color="auto"/>
              <w:right w:val="single" w:sz="6" w:space="0" w:color="auto"/>
            </w:tcBorders>
          </w:tcPr>
          <w:p w14:paraId="0FD2E067" w14:textId="6CD77950" w:rsidR="00627AFC" w:rsidRPr="003A3426" w:rsidRDefault="00627AFC" w:rsidP="00627AFC">
            <w:pPr>
              <w:jc w:val="left"/>
              <w:rPr>
                <w:snapToGrid w:val="0"/>
              </w:rPr>
            </w:pPr>
            <w:r w:rsidRPr="003A3426">
              <w:rPr>
                <w:snapToGrid w:val="0"/>
              </w:rPr>
              <w:t>SIC</w:t>
            </w:r>
          </w:p>
        </w:tc>
        <w:tc>
          <w:tcPr>
            <w:tcW w:w="6135" w:type="dxa"/>
            <w:tcBorders>
              <w:top w:val="single" w:sz="6" w:space="0" w:color="auto"/>
              <w:left w:val="single" w:sz="6" w:space="0" w:color="auto"/>
              <w:bottom w:val="single" w:sz="6" w:space="0" w:color="auto"/>
              <w:right w:val="single" w:sz="6" w:space="0" w:color="auto"/>
            </w:tcBorders>
          </w:tcPr>
          <w:p w14:paraId="27F77E7A" w14:textId="2155F3EA" w:rsidR="00627AFC" w:rsidRPr="003A3426" w:rsidRDefault="00627AFC" w:rsidP="00627AFC">
            <w:pPr>
              <w:jc w:val="left"/>
              <w:rPr>
                <w:snapToGrid w:val="0"/>
              </w:rPr>
            </w:pPr>
            <w:r w:rsidRPr="003A3426">
              <w:rPr>
                <w:snapToGrid w:val="0"/>
              </w:rPr>
              <w:t>Standard Industrial Classification</w:t>
            </w:r>
          </w:p>
        </w:tc>
      </w:tr>
      <w:tr w:rsidR="00627AFC" w:rsidRPr="003A3426" w14:paraId="171EABE3" w14:textId="77777777" w:rsidTr="008D0BFF">
        <w:trPr>
          <w:trHeight w:val="305"/>
        </w:trPr>
        <w:tc>
          <w:tcPr>
            <w:tcW w:w="1466" w:type="dxa"/>
            <w:tcBorders>
              <w:top w:val="single" w:sz="6" w:space="0" w:color="auto"/>
              <w:left w:val="single" w:sz="6" w:space="0" w:color="auto"/>
              <w:bottom w:val="single" w:sz="6" w:space="0" w:color="auto"/>
              <w:right w:val="single" w:sz="6" w:space="0" w:color="auto"/>
            </w:tcBorders>
          </w:tcPr>
          <w:p w14:paraId="2A6DFC21" w14:textId="797B299A" w:rsidR="00627AFC" w:rsidRPr="003A3426" w:rsidRDefault="00627AFC" w:rsidP="00627AFC">
            <w:pPr>
              <w:jc w:val="left"/>
              <w:rPr>
                <w:snapToGrid w:val="0"/>
              </w:rPr>
            </w:pPr>
            <w:r w:rsidRPr="003A3426">
              <w:rPr>
                <w:snapToGrid w:val="0"/>
              </w:rPr>
              <w:t>ST</w:t>
            </w:r>
          </w:p>
        </w:tc>
        <w:tc>
          <w:tcPr>
            <w:tcW w:w="6135" w:type="dxa"/>
            <w:tcBorders>
              <w:top w:val="single" w:sz="6" w:space="0" w:color="auto"/>
              <w:left w:val="single" w:sz="6" w:space="0" w:color="auto"/>
              <w:bottom w:val="single" w:sz="6" w:space="0" w:color="auto"/>
              <w:right w:val="single" w:sz="6" w:space="0" w:color="auto"/>
            </w:tcBorders>
          </w:tcPr>
          <w:p w14:paraId="586E361C" w14:textId="04F7F1BC" w:rsidR="00627AFC" w:rsidRPr="003A3426" w:rsidRDefault="00627AFC" w:rsidP="00627AFC">
            <w:pPr>
              <w:jc w:val="left"/>
              <w:rPr>
                <w:snapToGrid w:val="0"/>
              </w:rPr>
            </w:pPr>
            <w:r w:rsidRPr="003A3426">
              <w:rPr>
                <w:snapToGrid w:val="0"/>
              </w:rPr>
              <w:t xml:space="preserve">Short Term </w:t>
            </w:r>
          </w:p>
        </w:tc>
      </w:tr>
      <w:tr w:rsidR="00627AFC" w:rsidRPr="003A3426" w14:paraId="5585BABA" w14:textId="77777777" w:rsidTr="00283A85">
        <w:trPr>
          <w:trHeight w:val="305"/>
        </w:trPr>
        <w:tc>
          <w:tcPr>
            <w:tcW w:w="1466" w:type="dxa"/>
            <w:tcBorders>
              <w:top w:val="single" w:sz="6" w:space="0" w:color="auto"/>
              <w:left w:val="single" w:sz="6" w:space="0" w:color="auto"/>
              <w:bottom w:val="single" w:sz="6" w:space="0" w:color="auto"/>
              <w:right w:val="single" w:sz="6" w:space="0" w:color="auto"/>
            </w:tcBorders>
          </w:tcPr>
          <w:p w14:paraId="0EB4E388" w14:textId="37016548" w:rsidR="00627AFC" w:rsidRPr="003A3426" w:rsidRDefault="00627AFC" w:rsidP="00627AFC">
            <w:pPr>
              <w:jc w:val="left"/>
              <w:rPr>
                <w:snapToGrid w:val="0"/>
              </w:rPr>
            </w:pPr>
            <w:r w:rsidRPr="003A3426">
              <w:rPr>
                <w:snapToGrid w:val="0"/>
              </w:rPr>
              <w:t>TOU</w:t>
            </w:r>
          </w:p>
        </w:tc>
        <w:tc>
          <w:tcPr>
            <w:tcW w:w="6135" w:type="dxa"/>
            <w:tcBorders>
              <w:top w:val="single" w:sz="6" w:space="0" w:color="auto"/>
              <w:left w:val="single" w:sz="6" w:space="0" w:color="auto"/>
              <w:bottom w:val="single" w:sz="6" w:space="0" w:color="auto"/>
              <w:right w:val="single" w:sz="6" w:space="0" w:color="auto"/>
            </w:tcBorders>
          </w:tcPr>
          <w:p w14:paraId="4C89977F" w14:textId="4B974689" w:rsidR="00627AFC" w:rsidRPr="003A3426" w:rsidRDefault="00627AFC" w:rsidP="00627AFC">
            <w:pPr>
              <w:jc w:val="left"/>
              <w:rPr>
                <w:snapToGrid w:val="0"/>
              </w:rPr>
            </w:pPr>
            <w:r w:rsidRPr="003A3426">
              <w:rPr>
                <w:snapToGrid w:val="0"/>
              </w:rPr>
              <w:t xml:space="preserve">Time of Use </w:t>
            </w:r>
          </w:p>
        </w:tc>
      </w:tr>
      <w:tr w:rsidR="00627AFC" w:rsidRPr="003A3426" w14:paraId="1489D667" w14:textId="77777777" w:rsidTr="00283A85">
        <w:trPr>
          <w:trHeight w:val="305"/>
        </w:trPr>
        <w:tc>
          <w:tcPr>
            <w:tcW w:w="1466" w:type="dxa"/>
            <w:tcBorders>
              <w:top w:val="single" w:sz="6" w:space="0" w:color="auto"/>
              <w:left w:val="single" w:sz="6" w:space="0" w:color="auto"/>
              <w:bottom w:val="single" w:sz="6" w:space="0" w:color="auto"/>
              <w:right w:val="single" w:sz="6" w:space="0" w:color="auto"/>
            </w:tcBorders>
          </w:tcPr>
          <w:p w14:paraId="06595860" w14:textId="0579C546" w:rsidR="00627AFC" w:rsidRPr="003A3426" w:rsidRDefault="00627AFC" w:rsidP="00627AFC">
            <w:pPr>
              <w:jc w:val="left"/>
              <w:rPr>
                <w:snapToGrid w:val="0"/>
              </w:rPr>
            </w:pPr>
            <w:r w:rsidRPr="003A3426">
              <w:rPr>
                <w:snapToGrid w:val="0"/>
              </w:rPr>
              <w:t>UEC</w:t>
            </w:r>
          </w:p>
        </w:tc>
        <w:tc>
          <w:tcPr>
            <w:tcW w:w="6135" w:type="dxa"/>
            <w:tcBorders>
              <w:top w:val="single" w:sz="6" w:space="0" w:color="auto"/>
              <w:left w:val="single" w:sz="6" w:space="0" w:color="auto"/>
              <w:bottom w:val="single" w:sz="6" w:space="0" w:color="auto"/>
              <w:right w:val="single" w:sz="6" w:space="0" w:color="auto"/>
            </w:tcBorders>
          </w:tcPr>
          <w:p w14:paraId="2CA01672" w14:textId="2B91B731" w:rsidR="00627AFC" w:rsidRPr="003A3426" w:rsidRDefault="00627AFC" w:rsidP="00627AFC">
            <w:pPr>
              <w:jc w:val="left"/>
              <w:rPr>
                <w:snapToGrid w:val="0"/>
              </w:rPr>
            </w:pPr>
            <w:r w:rsidRPr="003A3426">
              <w:rPr>
                <w:snapToGrid w:val="0"/>
              </w:rPr>
              <w:t xml:space="preserve">Unit Energy Consumption </w:t>
            </w:r>
          </w:p>
        </w:tc>
      </w:tr>
      <w:tr w:rsidR="00627AFC" w:rsidRPr="003A3426" w14:paraId="28E11807" w14:textId="77777777" w:rsidTr="000F43E2">
        <w:trPr>
          <w:trHeight w:val="305"/>
        </w:trPr>
        <w:tc>
          <w:tcPr>
            <w:tcW w:w="1466" w:type="dxa"/>
            <w:tcBorders>
              <w:top w:val="single" w:sz="6" w:space="0" w:color="auto"/>
              <w:left w:val="single" w:sz="6" w:space="0" w:color="auto"/>
              <w:bottom w:val="single" w:sz="6" w:space="0" w:color="auto"/>
              <w:right w:val="single" w:sz="6" w:space="0" w:color="auto"/>
            </w:tcBorders>
          </w:tcPr>
          <w:p w14:paraId="06F2EFBC" w14:textId="102DA573" w:rsidR="00627AFC" w:rsidRPr="003A3426" w:rsidRDefault="00627AFC" w:rsidP="00627AFC">
            <w:pPr>
              <w:jc w:val="left"/>
              <w:rPr>
                <w:snapToGrid w:val="0"/>
              </w:rPr>
            </w:pPr>
            <w:r w:rsidRPr="003A3426">
              <w:rPr>
                <w:snapToGrid w:val="0"/>
              </w:rPr>
              <w:t>UI</w:t>
            </w:r>
          </w:p>
        </w:tc>
        <w:tc>
          <w:tcPr>
            <w:tcW w:w="6135" w:type="dxa"/>
            <w:tcBorders>
              <w:top w:val="single" w:sz="6" w:space="0" w:color="auto"/>
              <w:left w:val="single" w:sz="6" w:space="0" w:color="auto"/>
              <w:bottom w:val="single" w:sz="6" w:space="0" w:color="auto"/>
              <w:right w:val="single" w:sz="6" w:space="0" w:color="auto"/>
            </w:tcBorders>
          </w:tcPr>
          <w:p w14:paraId="30E3A942" w14:textId="4230EDAA" w:rsidR="00627AFC" w:rsidRPr="003A3426" w:rsidRDefault="00627AFC" w:rsidP="00627AFC">
            <w:pPr>
              <w:jc w:val="left"/>
              <w:rPr>
                <w:snapToGrid w:val="0"/>
              </w:rPr>
            </w:pPr>
            <w:r>
              <w:rPr>
                <w:snapToGrid w:val="0"/>
              </w:rPr>
              <w:t>Usage Index</w:t>
            </w:r>
          </w:p>
        </w:tc>
      </w:tr>
    </w:tbl>
    <w:p w14:paraId="4D8EC162" w14:textId="77777777" w:rsidR="00A40E5E" w:rsidRPr="003A3426" w:rsidRDefault="00A40E5E" w:rsidP="00A40E5E"/>
    <w:p w14:paraId="5573F2CA" w14:textId="77777777" w:rsidR="00A40E5E" w:rsidRPr="003A3426" w:rsidRDefault="00A40E5E" w:rsidP="008D0BFF">
      <w:pPr>
        <w:pStyle w:val="Heading1"/>
        <w:jc w:val="both"/>
      </w:pPr>
    </w:p>
    <w:p w14:paraId="5C360121" w14:textId="77777777" w:rsidR="00A40E5E" w:rsidRPr="00A40E5E" w:rsidRDefault="00A40E5E" w:rsidP="00A40E5E">
      <w:pPr>
        <w:spacing w:line="360" w:lineRule="auto"/>
        <w:jc w:val="left"/>
        <w:rPr>
          <w:b w:val="0"/>
        </w:rPr>
      </w:pPr>
    </w:p>
    <w:p w14:paraId="1ED62F59" w14:textId="77777777" w:rsidR="00A40E5E" w:rsidRPr="00A40E5E" w:rsidRDefault="00A40E5E" w:rsidP="00A40E5E">
      <w:pPr>
        <w:spacing w:line="360" w:lineRule="auto"/>
        <w:jc w:val="left"/>
        <w:rPr>
          <w:b w:val="0"/>
        </w:rPr>
      </w:pPr>
    </w:p>
    <w:sectPr w:rsidR="00A40E5E" w:rsidRPr="00A40E5E" w:rsidSect="00E01D42">
      <w:footerReference w:type="default" r:id="rId16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362FAD" w14:textId="77777777" w:rsidR="00F6763A" w:rsidRDefault="00F6763A" w:rsidP="00F92700">
      <w:r>
        <w:separator/>
      </w:r>
    </w:p>
  </w:endnote>
  <w:endnote w:type="continuationSeparator" w:id="0">
    <w:p w14:paraId="043BB084" w14:textId="77777777" w:rsidR="00F6763A" w:rsidRDefault="00F6763A" w:rsidP="00F927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altName w:val="Courier New"/>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08C95C" w14:textId="77777777" w:rsidR="00F6763A" w:rsidRDefault="00F6763A">
    <w:pPr>
      <w:pStyle w:val="Footer"/>
    </w:pPr>
  </w:p>
  <w:p w14:paraId="4E21B346" w14:textId="77777777" w:rsidR="00F6763A" w:rsidRPr="00946003" w:rsidRDefault="00F6763A" w:rsidP="0094600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6D0339" w14:textId="77777777" w:rsidR="00F6763A" w:rsidRDefault="00017DFD">
    <w:pPr>
      <w:pStyle w:val="Footer"/>
    </w:pPr>
    <w:sdt>
      <w:sdtPr>
        <w:id w:val="-608423235"/>
        <w:docPartObj>
          <w:docPartGallery w:val="Page Numbers (Bottom of Page)"/>
          <w:docPartUnique/>
        </w:docPartObj>
      </w:sdtPr>
      <w:sdtEndPr>
        <w:rPr>
          <w:noProof/>
        </w:rPr>
      </w:sdtEndPr>
      <w:sdtContent>
        <w:r w:rsidR="00F6763A">
          <w:fldChar w:fldCharType="begin"/>
        </w:r>
        <w:r w:rsidR="00F6763A">
          <w:instrText xml:space="preserve"> PAGE   \* MERGEFORMAT </w:instrText>
        </w:r>
        <w:r w:rsidR="00F6763A">
          <w:fldChar w:fldCharType="separate"/>
        </w:r>
        <w:r w:rsidR="00F6763A">
          <w:rPr>
            <w:noProof/>
          </w:rPr>
          <w:t>iii</w:t>
        </w:r>
        <w:r w:rsidR="00F6763A">
          <w:rPr>
            <w:noProof/>
          </w:rPr>
          <w:fldChar w:fldCharType="end"/>
        </w:r>
      </w:sdtContent>
    </w:sdt>
  </w:p>
  <w:p w14:paraId="33215FAD" w14:textId="77777777" w:rsidR="00F6763A" w:rsidRPr="00946003" w:rsidRDefault="00F6763A" w:rsidP="0094600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770A78" w14:textId="77777777" w:rsidR="00F6763A" w:rsidRDefault="00F6763A" w:rsidP="001371A4">
    <w:pPr>
      <w:pStyle w:val="Footer"/>
    </w:pPr>
    <w:r>
      <w:t xml:space="preserve">Section 1 – Page </w:t>
    </w:r>
    <w:sdt>
      <w:sdtPr>
        <w:id w:val="1303575133"/>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Pr>
            <w:noProof/>
          </w:rPr>
          <w:t>4</w:t>
        </w:r>
        <w:r>
          <w:rPr>
            <w:noProof/>
          </w:rPr>
          <w:fldChar w:fldCharType="end"/>
        </w:r>
      </w:sdtContent>
    </w:sdt>
  </w:p>
  <w:p w14:paraId="17D979E8" w14:textId="77777777" w:rsidR="00F6763A" w:rsidRPr="00946003" w:rsidRDefault="00F6763A" w:rsidP="0094600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A4EC6C" w14:textId="77777777" w:rsidR="00F6763A" w:rsidRDefault="00F6763A">
    <w:pPr>
      <w:pStyle w:val="Footer"/>
    </w:pPr>
    <w:r>
      <w:t xml:space="preserve">Section 2 – Page </w:t>
    </w:r>
    <w:sdt>
      <w:sdtPr>
        <w:id w:val="-304556910"/>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Pr>
            <w:noProof/>
          </w:rPr>
          <w:t>13</w:t>
        </w:r>
        <w:r>
          <w:rPr>
            <w:noProof/>
          </w:rPr>
          <w:fldChar w:fldCharType="end"/>
        </w:r>
      </w:sdtContent>
    </w:sdt>
  </w:p>
  <w:p w14:paraId="440E9F76" w14:textId="77777777" w:rsidR="00F6763A" w:rsidRDefault="00F6763A">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05AAAE" w14:textId="77777777" w:rsidR="00F6763A" w:rsidRDefault="00F6763A" w:rsidP="006B261E">
    <w:pPr>
      <w:pStyle w:val="Footer"/>
    </w:pPr>
    <w:r>
      <w:t xml:space="preserve"> Section 3 - Page </w:t>
    </w:r>
    <w:r>
      <w:fldChar w:fldCharType="begin"/>
    </w:r>
    <w:r>
      <w:instrText>PAGE</w:instrText>
    </w:r>
    <w:r>
      <w:fldChar w:fldCharType="separate"/>
    </w:r>
    <w:r>
      <w:rPr>
        <w:noProof/>
      </w:rPr>
      <w:t>18</w:t>
    </w:r>
    <w:r>
      <w:rPr>
        <w:noProof/>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27929D" w14:textId="77777777" w:rsidR="00F6763A" w:rsidRDefault="00F6763A">
    <w:pPr>
      <w:pStyle w:val="Footer"/>
    </w:pPr>
    <w:r>
      <w:t xml:space="preserve">Section 4 – Page </w:t>
    </w:r>
    <w:sdt>
      <w:sdtPr>
        <w:id w:val="1196418423"/>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Pr>
            <w:noProof/>
          </w:rPr>
          <w:t>21</w:t>
        </w:r>
        <w:r>
          <w:rPr>
            <w:noProof/>
          </w:rPr>
          <w:fldChar w:fldCharType="end"/>
        </w:r>
      </w:sdtContent>
    </w:sdt>
  </w:p>
  <w:p w14:paraId="07305107" w14:textId="77777777" w:rsidR="00F6763A" w:rsidRDefault="00F6763A">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FB2279" w14:textId="77777777" w:rsidR="00F6763A" w:rsidRDefault="00F6763A">
    <w:pPr>
      <w:pStyle w:val="Footer"/>
    </w:pPr>
    <w:r>
      <w:t xml:space="preserve">Section 5 – Page </w:t>
    </w:r>
    <w:sdt>
      <w:sdtPr>
        <w:id w:val="-856045284"/>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Pr>
            <w:noProof/>
          </w:rPr>
          <w:t>74</w:t>
        </w:r>
        <w:r>
          <w:rPr>
            <w:noProof/>
          </w:rPr>
          <w:fldChar w:fldCharType="end"/>
        </w:r>
      </w:sdtContent>
    </w:sdt>
  </w:p>
  <w:p w14:paraId="72663C05" w14:textId="77777777" w:rsidR="00F6763A" w:rsidRDefault="00F6763A">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1B3BD0" w14:textId="77777777" w:rsidR="00F6763A" w:rsidRDefault="00F6763A">
    <w:pPr>
      <w:pStyle w:val="Footer"/>
    </w:pPr>
    <w:r>
      <w:t xml:space="preserve">Section 6 – Page </w:t>
    </w:r>
    <w:sdt>
      <w:sdtPr>
        <w:id w:val="-2140026148"/>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Pr>
            <w:noProof/>
          </w:rPr>
          <w:t>98</w:t>
        </w:r>
        <w:r>
          <w:rPr>
            <w:noProof/>
          </w:rPr>
          <w:fldChar w:fldCharType="end"/>
        </w:r>
      </w:sdtContent>
    </w:sdt>
  </w:p>
  <w:p w14:paraId="5DD24293" w14:textId="77777777" w:rsidR="00F6763A" w:rsidRDefault="00F6763A">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F1EB74" w14:textId="77777777" w:rsidR="00F6763A" w:rsidRDefault="00F6763A" w:rsidP="0025745A">
    <w:pPr>
      <w:pStyle w:val="Footer"/>
    </w:pPr>
    <w:r>
      <w:t xml:space="preserve">Section 7 - Page </w:t>
    </w:r>
    <w:r>
      <w:fldChar w:fldCharType="begin"/>
    </w:r>
    <w:r>
      <w:instrText>PAGE</w:instrText>
    </w:r>
    <w:r>
      <w:fldChar w:fldCharType="separate"/>
    </w:r>
    <w:r>
      <w:rPr>
        <w:noProof/>
      </w:rPr>
      <w:t>104</w:t>
    </w:r>
    <w:r>
      <w:rPr>
        <w:noProof/>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E750FE" w14:textId="77777777" w:rsidR="00F6763A" w:rsidRDefault="00F6763A" w:rsidP="00966D80">
    <w:pPr>
      <w:pStyle w:val="Footer"/>
      <w:rPr>
        <w:rStyle w:val="PageNumber"/>
      </w:rPr>
    </w:pPr>
    <w:r>
      <w:rPr>
        <w:rStyle w:val="PageNumber"/>
      </w:rPr>
      <w:t xml:space="preserve">Section 8 - Page </w:t>
    </w:r>
    <w:r>
      <w:rPr>
        <w:rStyle w:val="PageNumber"/>
      </w:rPr>
      <w:fldChar w:fldCharType="begin"/>
    </w:r>
    <w:r>
      <w:rPr>
        <w:rStyle w:val="PageNumber"/>
      </w:rPr>
      <w:instrText xml:space="preserve"> PAGE </w:instrText>
    </w:r>
    <w:r>
      <w:rPr>
        <w:rStyle w:val="PageNumber"/>
      </w:rPr>
      <w:fldChar w:fldCharType="separate"/>
    </w:r>
    <w:r>
      <w:rPr>
        <w:rStyle w:val="PageNumber"/>
        <w:noProof/>
      </w:rPr>
      <w:t>121</w:t>
    </w:r>
    <w:r>
      <w:rPr>
        <w:rStyle w:val="PageNumber"/>
      </w:rP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B52AD3" w14:textId="77777777" w:rsidR="00F6763A" w:rsidRDefault="00F6763A" w:rsidP="00966D80">
    <w:pPr>
      <w:pStyle w:val="Footer"/>
      <w:rPr>
        <w:rStyle w:val="PageNumber"/>
      </w:rPr>
    </w:pPr>
    <w:r>
      <w:rPr>
        <w:rStyle w:val="PageNumber"/>
      </w:rPr>
      <w:t xml:space="preserve">Section 9 - Page </w:t>
    </w:r>
    <w:r>
      <w:rPr>
        <w:rStyle w:val="PageNumber"/>
      </w:rPr>
      <w:fldChar w:fldCharType="begin"/>
    </w:r>
    <w:r>
      <w:rPr>
        <w:rStyle w:val="PageNumber"/>
      </w:rPr>
      <w:instrText xml:space="preserve"> PAGE </w:instrText>
    </w:r>
    <w:r>
      <w:rPr>
        <w:rStyle w:val="PageNumber"/>
      </w:rPr>
      <w:fldChar w:fldCharType="separate"/>
    </w:r>
    <w:r>
      <w:rPr>
        <w:rStyle w:val="PageNumber"/>
        <w:noProof/>
      </w:rPr>
      <w:t>183</w:t>
    </w:r>
    <w:r>
      <w:rPr>
        <w:rStyle w:val="PageNumber"/>
      </w:rP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525F41" w14:textId="77777777" w:rsidR="00F6763A" w:rsidRDefault="00F6763A">
    <w:pPr>
      <w:pStyle w:val="Footer"/>
    </w:pPr>
    <w:r>
      <w:t xml:space="preserve">Section 10 – Page </w:t>
    </w:r>
    <w:sdt>
      <w:sdtPr>
        <w:id w:val="2129582876"/>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Pr>
            <w:noProof/>
          </w:rPr>
          <w:t>188</w:t>
        </w:r>
        <w:r>
          <w:rPr>
            <w:noProof/>
          </w:rPr>
          <w:fldChar w:fldCharType="end"/>
        </w:r>
      </w:sdtContent>
    </w:sdt>
  </w:p>
  <w:p w14:paraId="271D1AAE" w14:textId="77777777" w:rsidR="00F6763A" w:rsidRDefault="00F676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E91BFFF" w14:textId="77777777" w:rsidR="00F6763A" w:rsidRDefault="00F6763A" w:rsidP="00F92700">
      <w:r>
        <w:separator/>
      </w:r>
    </w:p>
  </w:footnote>
  <w:footnote w:type="continuationSeparator" w:id="0">
    <w:p w14:paraId="158D70EB" w14:textId="77777777" w:rsidR="00F6763A" w:rsidRDefault="00F6763A" w:rsidP="00F92700">
      <w:r>
        <w:continuationSeparator/>
      </w:r>
    </w:p>
  </w:footnote>
  <w:footnote w:id="1">
    <w:p w14:paraId="70A69599" w14:textId="7F9F04FD" w:rsidR="00F6763A" w:rsidRDefault="00F6763A" w:rsidP="00366CBD">
      <w:pPr>
        <w:pStyle w:val="FootnoteText"/>
        <w:jc w:val="both"/>
      </w:pPr>
      <w:r>
        <w:rPr>
          <w:rStyle w:val="FootnoteReference"/>
        </w:rPr>
        <w:footnoteRef/>
      </w:r>
      <w:r w:rsidRPr="00D71471">
        <w:rPr>
          <w:rFonts w:ascii="Arial" w:hAnsi="Arial"/>
          <w:sz w:val="18"/>
        </w:rPr>
        <w:t>On January 1, 2019 Southern Company sold Gulf Power Company to NextEra Energy. However, for purposes of Budget 2019, Gulf Power Company was included in the Company’s assumptions and evaluated alongside the other Southern Company operating companies as a member of the pool.</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A99953" w14:textId="77777777" w:rsidR="00F6763A" w:rsidRDefault="00F6763A" w:rsidP="006B261E">
    <w:pPr>
      <w:pStyle w:val="Header"/>
    </w:pPr>
  </w:p>
  <w:p w14:paraId="696BC1FE" w14:textId="77777777" w:rsidR="00F6763A" w:rsidRDefault="00F6763A" w:rsidP="006B261E">
    <w:pPr>
      <w:pStyle w:val="Header"/>
    </w:pPr>
  </w:p>
  <w:p w14:paraId="65FE19FE" w14:textId="4297EE2A" w:rsidR="00F6763A" w:rsidRPr="00636ECA" w:rsidRDefault="00F6763A" w:rsidP="006B261E">
    <w:pPr>
      <w:pStyle w:val="Header"/>
      <w:jc w:val="right"/>
      <w:rPr>
        <w:color w:val="A6A6A6" w:themeColor="background1" w:themeShade="A6"/>
      </w:rPr>
    </w:pPr>
    <w:r w:rsidRPr="00636ECA">
      <w:rPr>
        <w:color w:val="A6A6A6" w:themeColor="background1" w:themeShade="A6"/>
      </w:rPr>
      <w:t>PUBLIC DISCLOSURE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D112D8" w14:textId="5AFFFA61" w:rsidR="00F6763A" w:rsidRPr="00636ECA" w:rsidRDefault="00F6763A" w:rsidP="00A72CAE">
    <w:pPr>
      <w:pStyle w:val="Header"/>
      <w:jc w:val="right"/>
      <w:rPr>
        <w:color w:val="FF0000"/>
      </w:rPr>
    </w:pPr>
    <w:r w:rsidRPr="00636ECA">
      <w:rPr>
        <w:color w:val="A6A6A6" w:themeColor="background1" w:themeShade="A6"/>
      </w:rPr>
      <w:t>PUBLIC DISCLOSURE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B8F93" w14:textId="4BEC9426" w:rsidR="00F6763A" w:rsidRPr="00636ECA" w:rsidRDefault="00F6763A" w:rsidP="00A72CAE">
    <w:pPr>
      <w:pStyle w:val="Header"/>
      <w:jc w:val="right"/>
      <w:rPr>
        <w:color w:val="FF0000"/>
      </w:rPr>
    </w:pPr>
    <w:r w:rsidRPr="00636ECA">
      <w:rPr>
        <w:color w:val="A6A6A6" w:themeColor="background1" w:themeShade="A6"/>
      </w:rPr>
      <w:t>PUBLIC DISCLOSURE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1"/>
    <w:multiLevelType w:val="singleLevel"/>
    <w:tmpl w:val="A9B4F62E"/>
    <w:lvl w:ilvl="0">
      <w:start w:val="1"/>
      <w:numFmt w:val="bullet"/>
      <w:pStyle w:val="ListBullet4"/>
      <w:lvlText w:val=""/>
      <w:lvlJc w:val="left"/>
      <w:pPr>
        <w:tabs>
          <w:tab w:val="num" w:pos="1440"/>
        </w:tabs>
        <w:ind w:left="1440" w:hanging="360"/>
      </w:pPr>
      <w:rPr>
        <w:rFonts w:ascii="Symbol" w:hAnsi="Symbol" w:hint="default"/>
      </w:rPr>
    </w:lvl>
  </w:abstractNum>
  <w:abstractNum w:abstractNumId="1" w15:restartNumberingAfterBreak="0">
    <w:nsid w:val="0F933EB0"/>
    <w:multiLevelType w:val="hybridMultilevel"/>
    <w:tmpl w:val="2856E88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24CA1012"/>
    <w:multiLevelType w:val="hybridMultilevel"/>
    <w:tmpl w:val="CAD296FC"/>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2A4A116C"/>
    <w:multiLevelType w:val="hybridMultilevel"/>
    <w:tmpl w:val="FC9EC97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10E1B61"/>
    <w:multiLevelType w:val="hybridMultilevel"/>
    <w:tmpl w:val="BCE64D38"/>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ABB1C7F"/>
    <w:multiLevelType w:val="hybridMultilevel"/>
    <w:tmpl w:val="BC92E2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2635764"/>
    <w:multiLevelType w:val="hybridMultilevel"/>
    <w:tmpl w:val="E258DE9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536C1FA9"/>
    <w:multiLevelType w:val="hybridMultilevel"/>
    <w:tmpl w:val="F32465DC"/>
    <w:lvl w:ilvl="0" w:tplc="F1BAFD2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4EF2909"/>
    <w:multiLevelType w:val="hybridMultilevel"/>
    <w:tmpl w:val="148455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65E1676"/>
    <w:multiLevelType w:val="hybridMultilevel"/>
    <w:tmpl w:val="A3EE63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577272E9"/>
    <w:multiLevelType w:val="hybridMultilevel"/>
    <w:tmpl w:val="61C684F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D354E66"/>
    <w:multiLevelType w:val="hybridMultilevel"/>
    <w:tmpl w:val="81DEB9EA"/>
    <w:lvl w:ilvl="0" w:tplc="04090001">
      <w:start w:val="1"/>
      <w:numFmt w:val="bullet"/>
      <w:lvlText w:val=""/>
      <w:lvlJc w:val="left"/>
      <w:pPr>
        <w:tabs>
          <w:tab w:val="num" w:pos="360"/>
        </w:tabs>
        <w:ind w:left="360" w:hanging="360"/>
      </w:pPr>
      <w:rPr>
        <w:rFonts w:ascii="Symbol" w:hAnsi="Symbol" w:hint="default"/>
        <w:sz w:val="20"/>
        <w:szCs w:val="18"/>
      </w:rPr>
    </w:lvl>
    <w:lvl w:ilvl="1" w:tplc="04090003">
      <w:start w:val="1"/>
      <w:numFmt w:val="bullet"/>
      <w:lvlText w:val="o"/>
      <w:lvlJc w:val="left"/>
      <w:pPr>
        <w:tabs>
          <w:tab w:val="num" w:pos="1080"/>
        </w:tabs>
        <w:ind w:left="1080" w:hanging="360"/>
      </w:pPr>
      <w:rPr>
        <w:rFonts w:ascii="Courier New" w:hAnsi="Courier New" w:cs="Courier New" w:hint="default"/>
        <w:sz w:val="16"/>
        <w:szCs w:val="16"/>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6DF10CE3"/>
    <w:multiLevelType w:val="hybridMultilevel"/>
    <w:tmpl w:val="27822AD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729353E8"/>
    <w:multiLevelType w:val="hybridMultilevel"/>
    <w:tmpl w:val="7C68FFC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80652DC"/>
    <w:multiLevelType w:val="hybridMultilevel"/>
    <w:tmpl w:val="F490E6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E943B41"/>
    <w:multiLevelType w:val="hybridMultilevel"/>
    <w:tmpl w:val="42E0E49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7"/>
  </w:num>
  <w:num w:numId="4">
    <w:abstractNumId w:val="11"/>
  </w:num>
  <w:num w:numId="5">
    <w:abstractNumId w:val="10"/>
  </w:num>
  <w:num w:numId="6">
    <w:abstractNumId w:val="2"/>
  </w:num>
  <w:num w:numId="7">
    <w:abstractNumId w:val="1"/>
  </w:num>
  <w:num w:numId="8">
    <w:abstractNumId w:val="9"/>
  </w:num>
  <w:num w:numId="9">
    <w:abstractNumId w:val="13"/>
  </w:num>
  <w:num w:numId="10">
    <w:abstractNumId w:val="14"/>
  </w:num>
  <w:num w:numId="11">
    <w:abstractNumId w:val="12"/>
  </w:num>
  <w:num w:numId="12">
    <w:abstractNumId w:val="6"/>
  </w:num>
  <w:num w:numId="13">
    <w:abstractNumId w:val="15"/>
  </w:num>
  <w:num w:numId="14">
    <w:abstractNumId w:val="3"/>
  </w:num>
  <w:num w:numId="15">
    <w:abstractNumId w:val="4"/>
  </w:num>
  <w:num w:numId="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defaultTabStop w:val="720"/>
  <w:characterSpacingControl w:val="doNotCompress"/>
  <w:hdrShapeDefaults>
    <o:shapedefaults v:ext="edit" spidmax="120833"/>
  </w:hdrShapeDefaults>
  <w:footnotePr>
    <w:numRestart w:val="eachSec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2700"/>
    <w:rsid w:val="00000365"/>
    <w:rsid w:val="00000F6C"/>
    <w:rsid w:val="00002318"/>
    <w:rsid w:val="00004B38"/>
    <w:rsid w:val="000065CF"/>
    <w:rsid w:val="000108CD"/>
    <w:rsid w:val="00010E76"/>
    <w:rsid w:val="00011D97"/>
    <w:rsid w:val="00013145"/>
    <w:rsid w:val="00013645"/>
    <w:rsid w:val="00014596"/>
    <w:rsid w:val="00014AC4"/>
    <w:rsid w:val="000159F3"/>
    <w:rsid w:val="000176F3"/>
    <w:rsid w:val="00017838"/>
    <w:rsid w:val="000179B2"/>
    <w:rsid w:val="00017BF4"/>
    <w:rsid w:val="00017DFD"/>
    <w:rsid w:val="00017F25"/>
    <w:rsid w:val="000238A3"/>
    <w:rsid w:val="000240DC"/>
    <w:rsid w:val="00026348"/>
    <w:rsid w:val="00026492"/>
    <w:rsid w:val="000270E2"/>
    <w:rsid w:val="00032D1D"/>
    <w:rsid w:val="00033B83"/>
    <w:rsid w:val="00033D98"/>
    <w:rsid w:val="00034674"/>
    <w:rsid w:val="000363FE"/>
    <w:rsid w:val="00040C3F"/>
    <w:rsid w:val="00040E35"/>
    <w:rsid w:val="0004236B"/>
    <w:rsid w:val="00042D0E"/>
    <w:rsid w:val="00043206"/>
    <w:rsid w:val="0005125C"/>
    <w:rsid w:val="00051DAC"/>
    <w:rsid w:val="0005402C"/>
    <w:rsid w:val="00054999"/>
    <w:rsid w:val="00056EFA"/>
    <w:rsid w:val="00061827"/>
    <w:rsid w:val="00061E94"/>
    <w:rsid w:val="000621D2"/>
    <w:rsid w:val="000633B9"/>
    <w:rsid w:val="000641B0"/>
    <w:rsid w:val="000658CB"/>
    <w:rsid w:val="000709BF"/>
    <w:rsid w:val="00070D67"/>
    <w:rsid w:val="000718B9"/>
    <w:rsid w:val="000720B5"/>
    <w:rsid w:val="0007361E"/>
    <w:rsid w:val="00074E7C"/>
    <w:rsid w:val="00076F70"/>
    <w:rsid w:val="0008039D"/>
    <w:rsid w:val="00082868"/>
    <w:rsid w:val="000846A7"/>
    <w:rsid w:val="000864E8"/>
    <w:rsid w:val="00091329"/>
    <w:rsid w:val="0009393F"/>
    <w:rsid w:val="0009458C"/>
    <w:rsid w:val="00095C86"/>
    <w:rsid w:val="00095C8E"/>
    <w:rsid w:val="00095E83"/>
    <w:rsid w:val="00096021"/>
    <w:rsid w:val="0009733A"/>
    <w:rsid w:val="00097934"/>
    <w:rsid w:val="00097A10"/>
    <w:rsid w:val="000A189E"/>
    <w:rsid w:val="000A1C17"/>
    <w:rsid w:val="000A45A3"/>
    <w:rsid w:val="000A4839"/>
    <w:rsid w:val="000A6453"/>
    <w:rsid w:val="000A694E"/>
    <w:rsid w:val="000B3205"/>
    <w:rsid w:val="000B4385"/>
    <w:rsid w:val="000B48A6"/>
    <w:rsid w:val="000B55F2"/>
    <w:rsid w:val="000B7481"/>
    <w:rsid w:val="000B7483"/>
    <w:rsid w:val="000C3485"/>
    <w:rsid w:val="000C3729"/>
    <w:rsid w:val="000C7395"/>
    <w:rsid w:val="000C768E"/>
    <w:rsid w:val="000C7AAB"/>
    <w:rsid w:val="000D0306"/>
    <w:rsid w:val="000D1C54"/>
    <w:rsid w:val="000D1EE5"/>
    <w:rsid w:val="000D28D2"/>
    <w:rsid w:val="000D458A"/>
    <w:rsid w:val="000D4E96"/>
    <w:rsid w:val="000D4FF7"/>
    <w:rsid w:val="000D57A8"/>
    <w:rsid w:val="000D68DC"/>
    <w:rsid w:val="000D7435"/>
    <w:rsid w:val="000E0CB4"/>
    <w:rsid w:val="000E252A"/>
    <w:rsid w:val="000E40E4"/>
    <w:rsid w:val="000E43C5"/>
    <w:rsid w:val="000E6669"/>
    <w:rsid w:val="000E6F6E"/>
    <w:rsid w:val="000F0E17"/>
    <w:rsid w:val="000F1C12"/>
    <w:rsid w:val="000F2494"/>
    <w:rsid w:val="000F291D"/>
    <w:rsid w:val="000F43E2"/>
    <w:rsid w:val="000F4D3D"/>
    <w:rsid w:val="000F56C2"/>
    <w:rsid w:val="000F7478"/>
    <w:rsid w:val="000F7E95"/>
    <w:rsid w:val="001013EC"/>
    <w:rsid w:val="001033B0"/>
    <w:rsid w:val="00103783"/>
    <w:rsid w:val="00110129"/>
    <w:rsid w:val="00111E63"/>
    <w:rsid w:val="00115478"/>
    <w:rsid w:val="00115873"/>
    <w:rsid w:val="00116464"/>
    <w:rsid w:val="0012041C"/>
    <w:rsid w:val="00122419"/>
    <w:rsid w:val="00123F75"/>
    <w:rsid w:val="00124CA3"/>
    <w:rsid w:val="001301C4"/>
    <w:rsid w:val="00131B5E"/>
    <w:rsid w:val="001328CE"/>
    <w:rsid w:val="001328E0"/>
    <w:rsid w:val="00132BB2"/>
    <w:rsid w:val="00133744"/>
    <w:rsid w:val="0013410F"/>
    <w:rsid w:val="00134312"/>
    <w:rsid w:val="00134C1B"/>
    <w:rsid w:val="00136261"/>
    <w:rsid w:val="001371A4"/>
    <w:rsid w:val="00137A64"/>
    <w:rsid w:val="001409CE"/>
    <w:rsid w:val="00140EFD"/>
    <w:rsid w:val="0014110A"/>
    <w:rsid w:val="0014141B"/>
    <w:rsid w:val="001434CD"/>
    <w:rsid w:val="00143ACE"/>
    <w:rsid w:val="001440EB"/>
    <w:rsid w:val="001467C2"/>
    <w:rsid w:val="00146EF6"/>
    <w:rsid w:val="00147777"/>
    <w:rsid w:val="00147BF2"/>
    <w:rsid w:val="00147F9C"/>
    <w:rsid w:val="001541DF"/>
    <w:rsid w:val="00154B82"/>
    <w:rsid w:val="00160123"/>
    <w:rsid w:val="0016091B"/>
    <w:rsid w:val="001655DA"/>
    <w:rsid w:val="0016698C"/>
    <w:rsid w:val="001671FE"/>
    <w:rsid w:val="00167ED9"/>
    <w:rsid w:val="001706B8"/>
    <w:rsid w:val="00170F15"/>
    <w:rsid w:val="001748BF"/>
    <w:rsid w:val="00174CEE"/>
    <w:rsid w:val="001771BD"/>
    <w:rsid w:val="0018253B"/>
    <w:rsid w:val="001863BE"/>
    <w:rsid w:val="0019421D"/>
    <w:rsid w:val="001A0C0E"/>
    <w:rsid w:val="001A0DD5"/>
    <w:rsid w:val="001A16DE"/>
    <w:rsid w:val="001A23DA"/>
    <w:rsid w:val="001A25C7"/>
    <w:rsid w:val="001A370B"/>
    <w:rsid w:val="001A5AC1"/>
    <w:rsid w:val="001A5DF5"/>
    <w:rsid w:val="001A71FC"/>
    <w:rsid w:val="001B18F5"/>
    <w:rsid w:val="001B5EC7"/>
    <w:rsid w:val="001B7216"/>
    <w:rsid w:val="001C01E2"/>
    <w:rsid w:val="001C2E8B"/>
    <w:rsid w:val="001C3D38"/>
    <w:rsid w:val="001C5A5E"/>
    <w:rsid w:val="001C5F23"/>
    <w:rsid w:val="001D0A54"/>
    <w:rsid w:val="001D30D1"/>
    <w:rsid w:val="001D33F8"/>
    <w:rsid w:val="001D3FA5"/>
    <w:rsid w:val="001D642A"/>
    <w:rsid w:val="001D7981"/>
    <w:rsid w:val="001E02DE"/>
    <w:rsid w:val="001E171C"/>
    <w:rsid w:val="001E4DCA"/>
    <w:rsid w:val="001E6532"/>
    <w:rsid w:val="001F0449"/>
    <w:rsid w:val="001F0740"/>
    <w:rsid w:val="001F165C"/>
    <w:rsid w:val="001F2316"/>
    <w:rsid w:val="001F27DB"/>
    <w:rsid w:val="001F381B"/>
    <w:rsid w:val="001F434C"/>
    <w:rsid w:val="001F6656"/>
    <w:rsid w:val="001F6715"/>
    <w:rsid w:val="0020133F"/>
    <w:rsid w:val="002017B8"/>
    <w:rsid w:val="00202E70"/>
    <w:rsid w:val="0020793E"/>
    <w:rsid w:val="002115C1"/>
    <w:rsid w:val="00211D38"/>
    <w:rsid w:val="00220022"/>
    <w:rsid w:val="0022134D"/>
    <w:rsid w:val="002243D7"/>
    <w:rsid w:val="002250F9"/>
    <w:rsid w:val="002274F8"/>
    <w:rsid w:val="002300F7"/>
    <w:rsid w:val="002324AB"/>
    <w:rsid w:val="00235820"/>
    <w:rsid w:val="00236901"/>
    <w:rsid w:val="00237A21"/>
    <w:rsid w:val="002410BC"/>
    <w:rsid w:val="002421E2"/>
    <w:rsid w:val="00244E2D"/>
    <w:rsid w:val="00251B71"/>
    <w:rsid w:val="00253B5E"/>
    <w:rsid w:val="0025425B"/>
    <w:rsid w:val="00254DE0"/>
    <w:rsid w:val="00255FAC"/>
    <w:rsid w:val="002573F6"/>
    <w:rsid w:val="0025745A"/>
    <w:rsid w:val="00260262"/>
    <w:rsid w:val="00260563"/>
    <w:rsid w:val="00262E1C"/>
    <w:rsid w:val="00263059"/>
    <w:rsid w:val="00265184"/>
    <w:rsid w:val="00270159"/>
    <w:rsid w:val="00275149"/>
    <w:rsid w:val="00276299"/>
    <w:rsid w:val="002769C0"/>
    <w:rsid w:val="00283A85"/>
    <w:rsid w:val="00283C5E"/>
    <w:rsid w:val="002846E7"/>
    <w:rsid w:val="00287586"/>
    <w:rsid w:val="00290AEC"/>
    <w:rsid w:val="002932FE"/>
    <w:rsid w:val="002959D2"/>
    <w:rsid w:val="00296DFC"/>
    <w:rsid w:val="002A1F1B"/>
    <w:rsid w:val="002B041E"/>
    <w:rsid w:val="002B17DE"/>
    <w:rsid w:val="002B4B97"/>
    <w:rsid w:val="002C0DD5"/>
    <w:rsid w:val="002C1746"/>
    <w:rsid w:val="002C268B"/>
    <w:rsid w:val="002C5EC5"/>
    <w:rsid w:val="002C7A3E"/>
    <w:rsid w:val="002C7D76"/>
    <w:rsid w:val="002D088A"/>
    <w:rsid w:val="002D20C0"/>
    <w:rsid w:val="002D6262"/>
    <w:rsid w:val="002D62D4"/>
    <w:rsid w:val="002D6487"/>
    <w:rsid w:val="002D67E3"/>
    <w:rsid w:val="002D6C96"/>
    <w:rsid w:val="002E00B7"/>
    <w:rsid w:val="002E0BC9"/>
    <w:rsid w:val="002E0BF0"/>
    <w:rsid w:val="002E258C"/>
    <w:rsid w:val="002E5949"/>
    <w:rsid w:val="002E7003"/>
    <w:rsid w:val="002E73EE"/>
    <w:rsid w:val="002F3CF0"/>
    <w:rsid w:val="002F3F18"/>
    <w:rsid w:val="002F6AAD"/>
    <w:rsid w:val="002F710D"/>
    <w:rsid w:val="002F7A24"/>
    <w:rsid w:val="0030189A"/>
    <w:rsid w:val="00306010"/>
    <w:rsid w:val="00313C13"/>
    <w:rsid w:val="00313CF2"/>
    <w:rsid w:val="00315A32"/>
    <w:rsid w:val="003177A9"/>
    <w:rsid w:val="0032039A"/>
    <w:rsid w:val="00320A2A"/>
    <w:rsid w:val="00321196"/>
    <w:rsid w:val="0032416C"/>
    <w:rsid w:val="0032462F"/>
    <w:rsid w:val="003252D7"/>
    <w:rsid w:val="003268E5"/>
    <w:rsid w:val="003275B2"/>
    <w:rsid w:val="00331B02"/>
    <w:rsid w:val="003325CD"/>
    <w:rsid w:val="00336BE0"/>
    <w:rsid w:val="00337BCB"/>
    <w:rsid w:val="00340B25"/>
    <w:rsid w:val="003422BF"/>
    <w:rsid w:val="00342821"/>
    <w:rsid w:val="00342957"/>
    <w:rsid w:val="00342D32"/>
    <w:rsid w:val="0034344D"/>
    <w:rsid w:val="003435C9"/>
    <w:rsid w:val="0034370C"/>
    <w:rsid w:val="00343C16"/>
    <w:rsid w:val="003464B7"/>
    <w:rsid w:val="00352030"/>
    <w:rsid w:val="00352D1C"/>
    <w:rsid w:val="0035507C"/>
    <w:rsid w:val="00356C2A"/>
    <w:rsid w:val="00357C3D"/>
    <w:rsid w:val="0036076E"/>
    <w:rsid w:val="00360ECC"/>
    <w:rsid w:val="003619F4"/>
    <w:rsid w:val="00362F5D"/>
    <w:rsid w:val="00363756"/>
    <w:rsid w:val="0036595D"/>
    <w:rsid w:val="00366CBD"/>
    <w:rsid w:val="003759D3"/>
    <w:rsid w:val="00375D39"/>
    <w:rsid w:val="00376C12"/>
    <w:rsid w:val="00380326"/>
    <w:rsid w:val="00382435"/>
    <w:rsid w:val="00383F00"/>
    <w:rsid w:val="00384B08"/>
    <w:rsid w:val="00385BA6"/>
    <w:rsid w:val="00385BF4"/>
    <w:rsid w:val="003908FF"/>
    <w:rsid w:val="00393EA7"/>
    <w:rsid w:val="00396172"/>
    <w:rsid w:val="00397710"/>
    <w:rsid w:val="003A09BC"/>
    <w:rsid w:val="003A38D8"/>
    <w:rsid w:val="003A44C1"/>
    <w:rsid w:val="003B428E"/>
    <w:rsid w:val="003B742B"/>
    <w:rsid w:val="003B7501"/>
    <w:rsid w:val="003C274F"/>
    <w:rsid w:val="003C2BC8"/>
    <w:rsid w:val="003C3E70"/>
    <w:rsid w:val="003C49A0"/>
    <w:rsid w:val="003D6CE1"/>
    <w:rsid w:val="003E1B33"/>
    <w:rsid w:val="003E1B57"/>
    <w:rsid w:val="003E3453"/>
    <w:rsid w:val="003E3E85"/>
    <w:rsid w:val="003E6D81"/>
    <w:rsid w:val="003E7C4C"/>
    <w:rsid w:val="003E7E45"/>
    <w:rsid w:val="003E7E6A"/>
    <w:rsid w:val="003F162D"/>
    <w:rsid w:val="003F25FB"/>
    <w:rsid w:val="003F289B"/>
    <w:rsid w:val="003F543A"/>
    <w:rsid w:val="003F56D0"/>
    <w:rsid w:val="003F5AC2"/>
    <w:rsid w:val="003F691B"/>
    <w:rsid w:val="003F7321"/>
    <w:rsid w:val="003F733A"/>
    <w:rsid w:val="00400BDC"/>
    <w:rsid w:val="004027F5"/>
    <w:rsid w:val="0040340D"/>
    <w:rsid w:val="0040405B"/>
    <w:rsid w:val="00407FE2"/>
    <w:rsid w:val="0041325F"/>
    <w:rsid w:val="00416782"/>
    <w:rsid w:val="00417620"/>
    <w:rsid w:val="004251E1"/>
    <w:rsid w:val="004261EA"/>
    <w:rsid w:val="00426782"/>
    <w:rsid w:val="00426D58"/>
    <w:rsid w:val="00427A12"/>
    <w:rsid w:val="0043223A"/>
    <w:rsid w:val="004345A9"/>
    <w:rsid w:val="004356E6"/>
    <w:rsid w:val="00436B7D"/>
    <w:rsid w:val="0044270A"/>
    <w:rsid w:val="00442E1D"/>
    <w:rsid w:val="00444709"/>
    <w:rsid w:val="004462EC"/>
    <w:rsid w:val="004470EE"/>
    <w:rsid w:val="004474FB"/>
    <w:rsid w:val="0045013F"/>
    <w:rsid w:val="00451262"/>
    <w:rsid w:val="00451DC3"/>
    <w:rsid w:val="00452AD0"/>
    <w:rsid w:val="00452E01"/>
    <w:rsid w:val="00454D76"/>
    <w:rsid w:val="00454EB6"/>
    <w:rsid w:val="00455968"/>
    <w:rsid w:val="00457859"/>
    <w:rsid w:val="00460C15"/>
    <w:rsid w:val="00460DCE"/>
    <w:rsid w:val="00463AA8"/>
    <w:rsid w:val="004655F7"/>
    <w:rsid w:val="00465C40"/>
    <w:rsid w:val="00467C8E"/>
    <w:rsid w:val="004711ED"/>
    <w:rsid w:val="00471B6D"/>
    <w:rsid w:val="004722EC"/>
    <w:rsid w:val="00473A25"/>
    <w:rsid w:val="00474FB7"/>
    <w:rsid w:val="0047536F"/>
    <w:rsid w:val="00480397"/>
    <w:rsid w:val="0048160E"/>
    <w:rsid w:val="004834DF"/>
    <w:rsid w:val="00484BD8"/>
    <w:rsid w:val="00485CDC"/>
    <w:rsid w:val="004860BD"/>
    <w:rsid w:val="00490A7E"/>
    <w:rsid w:val="00491040"/>
    <w:rsid w:val="00491959"/>
    <w:rsid w:val="0049240F"/>
    <w:rsid w:val="004926BC"/>
    <w:rsid w:val="004941A8"/>
    <w:rsid w:val="004971A6"/>
    <w:rsid w:val="004976AD"/>
    <w:rsid w:val="00497B13"/>
    <w:rsid w:val="004A088E"/>
    <w:rsid w:val="004A20D8"/>
    <w:rsid w:val="004A414B"/>
    <w:rsid w:val="004A7B3A"/>
    <w:rsid w:val="004B0F83"/>
    <w:rsid w:val="004B1576"/>
    <w:rsid w:val="004B7114"/>
    <w:rsid w:val="004C18DA"/>
    <w:rsid w:val="004C3F4F"/>
    <w:rsid w:val="004C526B"/>
    <w:rsid w:val="004C62DF"/>
    <w:rsid w:val="004C799E"/>
    <w:rsid w:val="004D19F0"/>
    <w:rsid w:val="004D1E15"/>
    <w:rsid w:val="004D1E5D"/>
    <w:rsid w:val="004D1E87"/>
    <w:rsid w:val="004D412B"/>
    <w:rsid w:val="004D4F53"/>
    <w:rsid w:val="004D5372"/>
    <w:rsid w:val="004D7E6D"/>
    <w:rsid w:val="004E00A8"/>
    <w:rsid w:val="004E0AD9"/>
    <w:rsid w:val="004E1B9F"/>
    <w:rsid w:val="004E1C02"/>
    <w:rsid w:val="004E23A7"/>
    <w:rsid w:val="004E24E4"/>
    <w:rsid w:val="004E452E"/>
    <w:rsid w:val="004E587F"/>
    <w:rsid w:val="004E5A50"/>
    <w:rsid w:val="004F5118"/>
    <w:rsid w:val="004F58F8"/>
    <w:rsid w:val="004F6948"/>
    <w:rsid w:val="004F74CA"/>
    <w:rsid w:val="004F76AD"/>
    <w:rsid w:val="00500FA1"/>
    <w:rsid w:val="005028BA"/>
    <w:rsid w:val="0050323B"/>
    <w:rsid w:val="0050393E"/>
    <w:rsid w:val="005078FC"/>
    <w:rsid w:val="00507D81"/>
    <w:rsid w:val="00511583"/>
    <w:rsid w:val="0052034B"/>
    <w:rsid w:val="005212DF"/>
    <w:rsid w:val="0052142D"/>
    <w:rsid w:val="00521501"/>
    <w:rsid w:val="0052253C"/>
    <w:rsid w:val="00525415"/>
    <w:rsid w:val="00526475"/>
    <w:rsid w:val="00530AA7"/>
    <w:rsid w:val="0053138C"/>
    <w:rsid w:val="00531BA2"/>
    <w:rsid w:val="00531FB9"/>
    <w:rsid w:val="00532703"/>
    <w:rsid w:val="00532ACE"/>
    <w:rsid w:val="005334CB"/>
    <w:rsid w:val="005346C7"/>
    <w:rsid w:val="00537ABE"/>
    <w:rsid w:val="00543E6F"/>
    <w:rsid w:val="00550F19"/>
    <w:rsid w:val="005572A0"/>
    <w:rsid w:val="00557324"/>
    <w:rsid w:val="00560AEB"/>
    <w:rsid w:val="00560F86"/>
    <w:rsid w:val="00561462"/>
    <w:rsid w:val="00561BEB"/>
    <w:rsid w:val="005637CF"/>
    <w:rsid w:val="00563BF7"/>
    <w:rsid w:val="00565103"/>
    <w:rsid w:val="0056715D"/>
    <w:rsid w:val="00570FA4"/>
    <w:rsid w:val="00576865"/>
    <w:rsid w:val="00577179"/>
    <w:rsid w:val="00580A7B"/>
    <w:rsid w:val="00585343"/>
    <w:rsid w:val="00585ADA"/>
    <w:rsid w:val="00586499"/>
    <w:rsid w:val="00590C86"/>
    <w:rsid w:val="00592A0F"/>
    <w:rsid w:val="00593D36"/>
    <w:rsid w:val="00595997"/>
    <w:rsid w:val="00595BC1"/>
    <w:rsid w:val="005963A3"/>
    <w:rsid w:val="00596BE6"/>
    <w:rsid w:val="005970A5"/>
    <w:rsid w:val="005A167B"/>
    <w:rsid w:val="005A2890"/>
    <w:rsid w:val="005A29F9"/>
    <w:rsid w:val="005A31CF"/>
    <w:rsid w:val="005A3BA2"/>
    <w:rsid w:val="005A400B"/>
    <w:rsid w:val="005A6520"/>
    <w:rsid w:val="005A6656"/>
    <w:rsid w:val="005A6ACA"/>
    <w:rsid w:val="005A7CD8"/>
    <w:rsid w:val="005B2552"/>
    <w:rsid w:val="005B335A"/>
    <w:rsid w:val="005B3428"/>
    <w:rsid w:val="005B35AB"/>
    <w:rsid w:val="005B4CED"/>
    <w:rsid w:val="005B54E1"/>
    <w:rsid w:val="005B6D82"/>
    <w:rsid w:val="005C2215"/>
    <w:rsid w:val="005C390A"/>
    <w:rsid w:val="005C3CB7"/>
    <w:rsid w:val="005C48FB"/>
    <w:rsid w:val="005D26CE"/>
    <w:rsid w:val="005D361A"/>
    <w:rsid w:val="005D4F2F"/>
    <w:rsid w:val="005D5119"/>
    <w:rsid w:val="005E0B9B"/>
    <w:rsid w:val="005E118D"/>
    <w:rsid w:val="005E2116"/>
    <w:rsid w:val="005E4CB6"/>
    <w:rsid w:val="005E506E"/>
    <w:rsid w:val="005E553A"/>
    <w:rsid w:val="005E7457"/>
    <w:rsid w:val="005E74FD"/>
    <w:rsid w:val="005F0D9E"/>
    <w:rsid w:val="005F18B8"/>
    <w:rsid w:val="005F1A75"/>
    <w:rsid w:val="005F2DC4"/>
    <w:rsid w:val="005F6899"/>
    <w:rsid w:val="00601319"/>
    <w:rsid w:val="006018C0"/>
    <w:rsid w:val="00602686"/>
    <w:rsid w:val="00604AC6"/>
    <w:rsid w:val="0061259F"/>
    <w:rsid w:val="00613231"/>
    <w:rsid w:val="006163EE"/>
    <w:rsid w:val="0062030F"/>
    <w:rsid w:val="00620A49"/>
    <w:rsid w:val="00620D5B"/>
    <w:rsid w:val="00623041"/>
    <w:rsid w:val="00623C06"/>
    <w:rsid w:val="006277E8"/>
    <w:rsid w:val="00627899"/>
    <w:rsid w:val="00627AFC"/>
    <w:rsid w:val="006301E0"/>
    <w:rsid w:val="00634322"/>
    <w:rsid w:val="00635093"/>
    <w:rsid w:val="00636216"/>
    <w:rsid w:val="00636ECA"/>
    <w:rsid w:val="00636EEB"/>
    <w:rsid w:val="00636F0A"/>
    <w:rsid w:val="00636F94"/>
    <w:rsid w:val="006379FD"/>
    <w:rsid w:val="00640A2E"/>
    <w:rsid w:val="00642AB1"/>
    <w:rsid w:val="0064388E"/>
    <w:rsid w:val="00644004"/>
    <w:rsid w:val="00644063"/>
    <w:rsid w:val="00646D9E"/>
    <w:rsid w:val="0065117D"/>
    <w:rsid w:val="00653602"/>
    <w:rsid w:val="0065416F"/>
    <w:rsid w:val="006545A0"/>
    <w:rsid w:val="0065630A"/>
    <w:rsid w:val="00660212"/>
    <w:rsid w:val="00660487"/>
    <w:rsid w:val="00661934"/>
    <w:rsid w:val="006631C9"/>
    <w:rsid w:val="006657A6"/>
    <w:rsid w:val="00665881"/>
    <w:rsid w:val="00666BD1"/>
    <w:rsid w:val="006702A2"/>
    <w:rsid w:val="00670EB3"/>
    <w:rsid w:val="0067264A"/>
    <w:rsid w:val="00672689"/>
    <w:rsid w:val="00674691"/>
    <w:rsid w:val="0067648F"/>
    <w:rsid w:val="00677ED3"/>
    <w:rsid w:val="00680477"/>
    <w:rsid w:val="00680A4C"/>
    <w:rsid w:val="00682A18"/>
    <w:rsid w:val="00682EC3"/>
    <w:rsid w:val="0068575E"/>
    <w:rsid w:val="00686A5F"/>
    <w:rsid w:val="0068736A"/>
    <w:rsid w:val="00687563"/>
    <w:rsid w:val="0069229B"/>
    <w:rsid w:val="006932A2"/>
    <w:rsid w:val="006953B5"/>
    <w:rsid w:val="006963ED"/>
    <w:rsid w:val="006A148D"/>
    <w:rsid w:val="006A1E8D"/>
    <w:rsid w:val="006B1375"/>
    <w:rsid w:val="006B1BAA"/>
    <w:rsid w:val="006B261E"/>
    <w:rsid w:val="006B2A22"/>
    <w:rsid w:val="006B2AE3"/>
    <w:rsid w:val="006B753A"/>
    <w:rsid w:val="006C52B4"/>
    <w:rsid w:val="006C6EFE"/>
    <w:rsid w:val="006C7BC0"/>
    <w:rsid w:val="006D095F"/>
    <w:rsid w:val="006D1969"/>
    <w:rsid w:val="006D23F3"/>
    <w:rsid w:val="006D26FE"/>
    <w:rsid w:val="006D32F1"/>
    <w:rsid w:val="006D4D68"/>
    <w:rsid w:val="006D5135"/>
    <w:rsid w:val="006D72E5"/>
    <w:rsid w:val="006D7BAD"/>
    <w:rsid w:val="006E01A5"/>
    <w:rsid w:val="006E0D4E"/>
    <w:rsid w:val="006E729F"/>
    <w:rsid w:val="006F1011"/>
    <w:rsid w:val="006F1D2B"/>
    <w:rsid w:val="007000DA"/>
    <w:rsid w:val="00701729"/>
    <w:rsid w:val="0070350C"/>
    <w:rsid w:val="007041A3"/>
    <w:rsid w:val="007053BC"/>
    <w:rsid w:val="00712E2E"/>
    <w:rsid w:val="00714556"/>
    <w:rsid w:val="00714B6E"/>
    <w:rsid w:val="00715024"/>
    <w:rsid w:val="007166D3"/>
    <w:rsid w:val="007311DB"/>
    <w:rsid w:val="00735896"/>
    <w:rsid w:val="00737307"/>
    <w:rsid w:val="0073737E"/>
    <w:rsid w:val="007409C2"/>
    <w:rsid w:val="00744E14"/>
    <w:rsid w:val="007461B3"/>
    <w:rsid w:val="007471A7"/>
    <w:rsid w:val="00747D9A"/>
    <w:rsid w:val="0075063F"/>
    <w:rsid w:val="00751D12"/>
    <w:rsid w:val="007541F2"/>
    <w:rsid w:val="00755920"/>
    <w:rsid w:val="00755994"/>
    <w:rsid w:val="007574EE"/>
    <w:rsid w:val="0076058E"/>
    <w:rsid w:val="007612CE"/>
    <w:rsid w:val="00761407"/>
    <w:rsid w:val="00762429"/>
    <w:rsid w:val="007629BB"/>
    <w:rsid w:val="0076429E"/>
    <w:rsid w:val="0076451E"/>
    <w:rsid w:val="007668D0"/>
    <w:rsid w:val="007712A2"/>
    <w:rsid w:val="00774360"/>
    <w:rsid w:val="00775034"/>
    <w:rsid w:val="007766D5"/>
    <w:rsid w:val="00780DAD"/>
    <w:rsid w:val="00780F4D"/>
    <w:rsid w:val="00781B2D"/>
    <w:rsid w:val="00782FAD"/>
    <w:rsid w:val="00784020"/>
    <w:rsid w:val="00784173"/>
    <w:rsid w:val="00786693"/>
    <w:rsid w:val="00790835"/>
    <w:rsid w:val="007916DE"/>
    <w:rsid w:val="007944C2"/>
    <w:rsid w:val="00795DB8"/>
    <w:rsid w:val="00796CF1"/>
    <w:rsid w:val="007A0EBB"/>
    <w:rsid w:val="007A12CA"/>
    <w:rsid w:val="007A17A0"/>
    <w:rsid w:val="007A36A6"/>
    <w:rsid w:val="007B1D10"/>
    <w:rsid w:val="007B2E19"/>
    <w:rsid w:val="007B4637"/>
    <w:rsid w:val="007B47AE"/>
    <w:rsid w:val="007B5DA3"/>
    <w:rsid w:val="007B6BF6"/>
    <w:rsid w:val="007B76F5"/>
    <w:rsid w:val="007C11B7"/>
    <w:rsid w:val="007C209A"/>
    <w:rsid w:val="007C257E"/>
    <w:rsid w:val="007C3808"/>
    <w:rsid w:val="007D0A43"/>
    <w:rsid w:val="007D2D27"/>
    <w:rsid w:val="007D33B6"/>
    <w:rsid w:val="007D3743"/>
    <w:rsid w:val="007D3ADD"/>
    <w:rsid w:val="007D3D17"/>
    <w:rsid w:val="007E103D"/>
    <w:rsid w:val="007E16E5"/>
    <w:rsid w:val="007E1A35"/>
    <w:rsid w:val="007E2821"/>
    <w:rsid w:val="007E3991"/>
    <w:rsid w:val="007F11D3"/>
    <w:rsid w:val="007F3682"/>
    <w:rsid w:val="007F7F3D"/>
    <w:rsid w:val="0080046E"/>
    <w:rsid w:val="00801190"/>
    <w:rsid w:val="008025C1"/>
    <w:rsid w:val="00803BF1"/>
    <w:rsid w:val="008047D3"/>
    <w:rsid w:val="00805A1D"/>
    <w:rsid w:val="008060B6"/>
    <w:rsid w:val="00806DCF"/>
    <w:rsid w:val="008079E2"/>
    <w:rsid w:val="00813915"/>
    <w:rsid w:val="00813AAD"/>
    <w:rsid w:val="0081516A"/>
    <w:rsid w:val="0081589F"/>
    <w:rsid w:val="00816199"/>
    <w:rsid w:val="00816787"/>
    <w:rsid w:val="00817945"/>
    <w:rsid w:val="00821404"/>
    <w:rsid w:val="008226C1"/>
    <w:rsid w:val="00824860"/>
    <w:rsid w:val="00824CDF"/>
    <w:rsid w:val="008253F0"/>
    <w:rsid w:val="008257D5"/>
    <w:rsid w:val="00826251"/>
    <w:rsid w:val="00830B15"/>
    <w:rsid w:val="008329E7"/>
    <w:rsid w:val="00834CFD"/>
    <w:rsid w:val="00842281"/>
    <w:rsid w:val="008423E2"/>
    <w:rsid w:val="0084502C"/>
    <w:rsid w:val="00846098"/>
    <w:rsid w:val="00846440"/>
    <w:rsid w:val="00850F01"/>
    <w:rsid w:val="0085174B"/>
    <w:rsid w:val="00851B07"/>
    <w:rsid w:val="008554F1"/>
    <w:rsid w:val="00856675"/>
    <w:rsid w:val="00860603"/>
    <w:rsid w:val="008612BD"/>
    <w:rsid w:val="00862CE1"/>
    <w:rsid w:val="00864D25"/>
    <w:rsid w:val="00870DD0"/>
    <w:rsid w:val="00872632"/>
    <w:rsid w:val="00872DD0"/>
    <w:rsid w:val="008742A4"/>
    <w:rsid w:val="008775D7"/>
    <w:rsid w:val="00877E72"/>
    <w:rsid w:val="00881002"/>
    <w:rsid w:val="0088102C"/>
    <w:rsid w:val="00886DA5"/>
    <w:rsid w:val="00887430"/>
    <w:rsid w:val="008877D8"/>
    <w:rsid w:val="008879D1"/>
    <w:rsid w:val="00887DB7"/>
    <w:rsid w:val="008913D6"/>
    <w:rsid w:val="00895954"/>
    <w:rsid w:val="00896B58"/>
    <w:rsid w:val="008A3086"/>
    <w:rsid w:val="008A4120"/>
    <w:rsid w:val="008A5D87"/>
    <w:rsid w:val="008A6DFA"/>
    <w:rsid w:val="008A6EB0"/>
    <w:rsid w:val="008B0092"/>
    <w:rsid w:val="008B111A"/>
    <w:rsid w:val="008B13CA"/>
    <w:rsid w:val="008B28DA"/>
    <w:rsid w:val="008B4AA0"/>
    <w:rsid w:val="008B5AF5"/>
    <w:rsid w:val="008B714E"/>
    <w:rsid w:val="008C167B"/>
    <w:rsid w:val="008C1D89"/>
    <w:rsid w:val="008C7E66"/>
    <w:rsid w:val="008D0A3E"/>
    <w:rsid w:val="008D0BFF"/>
    <w:rsid w:val="008D0D5F"/>
    <w:rsid w:val="008D321C"/>
    <w:rsid w:val="008D3811"/>
    <w:rsid w:val="008D45D4"/>
    <w:rsid w:val="008D616C"/>
    <w:rsid w:val="008D6B16"/>
    <w:rsid w:val="008D7145"/>
    <w:rsid w:val="008E196E"/>
    <w:rsid w:val="008E1AB7"/>
    <w:rsid w:val="008E1CE2"/>
    <w:rsid w:val="008E2E0C"/>
    <w:rsid w:val="008E4A37"/>
    <w:rsid w:val="008F1064"/>
    <w:rsid w:val="008F4694"/>
    <w:rsid w:val="008F4942"/>
    <w:rsid w:val="008F609F"/>
    <w:rsid w:val="0090066B"/>
    <w:rsid w:val="0090175C"/>
    <w:rsid w:val="0090699D"/>
    <w:rsid w:val="0090771F"/>
    <w:rsid w:val="00911A5E"/>
    <w:rsid w:val="00913677"/>
    <w:rsid w:val="009139DE"/>
    <w:rsid w:val="00914F8A"/>
    <w:rsid w:val="00915A8A"/>
    <w:rsid w:val="00917571"/>
    <w:rsid w:val="00926D6E"/>
    <w:rsid w:val="00930BB0"/>
    <w:rsid w:val="00940725"/>
    <w:rsid w:val="00946003"/>
    <w:rsid w:val="00946A2D"/>
    <w:rsid w:val="00946C42"/>
    <w:rsid w:val="00951848"/>
    <w:rsid w:val="00951ABA"/>
    <w:rsid w:val="009532FF"/>
    <w:rsid w:val="009559FF"/>
    <w:rsid w:val="009606A5"/>
    <w:rsid w:val="009609E1"/>
    <w:rsid w:val="00960AD4"/>
    <w:rsid w:val="00962A18"/>
    <w:rsid w:val="009642D7"/>
    <w:rsid w:val="0096569C"/>
    <w:rsid w:val="00966D80"/>
    <w:rsid w:val="00967ADD"/>
    <w:rsid w:val="00970132"/>
    <w:rsid w:val="009712A0"/>
    <w:rsid w:val="009753D9"/>
    <w:rsid w:val="009764FC"/>
    <w:rsid w:val="00976C0F"/>
    <w:rsid w:val="00983369"/>
    <w:rsid w:val="009843A5"/>
    <w:rsid w:val="00984869"/>
    <w:rsid w:val="00985AB9"/>
    <w:rsid w:val="00986139"/>
    <w:rsid w:val="009864D6"/>
    <w:rsid w:val="00990564"/>
    <w:rsid w:val="009905F9"/>
    <w:rsid w:val="0099147A"/>
    <w:rsid w:val="00991D02"/>
    <w:rsid w:val="00993301"/>
    <w:rsid w:val="009B50A7"/>
    <w:rsid w:val="009B772D"/>
    <w:rsid w:val="009B7FF5"/>
    <w:rsid w:val="009C1175"/>
    <w:rsid w:val="009C2F8A"/>
    <w:rsid w:val="009C2FA1"/>
    <w:rsid w:val="009C47ED"/>
    <w:rsid w:val="009C6B5A"/>
    <w:rsid w:val="009D23F6"/>
    <w:rsid w:val="009D4059"/>
    <w:rsid w:val="009E003F"/>
    <w:rsid w:val="009E05FE"/>
    <w:rsid w:val="009E22D0"/>
    <w:rsid w:val="009E4B16"/>
    <w:rsid w:val="009E541B"/>
    <w:rsid w:val="009E61CD"/>
    <w:rsid w:val="009F0ABC"/>
    <w:rsid w:val="009F1D6B"/>
    <w:rsid w:val="009F1FBB"/>
    <w:rsid w:val="009F49E4"/>
    <w:rsid w:val="009F6032"/>
    <w:rsid w:val="00A027E8"/>
    <w:rsid w:val="00A05A0C"/>
    <w:rsid w:val="00A05BE7"/>
    <w:rsid w:val="00A070BA"/>
    <w:rsid w:val="00A0746D"/>
    <w:rsid w:val="00A07E2B"/>
    <w:rsid w:val="00A111D9"/>
    <w:rsid w:val="00A11A32"/>
    <w:rsid w:val="00A123A0"/>
    <w:rsid w:val="00A1727D"/>
    <w:rsid w:val="00A20673"/>
    <w:rsid w:val="00A216B1"/>
    <w:rsid w:val="00A25AD5"/>
    <w:rsid w:val="00A27BE8"/>
    <w:rsid w:val="00A31E31"/>
    <w:rsid w:val="00A32ED3"/>
    <w:rsid w:val="00A33080"/>
    <w:rsid w:val="00A3563D"/>
    <w:rsid w:val="00A37225"/>
    <w:rsid w:val="00A40E5E"/>
    <w:rsid w:val="00A44BEE"/>
    <w:rsid w:val="00A4665C"/>
    <w:rsid w:val="00A46723"/>
    <w:rsid w:val="00A46CC1"/>
    <w:rsid w:val="00A47EB3"/>
    <w:rsid w:val="00A50497"/>
    <w:rsid w:val="00A5071D"/>
    <w:rsid w:val="00A513BE"/>
    <w:rsid w:val="00A52DE9"/>
    <w:rsid w:val="00A5322A"/>
    <w:rsid w:val="00A537C6"/>
    <w:rsid w:val="00A54A9E"/>
    <w:rsid w:val="00A54E44"/>
    <w:rsid w:val="00A55140"/>
    <w:rsid w:val="00A6007B"/>
    <w:rsid w:val="00A60E47"/>
    <w:rsid w:val="00A6458E"/>
    <w:rsid w:val="00A64859"/>
    <w:rsid w:val="00A67771"/>
    <w:rsid w:val="00A712C6"/>
    <w:rsid w:val="00A71B5E"/>
    <w:rsid w:val="00A72CAE"/>
    <w:rsid w:val="00A75702"/>
    <w:rsid w:val="00A75934"/>
    <w:rsid w:val="00A76664"/>
    <w:rsid w:val="00A77C22"/>
    <w:rsid w:val="00A82741"/>
    <w:rsid w:val="00A8276E"/>
    <w:rsid w:val="00A85314"/>
    <w:rsid w:val="00A90833"/>
    <w:rsid w:val="00A91FA2"/>
    <w:rsid w:val="00A93DE9"/>
    <w:rsid w:val="00A942A4"/>
    <w:rsid w:val="00A949F8"/>
    <w:rsid w:val="00A95018"/>
    <w:rsid w:val="00A955CF"/>
    <w:rsid w:val="00A958F2"/>
    <w:rsid w:val="00A9773E"/>
    <w:rsid w:val="00A97CE8"/>
    <w:rsid w:val="00AA0742"/>
    <w:rsid w:val="00AA2476"/>
    <w:rsid w:val="00AA3A96"/>
    <w:rsid w:val="00AA3BCE"/>
    <w:rsid w:val="00AA3CD6"/>
    <w:rsid w:val="00AA4B64"/>
    <w:rsid w:val="00AA50B7"/>
    <w:rsid w:val="00AA57CB"/>
    <w:rsid w:val="00AA59CB"/>
    <w:rsid w:val="00AB0004"/>
    <w:rsid w:val="00AB0BDB"/>
    <w:rsid w:val="00AB31B7"/>
    <w:rsid w:val="00AB3FDC"/>
    <w:rsid w:val="00AB4E62"/>
    <w:rsid w:val="00AB5B80"/>
    <w:rsid w:val="00AB75B0"/>
    <w:rsid w:val="00AC10FA"/>
    <w:rsid w:val="00AC13AD"/>
    <w:rsid w:val="00AC16B5"/>
    <w:rsid w:val="00AC2049"/>
    <w:rsid w:val="00AC5858"/>
    <w:rsid w:val="00AC6029"/>
    <w:rsid w:val="00AC7722"/>
    <w:rsid w:val="00AD596F"/>
    <w:rsid w:val="00AD5D19"/>
    <w:rsid w:val="00AD7D97"/>
    <w:rsid w:val="00AE00AC"/>
    <w:rsid w:val="00AE26D5"/>
    <w:rsid w:val="00AE33CD"/>
    <w:rsid w:val="00AE558D"/>
    <w:rsid w:val="00AF067F"/>
    <w:rsid w:val="00AF1EFF"/>
    <w:rsid w:val="00AF744A"/>
    <w:rsid w:val="00B00A4E"/>
    <w:rsid w:val="00B00D12"/>
    <w:rsid w:val="00B02BF2"/>
    <w:rsid w:val="00B02E86"/>
    <w:rsid w:val="00B02F30"/>
    <w:rsid w:val="00B03BA7"/>
    <w:rsid w:val="00B047E6"/>
    <w:rsid w:val="00B04F96"/>
    <w:rsid w:val="00B0543B"/>
    <w:rsid w:val="00B06CAE"/>
    <w:rsid w:val="00B10FB7"/>
    <w:rsid w:val="00B111E4"/>
    <w:rsid w:val="00B13B28"/>
    <w:rsid w:val="00B15E66"/>
    <w:rsid w:val="00B164C3"/>
    <w:rsid w:val="00B213A7"/>
    <w:rsid w:val="00B21D6F"/>
    <w:rsid w:val="00B2202F"/>
    <w:rsid w:val="00B230D8"/>
    <w:rsid w:val="00B23A1B"/>
    <w:rsid w:val="00B25E86"/>
    <w:rsid w:val="00B2733B"/>
    <w:rsid w:val="00B3157B"/>
    <w:rsid w:val="00B33083"/>
    <w:rsid w:val="00B34DDD"/>
    <w:rsid w:val="00B354A4"/>
    <w:rsid w:val="00B3643C"/>
    <w:rsid w:val="00B36C1C"/>
    <w:rsid w:val="00B40A80"/>
    <w:rsid w:val="00B41BD9"/>
    <w:rsid w:val="00B42442"/>
    <w:rsid w:val="00B44D2E"/>
    <w:rsid w:val="00B509F9"/>
    <w:rsid w:val="00B512A8"/>
    <w:rsid w:val="00B6160B"/>
    <w:rsid w:val="00B61D96"/>
    <w:rsid w:val="00B6445B"/>
    <w:rsid w:val="00B66236"/>
    <w:rsid w:val="00B70628"/>
    <w:rsid w:val="00B70FA3"/>
    <w:rsid w:val="00B710C8"/>
    <w:rsid w:val="00B7365D"/>
    <w:rsid w:val="00B76E24"/>
    <w:rsid w:val="00B77294"/>
    <w:rsid w:val="00B814AA"/>
    <w:rsid w:val="00B81C22"/>
    <w:rsid w:val="00B827F5"/>
    <w:rsid w:val="00B8290D"/>
    <w:rsid w:val="00B8337C"/>
    <w:rsid w:val="00B90267"/>
    <w:rsid w:val="00B946B8"/>
    <w:rsid w:val="00B947F1"/>
    <w:rsid w:val="00B95155"/>
    <w:rsid w:val="00B959FE"/>
    <w:rsid w:val="00B95C1D"/>
    <w:rsid w:val="00BA0BDA"/>
    <w:rsid w:val="00BA1B94"/>
    <w:rsid w:val="00BA287B"/>
    <w:rsid w:val="00BA2FFC"/>
    <w:rsid w:val="00BA400F"/>
    <w:rsid w:val="00BA468E"/>
    <w:rsid w:val="00BA68FE"/>
    <w:rsid w:val="00BA7321"/>
    <w:rsid w:val="00BB03EF"/>
    <w:rsid w:val="00BB1129"/>
    <w:rsid w:val="00BB1953"/>
    <w:rsid w:val="00BC0F80"/>
    <w:rsid w:val="00BC1EDB"/>
    <w:rsid w:val="00BC4693"/>
    <w:rsid w:val="00BC4709"/>
    <w:rsid w:val="00BC7C3C"/>
    <w:rsid w:val="00BC7CAC"/>
    <w:rsid w:val="00BC7DFF"/>
    <w:rsid w:val="00BD6209"/>
    <w:rsid w:val="00BD67A6"/>
    <w:rsid w:val="00BE001E"/>
    <w:rsid w:val="00BE0AA6"/>
    <w:rsid w:val="00BE43B1"/>
    <w:rsid w:val="00BE582F"/>
    <w:rsid w:val="00BE5B1B"/>
    <w:rsid w:val="00BE6104"/>
    <w:rsid w:val="00BE6125"/>
    <w:rsid w:val="00BE62FD"/>
    <w:rsid w:val="00BE6640"/>
    <w:rsid w:val="00BE6DB6"/>
    <w:rsid w:val="00BE7CAB"/>
    <w:rsid w:val="00BF20E2"/>
    <w:rsid w:val="00BF406B"/>
    <w:rsid w:val="00BF4234"/>
    <w:rsid w:val="00BF5C25"/>
    <w:rsid w:val="00BF66DD"/>
    <w:rsid w:val="00BF677D"/>
    <w:rsid w:val="00C008FF"/>
    <w:rsid w:val="00C01C10"/>
    <w:rsid w:val="00C02B24"/>
    <w:rsid w:val="00C02C14"/>
    <w:rsid w:val="00C0423E"/>
    <w:rsid w:val="00C0464B"/>
    <w:rsid w:val="00C05310"/>
    <w:rsid w:val="00C11152"/>
    <w:rsid w:val="00C112B5"/>
    <w:rsid w:val="00C14027"/>
    <w:rsid w:val="00C145D8"/>
    <w:rsid w:val="00C1500E"/>
    <w:rsid w:val="00C1690C"/>
    <w:rsid w:val="00C16D71"/>
    <w:rsid w:val="00C20162"/>
    <w:rsid w:val="00C20828"/>
    <w:rsid w:val="00C20E21"/>
    <w:rsid w:val="00C24346"/>
    <w:rsid w:val="00C254C7"/>
    <w:rsid w:val="00C268C0"/>
    <w:rsid w:val="00C304FC"/>
    <w:rsid w:val="00C30EAF"/>
    <w:rsid w:val="00C33246"/>
    <w:rsid w:val="00C349E0"/>
    <w:rsid w:val="00C364B2"/>
    <w:rsid w:val="00C400AD"/>
    <w:rsid w:val="00C405C1"/>
    <w:rsid w:val="00C41B54"/>
    <w:rsid w:val="00C43390"/>
    <w:rsid w:val="00C46E45"/>
    <w:rsid w:val="00C46FDE"/>
    <w:rsid w:val="00C47408"/>
    <w:rsid w:val="00C475A8"/>
    <w:rsid w:val="00C514D3"/>
    <w:rsid w:val="00C51822"/>
    <w:rsid w:val="00C520D4"/>
    <w:rsid w:val="00C52770"/>
    <w:rsid w:val="00C53E23"/>
    <w:rsid w:val="00C54082"/>
    <w:rsid w:val="00C540FD"/>
    <w:rsid w:val="00C57992"/>
    <w:rsid w:val="00C57DD0"/>
    <w:rsid w:val="00C634E0"/>
    <w:rsid w:val="00C636EA"/>
    <w:rsid w:val="00C66AD6"/>
    <w:rsid w:val="00C67BE5"/>
    <w:rsid w:val="00C72524"/>
    <w:rsid w:val="00C72F53"/>
    <w:rsid w:val="00C74A47"/>
    <w:rsid w:val="00C74ED4"/>
    <w:rsid w:val="00C7506B"/>
    <w:rsid w:val="00C77353"/>
    <w:rsid w:val="00C814FC"/>
    <w:rsid w:val="00C82126"/>
    <w:rsid w:val="00C84B35"/>
    <w:rsid w:val="00C8516C"/>
    <w:rsid w:val="00C85266"/>
    <w:rsid w:val="00C854CB"/>
    <w:rsid w:val="00C85644"/>
    <w:rsid w:val="00C862EE"/>
    <w:rsid w:val="00C900AD"/>
    <w:rsid w:val="00C918CC"/>
    <w:rsid w:val="00C91B0C"/>
    <w:rsid w:val="00C93108"/>
    <w:rsid w:val="00C933C7"/>
    <w:rsid w:val="00C93F6F"/>
    <w:rsid w:val="00C945D9"/>
    <w:rsid w:val="00C94DB6"/>
    <w:rsid w:val="00C96AD5"/>
    <w:rsid w:val="00CA2301"/>
    <w:rsid w:val="00CA23C4"/>
    <w:rsid w:val="00CA27E0"/>
    <w:rsid w:val="00CA2C11"/>
    <w:rsid w:val="00CA3008"/>
    <w:rsid w:val="00CA3134"/>
    <w:rsid w:val="00CA4BBD"/>
    <w:rsid w:val="00CA73DD"/>
    <w:rsid w:val="00CB1E86"/>
    <w:rsid w:val="00CB2807"/>
    <w:rsid w:val="00CB35DD"/>
    <w:rsid w:val="00CB5595"/>
    <w:rsid w:val="00CB6273"/>
    <w:rsid w:val="00CB6616"/>
    <w:rsid w:val="00CB68F9"/>
    <w:rsid w:val="00CB6CB2"/>
    <w:rsid w:val="00CB71D2"/>
    <w:rsid w:val="00CB7231"/>
    <w:rsid w:val="00CB7324"/>
    <w:rsid w:val="00CB79EC"/>
    <w:rsid w:val="00CB7BD8"/>
    <w:rsid w:val="00CC1939"/>
    <w:rsid w:val="00CC2EE8"/>
    <w:rsid w:val="00CC3908"/>
    <w:rsid w:val="00CC5D8C"/>
    <w:rsid w:val="00CC5EA0"/>
    <w:rsid w:val="00CD0701"/>
    <w:rsid w:val="00CD13F1"/>
    <w:rsid w:val="00CD1924"/>
    <w:rsid w:val="00CD49B2"/>
    <w:rsid w:val="00CD52DF"/>
    <w:rsid w:val="00CD5BB1"/>
    <w:rsid w:val="00CD6E17"/>
    <w:rsid w:val="00CE15CB"/>
    <w:rsid w:val="00CE1734"/>
    <w:rsid w:val="00CE1D1E"/>
    <w:rsid w:val="00CE28D5"/>
    <w:rsid w:val="00CE44B7"/>
    <w:rsid w:val="00CF0A31"/>
    <w:rsid w:val="00CF0AD7"/>
    <w:rsid w:val="00CF0F79"/>
    <w:rsid w:val="00CF394E"/>
    <w:rsid w:val="00CF70AA"/>
    <w:rsid w:val="00D01D52"/>
    <w:rsid w:val="00D02740"/>
    <w:rsid w:val="00D05D75"/>
    <w:rsid w:val="00D13256"/>
    <w:rsid w:val="00D1414F"/>
    <w:rsid w:val="00D163CF"/>
    <w:rsid w:val="00D2032C"/>
    <w:rsid w:val="00D21489"/>
    <w:rsid w:val="00D21D06"/>
    <w:rsid w:val="00D21F47"/>
    <w:rsid w:val="00D23A0F"/>
    <w:rsid w:val="00D23A55"/>
    <w:rsid w:val="00D25EB5"/>
    <w:rsid w:val="00D27672"/>
    <w:rsid w:val="00D27D94"/>
    <w:rsid w:val="00D30BF2"/>
    <w:rsid w:val="00D30CCD"/>
    <w:rsid w:val="00D30EE0"/>
    <w:rsid w:val="00D323DB"/>
    <w:rsid w:val="00D339BE"/>
    <w:rsid w:val="00D362D6"/>
    <w:rsid w:val="00D37B6B"/>
    <w:rsid w:val="00D403B8"/>
    <w:rsid w:val="00D426F2"/>
    <w:rsid w:val="00D42A67"/>
    <w:rsid w:val="00D43EB5"/>
    <w:rsid w:val="00D44723"/>
    <w:rsid w:val="00D44F1A"/>
    <w:rsid w:val="00D50535"/>
    <w:rsid w:val="00D50E66"/>
    <w:rsid w:val="00D51C74"/>
    <w:rsid w:val="00D52323"/>
    <w:rsid w:val="00D528BE"/>
    <w:rsid w:val="00D5588E"/>
    <w:rsid w:val="00D56953"/>
    <w:rsid w:val="00D56F48"/>
    <w:rsid w:val="00D5754A"/>
    <w:rsid w:val="00D579E3"/>
    <w:rsid w:val="00D617B6"/>
    <w:rsid w:val="00D6712C"/>
    <w:rsid w:val="00D706D8"/>
    <w:rsid w:val="00D7397D"/>
    <w:rsid w:val="00D75830"/>
    <w:rsid w:val="00D75C33"/>
    <w:rsid w:val="00D838EA"/>
    <w:rsid w:val="00D858DD"/>
    <w:rsid w:val="00D85C9D"/>
    <w:rsid w:val="00D87072"/>
    <w:rsid w:val="00D87159"/>
    <w:rsid w:val="00D90E76"/>
    <w:rsid w:val="00D92142"/>
    <w:rsid w:val="00D9586A"/>
    <w:rsid w:val="00DA00AA"/>
    <w:rsid w:val="00DA4618"/>
    <w:rsid w:val="00DA6495"/>
    <w:rsid w:val="00DA6CC7"/>
    <w:rsid w:val="00DB1CF8"/>
    <w:rsid w:val="00DB2A2C"/>
    <w:rsid w:val="00DB54AF"/>
    <w:rsid w:val="00DB7B2F"/>
    <w:rsid w:val="00DB7FEC"/>
    <w:rsid w:val="00DC05CA"/>
    <w:rsid w:val="00DC06CE"/>
    <w:rsid w:val="00DC14FF"/>
    <w:rsid w:val="00DC378F"/>
    <w:rsid w:val="00DC5756"/>
    <w:rsid w:val="00DC6093"/>
    <w:rsid w:val="00DD10CE"/>
    <w:rsid w:val="00DD192A"/>
    <w:rsid w:val="00DD1B7B"/>
    <w:rsid w:val="00DD26B9"/>
    <w:rsid w:val="00DD433F"/>
    <w:rsid w:val="00DE0DD7"/>
    <w:rsid w:val="00DE3FB1"/>
    <w:rsid w:val="00DE4574"/>
    <w:rsid w:val="00DE561D"/>
    <w:rsid w:val="00DE5675"/>
    <w:rsid w:val="00DE5CC8"/>
    <w:rsid w:val="00DE69A5"/>
    <w:rsid w:val="00DE6DFA"/>
    <w:rsid w:val="00DE746B"/>
    <w:rsid w:val="00DF1B16"/>
    <w:rsid w:val="00DF4C48"/>
    <w:rsid w:val="00DF5027"/>
    <w:rsid w:val="00DF667F"/>
    <w:rsid w:val="00DF7BAF"/>
    <w:rsid w:val="00E014D4"/>
    <w:rsid w:val="00E01D42"/>
    <w:rsid w:val="00E023A9"/>
    <w:rsid w:val="00E0258A"/>
    <w:rsid w:val="00E03DA3"/>
    <w:rsid w:val="00E04058"/>
    <w:rsid w:val="00E04AAC"/>
    <w:rsid w:val="00E058AF"/>
    <w:rsid w:val="00E06CA2"/>
    <w:rsid w:val="00E0727C"/>
    <w:rsid w:val="00E0791E"/>
    <w:rsid w:val="00E07A1E"/>
    <w:rsid w:val="00E11591"/>
    <w:rsid w:val="00E11710"/>
    <w:rsid w:val="00E11A43"/>
    <w:rsid w:val="00E1223B"/>
    <w:rsid w:val="00E14431"/>
    <w:rsid w:val="00E155B1"/>
    <w:rsid w:val="00E17C05"/>
    <w:rsid w:val="00E203A2"/>
    <w:rsid w:val="00E21AC3"/>
    <w:rsid w:val="00E2255A"/>
    <w:rsid w:val="00E22A5D"/>
    <w:rsid w:val="00E2315E"/>
    <w:rsid w:val="00E25364"/>
    <w:rsid w:val="00E254B2"/>
    <w:rsid w:val="00E259EB"/>
    <w:rsid w:val="00E267B7"/>
    <w:rsid w:val="00E269E2"/>
    <w:rsid w:val="00E275DC"/>
    <w:rsid w:val="00E27ADF"/>
    <w:rsid w:val="00E30097"/>
    <w:rsid w:val="00E3198B"/>
    <w:rsid w:val="00E3213E"/>
    <w:rsid w:val="00E345DF"/>
    <w:rsid w:val="00E35002"/>
    <w:rsid w:val="00E3578F"/>
    <w:rsid w:val="00E37734"/>
    <w:rsid w:val="00E40A52"/>
    <w:rsid w:val="00E422ED"/>
    <w:rsid w:val="00E439A3"/>
    <w:rsid w:val="00E462F4"/>
    <w:rsid w:val="00E53486"/>
    <w:rsid w:val="00E54C51"/>
    <w:rsid w:val="00E56339"/>
    <w:rsid w:val="00E61CCF"/>
    <w:rsid w:val="00E62308"/>
    <w:rsid w:val="00E62FFB"/>
    <w:rsid w:val="00E634D1"/>
    <w:rsid w:val="00E63770"/>
    <w:rsid w:val="00E63C38"/>
    <w:rsid w:val="00E64562"/>
    <w:rsid w:val="00E64B47"/>
    <w:rsid w:val="00E6518A"/>
    <w:rsid w:val="00E701FE"/>
    <w:rsid w:val="00E7119E"/>
    <w:rsid w:val="00E71DF9"/>
    <w:rsid w:val="00E71F2D"/>
    <w:rsid w:val="00E72F9C"/>
    <w:rsid w:val="00E73C42"/>
    <w:rsid w:val="00E73DDE"/>
    <w:rsid w:val="00E73E4F"/>
    <w:rsid w:val="00E7751B"/>
    <w:rsid w:val="00E811E2"/>
    <w:rsid w:val="00E82255"/>
    <w:rsid w:val="00E82D8B"/>
    <w:rsid w:val="00E82EB7"/>
    <w:rsid w:val="00E83759"/>
    <w:rsid w:val="00E84174"/>
    <w:rsid w:val="00E91C5E"/>
    <w:rsid w:val="00E94F34"/>
    <w:rsid w:val="00E953EB"/>
    <w:rsid w:val="00E96633"/>
    <w:rsid w:val="00EA1B7A"/>
    <w:rsid w:val="00EA209A"/>
    <w:rsid w:val="00EA25E2"/>
    <w:rsid w:val="00EA28EB"/>
    <w:rsid w:val="00EA4476"/>
    <w:rsid w:val="00EA4CCA"/>
    <w:rsid w:val="00EA4D15"/>
    <w:rsid w:val="00EA5C74"/>
    <w:rsid w:val="00EA6783"/>
    <w:rsid w:val="00EA6A9E"/>
    <w:rsid w:val="00EB1DE2"/>
    <w:rsid w:val="00EB56DC"/>
    <w:rsid w:val="00EC0B1B"/>
    <w:rsid w:val="00EC1C35"/>
    <w:rsid w:val="00EC1F97"/>
    <w:rsid w:val="00EC364E"/>
    <w:rsid w:val="00EC383C"/>
    <w:rsid w:val="00EC4B6F"/>
    <w:rsid w:val="00ED1E57"/>
    <w:rsid w:val="00ED22FA"/>
    <w:rsid w:val="00ED29BD"/>
    <w:rsid w:val="00ED2CE1"/>
    <w:rsid w:val="00ED7133"/>
    <w:rsid w:val="00ED7940"/>
    <w:rsid w:val="00EE059F"/>
    <w:rsid w:val="00EE0CE1"/>
    <w:rsid w:val="00EE0DBC"/>
    <w:rsid w:val="00EE14EE"/>
    <w:rsid w:val="00EE2FAB"/>
    <w:rsid w:val="00EE4E65"/>
    <w:rsid w:val="00EE4FAB"/>
    <w:rsid w:val="00EE524D"/>
    <w:rsid w:val="00EE7284"/>
    <w:rsid w:val="00EE7E68"/>
    <w:rsid w:val="00EF02E7"/>
    <w:rsid w:val="00EF263E"/>
    <w:rsid w:val="00EF3EF3"/>
    <w:rsid w:val="00F05F1E"/>
    <w:rsid w:val="00F05F91"/>
    <w:rsid w:val="00F07515"/>
    <w:rsid w:val="00F119A6"/>
    <w:rsid w:val="00F11E72"/>
    <w:rsid w:val="00F144E4"/>
    <w:rsid w:val="00F14C8B"/>
    <w:rsid w:val="00F150ED"/>
    <w:rsid w:val="00F1716C"/>
    <w:rsid w:val="00F17E33"/>
    <w:rsid w:val="00F263E2"/>
    <w:rsid w:val="00F30C4A"/>
    <w:rsid w:val="00F32B04"/>
    <w:rsid w:val="00F333DD"/>
    <w:rsid w:val="00F373B6"/>
    <w:rsid w:val="00F37943"/>
    <w:rsid w:val="00F40CD1"/>
    <w:rsid w:val="00F421EC"/>
    <w:rsid w:val="00F42F94"/>
    <w:rsid w:val="00F43E0B"/>
    <w:rsid w:val="00F453F7"/>
    <w:rsid w:val="00F45CBA"/>
    <w:rsid w:val="00F466F8"/>
    <w:rsid w:val="00F5183A"/>
    <w:rsid w:val="00F54758"/>
    <w:rsid w:val="00F55B00"/>
    <w:rsid w:val="00F563F8"/>
    <w:rsid w:val="00F567E5"/>
    <w:rsid w:val="00F56D12"/>
    <w:rsid w:val="00F57551"/>
    <w:rsid w:val="00F603C4"/>
    <w:rsid w:val="00F6053D"/>
    <w:rsid w:val="00F618A2"/>
    <w:rsid w:val="00F66363"/>
    <w:rsid w:val="00F6763A"/>
    <w:rsid w:val="00F67E34"/>
    <w:rsid w:val="00F71B84"/>
    <w:rsid w:val="00F7209D"/>
    <w:rsid w:val="00F722BF"/>
    <w:rsid w:val="00F73FE8"/>
    <w:rsid w:val="00F7466C"/>
    <w:rsid w:val="00F82855"/>
    <w:rsid w:val="00F83152"/>
    <w:rsid w:val="00F874DE"/>
    <w:rsid w:val="00F87968"/>
    <w:rsid w:val="00F90027"/>
    <w:rsid w:val="00F91F32"/>
    <w:rsid w:val="00F926FB"/>
    <w:rsid w:val="00F92700"/>
    <w:rsid w:val="00F92D9D"/>
    <w:rsid w:val="00F93731"/>
    <w:rsid w:val="00F95A3F"/>
    <w:rsid w:val="00F961D5"/>
    <w:rsid w:val="00F96648"/>
    <w:rsid w:val="00F96D57"/>
    <w:rsid w:val="00F9702B"/>
    <w:rsid w:val="00F976A6"/>
    <w:rsid w:val="00FA25AE"/>
    <w:rsid w:val="00FA78E1"/>
    <w:rsid w:val="00FB332D"/>
    <w:rsid w:val="00FB48A2"/>
    <w:rsid w:val="00FB5AEC"/>
    <w:rsid w:val="00FB5E6E"/>
    <w:rsid w:val="00FB75EB"/>
    <w:rsid w:val="00FB7D66"/>
    <w:rsid w:val="00FB7FD9"/>
    <w:rsid w:val="00FC0BC0"/>
    <w:rsid w:val="00FC1172"/>
    <w:rsid w:val="00FC192A"/>
    <w:rsid w:val="00FC2754"/>
    <w:rsid w:val="00FC4F88"/>
    <w:rsid w:val="00FC66D5"/>
    <w:rsid w:val="00FC6AF5"/>
    <w:rsid w:val="00FC7235"/>
    <w:rsid w:val="00FC726C"/>
    <w:rsid w:val="00FC73AF"/>
    <w:rsid w:val="00FD0DBA"/>
    <w:rsid w:val="00FD207C"/>
    <w:rsid w:val="00FD2EC5"/>
    <w:rsid w:val="00FD35A0"/>
    <w:rsid w:val="00FD3A9F"/>
    <w:rsid w:val="00FD5F54"/>
    <w:rsid w:val="00FE0CF9"/>
    <w:rsid w:val="00FE6004"/>
    <w:rsid w:val="00FE6853"/>
    <w:rsid w:val="00FE7506"/>
    <w:rsid w:val="00FE7AB9"/>
    <w:rsid w:val="00FF2EA7"/>
    <w:rsid w:val="00FF4DDB"/>
    <w:rsid w:val="00FF500C"/>
    <w:rsid w:val="00FF6B9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0833"/>
    <o:shapelayout v:ext="edit">
      <o:idmap v:ext="edit" data="1"/>
    </o:shapelayout>
  </w:shapeDefaults>
  <w:decimalSymbol w:val="."/>
  <w:listSeparator w:val=","/>
  <w14:docId w14:val="3C9CD7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92700"/>
    <w:pPr>
      <w:spacing w:after="0" w:line="240" w:lineRule="auto"/>
      <w:jc w:val="center"/>
    </w:pPr>
    <w:rPr>
      <w:rFonts w:ascii="Arial" w:eastAsia="Times New Roman" w:hAnsi="Arial" w:cs="Arial"/>
      <w:b/>
      <w:sz w:val="20"/>
      <w:szCs w:val="20"/>
    </w:rPr>
  </w:style>
  <w:style w:type="paragraph" w:styleId="Heading1">
    <w:name w:val="heading 1"/>
    <w:basedOn w:val="Normal"/>
    <w:next w:val="Normal"/>
    <w:link w:val="Heading1Char"/>
    <w:qFormat/>
    <w:rsid w:val="00FF6B97"/>
    <w:pPr>
      <w:keepNext/>
      <w:keepLines/>
      <w:spacing w:before="480"/>
      <w:outlineLvl w:val="0"/>
    </w:pPr>
    <w:rPr>
      <w:rFonts w:asciiTheme="majorHAnsi" w:eastAsiaTheme="majorEastAsia" w:hAnsiTheme="majorHAnsi" w:cstheme="majorBidi"/>
      <w:b w:val="0"/>
      <w:bCs/>
      <w:color w:val="365F91" w:themeColor="accent1" w:themeShade="BF"/>
      <w:sz w:val="28"/>
      <w:szCs w:val="28"/>
    </w:rPr>
  </w:style>
  <w:style w:type="paragraph" w:styleId="Heading2">
    <w:name w:val="heading 2"/>
    <w:basedOn w:val="Normal"/>
    <w:next w:val="Normal"/>
    <w:link w:val="Heading2Char"/>
    <w:uiPriority w:val="9"/>
    <w:unhideWhenUsed/>
    <w:qFormat/>
    <w:rsid w:val="00B02E86"/>
    <w:pPr>
      <w:keepNext/>
      <w:keepLines/>
      <w:spacing w:before="200"/>
      <w:outlineLvl w:val="1"/>
    </w:pPr>
    <w:rPr>
      <w:rFonts w:asciiTheme="majorHAnsi" w:eastAsiaTheme="majorEastAsia" w:hAnsiTheme="majorHAnsi" w:cstheme="majorBidi"/>
      <w:b w:val="0"/>
      <w:bCs/>
      <w:color w:val="4F81BD" w:themeColor="accent1"/>
      <w:sz w:val="26"/>
      <w:szCs w:val="26"/>
    </w:rPr>
  </w:style>
  <w:style w:type="paragraph" w:styleId="Heading3">
    <w:name w:val="heading 3"/>
    <w:basedOn w:val="Normal"/>
    <w:next w:val="Normal"/>
    <w:link w:val="Heading3Char"/>
    <w:qFormat/>
    <w:rsid w:val="00F92700"/>
    <w:pPr>
      <w:keepNext/>
      <w:spacing w:before="240" w:after="60"/>
      <w:outlineLvl w:val="2"/>
    </w:pPr>
    <w:rPr>
      <w:bCs/>
      <w:sz w:val="26"/>
      <w:szCs w:val="26"/>
    </w:rPr>
  </w:style>
  <w:style w:type="paragraph" w:styleId="Heading4">
    <w:name w:val="heading 4"/>
    <w:basedOn w:val="Normal"/>
    <w:next w:val="Normal"/>
    <w:link w:val="Heading4Char"/>
    <w:uiPriority w:val="9"/>
    <w:unhideWhenUsed/>
    <w:qFormat/>
    <w:rsid w:val="00D9586A"/>
    <w:pPr>
      <w:keepNext/>
      <w:keepLines/>
      <w:spacing w:before="200"/>
      <w:outlineLvl w:val="3"/>
    </w:pPr>
    <w:rPr>
      <w:rFonts w:asciiTheme="majorHAnsi" w:eastAsiaTheme="majorEastAsia" w:hAnsiTheme="majorHAnsi" w:cstheme="majorBidi"/>
      <w:b w:val="0"/>
      <w:bCs/>
      <w:i/>
      <w:iCs/>
      <w:color w:val="4F81BD" w:themeColor="accent1"/>
    </w:rPr>
  </w:style>
  <w:style w:type="paragraph" w:styleId="Heading9">
    <w:name w:val="heading 9"/>
    <w:basedOn w:val="Normal"/>
    <w:next w:val="Normal"/>
    <w:link w:val="Heading9Char"/>
    <w:uiPriority w:val="9"/>
    <w:semiHidden/>
    <w:unhideWhenUsed/>
    <w:qFormat/>
    <w:rsid w:val="00A40E5E"/>
    <w:pPr>
      <w:keepNext/>
      <w:keepLines/>
      <w:spacing w:before="200"/>
      <w:outlineLvl w:val="8"/>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F6B97"/>
    <w:rPr>
      <w:rFonts w:asciiTheme="majorHAnsi" w:eastAsiaTheme="majorEastAsia" w:hAnsiTheme="majorHAnsi" w:cstheme="majorBidi"/>
      <w:bCs/>
      <w:color w:val="365F91" w:themeColor="accent1" w:themeShade="BF"/>
      <w:sz w:val="28"/>
      <w:szCs w:val="28"/>
    </w:rPr>
  </w:style>
  <w:style w:type="character" w:customStyle="1" w:styleId="Heading2Char">
    <w:name w:val="Heading 2 Char"/>
    <w:basedOn w:val="DefaultParagraphFont"/>
    <w:link w:val="Heading2"/>
    <w:uiPriority w:val="9"/>
    <w:rsid w:val="00B02E86"/>
    <w:rPr>
      <w:rFonts w:asciiTheme="majorHAnsi" w:eastAsiaTheme="majorEastAsia" w:hAnsiTheme="majorHAnsi" w:cstheme="majorBidi"/>
      <w:bCs/>
      <w:color w:val="4F81BD" w:themeColor="accent1"/>
      <w:sz w:val="26"/>
      <w:szCs w:val="26"/>
    </w:rPr>
  </w:style>
  <w:style w:type="character" w:customStyle="1" w:styleId="Heading3Char">
    <w:name w:val="Heading 3 Char"/>
    <w:basedOn w:val="DefaultParagraphFont"/>
    <w:link w:val="Heading3"/>
    <w:rsid w:val="00F92700"/>
    <w:rPr>
      <w:rFonts w:ascii="Arial" w:eastAsia="Times New Roman" w:hAnsi="Arial" w:cs="Arial"/>
      <w:b/>
      <w:bCs/>
      <w:sz w:val="26"/>
      <w:szCs w:val="26"/>
    </w:rPr>
  </w:style>
  <w:style w:type="character" w:customStyle="1" w:styleId="Heading4Char">
    <w:name w:val="Heading 4 Char"/>
    <w:basedOn w:val="DefaultParagraphFont"/>
    <w:link w:val="Heading4"/>
    <w:uiPriority w:val="9"/>
    <w:rsid w:val="00D9586A"/>
    <w:rPr>
      <w:rFonts w:asciiTheme="majorHAnsi" w:eastAsiaTheme="majorEastAsia" w:hAnsiTheme="majorHAnsi" w:cstheme="majorBidi"/>
      <w:bCs/>
      <w:i/>
      <w:iCs/>
      <w:color w:val="4F81BD" w:themeColor="accent1"/>
      <w:sz w:val="20"/>
      <w:szCs w:val="20"/>
    </w:rPr>
  </w:style>
  <w:style w:type="character" w:customStyle="1" w:styleId="Heading9Char">
    <w:name w:val="Heading 9 Char"/>
    <w:basedOn w:val="DefaultParagraphFont"/>
    <w:link w:val="Heading9"/>
    <w:uiPriority w:val="9"/>
    <w:semiHidden/>
    <w:rsid w:val="00A40E5E"/>
    <w:rPr>
      <w:rFonts w:asciiTheme="majorHAnsi" w:eastAsiaTheme="majorEastAsia" w:hAnsiTheme="majorHAnsi" w:cstheme="majorBidi"/>
      <w:b/>
      <w:i/>
      <w:iCs/>
      <w:color w:val="404040" w:themeColor="text1" w:themeTint="BF"/>
      <w:sz w:val="20"/>
      <w:szCs w:val="20"/>
    </w:rPr>
  </w:style>
  <w:style w:type="paragraph" w:styleId="BodyTextIndent">
    <w:name w:val="Body Text Indent"/>
    <w:basedOn w:val="Normal"/>
    <w:link w:val="BodyTextIndentChar"/>
    <w:rsid w:val="00F92700"/>
    <w:pPr>
      <w:spacing w:after="120"/>
      <w:ind w:left="360"/>
    </w:pPr>
    <w:rPr>
      <w:b w:val="0"/>
    </w:rPr>
  </w:style>
  <w:style w:type="character" w:customStyle="1" w:styleId="BodyTextIndentChar">
    <w:name w:val="Body Text Indent Char"/>
    <w:basedOn w:val="DefaultParagraphFont"/>
    <w:link w:val="BodyTextIndent"/>
    <w:rsid w:val="00F92700"/>
    <w:rPr>
      <w:rFonts w:ascii="Arial" w:eastAsia="Times New Roman" w:hAnsi="Arial" w:cs="Arial"/>
      <w:b/>
      <w:sz w:val="20"/>
      <w:szCs w:val="20"/>
    </w:rPr>
  </w:style>
  <w:style w:type="paragraph" w:styleId="Title">
    <w:name w:val="Title"/>
    <w:basedOn w:val="Normal"/>
    <w:link w:val="TitleChar"/>
    <w:qFormat/>
    <w:rsid w:val="00F92700"/>
    <w:pPr>
      <w:spacing w:before="240" w:after="60"/>
      <w:outlineLvl w:val="0"/>
    </w:pPr>
    <w:rPr>
      <w:kern w:val="28"/>
      <w:sz w:val="32"/>
    </w:rPr>
  </w:style>
  <w:style w:type="character" w:customStyle="1" w:styleId="TitleChar">
    <w:name w:val="Title Char"/>
    <w:basedOn w:val="DefaultParagraphFont"/>
    <w:link w:val="Title"/>
    <w:rsid w:val="00F92700"/>
    <w:rPr>
      <w:rFonts w:ascii="Arial" w:eastAsia="Times New Roman" w:hAnsi="Arial" w:cs="Arial"/>
      <w:b/>
      <w:kern w:val="28"/>
      <w:sz w:val="32"/>
      <w:szCs w:val="20"/>
    </w:rPr>
  </w:style>
  <w:style w:type="paragraph" w:styleId="Header">
    <w:name w:val="header"/>
    <w:basedOn w:val="Normal"/>
    <w:link w:val="HeaderChar"/>
    <w:unhideWhenUsed/>
    <w:rsid w:val="00F92700"/>
    <w:pPr>
      <w:tabs>
        <w:tab w:val="center" w:pos="4680"/>
        <w:tab w:val="right" w:pos="9360"/>
      </w:tabs>
    </w:pPr>
  </w:style>
  <w:style w:type="character" w:customStyle="1" w:styleId="HeaderChar">
    <w:name w:val="Header Char"/>
    <w:basedOn w:val="DefaultParagraphFont"/>
    <w:link w:val="Header"/>
    <w:uiPriority w:val="99"/>
    <w:rsid w:val="00F92700"/>
    <w:rPr>
      <w:rFonts w:ascii="Arial" w:eastAsia="Times New Roman" w:hAnsi="Arial" w:cs="Arial"/>
      <w:b/>
      <w:sz w:val="20"/>
      <w:szCs w:val="20"/>
    </w:rPr>
  </w:style>
  <w:style w:type="paragraph" w:styleId="Footer">
    <w:name w:val="footer"/>
    <w:basedOn w:val="Normal"/>
    <w:link w:val="FooterChar"/>
    <w:uiPriority w:val="99"/>
    <w:unhideWhenUsed/>
    <w:rsid w:val="00F92700"/>
    <w:pPr>
      <w:tabs>
        <w:tab w:val="center" w:pos="4680"/>
        <w:tab w:val="right" w:pos="9360"/>
      </w:tabs>
    </w:pPr>
  </w:style>
  <w:style w:type="character" w:customStyle="1" w:styleId="FooterChar">
    <w:name w:val="Footer Char"/>
    <w:basedOn w:val="DefaultParagraphFont"/>
    <w:link w:val="Footer"/>
    <w:uiPriority w:val="99"/>
    <w:rsid w:val="00F92700"/>
    <w:rPr>
      <w:rFonts w:ascii="Arial" w:eastAsia="Times New Roman" w:hAnsi="Arial" w:cs="Arial"/>
      <w:b/>
      <w:sz w:val="20"/>
      <w:szCs w:val="20"/>
    </w:rPr>
  </w:style>
  <w:style w:type="paragraph" w:styleId="BalloonText">
    <w:name w:val="Balloon Text"/>
    <w:basedOn w:val="Normal"/>
    <w:link w:val="BalloonTextChar"/>
    <w:uiPriority w:val="99"/>
    <w:semiHidden/>
    <w:unhideWhenUsed/>
    <w:rsid w:val="00F92700"/>
    <w:rPr>
      <w:rFonts w:ascii="Tahoma" w:hAnsi="Tahoma" w:cs="Tahoma"/>
      <w:sz w:val="16"/>
      <w:szCs w:val="16"/>
    </w:rPr>
  </w:style>
  <w:style w:type="character" w:customStyle="1" w:styleId="BalloonTextChar">
    <w:name w:val="Balloon Text Char"/>
    <w:basedOn w:val="DefaultParagraphFont"/>
    <w:link w:val="BalloonText"/>
    <w:uiPriority w:val="99"/>
    <w:semiHidden/>
    <w:rsid w:val="00F92700"/>
    <w:rPr>
      <w:rFonts w:ascii="Tahoma" w:eastAsia="Times New Roman" w:hAnsi="Tahoma" w:cs="Tahoma"/>
      <w:b/>
      <w:sz w:val="16"/>
      <w:szCs w:val="16"/>
    </w:rPr>
  </w:style>
  <w:style w:type="paragraph" w:styleId="BodyText">
    <w:name w:val="Body Text"/>
    <w:basedOn w:val="Normal"/>
    <w:link w:val="BodyTextChar"/>
    <w:unhideWhenUsed/>
    <w:rsid w:val="008E1CE2"/>
    <w:pPr>
      <w:spacing w:after="120"/>
    </w:pPr>
  </w:style>
  <w:style w:type="character" w:customStyle="1" w:styleId="BodyTextChar">
    <w:name w:val="Body Text Char"/>
    <w:basedOn w:val="DefaultParagraphFont"/>
    <w:link w:val="BodyText"/>
    <w:rsid w:val="008E1CE2"/>
    <w:rPr>
      <w:rFonts w:ascii="Arial" w:eastAsia="Times New Roman" w:hAnsi="Arial" w:cs="Arial"/>
      <w:b/>
      <w:sz w:val="20"/>
      <w:szCs w:val="20"/>
    </w:rPr>
  </w:style>
  <w:style w:type="paragraph" w:styleId="TOC1">
    <w:name w:val="toc 1"/>
    <w:basedOn w:val="Normal"/>
    <w:next w:val="Normal"/>
    <w:autoRedefine/>
    <w:uiPriority w:val="39"/>
    <w:rsid w:val="00A40E5E"/>
    <w:pPr>
      <w:tabs>
        <w:tab w:val="left" w:pos="450"/>
        <w:tab w:val="right" w:leader="dot" w:pos="9163"/>
      </w:tabs>
      <w:spacing w:before="120" w:after="120"/>
      <w:ind w:left="720" w:hanging="720"/>
      <w:jc w:val="left"/>
    </w:pPr>
    <w:rPr>
      <w:b w:val="0"/>
      <w:bCs/>
      <w:caps/>
      <w:noProof/>
      <w:sz w:val="24"/>
    </w:rPr>
  </w:style>
  <w:style w:type="paragraph" w:styleId="TOC2">
    <w:name w:val="toc 2"/>
    <w:basedOn w:val="Normal"/>
    <w:next w:val="Normal"/>
    <w:autoRedefine/>
    <w:uiPriority w:val="39"/>
    <w:unhideWhenUsed/>
    <w:rsid w:val="00816787"/>
    <w:pPr>
      <w:spacing w:after="100"/>
      <w:ind w:left="200"/>
    </w:pPr>
  </w:style>
  <w:style w:type="paragraph" w:styleId="TOC3">
    <w:name w:val="toc 3"/>
    <w:basedOn w:val="Normal"/>
    <w:next w:val="Normal"/>
    <w:autoRedefine/>
    <w:uiPriority w:val="39"/>
    <w:unhideWhenUsed/>
    <w:rsid w:val="00270159"/>
    <w:pPr>
      <w:spacing w:after="100"/>
      <w:ind w:left="400"/>
      <w:jc w:val="left"/>
    </w:pPr>
  </w:style>
  <w:style w:type="paragraph" w:customStyle="1" w:styleId="Title2">
    <w:name w:val="Title 2"/>
    <w:basedOn w:val="Normal"/>
    <w:next w:val="Normal"/>
    <w:rsid w:val="00816787"/>
    <w:pPr>
      <w:tabs>
        <w:tab w:val="left" w:pos="600"/>
        <w:tab w:val="right" w:leader="dot" w:pos="9163"/>
      </w:tabs>
      <w:spacing w:before="120" w:after="120"/>
      <w:ind w:left="630" w:hanging="630"/>
      <w:jc w:val="left"/>
    </w:pPr>
    <w:rPr>
      <w:bCs/>
      <w:caps/>
      <w:noProof/>
      <w:sz w:val="32"/>
      <w:szCs w:val="32"/>
    </w:rPr>
  </w:style>
  <w:style w:type="character" w:styleId="Hyperlink">
    <w:name w:val="Hyperlink"/>
    <w:basedOn w:val="DefaultParagraphFont"/>
    <w:uiPriority w:val="99"/>
    <w:rsid w:val="00816787"/>
    <w:rPr>
      <w:color w:val="0000FF"/>
      <w:u w:val="single"/>
    </w:rPr>
  </w:style>
  <w:style w:type="paragraph" w:styleId="TOCHeading">
    <w:name w:val="TOC Heading"/>
    <w:basedOn w:val="Heading1"/>
    <w:next w:val="Normal"/>
    <w:uiPriority w:val="39"/>
    <w:semiHidden/>
    <w:unhideWhenUsed/>
    <w:qFormat/>
    <w:rsid w:val="00082868"/>
    <w:pPr>
      <w:spacing w:line="276" w:lineRule="auto"/>
      <w:jc w:val="left"/>
      <w:outlineLvl w:val="9"/>
    </w:pPr>
    <w:rPr>
      <w:b/>
      <w:lang w:eastAsia="ja-JP"/>
    </w:rPr>
  </w:style>
  <w:style w:type="paragraph" w:styleId="BodyText2">
    <w:name w:val="Body Text 2"/>
    <w:basedOn w:val="Normal"/>
    <w:link w:val="BodyText2Char"/>
    <w:uiPriority w:val="99"/>
    <w:unhideWhenUsed/>
    <w:rsid w:val="00D5588E"/>
    <w:pPr>
      <w:spacing w:after="120" w:line="480" w:lineRule="auto"/>
    </w:pPr>
  </w:style>
  <w:style w:type="character" w:customStyle="1" w:styleId="BodyText2Char">
    <w:name w:val="Body Text 2 Char"/>
    <w:basedOn w:val="DefaultParagraphFont"/>
    <w:link w:val="BodyText2"/>
    <w:uiPriority w:val="99"/>
    <w:rsid w:val="00D5588E"/>
    <w:rPr>
      <w:rFonts w:ascii="Arial" w:eastAsia="Times New Roman" w:hAnsi="Arial" w:cs="Arial"/>
      <w:b/>
      <w:sz w:val="20"/>
      <w:szCs w:val="20"/>
    </w:rPr>
  </w:style>
  <w:style w:type="paragraph" w:styleId="ListBullet4">
    <w:name w:val="List Bullet 4"/>
    <w:basedOn w:val="Normal"/>
    <w:autoRedefine/>
    <w:rsid w:val="00BC7C3C"/>
    <w:pPr>
      <w:numPr>
        <w:numId w:val="1"/>
      </w:numPr>
      <w:jc w:val="left"/>
    </w:pPr>
    <w:rPr>
      <w:b w:val="0"/>
    </w:rPr>
  </w:style>
  <w:style w:type="paragraph" w:styleId="DocumentMap">
    <w:name w:val="Document Map"/>
    <w:basedOn w:val="Normal"/>
    <w:link w:val="DocumentMapChar"/>
    <w:semiHidden/>
    <w:rsid w:val="006B261E"/>
    <w:pPr>
      <w:shd w:val="clear" w:color="auto" w:fill="000080"/>
    </w:pPr>
    <w:rPr>
      <w:rFonts w:ascii="Tahoma" w:hAnsi="Tahoma"/>
      <w:b w:val="0"/>
    </w:rPr>
  </w:style>
  <w:style w:type="character" w:customStyle="1" w:styleId="DocumentMapChar">
    <w:name w:val="Document Map Char"/>
    <w:basedOn w:val="DefaultParagraphFont"/>
    <w:link w:val="DocumentMap"/>
    <w:semiHidden/>
    <w:rsid w:val="006B261E"/>
    <w:rPr>
      <w:rFonts w:ascii="Tahoma" w:eastAsia="Times New Roman" w:hAnsi="Tahoma" w:cs="Arial"/>
      <w:sz w:val="20"/>
      <w:szCs w:val="20"/>
      <w:shd w:val="clear" w:color="auto" w:fill="000080"/>
    </w:rPr>
  </w:style>
  <w:style w:type="character" w:styleId="PageNumber">
    <w:name w:val="page number"/>
    <w:basedOn w:val="DefaultParagraphFont"/>
    <w:rsid w:val="00CA3008"/>
    <w:rPr>
      <w:rFonts w:ascii="Arial" w:hAnsi="Arial"/>
    </w:rPr>
  </w:style>
  <w:style w:type="paragraph" w:styleId="FootnoteText">
    <w:name w:val="footnote text"/>
    <w:basedOn w:val="Normal"/>
    <w:link w:val="FootnoteTextChar"/>
    <w:semiHidden/>
    <w:rsid w:val="00A40E5E"/>
    <w:rPr>
      <w:rFonts w:ascii="Courier" w:hAnsi="Courier"/>
      <w:b w:val="0"/>
    </w:rPr>
  </w:style>
  <w:style w:type="character" w:customStyle="1" w:styleId="FootnoteTextChar">
    <w:name w:val="Footnote Text Char"/>
    <w:basedOn w:val="DefaultParagraphFont"/>
    <w:link w:val="FootnoteText"/>
    <w:semiHidden/>
    <w:rsid w:val="00A40E5E"/>
    <w:rPr>
      <w:rFonts w:ascii="Courier" w:eastAsia="Times New Roman" w:hAnsi="Courier" w:cs="Arial"/>
      <w:sz w:val="20"/>
      <w:szCs w:val="20"/>
    </w:rPr>
  </w:style>
  <w:style w:type="paragraph" w:styleId="List2">
    <w:name w:val="List 2"/>
    <w:basedOn w:val="Normal"/>
    <w:rsid w:val="00A40E5E"/>
    <w:pPr>
      <w:ind w:left="720" w:hanging="360"/>
    </w:pPr>
  </w:style>
  <w:style w:type="paragraph" w:customStyle="1" w:styleId="Heading4Red">
    <w:name w:val="Heading 4 + Red"/>
    <w:basedOn w:val="Heading2"/>
    <w:rsid w:val="00A40E5E"/>
    <w:pPr>
      <w:keepNext w:val="0"/>
      <w:keepLines w:val="0"/>
      <w:spacing w:before="120"/>
    </w:pPr>
    <w:rPr>
      <w:rFonts w:ascii="Arial" w:eastAsia="Times New Roman" w:hAnsi="Arial" w:cs="Arial"/>
      <w:b/>
      <w:color w:val="FF0000"/>
      <w:sz w:val="20"/>
      <w:szCs w:val="24"/>
    </w:rPr>
  </w:style>
  <w:style w:type="paragraph" w:styleId="TOC4">
    <w:name w:val="toc 4"/>
    <w:basedOn w:val="Normal"/>
    <w:next w:val="Normal"/>
    <w:autoRedefine/>
    <w:uiPriority w:val="39"/>
    <w:unhideWhenUsed/>
    <w:rsid w:val="001E6532"/>
    <w:pPr>
      <w:spacing w:after="100" w:line="276" w:lineRule="auto"/>
      <w:ind w:left="660"/>
      <w:jc w:val="left"/>
    </w:pPr>
    <w:rPr>
      <w:rFonts w:asciiTheme="minorHAnsi" w:eastAsiaTheme="minorEastAsia" w:hAnsiTheme="minorHAnsi" w:cstheme="minorBidi"/>
      <w:b w:val="0"/>
      <w:sz w:val="22"/>
      <w:szCs w:val="22"/>
    </w:rPr>
  </w:style>
  <w:style w:type="paragraph" w:styleId="TOC5">
    <w:name w:val="toc 5"/>
    <w:basedOn w:val="Normal"/>
    <w:next w:val="Normal"/>
    <w:autoRedefine/>
    <w:uiPriority w:val="39"/>
    <w:unhideWhenUsed/>
    <w:rsid w:val="001E6532"/>
    <w:pPr>
      <w:spacing w:after="100" w:line="276" w:lineRule="auto"/>
      <w:ind w:left="880"/>
      <w:jc w:val="left"/>
    </w:pPr>
    <w:rPr>
      <w:rFonts w:asciiTheme="minorHAnsi" w:eastAsiaTheme="minorEastAsia" w:hAnsiTheme="minorHAnsi" w:cstheme="minorBidi"/>
      <w:b w:val="0"/>
      <w:sz w:val="22"/>
      <w:szCs w:val="22"/>
    </w:rPr>
  </w:style>
  <w:style w:type="paragraph" w:styleId="TOC6">
    <w:name w:val="toc 6"/>
    <w:basedOn w:val="Normal"/>
    <w:next w:val="Normal"/>
    <w:autoRedefine/>
    <w:uiPriority w:val="39"/>
    <w:unhideWhenUsed/>
    <w:rsid w:val="001E6532"/>
    <w:pPr>
      <w:spacing w:after="100" w:line="276" w:lineRule="auto"/>
      <w:ind w:left="1100"/>
      <w:jc w:val="left"/>
    </w:pPr>
    <w:rPr>
      <w:rFonts w:asciiTheme="minorHAnsi" w:eastAsiaTheme="minorEastAsia" w:hAnsiTheme="minorHAnsi" w:cstheme="minorBidi"/>
      <w:b w:val="0"/>
      <w:sz w:val="22"/>
      <w:szCs w:val="22"/>
    </w:rPr>
  </w:style>
  <w:style w:type="paragraph" w:styleId="TOC7">
    <w:name w:val="toc 7"/>
    <w:basedOn w:val="Normal"/>
    <w:next w:val="Normal"/>
    <w:autoRedefine/>
    <w:uiPriority w:val="39"/>
    <w:unhideWhenUsed/>
    <w:rsid w:val="001E6532"/>
    <w:pPr>
      <w:spacing w:after="100" w:line="276" w:lineRule="auto"/>
      <w:ind w:left="1320"/>
      <w:jc w:val="left"/>
    </w:pPr>
    <w:rPr>
      <w:rFonts w:asciiTheme="minorHAnsi" w:eastAsiaTheme="minorEastAsia" w:hAnsiTheme="minorHAnsi" w:cstheme="minorBidi"/>
      <w:b w:val="0"/>
      <w:sz w:val="22"/>
      <w:szCs w:val="22"/>
    </w:rPr>
  </w:style>
  <w:style w:type="paragraph" w:styleId="TOC8">
    <w:name w:val="toc 8"/>
    <w:basedOn w:val="Normal"/>
    <w:next w:val="Normal"/>
    <w:autoRedefine/>
    <w:uiPriority w:val="39"/>
    <w:unhideWhenUsed/>
    <w:rsid w:val="001E6532"/>
    <w:pPr>
      <w:spacing w:after="100" w:line="276" w:lineRule="auto"/>
      <w:ind w:left="1540"/>
      <w:jc w:val="left"/>
    </w:pPr>
    <w:rPr>
      <w:rFonts w:asciiTheme="minorHAnsi" w:eastAsiaTheme="minorEastAsia" w:hAnsiTheme="minorHAnsi" w:cstheme="minorBidi"/>
      <w:b w:val="0"/>
      <w:sz w:val="22"/>
      <w:szCs w:val="22"/>
    </w:rPr>
  </w:style>
  <w:style w:type="paragraph" w:styleId="TOC9">
    <w:name w:val="toc 9"/>
    <w:basedOn w:val="Normal"/>
    <w:next w:val="Normal"/>
    <w:autoRedefine/>
    <w:uiPriority w:val="39"/>
    <w:unhideWhenUsed/>
    <w:rsid w:val="001E6532"/>
    <w:pPr>
      <w:spacing w:after="100" w:line="276" w:lineRule="auto"/>
      <w:ind w:left="1760"/>
      <w:jc w:val="left"/>
    </w:pPr>
    <w:rPr>
      <w:rFonts w:asciiTheme="minorHAnsi" w:eastAsiaTheme="minorEastAsia" w:hAnsiTheme="minorHAnsi" w:cstheme="minorBidi"/>
      <w:b w:val="0"/>
      <w:sz w:val="22"/>
      <w:szCs w:val="22"/>
    </w:rPr>
  </w:style>
  <w:style w:type="character" w:styleId="CommentReference">
    <w:name w:val="annotation reference"/>
    <w:basedOn w:val="DefaultParagraphFont"/>
    <w:uiPriority w:val="99"/>
    <w:semiHidden/>
    <w:unhideWhenUsed/>
    <w:rsid w:val="005F0D9E"/>
    <w:rPr>
      <w:sz w:val="16"/>
      <w:szCs w:val="16"/>
    </w:rPr>
  </w:style>
  <w:style w:type="paragraph" w:styleId="CommentText">
    <w:name w:val="annotation text"/>
    <w:basedOn w:val="Normal"/>
    <w:link w:val="CommentTextChar"/>
    <w:uiPriority w:val="99"/>
    <w:unhideWhenUsed/>
    <w:rsid w:val="005F0D9E"/>
  </w:style>
  <w:style w:type="character" w:customStyle="1" w:styleId="CommentTextChar">
    <w:name w:val="Comment Text Char"/>
    <w:basedOn w:val="DefaultParagraphFont"/>
    <w:link w:val="CommentText"/>
    <w:uiPriority w:val="99"/>
    <w:rsid w:val="005F0D9E"/>
    <w:rPr>
      <w:rFonts w:ascii="Arial" w:eastAsia="Times New Roman" w:hAnsi="Arial" w:cs="Arial"/>
      <w:b/>
      <w:sz w:val="20"/>
      <w:szCs w:val="20"/>
    </w:rPr>
  </w:style>
  <w:style w:type="paragraph" w:styleId="CommentSubject">
    <w:name w:val="annotation subject"/>
    <w:basedOn w:val="CommentText"/>
    <w:next w:val="CommentText"/>
    <w:link w:val="CommentSubjectChar"/>
    <w:uiPriority w:val="99"/>
    <w:semiHidden/>
    <w:unhideWhenUsed/>
    <w:rsid w:val="005F0D9E"/>
    <w:rPr>
      <w:bCs/>
    </w:rPr>
  </w:style>
  <w:style w:type="character" w:customStyle="1" w:styleId="CommentSubjectChar">
    <w:name w:val="Comment Subject Char"/>
    <w:basedOn w:val="CommentTextChar"/>
    <w:link w:val="CommentSubject"/>
    <w:uiPriority w:val="99"/>
    <w:semiHidden/>
    <w:rsid w:val="005F0D9E"/>
    <w:rPr>
      <w:rFonts w:ascii="Arial" w:eastAsia="Times New Roman" w:hAnsi="Arial" w:cs="Arial"/>
      <w:b/>
      <w:bCs/>
      <w:sz w:val="20"/>
      <w:szCs w:val="20"/>
    </w:rPr>
  </w:style>
  <w:style w:type="paragraph" w:customStyle="1" w:styleId="ReportData">
    <w:name w:val="Report Data"/>
    <w:basedOn w:val="Normal"/>
    <w:rsid w:val="001D33F8"/>
    <w:pPr>
      <w:jc w:val="left"/>
    </w:pPr>
    <w:rPr>
      <w:rFonts w:ascii="Tahoma" w:hAnsi="Tahoma" w:cs="Times New Roman"/>
      <w:b w:val="0"/>
      <w:color w:val="003E74"/>
      <w:szCs w:val="24"/>
    </w:rPr>
  </w:style>
  <w:style w:type="character" w:styleId="Strong">
    <w:name w:val="Strong"/>
    <w:basedOn w:val="DefaultParagraphFont"/>
    <w:uiPriority w:val="22"/>
    <w:qFormat/>
    <w:rsid w:val="00860603"/>
    <w:rPr>
      <w:b/>
      <w:bCs/>
    </w:rPr>
  </w:style>
  <w:style w:type="character" w:styleId="UnresolvedMention">
    <w:name w:val="Unresolved Mention"/>
    <w:basedOn w:val="DefaultParagraphFont"/>
    <w:uiPriority w:val="99"/>
    <w:semiHidden/>
    <w:unhideWhenUsed/>
    <w:rsid w:val="008D0BFF"/>
    <w:rPr>
      <w:color w:val="808080"/>
      <w:shd w:val="clear" w:color="auto" w:fill="E6E6E6"/>
    </w:rPr>
  </w:style>
  <w:style w:type="paragraph" w:styleId="Revision">
    <w:name w:val="Revision"/>
    <w:hidden/>
    <w:uiPriority w:val="99"/>
    <w:semiHidden/>
    <w:rsid w:val="00FB7FD9"/>
    <w:pPr>
      <w:spacing w:after="0" w:line="240" w:lineRule="auto"/>
    </w:pPr>
    <w:rPr>
      <w:rFonts w:ascii="Arial" w:eastAsia="Times New Roman" w:hAnsi="Arial" w:cs="Arial"/>
      <w:b/>
      <w:sz w:val="20"/>
      <w:szCs w:val="20"/>
    </w:rPr>
  </w:style>
  <w:style w:type="character" w:styleId="FootnoteReference">
    <w:name w:val="footnote reference"/>
    <w:basedOn w:val="DefaultParagraphFont"/>
    <w:uiPriority w:val="99"/>
    <w:semiHidden/>
    <w:unhideWhenUsed/>
    <w:rsid w:val="00366C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778232">
      <w:bodyDiv w:val="1"/>
      <w:marLeft w:val="0"/>
      <w:marRight w:val="0"/>
      <w:marTop w:val="0"/>
      <w:marBottom w:val="0"/>
      <w:divBdr>
        <w:top w:val="none" w:sz="0" w:space="0" w:color="auto"/>
        <w:left w:val="none" w:sz="0" w:space="0" w:color="auto"/>
        <w:bottom w:val="none" w:sz="0" w:space="0" w:color="auto"/>
        <w:right w:val="none" w:sz="0" w:space="0" w:color="auto"/>
      </w:divBdr>
    </w:div>
    <w:div w:id="302928621">
      <w:bodyDiv w:val="1"/>
      <w:marLeft w:val="0"/>
      <w:marRight w:val="0"/>
      <w:marTop w:val="0"/>
      <w:marBottom w:val="0"/>
      <w:divBdr>
        <w:top w:val="none" w:sz="0" w:space="0" w:color="auto"/>
        <w:left w:val="none" w:sz="0" w:space="0" w:color="auto"/>
        <w:bottom w:val="none" w:sz="0" w:space="0" w:color="auto"/>
        <w:right w:val="none" w:sz="0" w:space="0" w:color="auto"/>
      </w:divBdr>
    </w:div>
    <w:div w:id="308556910">
      <w:bodyDiv w:val="1"/>
      <w:marLeft w:val="0"/>
      <w:marRight w:val="0"/>
      <w:marTop w:val="0"/>
      <w:marBottom w:val="0"/>
      <w:divBdr>
        <w:top w:val="none" w:sz="0" w:space="0" w:color="auto"/>
        <w:left w:val="none" w:sz="0" w:space="0" w:color="auto"/>
        <w:bottom w:val="none" w:sz="0" w:space="0" w:color="auto"/>
        <w:right w:val="none" w:sz="0" w:space="0" w:color="auto"/>
      </w:divBdr>
    </w:div>
    <w:div w:id="319037916">
      <w:bodyDiv w:val="1"/>
      <w:marLeft w:val="0"/>
      <w:marRight w:val="0"/>
      <w:marTop w:val="0"/>
      <w:marBottom w:val="0"/>
      <w:divBdr>
        <w:top w:val="none" w:sz="0" w:space="0" w:color="auto"/>
        <w:left w:val="none" w:sz="0" w:space="0" w:color="auto"/>
        <w:bottom w:val="none" w:sz="0" w:space="0" w:color="auto"/>
        <w:right w:val="none" w:sz="0" w:space="0" w:color="auto"/>
      </w:divBdr>
    </w:div>
    <w:div w:id="509947643">
      <w:bodyDiv w:val="1"/>
      <w:marLeft w:val="0"/>
      <w:marRight w:val="0"/>
      <w:marTop w:val="0"/>
      <w:marBottom w:val="0"/>
      <w:divBdr>
        <w:top w:val="none" w:sz="0" w:space="0" w:color="auto"/>
        <w:left w:val="none" w:sz="0" w:space="0" w:color="auto"/>
        <w:bottom w:val="none" w:sz="0" w:space="0" w:color="auto"/>
        <w:right w:val="none" w:sz="0" w:space="0" w:color="auto"/>
      </w:divBdr>
    </w:div>
    <w:div w:id="754593467">
      <w:bodyDiv w:val="1"/>
      <w:marLeft w:val="0"/>
      <w:marRight w:val="0"/>
      <w:marTop w:val="0"/>
      <w:marBottom w:val="0"/>
      <w:divBdr>
        <w:top w:val="none" w:sz="0" w:space="0" w:color="auto"/>
        <w:left w:val="none" w:sz="0" w:space="0" w:color="auto"/>
        <w:bottom w:val="none" w:sz="0" w:space="0" w:color="auto"/>
        <w:right w:val="none" w:sz="0" w:space="0" w:color="auto"/>
      </w:divBdr>
      <w:divsChild>
        <w:div w:id="694423521">
          <w:marLeft w:val="0"/>
          <w:marRight w:val="0"/>
          <w:marTop w:val="0"/>
          <w:marBottom w:val="0"/>
          <w:divBdr>
            <w:top w:val="none" w:sz="0" w:space="0" w:color="auto"/>
            <w:left w:val="none" w:sz="0" w:space="0" w:color="auto"/>
            <w:bottom w:val="none" w:sz="0" w:space="0" w:color="auto"/>
            <w:right w:val="none" w:sz="0" w:space="0" w:color="auto"/>
          </w:divBdr>
          <w:divsChild>
            <w:div w:id="947740937">
              <w:marLeft w:val="0"/>
              <w:marRight w:val="0"/>
              <w:marTop w:val="0"/>
              <w:marBottom w:val="0"/>
              <w:divBdr>
                <w:top w:val="none" w:sz="0" w:space="0" w:color="auto"/>
                <w:left w:val="none" w:sz="0" w:space="0" w:color="auto"/>
                <w:bottom w:val="none" w:sz="0" w:space="0" w:color="auto"/>
                <w:right w:val="none" w:sz="0" w:space="0" w:color="auto"/>
              </w:divBdr>
            </w:div>
          </w:divsChild>
        </w:div>
        <w:div w:id="1909999392">
          <w:marLeft w:val="0"/>
          <w:marRight w:val="0"/>
          <w:marTop w:val="0"/>
          <w:marBottom w:val="0"/>
          <w:divBdr>
            <w:top w:val="none" w:sz="0" w:space="0" w:color="auto"/>
            <w:left w:val="none" w:sz="0" w:space="0" w:color="auto"/>
            <w:bottom w:val="none" w:sz="0" w:space="0" w:color="auto"/>
            <w:right w:val="none" w:sz="0" w:space="0" w:color="auto"/>
          </w:divBdr>
          <w:divsChild>
            <w:div w:id="611668524">
              <w:marLeft w:val="0"/>
              <w:marRight w:val="0"/>
              <w:marTop w:val="0"/>
              <w:marBottom w:val="0"/>
              <w:divBdr>
                <w:top w:val="none" w:sz="0" w:space="0" w:color="auto"/>
                <w:left w:val="none" w:sz="0" w:space="0" w:color="auto"/>
                <w:bottom w:val="none" w:sz="0" w:space="0" w:color="auto"/>
                <w:right w:val="none" w:sz="0" w:space="0" w:color="auto"/>
              </w:divBdr>
            </w:div>
          </w:divsChild>
        </w:div>
        <w:div w:id="2050916023">
          <w:marLeft w:val="0"/>
          <w:marRight w:val="0"/>
          <w:marTop w:val="0"/>
          <w:marBottom w:val="0"/>
          <w:divBdr>
            <w:top w:val="none" w:sz="0" w:space="0" w:color="auto"/>
            <w:left w:val="none" w:sz="0" w:space="0" w:color="auto"/>
            <w:bottom w:val="none" w:sz="0" w:space="0" w:color="auto"/>
            <w:right w:val="none" w:sz="0" w:space="0" w:color="auto"/>
          </w:divBdr>
          <w:divsChild>
            <w:div w:id="709692362">
              <w:marLeft w:val="0"/>
              <w:marRight w:val="0"/>
              <w:marTop w:val="0"/>
              <w:marBottom w:val="0"/>
              <w:divBdr>
                <w:top w:val="none" w:sz="0" w:space="0" w:color="auto"/>
                <w:left w:val="none" w:sz="0" w:space="0" w:color="auto"/>
                <w:bottom w:val="none" w:sz="0" w:space="0" w:color="auto"/>
                <w:right w:val="none" w:sz="0" w:space="0" w:color="auto"/>
              </w:divBdr>
            </w:div>
            <w:div w:id="988632520">
              <w:marLeft w:val="0"/>
              <w:marRight w:val="0"/>
              <w:marTop w:val="0"/>
              <w:marBottom w:val="0"/>
              <w:divBdr>
                <w:top w:val="none" w:sz="0" w:space="0" w:color="auto"/>
                <w:left w:val="none" w:sz="0" w:space="0" w:color="auto"/>
                <w:bottom w:val="none" w:sz="0" w:space="0" w:color="auto"/>
                <w:right w:val="none" w:sz="0" w:space="0" w:color="auto"/>
              </w:divBdr>
              <w:divsChild>
                <w:div w:id="1207180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298034">
          <w:marLeft w:val="0"/>
          <w:marRight w:val="0"/>
          <w:marTop w:val="0"/>
          <w:marBottom w:val="0"/>
          <w:divBdr>
            <w:top w:val="none" w:sz="0" w:space="0" w:color="auto"/>
            <w:left w:val="none" w:sz="0" w:space="0" w:color="auto"/>
            <w:bottom w:val="none" w:sz="0" w:space="0" w:color="auto"/>
            <w:right w:val="none" w:sz="0" w:space="0" w:color="auto"/>
          </w:divBdr>
          <w:divsChild>
            <w:div w:id="1736274220">
              <w:marLeft w:val="0"/>
              <w:marRight w:val="0"/>
              <w:marTop w:val="0"/>
              <w:marBottom w:val="0"/>
              <w:divBdr>
                <w:top w:val="none" w:sz="0" w:space="0" w:color="auto"/>
                <w:left w:val="none" w:sz="0" w:space="0" w:color="auto"/>
                <w:bottom w:val="none" w:sz="0" w:space="0" w:color="auto"/>
                <w:right w:val="none" w:sz="0" w:space="0" w:color="auto"/>
              </w:divBdr>
            </w:div>
            <w:div w:id="1575772974">
              <w:marLeft w:val="0"/>
              <w:marRight w:val="0"/>
              <w:marTop w:val="0"/>
              <w:marBottom w:val="0"/>
              <w:divBdr>
                <w:top w:val="none" w:sz="0" w:space="0" w:color="auto"/>
                <w:left w:val="none" w:sz="0" w:space="0" w:color="auto"/>
                <w:bottom w:val="none" w:sz="0" w:space="0" w:color="auto"/>
                <w:right w:val="none" w:sz="0" w:space="0" w:color="auto"/>
              </w:divBdr>
              <w:divsChild>
                <w:div w:id="1542592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151160">
          <w:marLeft w:val="0"/>
          <w:marRight w:val="0"/>
          <w:marTop w:val="0"/>
          <w:marBottom w:val="0"/>
          <w:divBdr>
            <w:top w:val="none" w:sz="0" w:space="0" w:color="auto"/>
            <w:left w:val="none" w:sz="0" w:space="0" w:color="auto"/>
            <w:bottom w:val="none" w:sz="0" w:space="0" w:color="auto"/>
            <w:right w:val="none" w:sz="0" w:space="0" w:color="auto"/>
          </w:divBdr>
          <w:divsChild>
            <w:div w:id="557401753">
              <w:marLeft w:val="0"/>
              <w:marRight w:val="0"/>
              <w:marTop w:val="0"/>
              <w:marBottom w:val="0"/>
              <w:divBdr>
                <w:top w:val="none" w:sz="0" w:space="0" w:color="auto"/>
                <w:left w:val="none" w:sz="0" w:space="0" w:color="auto"/>
                <w:bottom w:val="none" w:sz="0" w:space="0" w:color="auto"/>
                <w:right w:val="none" w:sz="0" w:space="0" w:color="auto"/>
              </w:divBdr>
            </w:div>
            <w:div w:id="2124836818">
              <w:marLeft w:val="0"/>
              <w:marRight w:val="0"/>
              <w:marTop w:val="0"/>
              <w:marBottom w:val="0"/>
              <w:divBdr>
                <w:top w:val="none" w:sz="0" w:space="0" w:color="auto"/>
                <w:left w:val="none" w:sz="0" w:space="0" w:color="auto"/>
                <w:bottom w:val="none" w:sz="0" w:space="0" w:color="auto"/>
                <w:right w:val="none" w:sz="0" w:space="0" w:color="auto"/>
              </w:divBdr>
              <w:divsChild>
                <w:div w:id="196472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9676804">
          <w:marLeft w:val="0"/>
          <w:marRight w:val="0"/>
          <w:marTop w:val="0"/>
          <w:marBottom w:val="0"/>
          <w:divBdr>
            <w:top w:val="none" w:sz="0" w:space="0" w:color="auto"/>
            <w:left w:val="none" w:sz="0" w:space="0" w:color="auto"/>
            <w:bottom w:val="none" w:sz="0" w:space="0" w:color="auto"/>
            <w:right w:val="none" w:sz="0" w:space="0" w:color="auto"/>
          </w:divBdr>
          <w:divsChild>
            <w:div w:id="2112163755">
              <w:marLeft w:val="0"/>
              <w:marRight w:val="0"/>
              <w:marTop w:val="0"/>
              <w:marBottom w:val="0"/>
              <w:divBdr>
                <w:top w:val="none" w:sz="0" w:space="0" w:color="auto"/>
                <w:left w:val="none" w:sz="0" w:space="0" w:color="auto"/>
                <w:bottom w:val="none" w:sz="0" w:space="0" w:color="auto"/>
                <w:right w:val="none" w:sz="0" w:space="0" w:color="auto"/>
              </w:divBdr>
            </w:div>
          </w:divsChild>
        </w:div>
        <w:div w:id="2063291155">
          <w:marLeft w:val="0"/>
          <w:marRight w:val="0"/>
          <w:marTop w:val="0"/>
          <w:marBottom w:val="0"/>
          <w:divBdr>
            <w:top w:val="none" w:sz="0" w:space="0" w:color="auto"/>
            <w:left w:val="none" w:sz="0" w:space="0" w:color="auto"/>
            <w:bottom w:val="none" w:sz="0" w:space="0" w:color="auto"/>
            <w:right w:val="none" w:sz="0" w:space="0" w:color="auto"/>
          </w:divBdr>
          <w:divsChild>
            <w:div w:id="1308824854">
              <w:marLeft w:val="0"/>
              <w:marRight w:val="0"/>
              <w:marTop w:val="0"/>
              <w:marBottom w:val="0"/>
              <w:divBdr>
                <w:top w:val="none" w:sz="0" w:space="0" w:color="auto"/>
                <w:left w:val="none" w:sz="0" w:space="0" w:color="auto"/>
                <w:bottom w:val="none" w:sz="0" w:space="0" w:color="auto"/>
                <w:right w:val="none" w:sz="0" w:space="0" w:color="auto"/>
              </w:divBdr>
            </w:div>
          </w:divsChild>
        </w:div>
        <w:div w:id="1585917942">
          <w:marLeft w:val="0"/>
          <w:marRight w:val="0"/>
          <w:marTop w:val="0"/>
          <w:marBottom w:val="0"/>
          <w:divBdr>
            <w:top w:val="none" w:sz="0" w:space="0" w:color="auto"/>
            <w:left w:val="none" w:sz="0" w:space="0" w:color="auto"/>
            <w:bottom w:val="none" w:sz="0" w:space="0" w:color="auto"/>
            <w:right w:val="none" w:sz="0" w:space="0" w:color="auto"/>
          </w:divBdr>
          <w:divsChild>
            <w:div w:id="734740851">
              <w:marLeft w:val="0"/>
              <w:marRight w:val="0"/>
              <w:marTop w:val="0"/>
              <w:marBottom w:val="0"/>
              <w:divBdr>
                <w:top w:val="none" w:sz="0" w:space="0" w:color="auto"/>
                <w:left w:val="none" w:sz="0" w:space="0" w:color="auto"/>
                <w:bottom w:val="none" w:sz="0" w:space="0" w:color="auto"/>
                <w:right w:val="none" w:sz="0" w:space="0" w:color="auto"/>
              </w:divBdr>
            </w:div>
            <w:div w:id="227346425">
              <w:marLeft w:val="0"/>
              <w:marRight w:val="0"/>
              <w:marTop w:val="0"/>
              <w:marBottom w:val="0"/>
              <w:divBdr>
                <w:top w:val="none" w:sz="0" w:space="0" w:color="auto"/>
                <w:left w:val="none" w:sz="0" w:space="0" w:color="auto"/>
                <w:bottom w:val="none" w:sz="0" w:space="0" w:color="auto"/>
                <w:right w:val="none" w:sz="0" w:space="0" w:color="auto"/>
              </w:divBdr>
              <w:divsChild>
                <w:div w:id="1687712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493313">
          <w:marLeft w:val="0"/>
          <w:marRight w:val="0"/>
          <w:marTop w:val="0"/>
          <w:marBottom w:val="0"/>
          <w:divBdr>
            <w:top w:val="none" w:sz="0" w:space="0" w:color="auto"/>
            <w:left w:val="none" w:sz="0" w:space="0" w:color="auto"/>
            <w:bottom w:val="none" w:sz="0" w:space="0" w:color="auto"/>
            <w:right w:val="none" w:sz="0" w:space="0" w:color="auto"/>
          </w:divBdr>
          <w:divsChild>
            <w:div w:id="56100571">
              <w:marLeft w:val="0"/>
              <w:marRight w:val="0"/>
              <w:marTop w:val="0"/>
              <w:marBottom w:val="0"/>
              <w:divBdr>
                <w:top w:val="none" w:sz="0" w:space="0" w:color="auto"/>
                <w:left w:val="none" w:sz="0" w:space="0" w:color="auto"/>
                <w:bottom w:val="none" w:sz="0" w:space="0" w:color="auto"/>
                <w:right w:val="none" w:sz="0" w:space="0" w:color="auto"/>
              </w:divBdr>
            </w:div>
            <w:div w:id="1965425638">
              <w:marLeft w:val="0"/>
              <w:marRight w:val="0"/>
              <w:marTop w:val="0"/>
              <w:marBottom w:val="0"/>
              <w:divBdr>
                <w:top w:val="none" w:sz="0" w:space="0" w:color="auto"/>
                <w:left w:val="none" w:sz="0" w:space="0" w:color="auto"/>
                <w:bottom w:val="none" w:sz="0" w:space="0" w:color="auto"/>
                <w:right w:val="none" w:sz="0" w:space="0" w:color="auto"/>
              </w:divBdr>
              <w:divsChild>
                <w:div w:id="422535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579841">
          <w:marLeft w:val="0"/>
          <w:marRight w:val="0"/>
          <w:marTop w:val="0"/>
          <w:marBottom w:val="0"/>
          <w:divBdr>
            <w:top w:val="none" w:sz="0" w:space="0" w:color="auto"/>
            <w:left w:val="none" w:sz="0" w:space="0" w:color="auto"/>
            <w:bottom w:val="none" w:sz="0" w:space="0" w:color="auto"/>
            <w:right w:val="none" w:sz="0" w:space="0" w:color="auto"/>
          </w:divBdr>
          <w:divsChild>
            <w:div w:id="2024477790">
              <w:marLeft w:val="0"/>
              <w:marRight w:val="0"/>
              <w:marTop w:val="0"/>
              <w:marBottom w:val="0"/>
              <w:divBdr>
                <w:top w:val="none" w:sz="0" w:space="0" w:color="auto"/>
                <w:left w:val="none" w:sz="0" w:space="0" w:color="auto"/>
                <w:bottom w:val="none" w:sz="0" w:space="0" w:color="auto"/>
                <w:right w:val="none" w:sz="0" w:space="0" w:color="auto"/>
              </w:divBdr>
            </w:div>
            <w:div w:id="527178596">
              <w:marLeft w:val="0"/>
              <w:marRight w:val="0"/>
              <w:marTop w:val="0"/>
              <w:marBottom w:val="0"/>
              <w:divBdr>
                <w:top w:val="none" w:sz="0" w:space="0" w:color="auto"/>
                <w:left w:val="none" w:sz="0" w:space="0" w:color="auto"/>
                <w:bottom w:val="none" w:sz="0" w:space="0" w:color="auto"/>
                <w:right w:val="none" w:sz="0" w:space="0" w:color="auto"/>
              </w:divBdr>
              <w:divsChild>
                <w:div w:id="1780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1413085">
      <w:bodyDiv w:val="1"/>
      <w:marLeft w:val="0"/>
      <w:marRight w:val="0"/>
      <w:marTop w:val="0"/>
      <w:marBottom w:val="0"/>
      <w:divBdr>
        <w:top w:val="none" w:sz="0" w:space="0" w:color="auto"/>
        <w:left w:val="none" w:sz="0" w:space="0" w:color="auto"/>
        <w:bottom w:val="none" w:sz="0" w:space="0" w:color="auto"/>
        <w:right w:val="none" w:sz="0" w:space="0" w:color="auto"/>
      </w:divBdr>
    </w:div>
    <w:div w:id="786041985">
      <w:bodyDiv w:val="1"/>
      <w:marLeft w:val="0"/>
      <w:marRight w:val="0"/>
      <w:marTop w:val="0"/>
      <w:marBottom w:val="0"/>
      <w:divBdr>
        <w:top w:val="none" w:sz="0" w:space="0" w:color="auto"/>
        <w:left w:val="none" w:sz="0" w:space="0" w:color="auto"/>
        <w:bottom w:val="none" w:sz="0" w:space="0" w:color="auto"/>
        <w:right w:val="none" w:sz="0" w:space="0" w:color="auto"/>
      </w:divBdr>
    </w:div>
    <w:div w:id="850922375">
      <w:bodyDiv w:val="1"/>
      <w:marLeft w:val="0"/>
      <w:marRight w:val="0"/>
      <w:marTop w:val="0"/>
      <w:marBottom w:val="0"/>
      <w:divBdr>
        <w:top w:val="none" w:sz="0" w:space="0" w:color="auto"/>
        <w:left w:val="none" w:sz="0" w:space="0" w:color="auto"/>
        <w:bottom w:val="none" w:sz="0" w:space="0" w:color="auto"/>
        <w:right w:val="none" w:sz="0" w:space="0" w:color="auto"/>
      </w:divBdr>
    </w:div>
    <w:div w:id="922370839">
      <w:bodyDiv w:val="1"/>
      <w:marLeft w:val="0"/>
      <w:marRight w:val="0"/>
      <w:marTop w:val="0"/>
      <w:marBottom w:val="0"/>
      <w:divBdr>
        <w:top w:val="none" w:sz="0" w:space="0" w:color="auto"/>
        <w:left w:val="none" w:sz="0" w:space="0" w:color="auto"/>
        <w:bottom w:val="none" w:sz="0" w:space="0" w:color="auto"/>
        <w:right w:val="none" w:sz="0" w:space="0" w:color="auto"/>
      </w:divBdr>
    </w:div>
    <w:div w:id="945573931">
      <w:bodyDiv w:val="1"/>
      <w:marLeft w:val="0"/>
      <w:marRight w:val="0"/>
      <w:marTop w:val="0"/>
      <w:marBottom w:val="0"/>
      <w:divBdr>
        <w:top w:val="none" w:sz="0" w:space="0" w:color="auto"/>
        <w:left w:val="none" w:sz="0" w:space="0" w:color="auto"/>
        <w:bottom w:val="none" w:sz="0" w:space="0" w:color="auto"/>
        <w:right w:val="none" w:sz="0" w:space="0" w:color="auto"/>
      </w:divBdr>
    </w:div>
    <w:div w:id="1008604852">
      <w:bodyDiv w:val="1"/>
      <w:marLeft w:val="0"/>
      <w:marRight w:val="0"/>
      <w:marTop w:val="0"/>
      <w:marBottom w:val="0"/>
      <w:divBdr>
        <w:top w:val="none" w:sz="0" w:space="0" w:color="auto"/>
        <w:left w:val="none" w:sz="0" w:space="0" w:color="auto"/>
        <w:bottom w:val="none" w:sz="0" w:space="0" w:color="auto"/>
        <w:right w:val="none" w:sz="0" w:space="0" w:color="auto"/>
      </w:divBdr>
    </w:div>
    <w:div w:id="1054157598">
      <w:bodyDiv w:val="1"/>
      <w:marLeft w:val="0"/>
      <w:marRight w:val="0"/>
      <w:marTop w:val="0"/>
      <w:marBottom w:val="0"/>
      <w:divBdr>
        <w:top w:val="none" w:sz="0" w:space="0" w:color="auto"/>
        <w:left w:val="none" w:sz="0" w:space="0" w:color="auto"/>
        <w:bottom w:val="none" w:sz="0" w:space="0" w:color="auto"/>
        <w:right w:val="none" w:sz="0" w:space="0" w:color="auto"/>
      </w:divBdr>
    </w:div>
    <w:div w:id="1061250442">
      <w:bodyDiv w:val="1"/>
      <w:marLeft w:val="0"/>
      <w:marRight w:val="0"/>
      <w:marTop w:val="0"/>
      <w:marBottom w:val="0"/>
      <w:divBdr>
        <w:top w:val="none" w:sz="0" w:space="0" w:color="auto"/>
        <w:left w:val="none" w:sz="0" w:space="0" w:color="auto"/>
        <w:bottom w:val="none" w:sz="0" w:space="0" w:color="auto"/>
        <w:right w:val="none" w:sz="0" w:space="0" w:color="auto"/>
      </w:divBdr>
    </w:div>
    <w:div w:id="1122310796">
      <w:bodyDiv w:val="1"/>
      <w:marLeft w:val="0"/>
      <w:marRight w:val="0"/>
      <w:marTop w:val="0"/>
      <w:marBottom w:val="0"/>
      <w:divBdr>
        <w:top w:val="none" w:sz="0" w:space="0" w:color="auto"/>
        <w:left w:val="none" w:sz="0" w:space="0" w:color="auto"/>
        <w:bottom w:val="none" w:sz="0" w:space="0" w:color="auto"/>
        <w:right w:val="none" w:sz="0" w:space="0" w:color="auto"/>
      </w:divBdr>
    </w:div>
    <w:div w:id="1205367776">
      <w:bodyDiv w:val="1"/>
      <w:marLeft w:val="0"/>
      <w:marRight w:val="0"/>
      <w:marTop w:val="0"/>
      <w:marBottom w:val="0"/>
      <w:divBdr>
        <w:top w:val="none" w:sz="0" w:space="0" w:color="auto"/>
        <w:left w:val="none" w:sz="0" w:space="0" w:color="auto"/>
        <w:bottom w:val="none" w:sz="0" w:space="0" w:color="auto"/>
        <w:right w:val="none" w:sz="0" w:space="0" w:color="auto"/>
      </w:divBdr>
    </w:div>
    <w:div w:id="1644892168">
      <w:bodyDiv w:val="1"/>
      <w:marLeft w:val="0"/>
      <w:marRight w:val="0"/>
      <w:marTop w:val="0"/>
      <w:marBottom w:val="0"/>
      <w:divBdr>
        <w:top w:val="none" w:sz="0" w:space="0" w:color="auto"/>
        <w:left w:val="none" w:sz="0" w:space="0" w:color="auto"/>
        <w:bottom w:val="none" w:sz="0" w:space="0" w:color="auto"/>
        <w:right w:val="none" w:sz="0" w:space="0" w:color="auto"/>
      </w:divBdr>
    </w:div>
    <w:div w:id="1784685213">
      <w:bodyDiv w:val="1"/>
      <w:marLeft w:val="0"/>
      <w:marRight w:val="0"/>
      <w:marTop w:val="0"/>
      <w:marBottom w:val="0"/>
      <w:divBdr>
        <w:top w:val="none" w:sz="0" w:space="0" w:color="auto"/>
        <w:left w:val="none" w:sz="0" w:space="0" w:color="auto"/>
        <w:bottom w:val="none" w:sz="0" w:space="0" w:color="auto"/>
        <w:right w:val="none" w:sz="0" w:space="0" w:color="auto"/>
      </w:divBdr>
    </w:div>
    <w:div w:id="1964190429">
      <w:bodyDiv w:val="1"/>
      <w:marLeft w:val="0"/>
      <w:marRight w:val="0"/>
      <w:marTop w:val="0"/>
      <w:marBottom w:val="0"/>
      <w:divBdr>
        <w:top w:val="none" w:sz="0" w:space="0" w:color="auto"/>
        <w:left w:val="none" w:sz="0" w:space="0" w:color="auto"/>
        <w:bottom w:val="none" w:sz="0" w:space="0" w:color="auto"/>
        <w:right w:val="none" w:sz="0" w:space="0" w:color="auto"/>
      </w:divBdr>
    </w:div>
    <w:div w:id="2008629903">
      <w:bodyDiv w:val="1"/>
      <w:marLeft w:val="0"/>
      <w:marRight w:val="0"/>
      <w:marTop w:val="0"/>
      <w:marBottom w:val="0"/>
      <w:divBdr>
        <w:top w:val="none" w:sz="0" w:space="0" w:color="auto"/>
        <w:left w:val="none" w:sz="0" w:space="0" w:color="auto"/>
        <w:bottom w:val="none" w:sz="0" w:space="0" w:color="auto"/>
        <w:right w:val="none" w:sz="0" w:space="0" w:color="auto"/>
      </w:divBdr>
      <w:divsChild>
        <w:div w:id="862283147">
          <w:marLeft w:val="0"/>
          <w:marRight w:val="0"/>
          <w:marTop w:val="0"/>
          <w:marBottom w:val="0"/>
          <w:divBdr>
            <w:top w:val="none" w:sz="0" w:space="0" w:color="auto"/>
            <w:left w:val="none" w:sz="0" w:space="0" w:color="auto"/>
            <w:bottom w:val="none" w:sz="0" w:space="0" w:color="auto"/>
            <w:right w:val="none" w:sz="0" w:space="0" w:color="auto"/>
          </w:divBdr>
          <w:divsChild>
            <w:div w:id="1729953840">
              <w:marLeft w:val="0"/>
              <w:marRight w:val="0"/>
              <w:marTop w:val="0"/>
              <w:marBottom w:val="0"/>
              <w:divBdr>
                <w:top w:val="none" w:sz="0" w:space="0" w:color="auto"/>
                <w:left w:val="none" w:sz="0" w:space="0" w:color="auto"/>
                <w:bottom w:val="none" w:sz="0" w:space="0" w:color="auto"/>
                <w:right w:val="none" w:sz="0" w:space="0" w:color="auto"/>
              </w:divBdr>
            </w:div>
          </w:divsChild>
        </w:div>
        <w:div w:id="1849906777">
          <w:marLeft w:val="0"/>
          <w:marRight w:val="0"/>
          <w:marTop w:val="0"/>
          <w:marBottom w:val="0"/>
          <w:divBdr>
            <w:top w:val="none" w:sz="0" w:space="0" w:color="auto"/>
            <w:left w:val="none" w:sz="0" w:space="0" w:color="auto"/>
            <w:bottom w:val="none" w:sz="0" w:space="0" w:color="auto"/>
            <w:right w:val="none" w:sz="0" w:space="0" w:color="auto"/>
          </w:divBdr>
          <w:divsChild>
            <w:div w:id="662514100">
              <w:marLeft w:val="0"/>
              <w:marRight w:val="0"/>
              <w:marTop w:val="0"/>
              <w:marBottom w:val="0"/>
              <w:divBdr>
                <w:top w:val="none" w:sz="0" w:space="0" w:color="auto"/>
                <w:left w:val="none" w:sz="0" w:space="0" w:color="auto"/>
                <w:bottom w:val="none" w:sz="0" w:space="0" w:color="auto"/>
                <w:right w:val="none" w:sz="0" w:space="0" w:color="auto"/>
              </w:divBdr>
            </w:div>
          </w:divsChild>
        </w:div>
        <w:div w:id="545141414">
          <w:marLeft w:val="0"/>
          <w:marRight w:val="0"/>
          <w:marTop w:val="0"/>
          <w:marBottom w:val="0"/>
          <w:divBdr>
            <w:top w:val="none" w:sz="0" w:space="0" w:color="auto"/>
            <w:left w:val="none" w:sz="0" w:space="0" w:color="auto"/>
            <w:bottom w:val="none" w:sz="0" w:space="0" w:color="auto"/>
            <w:right w:val="none" w:sz="0" w:space="0" w:color="auto"/>
          </w:divBdr>
          <w:divsChild>
            <w:div w:id="1122454624">
              <w:marLeft w:val="0"/>
              <w:marRight w:val="0"/>
              <w:marTop w:val="0"/>
              <w:marBottom w:val="0"/>
              <w:divBdr>
                <w:top w:val="none" w:sz="0" w:space="0" w:color="auto"/>
                <w:left w:val="none" w:sz="0" w:space="0" w:color="auto"/>
                <w:bottom w:val="none" w:sz="0" w:space="0" w:color="auto"/>
                <w:right w:val="none" w:sz="0" w:space="0" w:color="auto"/>
              </w:divBdr>
            </w:div>
          </w:divsChild>
        </w:div>
        <w:div w:id="1299798099">
          <w:marLeft w:val="0"/>
          <w:marRight w:val="0"/>
          <w:marTop w:val="0"/>
          <w:marBottom w:val="0"/>
          <w:divBdr>
            <w:top w:val="none" w:sz="0" w:space="0" w:color="auto"/>
            <w:left w:val="none" w:sz="0" w:space="0" w:color="auto"/>
            <w:bottom w:val="none" w:sz="0" w:space="0" w:color="auto"/>
            <w:right w:val="none" w:sz="0" w:space="0" w:color="auto"/>
          </w:divBdr>
          <w:divsChild>
            <w:div w:id="293945279">
              <w:marLeft w:val="0"/>
              <w:marRight w:val="0"/>
              <w:marTop w:val="0"/>
              <w:marBottom w:val="0"/>
              <w:divBdr>
                <w:top w:val="none" w:sz="0" w:space="0" w:color="auto"/>
                <w:left w:val="none" w:sz="0" w:space="0" w:color="auto"/>
                <w:bottom w:val="none" w:sz="0" w:space="0" w:color="auto"/>
                <w:right w:val="none" w:sz="0" w:space="0" w:color="auto"/>
              </w:divBdr>
            </w:div>
            <w:div w:id="365906007">
              <w:marLeft w:val="0"/>
              <w:marRight w:val="0"/>
              <w:marTop w:val="0"/>
              <w:marBottom w:val="0"/>
              <w:divBdr>
                <w:top w:val="none" w:sz="0" w:space="0" w:color="auto"/>
                <w:left w:val="none" w:sz="0" w:space="0" w:color="auto"/>
                <w:bottom w:val="none" w:sz="0" w:space="0" w:color="auto"/>
                <w:right w:val="none" w:sz="0" w:space="0" w:color="auto"/>
              </w:divBdr>
              <w:divsChild>
                <w:div w:id="362052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7110195">
          <w:marLeft w:val="0"/>
          <w:marRight w:val="0"/>
          <w:marTop w:val="0"/>
          <w:marBottom w:val="0"/>
          <w:divBdr>
            <w:top w:val="none" w:sz="0" w:space="0" w:color="auto"/>
            <w:left w:val="none" w:sz="0" w:space="0" w:color="auto"/>
            <w:bottom w:val="none" w:sz="0" w:space="0" w:color="auto"/>
            <w:right w:val="none" w:sz="0" w:space="0" w:color="auto"/>
          </w:divBdr>
          <w:divsChild>
            <w:div w:id="285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8326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5.xml"/><Relationship Id="rId117" Type="http://schemas.openxmlformats.org/officeDocument/2006/relationships/image" Target="media/image93.emf"/><Relationship Id="rId21" Type="http://schemas.openxmlformats.org/officeDocument/2006/relationships/image" Target="media/image9.emf"/><Relationship Id="rId42" Type="http://schemas.openxmlformats.org/officeDocument/2006/relationships/image" Target="media/image28.emf"/><Relationship Id="rId47" Type="http://schemas.openxmlformats.org/officeDocument/2006/relationships/image" Target="media/image30.emf"/><Relationship Id="rId63" Type="http://schemas.openxmlformats.org/officeDocument/2006/relationships/image" Target="media/image46.emf"/><Relationship Id="rId68" Type="http://schemas.openxmlformats.org/officeDocument/2006/relationships/image" Target="media/image50.emf"/><Relationship Id="rId84" Type="http://schemas.openxmlformats.org/officeDocument/2006/relationships/image" Target="media/image64.emf"/><Relationship Id="rId89" Type="http://schemas.openxmlformats.org/officeDocument/2006/relationships/image" Target="media/image69.emf"/><Relationship Id="rId112" Type="http://schemas.openxmlformats.org/officeDocument/2006/relationships/image" Target="media/image88.emf"/><Relationship Id="rId133" Type="http://schemas.openxmlformats.org/officeDocument/2006/relationships/image" Target="media/image109.emf"/><Relationship Id="rId138" Type="http://schemas.openxmlformats.org/officeDocument/2006/relationships/image" Target="media/image114.emf"/><Relationship Id="rId154" Type="http://schemas.openxmlformats.org/officeDocument/2006/relationships/image" Target="media/image130.emf"/><Relationship Id="rId159" Type="http://schemas.openxmlformats.org/officeDocument/2006/relationships/image" Target="media/image135.emf"/><Relationship Id="rId16" Type="http://schemas.openxmlformats.org/officeDocument/2006/relationships/image" Target="media/image5.emf"/><Relationship Id="rId107" Type="http://schemas.openxmlformats.org/officeDocument/2006/relationships/image" Target="media/image84.emf"/><Relationship Id="rId11" Type="http://schemas.openxmlformats.org/officeDocument/2006/relationships/footer" Target="footer2.xml"/><Relationship Id="rId32" Type="http://schemas.openxmlformats.org/officeDocument/2006/relationships/image" Target="media/image18.emf"/><Relationship Id="rId37" Type="http://schemas.openxmlformats.org/officeDocument/2006/relationships/image" Target="media/image23.emf"/><Relationship Id="rId53" Type="http://schemas.openxmlformats.org/officeDocument/2006/relationships/image" Target="media/image36.emf"/><Relationship Id="rId58" Type="http://schemas.openxmlformats.org/officeDocument/2006/relationships/image" Target="media/image41.emf"/><Relationship Id="rId74" Type="http://schemas.openxmlformats.org/officeDocument/2006/relationships/image" Target="media/image55.emf"/><Relationship Id="rId79" Type="http://schemas.openxmlformats.org/officeDocument/2006/relationships/image" Target="media/image60.emf"/><Relationship Id="rId102" Type="http://schemas.openxmlformats.org/officeDocument/2006/relationships/image" Target="media/image79.emf"/><Relationship Id="rId123" Type="http://schemas.openxmlformats.org/officeDocument/2006/relationships/image" Target="media/image99.emf"/><Relationship Id="rId128" Type="http://schemas.openxmlformats.org/officeDocument/2006/relationships/image" Target="media/image104.emf"/><Relationship Id="rId144" Type="http://schemas.openxmlformats.org/officeDocument/2006/relationships/image" Target="media/image120.emf"/><Relationship Id="rId149" Type="http://schemas.openxmlformats.org/officeDocument/2006/relationships/image" Target="media/image125.emf"/><Relationship Id="rId5" Type="http://schemas.openxmlformats.org/officeDocument/2006/relationships/webSettings" Target="webSettings.xml"/><Relationship Id="rId90" Type="http://schemas.openxmlformats.org/officeDocument/2006/relationships/image" Target="media/image70.emf"/><Relationship Id="rId95" Type="http://schemas.openxmlformats.org/officeDocument/2006/relationships/image" Target="media/image75.emf"/><Relationship Id="rId160" Type="http://schemas.openxmlformats.org/officeDocument/2006/relationships/image" Target="media/image136.emf"/><Relationship Id="rId22" Type="http://schemas.openxmlformats.org/officeDocument/2006/relationships/image" Target="media/image10.emf"/><Relationship Id="rId27" Type="http://schemas.openxmlformats.org/officeDocument/2006/relationships/image" Target="media/image13.emf"/><Relationship Id="rId43" Type="http://schemas.openxmlformats.org/officeDocument/2006/relationships/footer" Target="footer6.xml"/><Relationship Id="rId48" Type="http://schemas.openxmlformats.org/officeDocument/2006/relationships/image" Target="media/image31.emf"/><Relationship Id="rId64" Type="http://schemas.openxmlformats.org/officeDocument/2006/relationships/image" Target="media/image47.emf"/><Relationship Id="rId69" Type="http://schemas.openxmlformats.org/officeDocument/2006/relationships/image" Target="media/image51.emf"/><Relationship Id="rId113" Type="http://schemas.openxmlformats.org/officeDocument/2006/relationships/image" Target="media/image89.emf"/><Relationship Id="rId118" Type="http://schemas.openxmlformats.org/officeDocument/2006/relationships/image" Target="media/image94.emf"/><Relationship Id="rId134" Type="http://schemas.openxmlformats.org/officeDocument/2006/relationships/image" Target="media/image110.emf"/><Relationship Id="rId139" Type="http://schemas.openxmlformats.org/officeDocument/2006/relationships/image" Target="media/image115.emf"/><Relationship Id="rId80" Type="http://schemas.openxmlformats.org/officeDocument/2006/relationships/image" Target="media/image61.emf"/><Relationship Id="rId85" Type="http://schemas.openxmlformats.org/officeDocument/2006/relationships/image" Target="media/image65.emf"/><Relationship Id="rId150" Type="http://schemas.openxmlformats.org/officeDocument/2006/relationships/image" Target="media/image126.emf"/><Relationship Id="rId155" Type="http://schemas.openxmlformats.org/officeDocument/2006/relationships/image" Target="media/image131.emf"/><Relationship Id="rId12" Type="http://schemas.openxmlformats.org/officeDocument/2006/relationships/image" Target="media/image1.emf"/><Relationship Id="rId17" Type="http://schemas.openxmlformats.org/officeDocument/2006/relationships/image" Target="media/image6.emf"/><Relationship Id="rId33" Type="http://schemas.openxmlformats.org/officeDocument/2006/relationships/image" Target="media/image19.emf"/><Relationship Id="rId38" Type="http://schemas.openxmlformats.org/officeDocument/2006/relationships/image" Target="media/image24.emf"/><Relationship Id="rId59" Type="http://schemas.openxmlformats.org/officeDocument/2006/relationships/image" Target="media/image42.emf"/><Relationship Id="rId103" Type="http://schemas.openxmlformats.org/officeDocument/2006/relationships/image" Target="media/image80.emf"/><Relationship Id="rId108" Type="http://schemas.openxmlformats.org/officeDocument/2006/relationships/image" Target="media/image85.emf"/><Relationship Id="rId124" Type="http://schemas.openxmlformats.org/officeDocument/2006/relationships/image" Target="media/image100.emf"/><Relationship Id="rId129" Type="http://schemas.openxmlformats.org/officeDocument/2006/relationships/image" Target="media/image105.emf"/><Relationship Id="rId54" Type="http://schemas.openxmlformats.org/officeDocument/2006/relationships/image" Target="media/image37.emf"/><Relationship Id="rId70" Type="http://schemas.openxmlformats.org/officeDocument/2006/relationships/image" Target="media/image52.emf"/><Relationship Id="rId75" Type="http://schemas.openxmlformats.org/officeDocument/2006/relationships/image" Target="media/image56.emf"/><Relationship Id="rId91" Type="http://schemas.openxmlformats.org/officeDocument/2006/relationships/image" Target="media/image71.emf"/><Relationship Id="rId96" Type="http://schemas.openxmlformats.org/officeDocument/2006/relationships/footer" Target="footer9.xml"/><Relationship Id="rId140" Type="http://schemas.openxmlformats.org/officeDocument/2006/relationships/image" Target="media/image116.emf"/><Relationship Id="rId145" Type="http://schemas.openxmlformats.org/officeDocument/2006/relationships/image" Target="media/image121.emf"/><Relationship Id="rId161" Type="http://schemas.openxmlformats.org/officeDocument/2006/relationships/image" Target="media/image137.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emf"/><Relationship Id="rId23" Type="http://schemas.openxmlformats.org/officeDocument/2006/relationships/image" Target="media/image11.emf"/><Relationship Id="rId28" Type="http://schemas.openxmlformats.org/officeDocument/2006/relationships/image" Target="media/image14.emf"/><Relationship Id="rId36" Type="http://schemas.openxmlformats.org/officeDocument/2006/relationships/image" Target="media/image22.emf"/><Relationship Id="rId49" Type="http://schemas.openxmlformats.org/officeDocument/2006/relationships/image" Target="media/image32.emf"/><Relationship Id="rId57" Type="http://schemas.openxmlformats.org/officeDocument/2006/relationships/image" Target="media/image40.emf"/><Relationship Id="rId106" Type="http://schemas.openxmlformats.org/officeDocument/2006/relationships/image" Target="media/image83.emf"/><Relationship Id="rId114" Type="http://schemas.openxmlformats.org/officeDocument/2006/relationships/image" Target="media/image90.emf"/><Relationship Id="rId119" Type="http://schemas.openxmlformats.org/officeDocument/2006/relationships/image" Target="media/image95.emf"/><Relationship Id="rId127" Type="http://schemas.openxmlformats.org/officeDocument/2006/relationships/image" Target="media/image103.emf"/><Relationship Id="rId10" Type="http://schemas.openxmlformats.org/officeDocument/2006/relationships/header" Target="header2.xml"/><Relationship Id="rId31" Type="http://schemas.openxmlformats.org/officeDocument/2006/relationships/image" Target="media/image17.emf"/><Relationship Id="rId44" Type="http://schemas.openxmlformats.org/officeDocument/2006/relationships/image" Target="media/image29.wmf"/><Relationship Id="rId52" Type="http://schemas.openxmlformats.org/officeDocument/2006/relationships/image" Target="media/image35.emf"/><Relationship Id="rId60" Type="http://schemas.openxmlformats.org/officeDocument/2006/relationships/image" Target="media/image43.emf"/><Relationship Id="rId65" Type="http://schemas.openxmlformats.org/officeDocument/2006/relationships/image" Target="media/image48.emf"/><Relationship Id="rId73" Type="http://schemas.openxmlformats.org/officeDocument/2006/relationships/oleObject" Target="embeddings/oleObject3.bin"/><Relationship Id="rId78" Type="http://schemas.openxmlformats.org/officeDocument/2006/relationships/image" Target="media/image59.emf"/><Relationship Id="rId81" Type="http://schemas.openxmlformats.org/officeDocument/2006/relationships/footer" Target="footer8.xml"/><Relationship Id="rId86" Type="http://schemas.openxmlformats.org/officeDocument/2006/relationships/image" Target="media/image66.emf"/><Relationship Id="rId94" Type="http://schemas.openxmlformats.org/officeDocument/2006/relationships/image" Target="media/image74.emf"/><Relationship Id="rId99" Type="http://schemas.openxmlformats.org/officeDocument/2006/relationships/header" Target="header3.xml"/><Relationship Id="rId101" Type="http://schemas.openxmlformats.org/officeDocument/2006/relationships/image" Target="media/image78.emf"/><Relationship Id="rId122" Type="http://schemas.openxmlformats.org/officeDocument/2006/relationships/image" Target="media/image98.emf"/><Relationship Id="rId130" Type="http://schemas.openxmlformats.org/officeDocument/2006/relationships/image" Target="media/image106.emf"/><Relationship Id="rId135" Type="http://schemas.openxmlformats.org/officeDocument/2006/relationships/image" Target="media/image111.emf"/><Relationship Id="rId143" Type="http://schemas.openxmlformats.org/officeDocument/2006/relationships/image" Target="media/image119.emf"/><Relationship Id="rId148" Type="http://schemas.openxmlformats.org/officeDocument/2006/relationships/image" Target="media/image124.emf"/><Relationship Id="rId151" Type="http://schemas.openxmlformats.org/officeDocument/2006/relationships/image" Target="media/image127.emf"/><Relationship Id="rId156" Type="http://schemas.openxmlformats.org/officeDocument/2006/relationships/image" Target="media/image132.emf"/><Relationship Id="rId16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2.emf"/><Relationship Id="rId18" Type="http://schemas.openxmlformats.org/officeDocument/2006/relationships/image" Target="media/image7.emf"/><Relationship Id="rId39" Type="http://schemas.openxmlformats.org/officeDocument/2006/relationships/image" Target="media/image25.emf"/><Relationship Id="rId109" Type="http://schemas.openxmlformats.org/officeDocument/2006/relationships/footer" Target="footer11.xml"/><Relationship Id="rId34" Type="http://schemas.openxmlformats.org/officeDocument/2006/relationships/image" Target="media/image20.emf"/><Relationship Id="rId50" Type="http://schemas.openxmlformats.org/officeDocument/2006/relationships/image" Target="media/image33.emf"/><Relationship Id="rId55" Type="http://schemas.openxmlformats.org/officeDocument/2006/relationships/image" Target="media/image38.emf"/><Relationship Id="rId76" Type="http://schemas.openxmlformats.org/officeDocument/2006/relationships/image" Target="media/image57.emf"/><Relationship Id="rId97" Type="http://schemas.openxmlformats.org/officeDocument/2006/relationships/image" Target="media/image76.emf"/><Relationship Id="rId104" Type="http://schemas.openxmlformats.org/officeDocument/2006/relationships/image" Target="media/image81.emf"/><Relationship Id="rId120" Type="http://schemas.openxmlformats.org/officeDocument/2006/relationships/image" Target="media/image96.emf"/><Relationship Id="rId125" Type="http://schemas.openxmlformats.org/officeDocument/2006/relationships/image" Target="media/image101.emf"/><Relationship Id="rId141" Type="http://schemas.openxmlformats.org/officeDocument/2006/relationships/image" Target="media/image117.emf"/><Relationship Id="rId146" Type="http://schemas.openxmlformats.org/officeDocument/2006/relationships/image" Target="media/image122.emf"/><Relationship Id="rId7" Type="http://schemas.openxmlformats.org/officeDocument/2006/relationships/endnotes" Target="endnotes.xml"/><Relationship Id="rId71" Type="http://schemas.openxmlformats.org/officeDocument/2006/relationships/image" Target="media/image53.emf"/><Relationship Id="rId92" Type="http://schemas.openxmlformats.org/officeDocument/2006/relationships/image" Target="media/image72.emf"/><Relationship Id="rId162" Type="http://schemas.openxmlformats.org/officeDocument/2006/relationships/footer" Target="footer12.xml"/><Relationship Id="rId2" Type="http://schemas.openxmlformats.org/officeDocument/2006/relationships/numbering" Target="numbering.xml"/><Relationship Id="rId29" Type="http://schemas.openxmlformats.org/officeDocument/2006/relationships/image" Target="media/image15.emf"/><Relationship Id="rId24" Type="http://schemas.openxmlformats.org/officeDocument/2006/relationships/image" Target="media/image12.emf"/><Relationship Id="rId40" Type="http://schemas.openxmlformats.org/officeDocument/2006/relationships/image" Target="media/image26.emf"/><Relationship Id="rId45" Type="http://schemas.openxmlformats.org/officeDocument/2006/relationships/oleObject" Target="embeddings/oleObject1.bin"/><Relationship Id="rId66" Type="http://schemas.openxmlformats.org/officeDocument/2006/relationships/image" Target="media/image49.emf"/><Relationship Id="rId87" Type="http://schemas.openxmlformats.org/officeDocument/2006/relationships/image" Target="media/image67.emf"/><Relationship Id="rId110" Type="http://schemas.openxmlformats.org/officeDocument/2006/relationships/image" Target="media/image86.emf"/><Relationship Id="rId115" Type="http://schemas.openxmlformats.org/officeDocument/2006/relationships/image" Target="media/image91.emf"/><Relationship Id="rId131" Type="http://schemas.openxmlformats.org/officeDocument/2006/relationships/image" Target="media/image107.emf"/><Relationship Id="rId136" Type="http://schemas.openxmlformats.org/officeDocument/2006/relationships/image" Target="media/image112.emf"/><Relationship Id="rId157" Type="http://schemas.openxmlformats.org/officeDocument/2006/relationships/image" Target="media/image133.emf"/><Relationship Id="rId61" Type="http://schemas.openxmlformats.org/officeDocument/2006/relationships/image" Target="media/image44.emf"/><Relationship Id="rId82" Type="http://schemas.openxmlformats.org/officeDocument/2006/relationships/image" Target="media/image62.emf"/><Relationship Id="rId152" Type="http://schemas.openxmlformats.org/officeDocument/2006/relationships/image" Target="media/image128.emf"/><Relationship Id="rId19" Type="http://schemas.openxmlformats.org/officeDocument/2006/relationships/footer" Target="footer3.xml"/><Relationship Id="rId14" Type="http://schemas.openxmlformats.org/officeDocument/2006/relationships/image" Target="media/image3.emf"/><Relationship Id="rId30" Type="http://schemas.openxmlformats.org/officeDocument/2006/relationships/image" Target="media/image16.emf"/><Relationship Id="rId35" Type="http://schemas.openxmlformats.org/officeDocument/2006/relationships/image" Target="media/image21.emf"/><Relationship Id="rId56" Type="http://schemas.openxmlformats.org/officeDocument/2006/relationships/image" Target="media/image39.emf"/><Relationship Id="rId77" Type="http://schemas.openxmlformats.org/officeDocument/2006/relationships/image" Target="media/image58.emf"/><Relationship Id="rId100" Type="http://schemas.openxmlformats.org/officeDocument/2006/relationships/footer" Target="footer10.xml"/><Relationship Id="rId105" Type="http://schemas.openxmlformats.org/officeDocument/2006/relationships/image" Target="media/image82.emf"/><Relationship Id="rId126" Type="http://schemas.openxmlformats.org/officeDocument/2006/relationships/image" Target="media/image102.emf"/><Relationship Id="rId147" Type="http://schemas.openxmlformats.org/officeDocument/2006/relationships/image" Target="media/image123.emf"/><Relationship Id="rId8" Type="http://schemas.openxmlformats.org/officeDocument/2006/relationships/header" Target="header1.xml"/><Relationship Id="rId51" Type="http://schemas.openxmlformats.org/officeDocument/2006/relationships/image" Target="media/image34.emf"/><Relationship Id="rId72" Type="http://schemas.openxmlformats.org/officeDocument/2006/relationships/image" Target="media/image54.emf"/><Relationship Id="rId93" Type="http://schemas.openxmlformats.org/officeDocument/2006/relationships/image" Target="media/image73.emf"/><Relationship Id="rId98" Type="http://schemas.openxmlformats.org/officeDocument/2006/relationships/image" Target="media/image77.emf"/><Relationship Id="rId121" Type="http://schemas.openxmlformats.org/officeDocument/2006/relationships/image" Target="media/image97.emf"/><Relationship Id="rId142" Type="http://schemas.openxmlformats.org/officeDocument/2006/relationships/image" Target="media/image118.emf"/><Relationship Id="rId163" Type="http://schemas.openxmlformats.org/officeDocument/2006/relationships/fontTable" Target="fontTable.xml"/><Relationship Id="rId3" Type="http://schemas.openxmlformats.org/officeDocument/2006/relationships/styles" Target="styles.xml"/><Relationship Id="rId25" Type="http://schemas.openxmlformats.org/officeDocument/2006/relationships/footer" Target="footer4.xml"/><Relationship Id="rId46" Type="http://schemas.openxmlformats.org/officeDocument/2006/relationships/footer" Target="footer7.xml"/><Relationship Id="rId67" Type="http://schemas.openxmlformats.org/officeDocument/2006/relationships/oleObject" Target="embeddings/oleObject2.bin"/><Relationship Id="rId116" Type="http://schemas.openxmlformats.org/officeDocument/2006/relationships/image" Target="media/image92.emf"/><Relationship Id="rId137" Type="http://schemas.openxmlformats.org/officeDocument/2006/relationships/image" Target="media/image113.emf"/><Relationship Id="rId158" Type="http://schemas.openxmlformats.org/officeDocument/2006/relationships/image" Target="media/image134.emf"/><Relationship Id="rId20" Type="http://schemas.openxmlformats.org/officeDocument/2006/relationships/image" Target="media/image8.emf"/><Relationship Id="rId41" Type="http://schemas.openxmlformats.org/officeDocument/2006/relationships/image" Target="media/image27.emf"/><Relationship Id="rId62" Type="http://schemas.openxmlformats.org/officeDocument/2006/relationships/image" Target="media/image45.emf"/><Relationship Id="rId83" Type="http://schemas.openxmlformats.org/officeDocument/2006/relationships/image" Target="media/image63.emf"/><Relationship Id="rId88" Type="http://schemas.openxmlformats.org/officeDocument/2006/relationships/image" Target="media/image68.emf"/><Relationship Id="rId111" Type="http://schemas.openxmlformats.org/officeDocument/2006/relationships/image" Target="media/image87.emf"/><Relationship Id="rId132" Type="http://schemas.openxmlformats.org/officeDocument/2006/relationships/image" Target="media/image108.emf"/><Relationship Id="rId153" Type="http://schemas.openxmlformats.org/officeDocument/2006/relationships/image" Target="media/image129.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80332A-E682-488D-A3E7-AF3C5921DB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178</Pages>
  <Words>19602</Words>
  <Characters>111738</Characters>
  <Application>Microsoft Office Word</Application>
  <DocSecurity>0</DocSecurity>
  <Lines>931</Lines>
  <Paragraphs>262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2019-01-17T15:01:00Z</dcterms:created>
  <dcterms:modified xsi:type="dcterms:W3CDTF">2019-01-29T19:38:00Z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ies>
</file>