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499" w:rsidRPr="009802CB" w:rsidRDefault="008C3499" w:rsidP="005E20A3">
      <w:pPr>
        <w:pStyle w:val="Heading1"/>
        <w:jc w:val="center"/>
      </w:pPr>
      <w:bookmarkStart w:id="0" w:name="_GoBack"/>
      <w:bookmarkEnd w:id="0"/>
      <w:r w:rsidRPr="009802CB">
        <w:t>Financial Review</w:t>
      </w:r>
    </w:p>
    <w:p w:rsidR="008C3499" w:rsidRPr="005E20A3" w:rsidRDefault="008C3499" w:rsidP="005E20A3">
      <w:pPr>
        <w:rPr>
          <w:rFonts w:ascii="Arial" w:hAnsi="Arial" w:cs="Arial"/>
          <w:sz w:val="22"/>
        </w:rPr>
      </w:pPr>
    </w:p>
    <w:p w:rsidR="009802CB" w:rsidRPr="005E20A3" w:rsidRDefault="009802CB" w:rsidP="005E20A3">
      <w:pPr>
        <w:rPr>
          <w:rFonts w:ascii="Arial" w:hAnsi="Arial" w:cs="Arial"/>
          <w:sz w:val="22"/>
        </w:rPr>
      </w:pPr>
    </w:p>
    <w:p w:rsidR="008C3499" w:rsidRPr="005E20A3" w:rsidRDefault="008C3499" w:rsidP="005E20A3">
      <w:pPr>
        <w:pStyle w:val="Heading1"/>
      </w:pPr>
      <w:r w:rsidRPr="005E20A3">
        <w:t>A.  Cases Evaluated</w:t>
      </w:r>
    </w:p>
    <w:p w:rsidR="008C3499" w:rsidRPr="009802CB" w:rsidRDefault="008C3499" w:rsidP="008C3499">
      <w:pPr>
        <w:rPr>
          <w:rFonts w:ascii="Arial" w:hAnsi="Arial" w:cs="Arial"/>
          <w:b/>
          <w:sz w:val="22"/>
          <w:szCs w:val="22"/>
        </w:rPr>
      </w:pPr>
    </w:p>
    <w:p w:rsidR="008C3499" w:rsidRPr="009802CB" w:rsidRDefault="008C3499" w:rsidP="005E20A3">
      <w:pPr>
        <w:pStyle w:val="BodyText"/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 xml:space="preserve">The Integrated Resource Plan development included a review of many different assumptions, including the following </w:t>
      </w:r>
      <w:r w:rsidR="00FB70C3" w:rsidRPr="009802CB">
        <w:rPr>
          <w:rFonts w:ascii="Arial" w:hAnsi="Arial" w:cs="Arial"/>
          <w:sz w:val="22"/>
          <w:szCs w:val="22"/>
        </w:rPr>
        <w:t xml:space="preserve">Reference Case </w:t>
      </w:r>
      <w:r w:rsidRPr="009802CB">
        <w:rPr>
          <w:rFonts w:ascii="Arial" w:hAnsi="Arial" w:cs="Arial"/>
          <w:sz w:val="22"/>
          <w:szCs w:val="22"/>
        </w:rPr>
        <w:t>sensitivit</w:t>
      </w:r>
      <w:r w:rsidR="00FB70C3" w:rsidRPr="009802CB">
        <w:rPr>
          <w:rFonts w:ascii="Arial" w:hAnsi="Arial" w:cs="Arial"/>
          <w:sz w:val="22"/>
          <w:szCs w:val="22"/>
        </w:rPr>
        <w:t>y</w:t>
      </w:r>
      <w:r w:rsidR="005753A1" w:rsidRPr="009802CB">
        <w:rPr>
          <w:rFonts w:ascii="Arial" w:hAnsi="Arial" w:cs="Arial"/>
          <w:sz w:val="22"/>
          <w:szCs w:val="22"/>
        </w:rPr>
        <w:t xml:space="preserve"> cases</w:t>
      </w:r>
      <w:r w:rsidR="001B4751" w:rsidRPr="009802CB">
        <w:rPr>
          <w:rFonts w:ascii="Arial" w:hAnsi="Arial" w:cs="Arial"/>
          <w:sz w:val="22"/>
          <w:szCs w:val="22"/>
        </w:rPr>
        <w:t>:</w:t>
      </w:r>
    </w:p>
    <w:p w:rsidR="005753A1" w:rsidRPr="009802CB" w:rsidRDefault="005753A1" w:rsidP="005E20A3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14530E" w:rsidRPr="009802CB" w:rsidRDefault="0014530E" w:rsidP="005E20A3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5753A1" w:rsidRPr="009802CB" w:rsidRDefault="00FB70C3" w:rsidP="005E20A3">
      <w:pPr>
        <w:pStyle w:val="BodyText"/>
        <w:jc w:val="both"/>
        <w:rPr>
          <w:rFonts w:ascii="Arial" w:hAnsi="Arial" w:cs="Arial"/>
          <w:sz w:val="22"/>
          <w:szCs w:val="22"/>
          <w:u w:val="single"/>
        </w:rPr>
      </w:pPr>
      <w:r w:rsidRPr="009802CB">
        <w:rPr>
          <w:rFonts w:ascii="Arial" w:hAnsi="Arial" w:cs="Arial"/>
          <w:sz w:val="22"/>
          <w:szCs w:val="22"/>
          <w:u w:val="single"/>
        </w:rPr>
        <w:t xml:space="preserve">General </w:t>
      </w:r>
      <w:r w:rsidR="005753A1" w:rsidRPr="009802CB">
        <w:rPr>
          <w:rFonts w:ascii="Arial" w:hAnsi="Arial" w:cs="Arial"/>
          <w:sz w:val="22"/>
          <w:szCs w:val="22"/>
          <w:u w:val="single"/>
        </w:rPr>
        <w:t>Sensitivity Cases</w:t>
      </w:r>
    </w:p>
    <w:p w:rsidR="008C3499" w:rsidRPr="009802CB" w:rsidRDefault="008C3499" w:rsidP="005E20A3">
      <w:pPr>
        <w:pStyle w:val="BodyText"/>
        <w:jc w:val="both"/>
        <w:rPr>
          <w:rFonts w:ascii="Arial" w:hAnsi="Arial" w:cs="Arial"/>
          <w:color w:val="FF0000"/>
          <w:sz w:val="22"/>
          <w:szCs w:val="22"/>
        </w:rPr>
      </w:pPr>
    </w:p>
    <w:p w:rsidR="00EF6082" w:rsidRPr="009802CB" w:rsidRDefault="00DE0494" w:rsidP="005E20A3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>Forecast of load</w:t>
      </w:r>
    </w:p>
    <w:p w:rsidR="00EF6082" w:rsidRPr="009802CB" w:rsidRDefault="00EF6082" w:rsidP="005E20A3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 xml:space="preserve">Sensitivity 1 evaluates zero load growth from </w:t>
      </w:r>
      <w:r w:rsidR="00D4572B" w:rsidRPr="009802CB">
        <w:rPr>
          <w:rFonts w:ascii="Arial" w:hAnsi="Arial" w:cs="Arial"/>
          <w:sz w:val="22"/>
          <w:szCs w:val="22"/>
        </w:rPr>
        <w:t>201</w:t>
      </w:r>
      <w:r w:rsidR="00511772" w:rsidRPr="009802CB">
        <w:rPr>
          <w:rFonts w:ascii="Arial" w:hAnsi="Arial" w:cs="Arial"/>
          <w:sz w:val="22"/>
          <w:szCs w:val="22"/>
        </w:rPr>
        <w:t>9</w:t>
      </w:r>
      <w:r w:rsidR="00D4572B" w:rsidRPr="009802CB">
        <w:rPr>
          <w:rFonts w:ascii="Arial" w:hAnsi="Arial" w:cs="Arial"/>
          <w:sz w:val="22"/>
          <w:szCs w:val="22"/>
        </w:rPr>
        <w:t xml:space="preserve"> </w:t>
      </w:r>
      <w:r w:rsidRPr="009802CB">
        <w:rPr>
          <w:rFonts w:ascii="Arial" w:hAnsi="Arial" w:cs="Arial"/>
          <w:sz w:val="22"/>
          <w:szCs w:val="22"/>
        </w:rPr>
        <w:t>levels.</w:t>
      </w:r>
    </w:p>
    <w:p w:rsidR="003C40D8" w:rsidRPr="009802CB" w:rsidRDefault="003C40D8" w:rsidP="005E20A3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>S</w:t>
      </w:r>
      <w:r w:rsidR="00DE0494" w:rsidRPr="009802CB">
        <w:rPr>
          <w:rFonts w:ascii="Arial" w:hAnsi="Arial" w:cs="Arial"/>
          <w:sz w:val="22"/>
          <w:szCs w:val="22"/>
        </w:rPr>
        <w:t xml:space="preserve">ensitivities </w:t>
      </w:r>
      <w:r w:rsidRPr="009802CB">
        <w:rPr>
          <w:rFonts w:ascii="Arial" w:hAnsi="Arial" w:cs="Arial"/>
          <w:sz w:val="22"/>
          <w:szCs w:val="22"/>
        </w:rPr>
        <w:t>2</w:t>
      </w:r>
      <w:r w:rsidR="00DE0494" w:rsidRPr="009802CB">
        <w:rPr>
          <w:rFonts w:ascii="Arial" w:hAnsi="Arial" w:cs="Arial"/>
          <w:sz w:val="22"/>
          <w:szCs w:val="22"/>
        </w:rPr>
        <w:t xml:space="preserve"> and </w:t>
      </w:r>
      <w:r w:rsidRPr="009802CB">
        <w:rPr>
          <w:rFonts w:ascii="Arial" w:hAnsi="Arial" w:cs="Arial"/>
          <w:sz w:val="22"/>
          <w:szCs w:val="22"/>
        </w:rPr>
        <w:t>3</w:t>
      </w:r>
      <w:r w:rsidR="00DE0494" w:rsidRPr="009802CB">
        <w:rPr>
          <w:rFonts w:ascii="Arial" w:hAnsi="Arial" w:cs="Arial"/>
          <w:sz w:val="22"/>
          <w:szCs w:val="22"/>
        </w:rPr>
        <w:t xml:space="preserve"> evaluate higher and lower load growth</w:t>
      </w:r>
      <w:r w:rsidR="00EF6082" w:rsidRPr="009802CB">
        <w:rPr>
          <w:rFonts w:ascii="Arial" w:hAnsi="Arial" w:cs="Arial"/>
          <w:sz w:val="22"/>
          <w:szCs w:val="22"/>
        </w:rPr>
        <w:t>.</w:t>
      </w:r>
    </w:p>
    <w:p w:rsidR="005753A1" w:rsidRPr="009802CB" w:rsidRDefault="005753A1" w:rsidP="005E20A3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>Demand side management</w:t>
      </w:r>
    </w:p>
    <w:p w:rsidR="005753A1" w:rsidRPr="009802CB" w:rsidRDefault="005753A1" w:rsidP="005E20A3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>Sensitivity</w:t>
      </w:r>
      <w:r w:rsidR="00EF6082" w:rsidRPr="009802CB">
        <w:rPr>
          <w:rFonts w:ascii="Arial" w:hAnsi="Arial" w:cs="Arial"/>
          <w:sz w:val="22"/>
          <w:szCs w:val="22"/>
        </w:rPr>
        <w:t xml:space="preserve"> </w:t>
      </w:r>
      <w:r w:rsidRPr="009802CB">
        <w:rPr>
          <w:rFonts w:ascii="Arial" w:hAnsi="Arial" w:cs="Arial"/>
          <w:sz w:val="22"/>
          <w:szCs w:val="22"/>
        </w:rPr>
        <w:t xml:space="preserve">4 evaluates the effect </w:t>
      </w:r>
      <w:r w:rsidR="005C11C1" w:rsidRPr="009802CB">
        <w:rPr>
          <w:rFonts w:ascii="Arial" w:hAnsi="Arial" w:cs="Arial"/>
          <w:sz w:val="22"/>
          <w:szCs w:val="22"/>
        </w:rPr>
        <w:t xml:space="preserve">of </w:t>
      </w:r>
      <w:r w:rsidRPr="009802CB">
        <w:rPr>
          <w:rFonts w:ascii="Arial" w:hAnsi="Arial" w:cs="Arial"/>
          <w:sz w:val="22"/>
          <w:szCs w:val="22"/>
        </w:rPr>
        <w:t xml:space="preserve">having </w:t>
      </w:r>
      <w:r w:rsidR="005C11C1" w:rsidRPr="009802CB">
        <w:rPr>
          <w:rFonts w:ascii="Arial" w:hAnsi="Arial" w:cs="Arial"/>
          <w:sz w:val="22"/>
          <w:szCs w:val="22"/>
        </w:rPr>
        <w:t xml:space="preserve">no non-dispatchable </w:t>
      </w:r>
      <w:r w:rsidRPr="009802CB">
        <w:rPr>
          <w:rFonts w:ascii="Arial" w:hAnsi="Arial" w:cs="Arial"/>
          <w:sz w:val="22"/>
          <w:szCs w:val="22"/>
        </w:rPr>
        <w:t xml:space="preserve">DSM </w:t>
      </w:r>
      <w:r w:rsidR="00CF3D59" w:rsidRPr="009802CB">
        <w:rPr>
          <w:rFonts w:ascii="Arial" w:hAnsi="Arial" w:cs="Arial"/>
          <w:sz w:val="22"/>
          <w:szCs w:val="22"/>
        </w:rPr>
        <w:t>for GPC</w:t>
      </w:r>
      <w:r w:rsidR="005C11C1" w:rsidRPr="009802CB">
        <w:rPr>
          <w:rFonts w:ascii="Arial" w:hAnsi="Arial" w:cs="Arial"/>
          <w:sz w:val="22"/>
          <w:szCs w:val="22"/>
        </w:rPr>
        <w:t>.</w:t>
      </w:r>
    </w:p>
    <w:p w:rsidR="005C11C1" w:rsidRPr="009802CB" w:rsidRDefault="005C11C1" w:rsidP="005E20A3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>Sensitivity</w:t>
      </w:r>
      <w:r w:rsidR="003E7656" w:rsidRPr="009802CB">
        <w:rPr>
          <w:rFonts w:ascii="Arial" w:hAnsi="Arial" w:cs="Arial"/>
          <w:sz w:val="22"/>
          <w:szCs w:val="22"/>
        </w:rPr>
        <w:t xml:space="preserve"> </w:t>
      </w:r>
      <w:r w:rsidRPr="009802CB">
        <w:rPr>
          <w:rFonts w:ascii="Arial" w:hAnsi="Arial" w:cs="Arial"/>
          <w:sz w:val="22"/>
          <w:szCs w:val="22"/>
        </w:rPr>
        <w:t>5 considers the impact of aggressive non-dispatchable DSM expansion.</w:t>
      </w:r>
    </w:p>
    <w:p w:rsidR="00521312" w:rsidRPr="009802CB" w:rsidRDefault="00521312" w:rsidP="005E20A3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>Unit availability</w:t>
      </w:r>
    </w:p>
    <w:p w:rsidR="00521312" w:rsidRPr="009802CB" w:rsidRDefault="00521312" w:rsidP="005E20A3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 xml:space="preserve">Sensitivities </w:t>
      </w:r>
      <w:r w:rsidR="00AE218C" w:rsidRPr="009802CB">
        <w:rPr>
          <w:rFonts w:ascii="Arial" w:hAnsi="Arial" w:cs="Arial"/>
          <w:sz w:val="22"/>
          <w:szCs w:val="22"/>
        </w:rPr>
        <w:t>6</w:t>
      </w:r>
      <w:r w:rsidRPr="009802CB">
        <w:rPr>
          <w:rFonts w:ascii="Arial" w:hAnsi="Arial" w:cs="Arial"/>
          <w:sz w:val="22"/>
          <w:szCs w:val="22"/>
        </w:rPr>
        <w:t xml:space="preserve"> and </w:t>
      </w:r>
      <w:r w:rsidR="00AE218C" w:rsidRPr="009802CB">
        <w:rPr>
          <w:rFonts w:ascii="Arial" w:hAnsi="Arial" w:cs="Arial"/>
          <w:sz w:val="22"/>
          <w:szCs w:val="22"/>
        </w:rPr>
        <w:t>7</w:t>
      </w:r>
      <w:r w:rsidRPr="009802CB">
        <w:rPr>
          <w:rFonts w:ascii="Arial" w:hAnsi="Arial" w:cs="Arial"/>
          <w:sz w:val="22"/>
          <w:szCs w:val="22"/>
        </w:rPr>
        <w:t xml:space="preserve"> evaluate </w:t>
      </w:r>
      <w:r w:rsidR="00EB58BC" w:rsidRPr="009802CB">
        <w:rPr>
          <w:rFonts w:ascii="Arial" w:hAnsi="Arial" w:cs="Arial"/>
          <w:sz w:val="22"/>
          <w:szCs w:val="22"/>
        </w:rPr>
        <w:t xml:space="preserve">lower </w:t>
      </w:r>
      <w:r w:rsidR="00424185" w:rsidRPr="009802CB">
        <w:rPr>
          <w:rFonts w:ascii="Arial" w:hAnsi="Arial" w:cs="Arial"/>
          <w:sz w:val="22"/>
          <w:szCs w:val="22"/>
        </w:rPr>
        <w:t xml:space="preserve">(0.5%) and higher (1.0%) </w:t>
      </w:r>
      <w:r w:rsidRPr="009802CB">
        <w:rPr>
          <w:rFonts w:ascii="Arial" w:hAnsi="Arial" w:cs="Arial"/>
          <w:sz w:val="22"/>
          <w:szCs w:val="22"/>
        </w:rPr>
        <w:t>forced outage rates</w:t>
      </w:r>
      <w:r w:rsidR="00AE218C" w:rsidRPr="009802CB">
        <w:rPr>
          <w:rFonts w:ascii="Arial" w:hAnsi="Arial" w:cs="Arial"/>
          <w:sz w:val="22"/>
          <w:szCs w:val="22"/>
        </w:rPr>
        <w:t xml:space="preserve"> (EFOR).</w:t>
      </w:r>
    </w:p>
    <w:p w:rsidR="00DE0494" w:rsidRPr="009802CB" w:rsidRDefault="00DE0494" w:rsidP="005E20A3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>Inflation in pl</w:t>
      </w:r>
      <w:r w:rsidR="00EF6082" w:rsidRPr="009802CB">
        <w:rPr>
          <w:rFonts w:ascii="Arial" w:hAnsi="Arial" w:cs="Arial"/>
          <w:sz w:val="22"/>
          <w:szCs w:val="22"/>
        </w:rPr>
        <w:t>ant construction costs and cost</w:t>
      </w:r>
      <w:r w:rsidRPr="009802CB">
        <w:rPr>
          <w:rFonts w:ascii="Arial" w:hAnsi="Arial" w:cs="Arial"/>
          <w:sz w:val="22"/>
          <w:szCs w:val="22"/>
        </w:rPr>
        <w:t xml:space="preserve"> of capital</w:t>
      </w:r>
    </w:p>
    <w:p w:rsidR="00424185" w:rsidRPr="009802CB" w:rsidRDefault="00424185" w:rsidP="005E20A3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>Sensitivity 8 evaluates the impact of higher cost of capital</w:t>
      </w:r>
    </w:p>
    <w:p w:rsidR="00D03129" w:rsidRPr="009802CB" w:rsidRDefault="00010C90" w:rsidP="005E20A3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>Sensitivit</w:t>
      </w:r>
      <w:r w:rsidR="0021337C" w:rsidRPr="009802CB">
        <w:rPr>
          <w:rFonts w:ascii="Arial" w:hAnsi="Arial" w:cs="Arial"/>
          <w:sz w:val="22"/>
          <w:szCs w:val="22"/>
        </w:rPr>
        <w:t>y</w:t>
      </w:r>
      <w:r w:rsidR="00B21224" w:rsidRPr="009802CB">
        <w:rPr>
          <w:rFonts w:ascii="Arial" w:hAnsi="Arial" w:cs="Arial"/>
          <w:sz w:val="22"/>
          <w:szCs w:val="22"/>
        </w:rPr>
        <w:t xml:space="preserve"> </w:t>
      </w:r>
      <w:r w:rsidR="00424185" w:rsidRPr="009802CB">
        <w:rPr>
          <w:rFonts w:ascii="Arial" w:hAnsi="Arial" w:cs="Arial"/>
          <w:sz w:val="22"/>
          <w:szCs w:val="22"/>
        </w:rPr>
        <w:t>9</w:t>
      </w:r>
      <w:r w:rsidRPr="009802CB">
        <w:rPr>
          <w:rFonts w:ascii="Arial" w:hAnsi="Arial" w:cs="Arial"/>
          <w:sz w:val="22"/>
          <w:szCs w:val="22"/>
        </w:rPr>
        <w:t xml:space="preserve"> incorporate</w:t>
      </w:r>
      <w:r w:rsidR="00B21224" w:rsidRPr="009802CB">
        <w:rPr>
          <w:rFonts w:ascii="Arial" w:hAnsi="Arial" w:cs="Arial"/>
          <w:sz w:val="22"/>
          <w:szCs w:val="22"/>
        </w:rPr>
        <w:t>s</w:t>
      </w:r>
      <w:r w:rsidRPr="009802CB">
        <w:rPr>
          <w:rFonts w:ascii="Arial" w:hAnsi="Arial" w:cs="Arial"/>
          <w:sz w:val="22"/>
          <w:szCs w:val="22"/>
        </w:rPr>
        <w:t xml:space="preserve"> a higher </w:t>
      </w:r>
      <w:r w:rsidR="00D6773C" w:rsidRPr="009802CB">
        <w:rPr>
          <w:rFonts w:ascii="Arial" w:hAnsi="Arial" w:cs="Arial"/>
          <w:sz w:val="22"/>
          <w:szCs w:val="22"/>
        </w:rPr>
        <w:t>level of escalation in construction costs by two.</w:t>
      </w:r>
      <w:r w:rsidR="00D03129" w:rsidRPr="009802CB">
        <w:rPr>
          <w:rFonts w:ascii="Arial" w:hAnsi="Arial" w:cs="Arial"/>
          <w:sz w:val="22"/>
          <w:szCs w:val="22"/>
        </w:rPr>
        <w:t xml:space="preserve"> </w:t>
      </w:r>
    </w:p>
    <w:p w:rsidR="0021337C" w:rsidRPr="009802CB" w:rsidRDefault="0021337C" w:rsidP="005E20A3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 xml:space="preserve">Sensitivity </w:t>
      </w:r>
      <w:r w:rsidR="00424185" w:rsidRPr="009802CB">
        <w:rPr>
          <w:rFonts w:ascii="Arial" w:hAnsi="Arial" w:cs="Arial"/>
          <w:sz w:val="22"/>
          <w:szCs w:val="22"/>
        </w:rPr>
        <w:t>10</w:t>
      </w:r>
      <w:r w:rsidR="00ED2228" w:rsidRPr="009802CB">
        <w:rPr>
          <w:rFonts w:ascii="Arial" w:hAnsi="Arial" w:cs="Arial"/>
          <w:sz w:val="22"/>
          <w:szCs w:val="22"/>
        </w:rPr>
        <w:t xml:space="preserve"> incorporate</w:t>
      </w:r>
      <w:r w:rsidR="00B21224" w:rsidRPr="009802CB">
        <w:rPr>
          <w:rFonts w:ascii="Arial" w:hAnsi="Arial" w:cs="Arial"/>
          <w:sz w:val="22"/>
          <w:szCs w:val="22"/>
        </w:rPr>
        <w:t>s</w:t>
      </w:r>
      <w:r w:rsidRPr="009802CB">
        <w:rPr>
          <w:rFonts w:ascii="Arial" w:hAnsi="Arial" w:cs="Arial"/>
          <w:sz w:val="22"/>
          <w:szCs w:val="22"/>
        </w:rPr>
        <w:t xml:space="preserve"> a lower level of escalation in construction costs by one half. </w:t>
      </w:r>
    </w:p>
    <w:p w:rsidR="00613272" w:rsidRPr="009802CB" w:rsidRDefault="00613272" w:rsidP="005E20A3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>Availability and costs of purchased power</w:t>
      </w:r>
    </w:p>
    <w:p w:rsidR="00613272" w:rsidRPr="009802CB" w:rsidRDefault="00613272" w:rsidP="005E20A3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>Sensitivity 1</w:t>
      </w:r>
      <w:r w:rsidR="00D03129" w:rsidRPr="009802CB">
        <w:rPr>
          <w:rFonts w:ascii="Arial" w:hAnsi="Arial" w:cs="Arial"/>
          <w:sz w:val="22"/>
          <w:szCs w:val="22"/>
        </w:rPr>
        <w:t>1</w:t>
      </w:r>
      <w:r w:rsidRPr="009802CB">
        <w:rPr>
          <w:rFonts w:ascii="Arial" w:hAnsi="Arial" w:cs="Arial"/>
          <w:sz w:val="22"/>
          <w:szCs w:val="22"/>
        </w:rPr>
        <w:t xml:space="preserve"> considers the availability of economy purchases during peak hours</w:t>
      </w:r>
      <w:r w:rsidR="00B264DC" w:rsidRPr="009802CB">
        <w:rPr>
          <w:rFonts w:ascii="Arial" w:hAnsi="Arial" w:cs="Arial"/>
          <w:sz w:val="22"/>
          <w:szCs w:val="22"/>
        </w:rPr>
        <w:t>.</w:t>
      </w:r>
    </w:p>
    <w:p w:rsidR="00D03129" w:rsidRPr="009802CB" w:rsidRDefault="00D03129" w:rsidP="005E20A3">
      <w:pPr>
        <w:jc w:val="both"/>
        <w:rPr>
          <w:rFonts w:ascii="Arial" w:hAnsi="Arial" w:cs="Arial"/>
          <w:sz w:val="22"/>
          <w:szCs w:val="22"/>
        </w:rPr>
      </w:pPr>
    </w:p>
    <w:p w:rsidR="00613272" w:rsidRPr="009802CB" w:rsidRDefault="00FB70C3" w:rsidP="005E20A3">
      <w:pPr>
        <w:pStyle w:val="BodyText"/>
        <w:jc w:val="both"/>
        <w:rPr>
          <w:rFonts w:ascii="Arial" w:hAnsi="Arial" w:cs="Arial"/>
          <w:sz w:val="22"/>
          <w:szCs w:val="22"/>
          <w:u w:val="single"/>
        </w:rPr>
      </w:pPr>
      <w:r w:rsidRPr="009802CB">
        <w:rPr>
          <w:rFonts w:ascii="Arial" w:hAnsi="Arial" w:cs="Arial"/>
          <w:sz w:val="22"/>
          <w:szCs w:val="22"/>
          <w:u w:val="single"/>
        </w:rPr>
        <w:t>CO</w:t>
      </w:r>
      <w:r w:rsidRPr="009802CB">
        <w:rPr>
          <w:rFonts w:ascii="Arial" w:hAnsi="Arial" w:cs="Arial"/>
          <w:sz w:val="22"/>
          <w:szCs w:val="22"/>
          <w:u w:val="single"/>
          <w:vertAlign w:val="subscript"/>
        </w:rPr>
        <w:t>2</w:t>
      </w:r>
      <w:r w:rsidRPr="009802CB">
        <w:rPr>
          <w:rFonts w:ascii="Arial" w:hAnsi="Arial" w:cs="Arial"/>
          <w:sz w:val="22"/>
          <w:szCs w:val="22"/>
          <w:u w:val="single"/>
        </w:rPr>
        <w:t xml:space="preserve"> Regulation and Fuel Price Sensitivities</w:t>
      </w:r>
    </w:p>
    <w:p w:rsidR="00613272" w:rsidRPr="009802CB" w:rsidRDefault="00613272" w:rsidP="005E20A3">
      <w:pPr>
        <w:pStyle w:val="BodyText"/>
        <w:jc w:val="both"/>
        <w:rPr>
          <w:rFonts w:ascii="Arial" w:hAnsi="Arial" w:cs="Arial"/>
          <w:color w:val="FF0000"/>
          <w:sz w:val="22"/>
          <w:szCs w:val="22"/>
        </w:rPr>
      </w:pPr>
    </w:p>
    <w:p w:rsidR="00613272" w:rsidRPr="009802CB" w:rsidRDefault="00613272" w:rsidP="005E20A3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>$0 per ton C</w:t>
      </w:r>
      <w:r w:rsidR="007146FA" w:rsidRPr="009802CB">
        <w:rPr>
          <w:rFonts w:ascii="Arial" w:hAnsi="Arial" w:cs="Arial"/>
          <w:sz w:val="22"/>
          <w:szCs w:val="22"/>
        </w:rPr>
        <w:t>arbon</w:t>
      </w:r>
    </w:p>
    <w:p w:rsidR="00613272" w:rsidRPr="009802CB" w:rsidRDefault="00825EBB" w:rsidP="005E20A3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>Planning Scenarios 1</w:t>
      </w:r>
      <w:r w:rsidR="00D03129" w:rsidRPr="009802CB">
        <w:rPr>
          <w:rFonts w:ascii="Arial" w:hAnsi="Arial" w:cs="Arial"/>
          <w:sz w:val="22"/>
          <w:szCs w:val="22"/>
        </w:rPr>
        <w:t>2</w:t>
      </w:r>
      <w:r w:rsidRPr="009802CB">
        <w:rPr>
          <w:rFonts w:ascii="Arial" w:hAnsi="Arial" w:cs="Arial"/>
          <w:sz w:val="22"/>
          <w:szCs w:val="22"/>
        </w:rPr>
        <w:t>, 1</w:t>
      </w:r>
      <w:r w:rsidR="00D03129" w:rsidRPr="009802CB">
        <w:rPr>
          <w:rFonts w:ascii="Arial" w:hAnsi="Arial" w:cs="Arial"/>
          <w:sz w:val="22"/>
          <w:szCs w:val="22"/>
        </w:rPr>
        <w:t>5</w:t>
      </w:r>
      <w:r w:rsidRPr="009802CB">
        <w:rPr>
          <w:rFonts w:ascii="Arial" w:hAnsi="Arial" w:cs="Arial"/>
          <w:sz w:val="22"/>
          <w:szCs w:val="22"/>
        </w:rPr>
        <w:t xml:space="preserve">, </w:t>
      </w:r>
      <w:r w:rsidR="00D4572B" w:rsidRPr="009802CB">
        <w:rPr>
          <w:rFonts w:ascii="Arial" w:hAnsi="Arial" w:cs="Arial"/>
          <w:sz w:val="22"/>
          <w:szCs w:val="22"/>
        </w:rPr>
        <w:t xml:space="preserve">and </w:t>
      </w:r>
      <w:r w:rsidRPr="009802CB">
        <w:rPr>
          <w:rFonts w:ascii="Arial" w:hAnsi="Arial" w:cs="Arial"/>
          <w:sz w:val="22"/>
          <w:szCs w:val="22"/>
        </w:rPr>
        <w:t>1</w:t>
      </w:r>
      <w:r w:rsidR="00D03129" w:rsidRPr="009802CB">
        <w:rPr>
          <w:rFonts w:ascii="Arial" w:hAnsi="Arial" w:cs="Arial"/>
          <w:sz w:val="22"/>
          <w:szCs w:val="22"/>
        </w:rPr>
        <w:t>8</w:t>
      </w:r>
      <w:r w:rsidRPr="009802CB">
        <w:rPr>
          <w:rFonts w:ascii="Arial" w:hAnsi="Arial" w:cs="Arial"/>
          <w:sz w:val="22"/>
          <w:szCs w:val="22"/>
        </w:rPr>
        <w:t xml:space="preserve"> consider the combination of $0 per ton CO</w:t>
      </w:r>
      <w:r w:rsidRPr="009802CB">
        <w:rPr>
          <w:rFonts w:ascii="Arial" w:hAnsi="Arial" w:cs="Arial"/>
          <w:sz w:val="22"/>
          <w:szCs w:val="22"/>
          <w:vertAlign w:val="subscript"/>
        </w:rPr>
        <w:t>2</w:t>
      </w:r>
      <w:r w:rsidRPr="009802CB">
        <w:rPr>
          <w:rFonts w:ascii="Arial" w:hAnsi="Arial" w:cs="Arial"/>
          <w:sz w:val="22"/>
          <w:szCs w:val="22"/>
        </w:rPr>
        <w:t xml:space="preserve"> with low</w:t>
      </w:r>
      <w:r w:rsidR="002E1E75" w:rsidRPr="009802CB">
        <w:rPr>
          <w:rFonts w:ascii="Arial" w:hAnsi="Arial" w:cs="Arial"/>
          <w:sz w:val="22"/>
          <w:szCs w:val="22"/>
        </w:rPr>
        <w:t>,</w:t>
      </w:r>
      <w:r w:rsidR="007146FA" w:rsidRPr="009802CB">
        <w:rPr>
          <w:rFonts w:ascii="Arial" w:hAnsi="Arial" w:cs="Arial"/>
          <w:sz w:val="22"/>
          <w:szCs w:val="22"/>
        </w:rPr>
        <w:t xml:space="preserve"> </w:t>
      </w:r>
      <w:r w:rsidRPr="009802CB">
        <w:rPr>
          <w:rFonts w:ascii="Arial" w:hAnsi="Arial" w:cs="Arial"/>
          <w:sz w:val="22"/>
          <w:szCs w:val="22"/>
        </w:rPr>
        <w:t>moderate</w:t>
      </w:r>
      <w:r w:rsidR="002E1E75" w:rsidRPr="009802CB">
        <w:rPr>
          <w:rFonts w:ascii="Arial" w:hAnsi="Arial" w:cs="Arial"/>
          <w:sz w:val="22"/>
          <w:szCs w:val="22"/>
        </w:rPr>
        <w:t>, and high</w:t>
      </w:r>
      <w:r w:rsidR="007146FA" w:rsidRPr="009802CB">
        <w:rPr>
          <w:rFonts w:ascii="Arial" w:hAnsi="Arial" w:cs="Arial"/>
          <w:sz w:val="22"/>
          <w:szCs w:val="22"/>
        </w:rPr>
        <w:t xml:space="preserve"> gas prices</w:t>
      </w:r>
      <w:r w:rsidRPr="009802CB">
        <w:rPr>
          <w:rFonts w:ascii="Arial" w:hAnsi="Arial" w:cs="Arial"/>
          <w:sz w:val="22"/>
          <w:szCs w:val="22"/>
        </w:rPr>
        <w:t>, respectively.</w:t>
      </w:r>
    </w:p>
    <w:p w:rsidR="00825EBB" w:rsidRPr="009802CB" w:rsidRDefault="00825EBB" w:rsidP="005E20A3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>$10 per ton C</w:t>
      </w:r>
      <w:r w:rsidR="007146FA" w:rsidRPr="009802CB">
        <w:rPr>
          <w:rFonts w:ascii="Arial" w:hAnsi="Arial" w:cs="Arial"/>
          <w:sz w:val="22"/>
          <w:szCs w:val="22"/>
        </w:rPr>
        <w:t>arbon</w:t>
      </w:r>
    </w:p>
    <w:p w:rsidR="00825EBB" w:rsidRPr="009802CB" w:rsidRDefault="00825EBB" w:rsidP="005E20A3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>Planning Scenarios 1</w:t>
      </w:r>
      <w:r w:rsidR="00D03129" w:rsidRPr="009802CB">
        <w:rPr>
          <w:rFonts w:ascii="Arial" w:hAnsi="Arial" w:cs="Arial"/>
          <w:sz w:val="22"/>
          <w:szCs w:val="22"/>
        </w:rPr>
        <w:t>3</w:t>
      </w:r>
      <w:r w:rsidRPr="009802CB">
        <w:rPr>
          <w:rFonts w:ascii="Arial" w:hAnsi="Arial" w:cs="Arial"/>
          <w:sz w:val="22"/>
          <w:szCs w:val="22"/>
        </w:rPr>
        <w:t>, 1</w:t>
      </w:r>
      <w:r w:rsidR="00D03129" w:rsidRPr="009802CB">
        <w:rPr>
          <w:rFonts w:ascii="Arial" w:hAnsi="Arial" w:cs="Arial"/>
          <w:sz w:val="22"/>
          <w:szCs w:val="22"/>
        </w:rPr>
        <w:t>6</w:t>
      </w:r>
      <w:r w:rsidRPr="009802CB">
        <w:rPr>
          <w:rFonts w:ascii="Arial" w:hAnsi="Arial" w:cs="Arial"/>
          <w:sz w:val="22"/>
          <w:szCs w:val="22"/>
        </w:rPr>
        <w:t xml:space="preserve">, and </w:t>
      </w:r>
      <w:r w:rsidR="00D03129" w:rsidRPr="009802CB">
        <w:rPr>
          <w:rFonts w:ascii="Arial" w:hAnsi="Arial" w:cs="Arial"/>
          <w:sz w:val="22"/>
          <w:szCs w:val="22"/>
        </w:rPr>
        <w:t>19</w:t>
      </w:r>
      <w:r w:rsidRPr="009802CB">
        <w:rPr>
          <w:rFonts w:ascii="Arial" w:hAnsi="Arial" w:cs="Arial"/>
          <w:sz w:val="22"/>
          <w:szCs w:val="22"/>
        </w:rPr>
        <w:t xml:space="preserve"> consider the combination of $10 per ton CO</w:t>
      </w:r>
      <w:r w:rsidRPr="009802CB">
        <w:rPr>
          <w:rFonts w:ascii="Arial" w:hAnsi="Arial" w:cs="Arial"/>
          <w:sz w:val="22"/>
          <w:szCs w:val="22"/>
          <w:vertAlign w:val="subscript"/>
        </w:rPr>
        <w:t>2</w:t>
      </w:r>
      <w:r w:rsidRPr="009802CB">
        <w:rPr>
          <w:rFonts w:ascii="Arial" w:hAnsi="Arial" w:cs="Arial"/>
          <w:sz w:val="22"/>
          <w:szCs w:val="22"/>
        </w:rPr>
        <w:t xml:space="preserve"> with</w:t>
      </w:r>
      <w:r w:rsidR="007146FA" w:rsidRPr="009802CB">
        <w:rPr>
          <w:rFonts w:ascii="Arial" w:hAnsi="Arial" w:cs="Arial"/>
          <w:sz w:val="22"/>
          <w:szCs w:val="22"/>
        </w:rPr>
        <w:t xml:space="preserve"> </w:t>
      </w:r>
      <w:r w:rsidRPr="009802CB">
        <w:rPr>
          <w:rFonts w:ascii="Arial" w:hAnsi="Arial" w:cs="Arial"/>
          <w:sz w:val="22"/>
          <w:szCs w:val="22"/>
        </w:rPr>
        <w:t>low, moderate</w:t>
      </w:r>
      <w:r w:rsidR="002E1E75" w:rsidRPr="009802CB">
        <w:rPr>
          <w:rFonts w:ascii="Arial" w:hAnsi="Arial" w:cs="Arial"/>
          <w:sz w:val="22"/>
          <w:szCs w:val="22"/>
        </w:rPr>
        <w:t>, and high</w:t>
      </w:r>
      <w:r w:rsidRPr="009802CB">
        <w:rPr>
          <w:rFonts w:ascii="Arial" w:hAnsi="Arial" w:cs="Arial"/>
          <w:sz w:val="22"/>
          <w:szCs w:val="22"/>
        </w:rPr>
        <w:t xml:space="preserve"> gas prices, respectively.</w:t>
      </w:r>
    </w:p>
    <w:p w:rsidR="00825EBB" w:rsidRPr="009802CB" w:rsidRDefault="00825EBB" w:rsidP="005E20A3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>$20 per ton C</w:t>
      </w:r>
      <w:r w:rsidR="007146FA" w:rsidRPr="009802CB">
        <w:rPr>
          <w:rFonts w:ascii="Arial" w:hAnsi="Arial" w:cs="Arial"/>
          <w:sz w:val="22"/>
          <w:szCs w:val="22"/>
        </w:rPr>
        <w:t>arbon</w:t>
      </w:r>
    </w:p>
    <w:p w:rsidR="00587F64" w:rsidRPr="009802CB" w:rsidRDefault="00825EBB" w:rsidP="005E20A3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 xml:space="preserve">Planning Scenarios </w:t>
      </w:r>
      <w:r w:rsidR="00D4572B" w:rsidRPr="009802CB">
        <w:rPr>
          <w:rFonts w:ascii="Arial" w:hAnsi="Arial" w:cs="Arial"/>
          <w:sz w:val="22"/>
          <w:szCs w:val="22"/>
        </w:rPr>
        <w:t>1</w:t>
      </w:r>
      <w:r w:rsidR="00D03129" w:rsidRPr="009802CB">
        <w:rPr>
          <w:rFonts w:ascii="Arial" w:hAnsi="Arial" w:cs="Arial"/>
          <w:sz w:val="22"/>
          <w:szCs w:val="22"/>
        </w:rPr>
        <w:t>4</w:t>
      </w:r>
      <w:r w:rsidRPr="009802CB">
        <w:rPr>
          <w:rFonts w:ascii="Arial" w:hAnsi="Arial" w:cs="Arial"/>
          <w:sz w:val="22"/>
          <w:szCs w:val="22"/>
        </w:rPr>
        <w:t xml:space="preserve">, </w:t>
      </w:r>
      <w:r w:rsidR="00D4572B" w:rsidRPr="009802CB">
        <w:rPr>
          <w:rFonts w:ascii="Arial" w:hAnsi="Arial" w:cs="Arial"/>
          <w:sz w:val="22"/>
          <w:szCs w:val="22"/>
        </w:rPr>
        <w:t>1</w:t>
      </w:r>
      <w:r w:rsidR="00D03129" w:rsidRPr="009802CB">
        <w:rPr>
          <w:rFonts w:ascii="Arial" w:hAnsi="Arial" w:cs="Arial"/>
          <w:sz w:val="22"/>
          <w:szCs w:val="22"/>
        </w:rPr>
        <w:t>7</w:t>
      </w:r>
      <w:r w:rsidRPr="009802CB">
        <w:rPr>
          <w:rFonts w:ascii="Arial" w:hAnsi="Arial" w:cs="Arial"/>
          <w:sz w:val="22"/>
          <w:szCs w:val="22"/>
        </w:rPr>
        <w:t>, and 2</w:t>
      </w:r>
      <w:r w:rsidR="00D03129" w:rsidRPr="009802CB">
        <w:rPr>
          <w:rFonts w:ascii="Arial" w:hAnsi="Arial" w:cs="Arial"/>
          <w:sz w:val="22"/>
          <w:szCs w:val="22"/>
        </w:rPr>
        <w:t>0</w:t>
      </w:r>
      <w:r w:rsidRPr="009802CB">
        <w:rPr>
          <w:rFonts w:ascii="Arial" w:hAnsi="Arial" w:cs="Arial"/>
          <w:sz w:val="22"/>
          <w:szCs w:val="22"/>
        </w:rPr>
        <w:t xml:space="preserve"> consider the combination of $20 per ton CO</w:t>
      </w:r>
      <w:r w:rsidRPr="009802CB">
        <w:rPr>
          <w:rFonts w:ascii="Arial" w:hAnsi="Arial" w:cs="Arial"/>
          <w:sz w:val="22"/>
          <w:szCs w:val="22"/>
          <w:vertAlign w:val="subscript"/>
        </w:rPr>
        <w:t>2</w:t>
      </w:r>
      <w:r w:rsidR="00C579D5" w:rsidRPr="009802CB">
        <w:rPr>
          <w:rFonts w:ascii="Arial" w:hAnsi="Arial" w:cs="Arial"/>
          <w:sz w:val="22"/>
          <w:szCs w:val="22"/>
        </w:rPr>
        <w:t xml:space="preserve"> </w:t>
      </w:r>
      <w:r w:rsidR="002E1E75" w:rsidRPr="009802CB">
        <w:rPr>
          <w:rFonts w:ascii="Arial" w:hAnsi="Arial" w:cs="Arial"/>
          <w:sz w:val="22"/>
          <w:szCs w:val="22"/>
        </w:rPr>
        <w:t>with</w:t>
      </w:r>
      <w:r w:rsidR="007146FA" w:rsidRPr="009802CB">
        <w:rPr>
          <w:rFonts w:ascii="Arial" w:hAnsi="Arial" w:cs="Arial"/>
          <w:sz w:val="22"/>
          <w:szCs w:val="22"/>
        </w:rPr>
        <w:t xml:space="preserve"> </w:t>
      </w:r>
      <w:r w:rsidRPr="009802CB">
        <w:rPr>
          <w:rFonts w:ascii="Arial" w:hAnsi="Arial" w:cs="Arial"/>
          <w:sz w:val="22"/>
          <w:szCs w:val="22"/>
        </w:rPr>
        <w:t>low, moderate</w:t>
      </w:r>
      <w:r w:rsidR="002E1E75" w:rsidRPr="009802CB">
        <w:rPr>
          <w:rFonts w:ascii="Arial" w:hAnsi="Arial" w:cs="Arial"/>
          <w:sz w:val="22"/>
          <w:szCs w:val="22"/>
        </w:rPr>
        <w:t>, and high</w:t>
      </w:r>
      <w:r w:rsidRPr="009802CB">
        <w:rPr>
          <w:rFonts w:ascii="Arial" w:hAnsi="Arial" w:cs="Arial"/>
          <w:sz w:val="22"/>
          <w:szCs w:val="22"/>
        </w:rPr>
        <w:t xml:space="preserve"> gas prices, respectively.</w:t>
      </w:r>
    </w:p>
    <w:p w:rsidR="005C6DD8" w:rsidRDefault="005C6DD8" w:rsidP="005E20A3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9802CB" w:rsidRPr="009802CB" w:rsidRDefault="009802CB" w:rsidP="005E20A3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9802CB" w:rsidRDefault="008C3499" w:rsidP="005E20A3">
      <w:p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 xml:space="preserve">See the </w:t>
      </w:r>
      <w:r w:rsidR="00981A2F" w:rsidRPr="009802CB">
        <w:rPr>
          <w:rFonts w:ascii="Arial" w:hAnsi="Arial" w:cs="Arial"/>
          <w:sz w:val="22"/>
          <w:szCs w:val="22"/>
        </w:rPr>
        <w:t>Resource Mix Study in Technical Appendix Volume 1</w:t>
      </w:r>
      <w:r w:rsidRPr="009802CB">
        <w:rPr>
          <w:rFonts w:ascii="Arial" w:hAnsi="Arial" w:cs="Arial"/>
          <w:sz w:val="22"/>
          <w:szCs w:val="22"/>
        </w:rPr>
        <w:t xml:space="preserve"> for more detailed descriptions of the sensitivities </w:t>
      </w:r>
      <w:r w:rsidR="00A11843" w:rsidRPr="009802CB">
        <w:rPr>
          <w:rFonts w:ascii="Arial" w:hAnsi="Arial" w:cs="Arial"/>
          <w:sz w:val="22"/>
          <w:szCs w:val="22"/>
        </w:rPr>
        <w:t xml:space="preserve">and planning scenarios </w:t>
      </w:r>
      <w:r w:rsidRPr="009802CB">
        <w:rPr>
          <w:rFonts w:ascii="Arial" w:hAnsi="Arial" w:cs="Arial"/>
          <w:sz w:val="22"/>
          <w:szCs w:val="22"/>
        </w:rPr>
        <w:t>performed and the resulting changes in the amounts and timing of new unit additions.</w:t>
      </w:r>
      <w:r w:rsidR="009802CB">
        <w:rPr>
          <w:rFonts w:ascii="Arial" w:hAnsi="Arial" w:cs="Arial"/>
          <w:b/>
          <w:sz w:val="22"/>
          <w:szCs w:val="22"/>
        </w:rPr>
        <w:br w:type="page"/>
      </w:r>
    </w:p>
    <w:p w:rsidR="005E20A3" w:rsidRDefault="008C3499" w:rsidP="005E20A3">
      <w:pPr>
        <w:pStyle w:val="Heading1"/>
      </w:pPr>
      <w:r w:rsidRPr="009802CB">
        <w:lastRenderedPageBreak/>
        <w:t>B.  Assumptions and Results</w:t>
      </w:r>
    </w:p>
    <w:p w:rsidR="005E20A3" w:rsidRPr="005E20A3" w:rsidRDefault="005E20A3" w:rsidP="008C3499">
      <w:pPr>
        <w:tabs>
          <w:tab w:val="left" w:pos="360"/>
        </w:tabs>
        <w:rPr>
          <w:rFonts w:ascii="Arial" w:hAnsi="Arial" w:cs="Arial"/>
          <w:sz w:val="22"/>
          <w:szCs w:val="22"/>
        </w:rPr>
      </w:pPr>
    </w:p>
    <w:p w:rsidR="008C3499" w:rsidRPr="009802CB" w:rsidRDefault="008C3499" w:rsidP="005E20A3">
      <w:pPr>
        <w:pStyle w:val="Heading3"/>
      </w:pPr>
      <w:r w:rsidRPr="009802CB">
        <w:t>B.1</w:t>
      </w:r>
      <w:r w:rsidR="009802CB">
        <w:t>.</w:t>
      </w:r>
      <w:r w:rsidRPr="009802CB">
        <w:t xml:space="preserve">  </w:t>
      </w:r>
      <w:r w:rsidR="0079711F" w:rsidRPr="009802CB">
        <w:t xml:space="preserve">Inflation </w:t>
      </w:r>
      <w:r w:rsidRPr="009802CB">
        <w:t>Assumptions</w:t>
      </w:r>
    </w:p>
    <w:p w:rsidR="005E20A3" w:rsidRDefault="005E20A3" w:rsidP="008C3499">
      <w:pPr>
        <w:rPr>
          <w:rFonts w:ascii="Arial" w:hAnsi="Arial" w:cs="Arial"/>
          <w:sz w:val="22"/>
          <w:szCs w:val="22"/>
        </w:rPr>
      </w:pPr>
    </w:p>
    <w:p w:rsidR="008C3499" w:rsidRPr="005E20A3" w:rsidRDefault="005E20A3" w:rsidP="005E20A3">
      <w:pPr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 xml:space="preserve">The overall level of inflation assumed in this analysis is </w:t>
      </w:r>
      <w:r w:rsidRPr="0062246D">
        <w:rPr>
          <w:rFonts w:ascii="Arial" w:hAnsi="Arial" w:cs="Arial"/>
          <w:b/>
          <w:sz w:val="10"/>
          <w:szCs w:val="22"/>
        </w:rPr>
        <w:t>REDACTED</w:t>
      </w:r>
      <w:r w:rsidRPr="009802CB">
        <w:rPr>
          <w:rFonts w:ascii="Arial" w:hAnsi="Arial" w:cs="Arial"/>
          <w:sz w:val="22"/>
          <w:szCs w:val="22"/>
        </w:rPr>
        <w:t>, based on the NIPA:</w:t>
      </w:r>
      <w:r>
        <w:rPr>
          <w:rFonts w:ascii="Arial" w:hAnsi="Arial" w:cs="Arial"/>
          <w:sz w:val="22"/>
          <w:szCs w:val="22"/>
        </w:rPr>
        <w:t xml:space="preserve"> </w:t>
      </w:r>
      <w:r w:rsidRPr="009802CB">
        <w:rPr>
          <w:rFonts w:ascii="Arial" w:hAnsi="Arial" w:cs="Arial"/>
          <w:sz w:val="22"/>
          <w:szCs w:val="22"/>
        </w:rPr>
        <w:t>Implicit Price Deflator – GDP index contained in the March 2018 economic forecast from IHS Markit.</w:t>
      </w:r>
      <w:r>
        <w:rPr>
          <w:rFonts w:ascii="Arial" w:hAnsi="Arial" w:cs="Arial"/>
          <w:sz w:val="22"/>
          <w:szCs w:val="22"/>
        </w:rPr>
        <w:t xml:space="preserve"> </w:t>
      </w:r>
      <w:r w:rsidRPr="009802CB">
        <w:rPr>
          <w:rFonts w:ascii="Arial" w:hAnsi="Arial" w:cs="Arial"/>
          <w:sz w:val="22"/>
          <w:szCs w:val="22"/>
        </w:rPr>
        <w:t xml:space="preserve">Escalation of O&amp;M and capital expenditures is </w:t>
      </w:r>
      <w:r w:rsidRPr="0062246D">
        <w:rPr>
          <w:rFonts w:ascii="Arial" w:hAnsi="Arial" w:cs="Arial"/>
          <w:b/>
          <w:sz w:val="10"/>
          <w:szCs w:val="22"/>
        </w:rPr>
        <w:t>REDACTED</w:t>
      </w:r>
      <w:r w:rsidRPr="0062246D">
        <w:rPr>
          <w:rFonts w:ascii="Arial" w:hAnsi="Arial" w:cs="Arial"/>
          <w:sz w:val="10"/>
          <w:szCs w:val="22"/>
        </w:rPr>
        <w:t xml:space="preserve"> </w:t>
      </w:r>
      <w:r w:rsidRPr="009802CB">
        <w:rPr>
          <w:rFonts w:ascii="Arial" w:hAnsi="Arial" w:cs="Arial"/>
          <w:sz w:val="22"/>
          <w:szCs w:val="22"/>
        </w:rPr>
        <w:t>based on the Producer Price Index (PPI), All Commodities from the March 2018 IHS Markit forecast.</w:t>
      </w:r>
    </w:p>
    <w:p w:rsidR="005E20A3" w:rsidRPr="009802CB" w:rsidRDefault="005E20A3" w:rsidP="008C3499">
      <w:pPr>
        <w:rPr>
          <w:rFonts w:ascii="Arial" w:hAnsi="Arial" w:cs="Arial"/>
          <w:b/>
          <w:sz w:val="22"/>
          <w:szCs w:val="22"/>
        </w:rPr>
      </w:pPr>
    </w:p>
    <w:p w:rsidR="005E20A3" w:rsidRDefault="008C3499" w:rsidP="005E20A3">
      <w:pPr>
        <w:pStyle w:val="Heading3"/>
      </w:pPr>
      <w:r w:rsidRPr="009802CB">
        <w:t>B.2</w:t>
      </w:r>
      <w:r w:rsidR="009802CB">
        <w:t>.</w:t>
      </w:r>
      <w:r w:rsidRPr="009802CB">
        <w:t xml:space="preserve">  Cost of Capital, Capital Structure, AFUDC and Tax Rate Assumptions</w:t>
      </w:r>
    </w:p>
    <w:p w:rsidR="005E20A3" w:rsidRDefault="005E20A3" w:rsidP="008C3499">
      <w:pPr>
        <w:tabs>
          <w:tab w:val="left" w:pos="360"/>
        </w:tabs>
        <w:rPr>
          <w:rFonts w:ascii="Arial" w:hAnsi="Arial" w:cs="Arial"/>
          <w:sz w:val="22"/>
          <w:szCs w:val="22"/>
        </w:rPr>
      </w:pPr>
    </w:p>
    <w:p w:rsidR="008C3499" w:rsidRPr="009802CB" w:rsidRDefault="008C3499" w:rsidP="005E20A3">
      <w:pPr>
        <w:tabs>
          <w:tab w:val="left" w:pos="360"/>
        </w:tabs>
        <w:jc w:val="both"/>
        <w:rPr>
          <w:rFonts w:ascii="Arial" w:hAnsi="Arial" w:cs="Arial"/>
          <w:color w:val="FF0000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 xml:space="preserve">The costs of each of the IRP </w:t>
      </w:r>
      <w:r w:rsidR="00CA5F0F" w:rsidRPr="009802CB">
        <w:rPr>
          <w:rFonts w:ascii="Arial" w:hAnsi="Arial" w:cs="Arial"/>
          <w:sz w:val="22"/>
          <w:szCs w:val="22"/>
        </w:rPr>
        <w:t>sensitivities, except for sensitivit</w:t>
      </w:r>
      <w:r w:rsidR="00FB70C3" w:rsidRPr="009802CB">
        <w:rPr>
          <w:rFonts w:ascii="Arial" w:hAnsi="Arial" w:cs="Arial"/>
          <w:sz w:val="22"/>
          <w:szCs w:val="22"/>
        </w:rPr>
        <w:t>y 8</w:t>
      </w:r>
      <w:r w:rsidR="00CA5F0F" w:rsidRPr="009802CB">
        <w:rPr>
          <w:rFonts w:ascii="Arial" w:hAnsi="Arial" w:cs="Arial"/>
          <w:sz w:val="22"/>
          <w:szCs w:val="22"/>
        </w:rPr>
        <w:t xml:space="preserve">, </w:t>
      </w:r>
      <w:r w:rsidRPr="009802CB">
        <w:rPr>
          <w:rFonts w:ascii="Arial" w:hAnsi="Arial" w:cs="Arial"/>
          <w:sz w:val="22"/>
          <w:szCs w:val="22"/>
        </w:rPr>
        <w:t>were evaluated using a regulated electric utility discount rate based on the following financial assumptions:</w:t>
      </w:r>
    </w:p>
    <w:p w:rsidR="008C3499" w:rsidRPr="009802CB" w:rsidRDefault="008C3499" w:rsidP="008C3499">
      <w:pPr>
        <w:pStyle w:val="BodyText"/>
        <w:ind w:left="360" w:hanging="360"/>
        <w:rPr>
          <w:rFonts w:ascii="Arial" w:hAnsi="Arial" w:cs="Arial"/>
          <w:color w:val="FF0000"/>
          <w:sz w:val="22"/>
          <w:szCs w:val="22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2070"/>
        <w:gridCol w:w="2358"/>
        <w:gridCol w:w="2592"/>
        <w:gridCol w:w="2124"/>
      </w:tblGrid>
      <w:tr w:rsidR="008C3499" w:rsidRPr="009802CB">
        <w:trPr>
          <w:trHeight w:val="593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</w:tcBorders>
          </w:tcPr>
          <w:p w:rsidR="008C3499" w:rsidRPr="009802CB" w:rsidRDefault="008C3499" w:rsidP="008C349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tcBorders>
              <w:top w:val="single" w:sz="4" w:space="0" w:color="auto"/>
            </w:tcBorders>
          </w:tcPr>
          <w:p w:rsidR="008C3499" w:rsidRPr="009802CB" w:rsidRDefault="008C3499" w:rsidP="008C34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C3499" w:rsidRPr="009802CB" w:rsidRDefault="008C3499" w:rsidP="008C3499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802CB">
              <w:rPr>
                <w:rFonts w:ascii="Arial" w:hAnsi="Arial" w:cs="Arial"/>
                <w:sz w:val="22"/>
                <w:szCs w:val="22"/>
                <w:u w:val="single"/>
              </w:rPr>
              <w:t>Structure</w:t>
            </w:r>
          </w:p>
        </w:tc>
        <w:tc>
          <w:tcPr>
            <w:tcW w:w="2592" w:type="dxa"/>
            <w:tcBorders>
              <w:top w:val="single" w:sz="4" w:space="0" w:color="auto"/>
            </w:tcBorders>
          </w:tcPr>
          <w:p w:rsidR="008C3499" w:rsidRPr="009802CB" w:rsidRDefault="008C3499" w:rsidP="008C3499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8C3499" w:rsidRPr="009802CB" w:rsidRDefault="008C3499" w:rsidP="008C3499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802CB">
              <w:rPr>
                <w:rFonts w:ascii="Arial" w:hAnsi="Arial" w:cs="Arial"/>
                <w:sz w:val="22"/>
                <w:szCs w:val="22"/>
                <w:u w:val="single"/>
              </w:rPr>
              <w:t>Cost</w:t>
            </w:r>
          </w:p>
        </w:tc>
        <w:tc>
          <w:tcPr>
            <w:tcW w:w="2124" w:type="dxa"/>
            <w:tcBorders>
              <w:top w:val="single" w:sz="4" w:space="0" w:color="auto"/>
              <w:right w:val="single" w:sz="4" w:space="0" w:color="auto"/>
            </w:tcBorders>
          </w:tcPr>
          <w:p w:rsidR="008C3499" w:rsidRPr="009802CB" w:rsidRDefault="008C3499" w:rsidP="008C34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2CB">
              <w:rPr>
                <w:rFonts w:ascii="Arial" w:hAnsi="Arial" w:cs="Arial"/>
                <w:sz w:val="22"/>
                <w:szCs w:val="22"/>
              </w:rPr>
              <w:t>After-Tax</w:t>
            </w:r>
          </w:p>
          <w:p w:rsidR="008C3499" w:rsidRPr="009802CB" w:rsidRDefault="008C3499" w:rsidP="008C3499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802CB">
              <w:rPr>
                <w:rFonts w:ascii="Arial" w:hAnsi="Arial" w:cs="Arial"/>
                <w:sz w:val="22"/>
                <w:szCs w:val="22"/>
                <w:u w:val="single"/>
              </w:rPr>
              <w:t>Weighted Cost*</w:t>
            </w:r>
          </w:p>
        </w:tc>
      </w:tr>
      <w:tr w:rsidR="008C3499" w:rsidRPr="009802CB">
        <w:tc>
          <w:tcPr>
            <w:tcW w:w="2070" w:type="dxa"/>
            <w:tcBorders>
              <w:left w:val="single" w:sz="4" w:space="0" w:color="auto"/>
            </w:tcBorders>
          </w:tcPr>
          <w:p w:rsidR="008C3499" w:rsidRPr="009802CB" w:rsidRDefault="008C3499" w:rsidP="008C3499">
            <w:pPr>
              <w:rPr>
                <w:rFonts w:ascii="Arial" w:hAnsi="Arial" w:cs="Arial"/>
                <w:sz w:val="22"/>
                <w:szCs w:val="22"/>
              </w:rPr>
            </w:pPr>
            <w:r w:rsidRPr="009802CB">
              <w:rPr>
                <w:rFonts w:ascii="Arial" w:hAnsi="Arial" w:cs="Arial"/>
                <w:sz w:val="22"/>
                <w:szCs w:val="22"/>
              </w:rPr>
              <w:t>Debt</w:t>
            </w:r>
          </w:p>
        </w:tc>
        <w:tc>
          <w:tcPr>
            <w:tcW w:w="2358" w:type="dxa"/>
          </w:tcPr>
          <w:p w:rsidR="008C3499" w:rsidRPr="009802CB" w:rsidRDefault="007521A1" w:rsidP="008C34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2CB">
              <w:rPr>
                <w:rFonts w:ascii="Arial" w:hAnsi="Arial" w:cs="Arial"/>
                <w:sz w:val="22"/>
                <w:szCs w:val="22"/>
              </w:rPr>
              <w:t>45</w:t>
            </w:r>
            <w:r w:rsidR="008C3499" w:rsidRPr="009802CB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2592" w:type="dxa"/>
          </w:tcPr>
          <w:p w:rsidR="008C3499" w:rsidRPr="0062246D" w:rsidRDefault="00B930EA" w:rsidP="00D569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2246D">
              <w:rPr>
                <w:rFonts w:ascii="Arial" w:hAnsi="Arial" w:cs="Arial"/>
                <w:b/>
                <w:sz w:val="22"/>
                <w:szCs w:val="22"/>
              </w:rPr>
              <w:t>REDACTED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8C3499" w:rsidRPr="009802CB" w:rsidRDefault="0062246D" w:rsidP="00D569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246D">
              <w:rPr>
                <w:rFonts w:ascii="Arial" w:hAnsi="Arial" w:cs="Arial"/>
                <w:b/>
                <w:sz w:val="22"/>
                <w:szCs w:val="22"/>
              </w:rPr>
              <w:t>REDACTED</w:t>
            </w:r>
          </w:p>
        </w:tc>
      </w:tr>
      <w:tr w:rsidR="008C3499" w:rsidRPr="009802CB">
        <w:trPr>
          <w:trHeight w:val="333"/>
        </w:trPr>
        <w:tc>
          <w:tcPr>
            <w:tcW w:w="2070" w:type="dxa"/>
            <w:tcBorders>
              <w:left w:val="single" w:sz="4" w:space="0" w:color="auto"/>
            </w:tcBorders>
          </w:tcPr>
          <w:p w:rsidR="008C3499" w:rsidRPr="009802CB" w:rsidRDefault="008C3499" w:rsidP="008C3499">
            <w:pPr>
              <w:pStyle w:val="Heading2"/>
              <w:tabs>
                <w:tab w:val="clear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9802CB">
              <w:rPr>
                <w:rFonts w:ascii="Arial" w:hAnsi="Arial" w:cs="Arial"/>
                <w:sz w:val="22"/>
                <w:szCs w:val="22"/>
              </w:rPr>
              <w:t>Common Equity</w:t>
            </w:r>
          </w:p>
        </w:tc>
        <w:tc>
          <w:tcPr>
            <w:tcW w:w="2358" w:type="dxa"/>
          </w:tcPr>
          <w:p w:rsidR="008C3499" w:rsidRPr="009802CB" w:rsidRDefault="007521A1" w:rsidP="008C34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2CB">
              <w:rPr>
                <w:rFonts w:ascii="Arial" w:hAnsi="Arial" w:cs="Arial"/>
                <w:sz w:val="22"/>
                <w:szCs w:val="22"/>
              </w:rPr>
              <w:t>5</w:t>
            </w:r>
            <w:r w:rsidR="008C3499" w:rsidRPr="009802CB">
              <w:rPr>
                <w:rFonts w:ascii="Arial" w:hAnsi="Arial" w:cs="Arial"/>
                <w:sz w:val="22"/>
                <w:szCs w:val="22"/>
              </w:rPr>
              <w:t>5%</w:t>
            </w:r>
          </w:p>
        </w:tc>
        <w:tc>
          <w:tcPr>
            <w:tcW w:w="2592" w:type="dxa"/>
          </w:tcPr>
          <w:p w:rsidR="008C3499" w:rsidRPr="009802CB" w:rsidRDefault="0062246D" w:rsidP="008C34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246D">
              <w:rPr>
                <w:rFonts w:ascii="Arial" w:hAnsi="Arial" w:cs="Arial"/>
                <w:b/>
                <w:sz w:val="22"/>
                <w:szCs w:val="22"/>
              </w:rPr>
              <w:t>REDACTED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8C3499" w:rsidRPr="009802CB" w:rsidRDefault="0062246D" w:rsidP="008C3499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2246D">
              <w:rPr>
                <w:rFonts w:ascii="Arial" w:hAnsi="Arial" w:cs="Arial"/>
                <w:b/>
                <w:sz w:val="22"/>
                <w:szCs w:val="22"/>
                <w:u w:val="single"/>
              </w:rPr>
              <w:t>REDACTED</w:t>
            </w:r>
          </w:p>
        </w:tc>
      </w:tr>
      <w:tr w:rsidR="008C3499" w:rsidRPr="009802CB">
        <w:trPr>
          <w:cantSplit/>
        </w:trPr>
        <w:tc>
          <w:tcPr>
            <w:tcW w:w="702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8C3499" w:rsidRPr="009802CB" w:rsidRDefault="008C3499" w:rsidP="008C3499">
            <w:pPr>
              <w:pStyle w:val="Heading2"/>
              <w:tabs>
                <w:tab w:val="clear" w:pos="36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802CB">
              <w:rPr>
                <w:rFonts w:ascii="Arial" w:hAnsi="Arial" w:cs="Arial"/>
                <w:b/>
                <w:sz w:val="22"/>
                <w:szCs w:val="22"/>
              </w:rPr>
              <w:t>Discount Rate = Weighted After-Tax Cost of Capital (WACC) =</w:t>
            </w:r>
          </w:p>
        </w:tc>
        <w:tc>
          <w:tcPr>
            <w:tcW w:w="2124" w:type="dxa"/>
            <w:tcBorders>
              <w:bottom w:val="single" w:sz="4" w:space="0" w:color="auto"/>
              <w:right w:val="single" w:sz="4" w:space="0" w:color="auto"/>
            </w:tcBorders>
          </w:tcPr>
          <w:p w:rsidR="008C3499" w:rsidRPr="009802CB" w:rsidRDefault="0062246D" w:rsidP="00D569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246D">
              <w:rPr>
                <w:rFonts w:ascii="Arial" w:hAnsi="Arial" w:cs="Arial"/>
                <w:b/>
                <w:sz w:val="22"/>
                <w:szCs w:val="22"/>
              </w:rPr>
              <w:t>REDACTED</w:t>
            </w:r>
          </w:p>
        </w:tc>
      </w:tr>
    </w:tbl>
    <w:p w:rsidR="008C3499" w:rsidRPr="009802CB" w:rsidRDefault="008C3499" w:rsidP="008C3499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ab/>
      </w:r>
      <w:r w:rsidRPr="009802CB">
        <w:rPr>
          <w:rFonts w:ascii="Arial" w:hAnsi="Arial" w:cs="Arial"/>
          <w:sz w:val="22"/>
          <w:szCs w:val="22"/>
        </w:rPr>
        <w:tab/>
      </w:r>
      <w:r w:rsidRPr="009802CB">
        <w:rPr>
          <w:rFonts w:ascii="Arial" w:hAnsi="Arial" w:cs="Arial"/>
          <w:sz w:val="22"/>
          <w:szCs w:val="22"/>
        </w:rPr>
        <w:tab/>
      </w:r>
      <w:r w:rsidRPr="009802CB">
        <w:rPr>
          <w:rFonts w:ascii="Arial" w:hAnsi="Arial" w:cs="Arial"/>
          <w:sz w:val="22"/>
          <w:szCs w:val="22"/>
        </w:rPr>
        <w:tab/>
      </w:r>
      <w:r w:rsidRPr="009802CB">
        <w:rPr>
          <w:rFonts w:ascii="Arial" w:hAnsi="Arial" w:cs="Arial"/>
          <w:sz w:val="22"/>
          <w:szCs w:val="22"/>
        </w:rPr>
        <w:tab/>
      </w:r>
      <w:r w:rsidRPr="009802CB">
        <w:rPr>
          <w:rFonts w:ascii="Arial" w:hAnsi="Arial" w:cs="Arial"/>
          <w:sz w:val="22"/>
          <w:szCs w:val="22"/>
        </w:rPr>
        <w:tab/>
      </w:r>
      <w:r w:rsidR="0001580C" w:rsidRPr="009802CB">
        <w:rPr>
          <w:rFonts w:ascii="Arial" w:hAnsi="Arial" w:cs="Arial"/>
          <w:sz w:val="22"/>
          <w:szCs w:val="22"/>
        </w:rPr>
        <w:tab/>
      </w:r>
      <w:r w:rsidRPr="009802CB">
        <w:rPr>
          <w:rFonts w:ascii="Arial" w:hAnsi="Arial" w:cs="Arial"/>
          <w:sz w:val="22"/>
          <w:szCs w:val="22"/>
        </w:rPr>
        <w:tab/>
      </w:r>
      <w:r w:rsidRPr="009802CB">
        <w:rPr>
          <w:rFonts w:ascii="Arial" w:hAnsi="Arial" w:cs="Arial"/>
          <w:i/>
          <w:sz w:val="22"/>
          <w:szCs w:val="22"/>
        </w:rPr>
        <w:t xml:space="preserve">(*based on </w:t>
      </w:r>
      <w:r w:rsidR="007521A1" w:rsidRPr="009802CB">
        <w:rPr>
          <w:rFonts w:ascii="Arial" w:hAnsi="Arial" w:cs="Arial"/>
          <w:i/>
          <w:sz w:val="22"/>
          <w:szCs w:val="22"/>
        </w:rPr>
        <w:t>25.5</w:t>
      </w:r>
      <w:r w:rsidRPr="009802CB">
        <w:rPr>
          <w:rFonts w:ascii="Arial" w:hAnsi="Arial" w:cs="Arial"/>
          <w:i/>
          <w:sz w:val="22"/>
          <w:szCs w:val="22"/>
        </w:rPr>
        <w:t>% composite tax rate)</w:t>
      </w:r>
    </w:p>
    <w:p w:rsidR="00D6585D" w:rsidRPr="009802CB" w:rsidRDefault="00D6585D" w:rsidP="00167EE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C3499" w:rsidRPr="009802CB" w:rsidRDefault="008C3499" w:rsidP="005E20A3">
      <w:pPr>
        <w:pStyle w:val="BodyText"/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>The costs of capital for new generation could be higher than this.</w:t>
      </w:r>
      <w:r w:rsidR="0062246D">
        <w:rPr>
          <w:rFonts w:ascii="Arial" w:hAnsi="Arial" w:cs="Arial"/>
          <w:sz w:val="22"/>
          <w:szCs w:val="22"/>
        </w:rPr>
        <w:t xml:space="preserve"> </w:t>
      </w:r>
      <w:r w:rsidRPr="009802CB">
        <w:rPr>
          <w:rFonts w:ascii="Arial" w:hAnsi="Arial" w:cs="Arial"/>
          <w:sz w:val="22"/>
          <w:szCs w:val="22"/>
        </w:rPr>
        <w:t xml:space="preserve">To address this uncertainty, </w:t>
      </w:r>
      <w:r w:rsidR="00FB70C3" w:rsidRPr="009802CB">
        <w:rPr>
          <w:rFonts w:ascii="Arial" w:hAnsi="Arial" w:cs="Arial"/>
          <w:sz w:val="22"/>
          <w:szCs w:val="22"/>
        </w:rPr>
        <w:t>a</w:t>
      </w:r>
      <w:r w:rsidRPr="009802CB">
        <w:rPr>
          <w:rFonts w:ascii="Arial" w:hAnsi="Arial" w:cs="Arial"/>
          <w:sz w:val="22"/>
          <w:szCs w:val="22"/>
        </w:rPr>
        <w:t xml:space="preserve"> scenario</w:t>
      </w:r>
      <w:r w:rsidR="00FB70C3" w:rsidRPr="009802CB">
        <w:rPr>
          <w:rFonts w:ascii="Arial" w:hAnsi="Arial" w:cs="Arial"/>
          <w:sz w:val="22"/>
          <w:szCs w:val="22"/>
        </w:rPr>
        <w:t xml:space="preserve"> was</w:t>
      </w:r>
      <w:r w:rsidRPr="009802CB">
        <w:rPr>
          <w:rFonts w:ascii="Arial" w:hAnsi="Arial" w:cs="Arial"/>
          <w:sz w:val="22"/>
          <w:szCs w:val="22"/>
        </w:rPr>
        <w:t xml:space="preserve"> developed (</w:t>
      </w:r>
      <w:r w:rsidR="006A5A62" w:rsidRPr="009802CB">
        <w:rPr>
          <w:rFonts w:ascii="Arial" w:hAnsi="Arial" w:cs="Arial"/>
          <w:sz w:val="22"/>
          <w:szCs w:val="22"/>
        </w:rPr>
        <w:t>sensiti</w:t>
      </w:r>
      <w:r w:rsidRPr="009802CB">
        <w:rPr>
          <w:rFonts w:ascii="Arial" w:hAnsi="Arial" w:cs="Arial"/>
          <w:sz w:val="22"/>
          <w:szCs w:val="22"/>
        </w:rPr>
        <w:t>v</w:t>
      </w:r>
      <w:r w:rsidR="006312B2" w:rsidRPr="009802CB">
        <w:rPr>
          <w:rFonts w:ascii="Arial" w:hAnsi="Arial" w:cs="Arial"/>
          <w:sz w:val="22"/>
          <w:szCs w:val="22"/>
        </w:rPr>
        <w:t>ity</w:t>
      </w:r>
      <w:r w:rsidRPr="009802CB">
        <w:rPr>
          <w:rFonts w:ascii="Arial" w:hAnsi="Arial" w:cs="Arial"/>
          <w:sz w:val="22"/>
          <w:szCs w:val="22"/>
        </w:rPr>
        <w:t xml:space="preserve"> </w:t>
      </w:r>
      <w:r w:rsidR="006A5A62" w:rsidRPr="009802CB">
        <w:rPr>
          <w:rFonts w:ascii="Arial" w:hAnsi="Arial" w:cs="Arial"/>
          <w:sz w:val="22"/>
          <w:szCs w:val="22"/>
        </w:rPr>
        <w:t>8</w:t>
      </w:r>
      <w:r w:rsidRPr="009802CB">
        <w:rPr>
          <w:rFonts w:ascii="Arial" w:hAnsi="Arial" w:cs="Arial"/>
          <w:sz w:val="22"/>
          <w:szCs w:val="22"/>
        </w:rPr>
        <w:t xml:space="preserve">) which increased </w:t>
      </w:r>
      <w:r w:rsidR="006A5A62" w:rsidRPr="009802CB">
        <w:rPr>
          <w:rFonts w:ascii="Arial" w:hAnsi="Arial" w:cs="Arial"/>
          <w:sz w:val="22"/>
          <w:szCs w:val="22"/>
        </w:rPr>
        <w:t xml:space="preserve">each component of </w:t>
      </w:r>
      <w:r w:rsidRPr="009802CB">
        <w:rPr>
          <w:rFonts w:ascii="Arial" w:hAnsi="Arial" w:cs="Arial"/>
          <w:sz w:val="22"/>
          <w:szCs w:val="22"/>
        </w:rPr>
        <w:t xml:space="preserve">the cost of capital by </w:t>
      </w:r>
      <w:r w:rsidR="009030E0" w:rsidRPr="009802CB">
        <w:rPr>
          <w:rFonts w:ascii="Arial" w:hAnsi="Arial" w:cs="Arial"/>
          <w:sz w:val="22"/>
          <w:szCs w:val="22"/>
        </w:rPr>
        <w:t xml:space="preserve">approximately </w:t>
      </w:r>
      <w:r w:rsidR="006A5A62" w:rsidRPr="009802CB">
        <w:rPr>
          <w:rFonts w:ascii="Arial" w:hAnsi="Arial" w:cs="Arial"/>
          <w:sz w:val="22"/>
          <w:szCs w:val="22"/>
        </w:rPr>
        <w:t>10%</w:t>
      </w:r>
      <w:r w:rsidRPr="009802CB">
        <w:rPr>
          <w:rFonts w:ascii="Arial" w:hAnsi="Arial" w:cs="Arial"/>
          <w:sz w:val="22"/>
          <w:szCs w:val="22"/>
        </w:rPr>
        <w:t xml:space="preserve"> as follows:</w:t>
      </w:r>
    </w:p>
    <w:p w:rsidR="008C3499" w:rsidRPr="009802CB" w:rsidRDefault="008C3499" w:rsidP="008C3499">
      <w:pPr>
        <w:pStyle w:val="BodyText"/>
        <w:ind w:left="360" w:hanging="360"/>
        <w:rPr>
          <w:rFonts w:ascii="Arial" w:hAnsi="Arial" w:cs="Arial"/>
          <w:strike/>
          <w:sz w:val="22"/>
          <w:szCs w:val="22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2070"/>
        <w:gridCol w:w="2358"/>
        <w:gridCol w:w="2592"/>
        <w:gridCol w:w="2124"/>
      </w:tblGrid>
      <w:tr w:rsidR="008C3499" w:rsidRPr="009802CB">
        <w:trPr>
          <w:trHeight w:val="602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</w:tcBorders>
          </w:tcPr>
          <w:p w:rsidR="008C3499" w:rsidRPr="009802CB" w:rsidRDefault="008C3499" w:rsidP="008C3499">
            <w:pPr>
              <w:rPr>
                <w:rFonts w:ascii="Arial" w:hAnsi="Arial" w:cs="Arial"/>
                <w:sz w:val="22"/>
                <w:szCs w:val="22"/>
              </w:rPr>
            </w:pPr>
            <w:bookmarkStart w:id="1" w:name="_Hlk531263544"/>
          </w:p>
        </w:tc>
        <w:tc>
          <w:tcPr>
            <w:tcW w:w="2358" w:type="dxa"/>
            <w:tcBorders>
              <w:top w:val="single" w:sz="4" w:space="0" w:color="auto"/>
            </w:tcBorders>
          </w:tcPr>
          <w:p w:rsidR="008C3499" w:rsidRPr="009802CB" w:rsidRDefault="008C3499" w:rsidP="008C34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C3499" w:rsidRPr="009802CB" w:rsidRDefault="008C3499" w:rsidP="008C3499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802CB">
              <w:rPr>
                <w:rFonts w:ascii="Arial" w:hAnsi="Arial" w:cs="Arial"/>
                <w:sz w:val="22"/>
                <w:szCs w:val="22"/>
                <w:u w:val="single"/>
              </w:rPr>
              <w:t>Structure</w:t>
            </w:r>
          </w:p>
        </w:tc>
        <w:tc>
          <w:tcPr>
            <w:tcW w:w="2592" w:type="dxa"/>
            <w:tcBorders>
              <w:top w:val="single" w:sz="4" w:space="0" w:color="auto"/>
            </w:tcBorders>
          </w:tcPr>
          <w:p w:rsidR="008C3499" w:rsidRPr="009802CB" w:rsidRDefault="008C3499" w:rsidP="008C3499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8C3499" w:rsidRPr="009802CB" w:rsidRDefault="008C3499" w:rsidP="008C3499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802CB">
              <w:rPr>
                <w:rFonts w:ascii="Arial" w:hAnsi="Arial" w:cs="Arial"/>
                <w:sz w:val="22"/>
                <w:szCs w:val="22"/>
                <w:u w:val="single"/>
              </w:rPr>
              <w:t>Cost</w:t>
            </w:r>
          </w:p>
        </w:tc>
        <w:tc>
          <w:tcPr>
            <w:tcW w:w="2124" w:type="dxa"/>
            <w:tcBorders>
              <w:top w:val="single" w:sz="4" w:space="0" w:color="auto"/>
              <w:right w:val="single" w:sz="4" w:space="0" w:color="auto"/>
            </w:tcBorders>
          </w:tcPr>
          <w:p w:rsidR="008C3499" w:rsidRPr="009802CB" w:rsidRDefault="008C3499" w:rsidP="008C34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2CB">
              <w:rPr>
                <w:rFonts w:ascii="Arial" w:hAnsi="Arial" w:cs="Arial"/>
                <w:sz w:val="22"/>
                <w:szCs w:val="22"/>
              </w:rPr>
              <w:t>After-Tax</w:t>
            </w:r>
          </w:p>
          <w:p w:rsidR="008C3499" w:rsidRPr="009802CB" w:rsidRDefault="008C3499" w:rsidP="008C3499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802CB">
              <w:rPr>
                <w:rFonts w:ascii="Arial" w:hAnsi="Arial" w:cs="Arial"/>
                <w:sz w:val="22"/>
                <w:szCs w:val="22"/>
                <w:u w:val="single"/>
              </w:rPr>
              <w:t>Weighted Cost*</w:t>
            </w:r>
          </w:p>
        </w:tc>
      </w:tr>
      <w:tr w:rsidR="008C3499" w:rsidRPr="009802CB">
        <w:tc>
          <w:tcPr>
            <w:tcW w:w="2070" w:type="dxa"/>
            <w:tcBorders>
              <w:left w:val="single" w:sz="4" w:space="0" w:color="auto"/>
            </w:tcBorders>
          </w:tcPr>
          <w:p w:rsidR="008C3499" w:rsidRPr="009802CB" w:rsidRDefault="008C3499" w:rsidP="008C3499">
            <w:pPr>
              <w:rPr>
                <w:rFonts w:ascii="Arial" w:hAnsi="Arial" w:cs="Arial"/>
                <w:sz w:val="22"/>
                <w:szCs w:val="22"/>
              </w:rPr>
            </w:pPr>
            <w:r w:rsidRPr="009802CB">
              <w:rPr>
                <w:rFonts w:ascii="Arial" w:hAnsi="Arial" w:cs="Arial"/>
                <w:sz w:val="22"/>
                <w:szCs w:val="22"/>
              </w:rPr>
              <w:t>Debt</w:t>
            </w:r>
          </w:p>
        </w:tc>
        <w:tc>
          <w:tcPr>
            <w:tcW w:w="2358" w:type="dxa"/>
          </w:tcPr>
          <w:p w:rsidR="008C3499" w:rsidRPr="009802CB" w:rsidRDefault="00705280" w:rsidP="008C34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2CB">
              <w:rPr>
                <w:rFonts w:ascii="Arial" w:hAnsi="Arial" w:cs="Arial"/>
                <w:sz w:val="22"/>
                <w:szCs w:val="22"/>
              </w:rPr>
              <w:t>45</w:t>
            </w:r>
            <w:r w:rsidR="008C3499" w:rsidRPr="009802CB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2592" w:type="dxa"/>
          </w:tcPr>
          <w:p w:rsidR="008C3499" w:rsidRPr="009802CB" w:rsidRDefault="0062246D" w:rsidP="00713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246D">
              <w:rPr>
                <w:rFonts w:ascii="Arial" w:hAnsi="Arial" w:cs="Arial"/>
                <w:b/>
                <w:sz w:val="22"/>
                <w:szCs w:val="22"/>
              </w:rPr>
              <w:t>REDACTED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8C3499" w:rsidRPr="009802CB" w:rsidRDefault="0062246D" w:rsidP="00D569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246D">
              <w:rPr>
                <w:rFonts w:ascii="Arial" w:hAnsi="Arial" w:cs="Arial"/>
                <w:b/>
                <w:sz w:val="22"/>
                <w:szCs w:val="22"/>
              </w:rPr>
              <w:t>REDACTED</w:t>
            </w:r>
          </w:p>
        </w:tc>
      </w:tr>
      <w:tr w:rsidR="008C3499" w:rsidRPr="009802CB">
        <w:trPr>
          <w:trHeight w:val="342"/>
        </w:trPr>
        <w:tc>
          <w:tcPr>
            <w:tcW w:w="2070" w:type="dxa"/>
            <w:tcBorders>
              <w:left w:val="single" w:sz="4" w:space="0" w:color="auto"/>
            </w:tcBorders>
          </w:tcPr>
          <w:p w:rsidR="008C3499" w:rsidRPr="009802CB" w:rsidRDefault="008C3499" w:rsidP="008C3499">
            <w:pPr>
              <w:pStyle w:val="Heading2"/>
              <w:tabs>
                <w:tab w:val="clear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9802CB">
              <w:rPr>
                <w:rFonts w:ascii="Arial" w:hAnsi="Arial" w:cs="Arial"/>
                <w:sz w:val="22"/>
                <w:szCs w:val="22"/>
              </w:rPr>
              <w:t>Common Equity</w:t>
            </w:r>
          </w:p>
        </w:tc>
        <w:tc>
          <w:tcPr>
            <w:tcW w:w="2358" w:type="dxa"/>
          </w:tcPr>
          <w:p w:rsidR="006A5A62" w:rsidRPr="009802CB" w:rsidRDefault="00705280" w:rsidP="008C34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2CB">
              <w:rPr>
                <w:rFonts w:ascii="Arial" w:hAnsi="Arial" w:cs="Arial"/>
                <w:sz w:val="22"/>
                <w:szCs w:val="22"/>
              </w:rPr>
              <w:t>5</w:t>
            </w:r>
            <w:r w:rsidR="006A5A62" w:rsidRPr="009802CB">
              <w:rPr>
                <w:rFonts w:ascii="Arial" w:hAnsi="Arial" w:cs="Arial"/>
                <w:sz w:val="22"/>
                <w:szCs w:val="22"/>
              </w:rPr>
              <w:t xml:space="preserve">5%                                     </w:t>
            </w:r>
          </w:p>
        </w:tc>
        <w:tc>
          <w:tcPr>
            <w:tcW w:w="2592" w:type="dxa"/>
          </w:tcPr>
          <w:p w:rsidR="006A5A62" w:rsidRPr="009802CB" w:rsidRDefault="0062246D" w:rsidP="008C34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246D">
              <w:rPr>
                <w:rFonts w:ascii="Arial" w:hAnsi="Arial" w:cs="Arial"/>
                <w:b/>
                <w:sz w:val="22"/>
                <w:szCs w:val="22"/>
              </w:rPr>
              <w:t>REDACTED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2F7478" w:rsidRPr="009802CB" w:rsidRDefault="0062246D" w:rsidP="00713897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2246D">
              <w:rPr>
                <w:rFonts w:ascii="Arial" w:hAnsi="Arial" w:cs="Arial"/>
                <w:b/>
                <w:sz w:val="22"/>
                <w:szCs w:val="22"/>
                <w:u w:val="single"/>
              </w:rPr>
              <w:t>REDACTED</w:t>
            </w:r>
          </w:p>
        </w:tc>
      </w:tr>
      <w:tr w:rsidR="008C3499" w:rsidRPr="009802CB">
        <w:trPr>
          <w:cantSplit/>
        </w:trPr>
        <w:tc>
          <w:tcPr>
            <w:tcW w:w="702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8C3499" w:rsidRPr="009802CB" w:rsidRDefault="008C3499" w:rsidP="008C3499">
            <w:pPr>
              <w:pStyle w:val="Heading2"/>
              <w:tabs>
                <w:tab w:val="clear" w:pos="36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802CB">
              <w:rPr>
                <w:rFonts w:ascii="Arial" w:hAnsi="Arial" w:cs="Arial"/>
                <w:b/>
                <w:sz w:val="22"/>
                <w:szCs w:val="22"/>
              </w:rPr>
              <w:t>Discount Rate = Weighted After-Tax Cost of Capital (WACC) =</w:t>
            </w:r>
          </w:p>
        </w:tc>
        <w:tc>
          <w:tcPr>
            <w:tcW w:w="2124" w:type="dxa"/>
            <w:tcBorders>
              <w:bottom w:val="single" w:sz="4" w:space="0" w:color="auto"/>
              <w:right w:val="single" w:sz="4" w:space="0" w:color="auto"/>
            </w:tcBorders>
          </w:tcPr>
          <w:p w:rsidR="008C3499" w:rsidRPr="009802CB" w:rsidRDefault="0062246D" w:rsidP="00D569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246D">
              <w:rPr>
                <w:rFonts w:ascii="Arial" w:hAnsi="Arial" w:cs="Arial"/>
                <w:b/>
                <w:sz w:val="22"/>
                <w:szCs w:val="22"/>
              </w:rPr>
              <w:t>REDACTED</w:t>
            </w:r>
          </w:p>
        </w:tc>
      </w:tr>
    </w:tbl>
    <w:bookmarkEnd w:id="1"/>
    <w:p w:rsidR="0001580C" w:rsidRPr="009802CB" w:rsidRDefault="0001580C" w:rsidP="0001580C">
      <w:pPr>
        <w:tabs>
          <w:tab w:val="left" w:pos="360"/>
        </w:tabs>
        <w:rPr>
          <w:rFonts w:ascii="Arial" w:hAnsi="Arial" w:cs="Arial"/>
          <w:i/>
          <w:sz w:val="22"/>
          <w:szCs w:val="22"/>
        </w:rPr>
      </w:pPr>
      <w:r w:rsidRPr="009802CB">
        <w:rPr>
          <w:rFonts w:ascii="Arial" w:hAnsi="Arial" w:cs="Arial"/>
          <w:color w:val="FF0000"/>
          <w:sz w:val="22"/>
          <w:szCs w:val="22"/>
        </w:rPr>
        <w:tab/>
      </w:r>
      <w:r w:rsidRPr="009802CB">
        <w:rPr>
          <w:rFonts w:ascii="Arial" w:hAnsi="Arial" w:cs="Arial"/>
          <w:color w:val="FF0000"/>
          <w:sz w:val="22"/>
          <w:szCs w:val="22"/>
        </w:rPr>
        <w:tab/>
      </w:r>
      <w:r w:rsidRPr="009802CB">
        <w:rPr>
          <w:rFonts w:ascii="Arial" w:hAnsi="Arial" w:cs="Arial"/>
          <w:color w:val="FF0000"/>
          <w:sz w:val="22"/>
          <w:szCs w:val="22"/>
        </w:rPr>
        <w:tab/>
      </w:r>
      <w:r w:rsidRPr="009802CB">
        <w:rPr>
          <w:rFonts w:ascii="Arial" w:hAnsi="Arial" w:cs="Arial"/>
          <w:color w:val="FF0000"/>
          <w:sz w:val="22"/>
          <w:szCs w:val="22"/>
        </w:rPr>
        <w:tab/>
      </w:r>
      <w:r w:rsidRPr="009802CB">
        <w:rPr>
          <w:rFonts w:ascii="Arial" w:hAnsi="Arial" w:cs="Arial"/>
          <w:color w:val="FF0000"/>
          <w:sz w:val="22"/>
          <w:szCs w:val="22"/>
        </w:rPr>
        <w:tab/>
      </w:r>
      <w:r w:rsidRPr="009802CB">
        <w:rPr>
          <w:rFonts w:ascii="Arial" w:hAnsi="Arial" w:cs="Arial"/>
          <w:color w:val="FF0000"/>
          <w:sz w:val="22"/>
          <w:szCs w:val="22"/>
        </w:rPr>
        <w:tab/>
      </w:r>
      <w:r w:rsidRPr="009802CB">
        <w:rPr>
          <w:rFonts w:ascii="Arial" w:hAnsi="Arial" w:cs="Arial"/>
          <w:color w:val="FF0000"/>
          <w:sz w:val="22"/>
          <w:szCs w:val="22"/>
        </w:rPr>
        <w:tab/>
      </w:r>
      <w:r w:rsidRPr="009802CB">
        <w:rPr>
          <w:rFonts w:ascii="Arial" w:hAnsi="Arial" w:cs="Arial"/>
          <w:sz w:val="22"/>
          <w:szCs w:val="22"/>
        </w:rPr>
        <w:tab/>
      </w:r>
      <w:r w:rsidRPr="009802CB">
        <w:rPr>
          <w:rFonts w:ascii="Arial" w:hAnsi="Arial" w:cs="Arial"/>
          <w:i/>
          <w:sz w:val="22"/>
          <w:szCs w:val="22"/>
        </w:rPr>
        <w:t xml:space="preserve">(*based on </w:t>
      </w:r>
      <w:r w:rsidR="007521A1" w:rsidRPr="009802CB">
        <w:rPr>
          <w:rFonts w:ascii="Arial" w:hAnsi="Arial" w:cs="Arial"/>
          <w:i/>
          <w:sz w:val="22"/>
          <w:szCs w:val="22"/>
        </w:rPr>
        <w:t>25.5</w:t>
      </w:r>
      <w:r w:rsidRPr="009802CB">
        <w:rPr>
          <w:rFonts w:ascii="Arial" w:hAnsi="Arial" w:cs="Arial"/>
          <w:i/>
          <w:sz w:val="22"/>
          <w:szCs w:val="22"/>
        </w:rPr>
        <w:t>% composite tax rate)</w:t>
      </w:r>
    </w:p>
    <w:p w:rsidR="008C3499" w:rsidRPr="009802CB" w:rsidRDefault="008C3499" w:rsidP="008C3499">
      <w:pPr>
        <w:rPr>
          <w:rFonts w:ascii="Arial" w:hAnsi="Arial" w:cs="Arial"/>
          <w:color w:val="FF0000"/>
          <w:sz w:val="22"/>
          <w:szCs w:val="22"/>
        </w:rPr>
      </w:pPr>
    </w:p>
    <w:p w:rsidR="008C3499" w:rsidRPr="005E20A3" w:rsidRDefault="008C3499" w:rsidP="005E20A3">
      <w:pPr>
        <w:pStyle w:val="Heading3"/>
      </w:pPr>
      <w:r w:rsidRPr="005E20A3">
        <w:t>B.3</w:t>
      </w:r>
      <w:r w:rsidR="009802CB" w:rsidRPr="005E20A3">
        <w:t>.</w:t>
      </w:r>
      <w:r w:rsidRPr="005E20A3">
        <w:t xml:space="preserve">  Revenue Requirements and Annual Average Rates Results</w:t>
      </w:r>
    </w:p>
    <w:p w:rsidR="008C3499" w:rsidRPr="009802CB" w:rsidRDefault="008C3499" w:rsidP="008C3499">
      <w:pPr>
        <w:rPr>
          <w:rFonts w:ascii="Arial" w:hAnsi="Arial" w:cs="Arial"/>
          <w:b/>
          <w:color w:val="FF0000"/>
          <w:sz w:val="22"/>
          <w:szCs w:val="22"/>
        </w:rPr>
      </w:pPr>
    </w:p>
    <w:p w:rsidR="008C3499" w:rsidRPr="009802CB" w:rsidRDefault="008C3499" w:rsidP="005E20A3">
      <w:pPr>
        <w:pStyle w:val="BodyText"/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 xml:space="preserve">For each of the IRP </w:t>
      </w:r>
      <w:r w:rsidR="00860C8F" w:rsidRPr="009802CB">
        <w:rPr>
          <w:rFonts w:ascii="Arial" w:hAnsi="Arial" w:cs="Arial"/>
          <w:sz w:val="22"/>
          <w:szCs w:val="22"/>
        </w:rPr>
        <w:t xml:space="preserve">cases and </w:t>
      </w:r>
      <w:r w:rsidR="00733AF7" w:rsidRPr="009802CB">
        <w:rPr>
          <w:rFonts w:ascii="Arial" w:hAnsi="Arial" w:cs="Arial"/>
          <w:sz w:val="22"/>
          <w:szCs w:val="22"/>
        </w:rPr>
        <w:t>sensitivit</w:t>
      </w:r>
      <w:r w:rsidR="00860C8F" w:rsidRPr="009802CB">
        <w:rPr>
          <w:rFonts w:ascii="Arial" w:hAnsi="Arial" w:cs="Arial"/>
          <w:sz w:val="22"/>
          <w:szCs w:val="22"/>
        </w:rPr>
        <w:t>ies</w:t>
      </w:r>
      <w:r w:rsidRPr="009802CB">
        <w:rPr>
          <w:rFonts w:ascii="Arial" w:hAnsi="Arial" w:cs="Arial"/>
          <w:sz w:val="22"/>
          <w:szCs w:val="22"/>
        </w:rPr>
        <w:t xml:space="preserve">, </w:t>
      </w:r>
      <w:proofErr w:type="gramStart"/>
      <w:r w:rsidRPr="009802CB">
        <w:rPr>
          <w:rFonts w:ascii="Arial" w:hAnsi="Arial" w:cs="Arial"/>
          <w:sz w:val="22"/>
          <w:szCs w:val="22"/>
        </w:rPr>
        <w:t>Exhibits</w:t>
      </w:r>
      <w:proofErr w:type="gramEnd"/>
      <w:r w:rsidRPr="009802CB">
        <w:rPr>
          <w:rFonts w:ascii="Arial" w:hAnsi="Arial" w:cs="Arial"/>
          <w:sz w:val="22"/>
          <w:szCs w:val="22"/>
        </w:rPr>
        <w:t xml:space="preserve"> 0 through </w:t>
      </w:r>
      <w:r w:rsidR="0009780B" w:rsidRPr="009802CB">
        <w:rPr>
          <w:rFonts w:ascii="Arial" w:hAnsi="Arial" w:cs="Arial"/>
          <w:sz w:val="22"/>
          <w:szCs w:val="22"/>
        </w:rPr>
        <w:t>2</w:t>
      </w:r>
      <w:r w:rsidR="005C6DD8" w:rsidRPr="009802CB">
        <w:rPr>
          <w:rFonts w:ascii="Arial" w:hAnsi="Arial" w:cs="Arial"/>
          <w:sz w:val="22"/>
          <w:szCs w:val="22"/>
        </w:rPr>
        <w:t>0</w:t>
      </w:r>
      <w:r w:rsidR="00A91905" w:rsidRPr="009802CB">
        <w:rPr>
          <w:rFonts w:ascii="Arial" w:hAnsi="Arial" w:cs="Arial"/>
          <w:sz w:val="22"/>
          <w:szCs w:val="22"/>
        </w:rPr>
        <w:t xml:space="preserve"> </w:t>
      </w:r>
      <w:r w:rsidRPr="009802CB">
        <w:rPr>
          <w:rFonts w:ascii="Arial" w:hAnsi="Arial" w:cs="Arial"/>
          <w:sz w:val="22"/>
          <w:szCs w:val="22"/>
        </w:rPr>
        <w:t>show the annual revenue requirements, the annual cents/kWh, and the present worth of revenue requirements.</w:t>
      </w:r>
      <w:r w:rsidR="0062246D">
        <w:rPr>
          <w:rFonts w:ascii="Arial" w:hAnsi="Arial" w:cs="Arial"/>
          <w:sz w:val="22"/>
          <w:szCs w:val="22"/>
        </w:rPr>
        <w:t xml:space="preserve"> </w:t>
      </w:r>
      <w:r w:rsidR="00B7620D" w:rsidRPr="009802CB">
        <w:rPr>
          <w:rFonts w:ascii="Arial" w:hAnsi="Arial" w:cs="Arial"/>
          <w:sz w:val="22"/>
          <w:szCs w:val="22"/>
        </w:rPr>
        <w:t xml:space="preserve">The revenue requirements for each case consist of total production costs plus </w:t>
      </w:r>
      <w:r w:rsidR="006844DD" w:rsidRPr="009802CB">
        <w:rPr>
          <w:rFonts w:ascii="Arial" w:hAnsi="Arial" w:cs="Arial"/>
          <w:sz w:val="22"/>
          <w:szCs w:val="22"/>
        </w:rPr>
        <w:t>fixed</w:t>
      </w:r>
      <w:r w:rsidR="00B7620D" w:rsidRPr="009802CB">
        <w:rPr>
          <w:rFonts w:ascii="Arial" w:hAnsi="Arial" w:cs="Arial"/>
          <w:sz w:val="22"/>
          <w:szCs w:val="22"/>
        </w:rPr>
        <w:t xml:space="preserve"> costs associated with system expansion</w:t>
      </w:r>
      <w:r w:rsidR="00733AF7" w:rsidRPr="009802CB">
        <w:rPr>
          <w:rFonts w:ascii="Arial" w:hAnsi="Arial" w:cs="Arial"/>
          <w:sz w:val="22"/>
          <w:szCs w:val="22"/>
        </w:rPr>
        <w:t xml:space="preserve"> </w:t>
      </w:r>
      <w:r w:rsidR="004647D9" w:rsidRPr="009802CB">
        <w:rPr>
          <w:rFonts w:ascii="Arial" w:hAnsi="Arial" w:cs="Arial"/>
          <w:sz w:val="22"/>
          <w:szCs w:val="22"/>
        </w:rPr>
        <w:t>and environmental compliance for the existing fleet</w:t>
      </w:r>
      <w:r w:rsidR="002102F2" w:rsidRPr="009802CB">
        <w:rPr>
          <w:rFonts w:ascii="Arial" w:hAnsi="Arial" w:cs="Arial"/>
          <w:sz w:val="22"/>
          <w:szCs w:val="22"/>
        </w:rPr>
        <w:t xml:space="preserve"> (c</w:t>
      </w:r>
      <w:r w:rsidR="004647D9" w:rsidRPr="009802CB">
        <w:rPr>
          <w:rFonts w:ascii="Arial" w:hAnsi="Arial" w:cs="Arial"/>
          <w:sz w:val="22"/>
          <w:szCs w:val="22"/>
        </w:rPr>
        <w:t>ases</w:t>
      </w:r>
      <w:r w:rsidR="00733AF7" w:rsidRPr="009802CB">
        <w:rPr>
          <w:rFonts w:ascii="Arial" w:hAnsi="Arial" w:cs="Arial"/>
          <w:sz w:val="22"/>
          <w:szCs w:val="22"/>
        </w:rPr>
        <w:t xml:space="preserve"> 4 and 5 also include DSM related cost adjustments</w:t>
      </w:r>
      <w:r w:rsidR="002102F2" w:rsidRPr="009802CB">
        <w:rPr>
          <w:rFonts w:ascii="Arial" w:hAnsi="Arial" w:cs="Arial"/>
          <w:sz w:val="22"/>
          <w:szCs w:val="22"/>
        </w:rPr>
        <w:t>)</w:t>
      </w:r>
      <w:r w:rsidR="00733AF7" w:rsidRPr="009802CB">
        <w:rPr>
          <w:rFonts w:ascii="Arial" w:hAnsi="Arial" w:cs="Arial"/>
          <w:sz w:val="22"/>
          <w:szCs w:val="22"/>
        </w:rPr>
        <w:t>.</w:t>
      </w:r>
      <w:r w:rsidR="0062246D">
        <w:rPr>
          <w:rFonts w:ascii="Arial" w:hAnsi="Arial" w:cs="Arial"/>
          <w:sz w:val="22"/>
          <w:szCs w:val="22"/>
        </w:rPr>
        <w:t xml:space="preserve"> </w:t>
      </w:r>
      <w:r w:rsidR="00B7620D" w:rsidRPr="009802CB">
        <w:rPr>
          <w:rFonts w:ascii="Arial" w:hAnsi="Arial" w:cs="Arial"/>
          <w:sz w:val="22"/>
          <w:szCs w:val="22"/>
        </w:rPr>
        <w:t>F</w:t>
      </w:r>
      <w:r w:rsidRPr="009802CB">
        <w:rPr>
          <w:rFonts w:ascii="Arial" w:hAnsi="Arial" w:cs="Arial"/>
          <w:sz w:val="22"/>
          <w:szCs w:val="22"/>
        </w:rPr>
        <w:t xml:space="preserve">or example, the </w:t>
      </w:r>
      <w:r w:rsidR="0062246D" w:rsidRPr="0062246D">
        <w:rPr>
          <w:rFonts w:ascii="Arial" w:hAnsi="Arial" w:cs="Arial"/>
          <w:b/>
          <w:sz w:val="8"/>
          <w:szCs w:val="22"/>
        </w:rPr>
        <w:t>REDACTED</w:t>
      </w:r>
      <w:r w:rsidR="007F06E3" w:rsidRPr="009802CB">
        <w:rPr>
          <w:rFonts w:ascii="Arial" w:hAnsi="Arial" w:cs="Arial"/>
          <w:sz w:val="22"/>
          <w:szCs w:val="22"/>
        </w:rPr>
        <w:t>¢</w:t>
      </w:r>
      <w:r w:rsidR="00B264DC" w:rsidRPr="009802CB">
        <w:rPr>
          <w:rFonts w:ascii="Arial" w:hAnsi="Arial" w:cs="Arial"/>
          <w:sz w:val="22"/>
          <w:szCs w:val="22"/>
        </w:rPr>
        <w:t>/</w:t>
      </w:r>
      <w:r w:rsidRPr="009802CB">
        <w:rPr>
          <w:rFonts w:ascii="Arial" w:hAnsi="Arial" w:cs="Arial"/>
          <w:sz w:val="22"/>
          <w:szCs w:val="22"/>
        </w:rPr>
        <w:t>k</w:t>
      </w:r>
      <w:r w:rsidR="00D75978" w:rsidRPr="009802CB">
        <w:rPr>
          <w:rFonts w:ascii="Arial" w:hAnsi="Arial" w:cs="Arial"/>
          <w:sz w:val="22"/>
          <w:szCs w:val="22"/>
        </w:rPr>
        <w:t>W</w:t>
      </w:r>
      <w:r w:rsidRPr="009802CB">
        <w:rPr>
          <w:rFonts w:ascii="Arial" w:hAnsi="Arial" w:cs="Arial"/>
          <w:sz w:val="22"/>
          <w:szCs w:val="22"/>
        </w:rPr>
        <w:t xml:space="preserve">h real levelized (in year </w:t>
      </w:r>
      <w:r w:rsidR="00D6585D" w:rsidRPr="009802CB">
        <w:rPr>
          <w:rFonts w:ascii="Arial" w:hAnsi="Arial" w:cs="Arial"/>
          <w:sz w:val="22"/>
          <w:szCs w:val="22"/>
        </w:rPr>
        <w:t>20</w:t>
      </w:r>
      <w:r w:rsidR="00AD64CF" w:rsidRPr="009802CB">
        <w:rPr>
          <w:rFonts w:ascii="Arial" w:hAnsi="Arial" w:cs="Arial"/>
          <w:sz w:val="22"/>
          <w:szCs w:val="22"/>
        </w:rPr>
        <w:t>1</w:t>
      </w:r>
      <w:r w:rsidR="000D754A" w:rsidRPr="009802CB">
        <w:rPr>
          <w:rFonts w:ascii="Arial" w:hAnsi="Arial" w:cs="Arial"/>
          <w:sz w:val="22"/>
          <w:szCs w:val="22"/>
        </w:rPr>
        <w:t>9</w:t>
      </w:r>
      <w:r w:rsidR="00D6585D" w:rsidRPr="009802CB">
        <w:rPr>
          <w:rFonts w:ascii="Arial" w:hAnsi="Arial" w:cs="Arial"/>
          <w:sz w:val="22"/>
          <w:szCs w:val="22"/>
        </w:rPr>
        <w:t>$</w:t>
      </w:r>
      <w:r w:rsidRPr="009802CB">
        <w:rPr>
          <w:rFonts w:ascii="Arial" w:hAnsi="Arial" w:cs="Arial"/>
          <w:sz w:val="22"/>
          <w:szCs w:val="22"/>
        </w:rPr>
        <w:t xml:space="preserve">) and the </w:t>
      </w:r>
      <w:r w:rsidR="0062246D" w:rsidRPr="0062246D">
        <w:rPr>
          <w:rFonts w:ascii="Arial" w:hAnsi="Arial" w:cs="Arial"/>
          <w:b/>
          <w:sz w:val="8"/>
          <w:szCs w:val="22"/>
        </w:rPr>
        <w:t>REDACTED</w:t>
      </w:r>
      <w:r w:rsidR="007F06E3" w:rsidRPr="009802CB">
        <w:rPr>
          <w:rFonts w:ascii="Arial" w:hAnsi="Arial" w:cs="Arial"/>
          <w:sz w:val="22"/>
          <w:szCs w:val="22"/>
        </w:rPr>
        <w:t>¢/kWh</w:t>
      </w:r>
      <w:r w:rsidRPr="009802CB">
        <w:rPr>
          <w:rFonts w:ascii="Arial" w:hAnsi="Arial" w:cs="Arial"/>
          <w:sz w:val="22"/>
          <w:szCs w:val="22"/>
        </w:rPr>
        <w:t xml:space="preserve"> nominal levelized from the IRP reference case (scenario 0) </w:t>
      </w:r>
      <w:r w:rsidR="00860C8F" w:rsidRPr="009802CB">
        <w:rPr>
          <w:rFonts w:ascii="Arial" w:hAnsi="Arial" w:cs="Arial"/>
          <w:sz w:val="22"/>
          <w:szCs w:val="22"/>
        </w:rPr>
        <w:t>are</w:t>
      </w:r>
      <w:r w:rsidRPr="009802CB">
        <w:rPr>
          <w:rFonts w:ascii="Arial" w:hAnsi="Arial" w:cs="Arial"/>
          <w:sz w:val="22"/>
          <w:szCs w:val="22"/>
        </w:rPr>
        <w:t xml:space="preserve"> calculated using the </w:t>
      </w:r>
      <w:r w:rsidR="00B7620D" w:rsidRPr="009802CB">
        <w:rPr>
          <w:rFonts w:ascii="Arial" w:hAnsi="Arial" w:cs="Arial"/>
          <w:sz w:val="22"/>
          <w:szCs w:val="22"/>
        </w:rPr>
        <w:t>total</w:t>
      </w:r>
      <w:r w:rsidRPr="009802CB">
        <w:rPr>
          <w:rFonts w:ascii="Arial" w:hAnsi="Arial" w:cs="Arial"/>
          <w:sz w:val="22"/>
          <w:szCs w:val="22"/>
        </w:rPr>
        <w:t xml:space="preserve"> </w:t>
      </w:r>
      <w:r w:rsidR="00B264DC" w:rsidRPr="009802CB">
        <w:rPr>
          <w:rFonts w:ascii="Arial" w:hAnsi="Arial" w:cs="Arial"/>
          <w:sz w:val="22"/>
          <w:szCs w:val="22"/>
        </w:rPr>
        <w:t xml:space="preserve">system production costs plus </w:t>
      </w:r>
      <w:r w:rsidR="00B7620D" w:rsidRPr="009802CB">
        <w:rPr>
          <w:rFonts w:ascii="Arial" w:hAnsi="Arial" w:cs="Arial"/>
          <w:sz w:val="22"/>
          <w:szCs w:val="22"/>
        </w:rPr>
        <w:t xml:space="preserve">system expansion </w:t>
      </w:r>
      <w:r w:rsidR="002102F2" w:rsidRPr="009802CB">
        <w:rPr>
          <w:rFonts w:ascii="Arial" w:hAnsi="Arial" w:cs="Arial"/>
          <w:sz w:val="22"/>
          <w:szCs w:val="22"/>
        </w:rPr>
        <w:t>and environmental fixed</w:t>
      </w:r>
      <w:r w:rsidR="00B264DC" w:rsidRPr="009802CB">
        <w:rPr>
          <w:rFonts w:ascii="Arial" w:hAnsi="Arial" w:cs="Arial"/>
          <w:sz w:val="22"/>
          <w:szCs w:val="22"/>
        </w:rPr>
        <w:t xml:space="preserve"> </w:t>
      </w:r>
      <w:r w:rsidR="004647D9" w:rsidRPr="009802CB">
        <w:rPr>
          <w:rFonts w:ascii="Arial" w:hAnsi="Arial" w:cs="Arial"/>
          <w:sz w:val="22"/>
          <w:szCs w:val="22"/>
        </w:rPr>
        <w:t xml:space="preserve">costs, all </w:t>
      </w:r>
      <w:r w:rsidR="00B7620D" w:rsidRPr="009802CB">
        <w:rPr>
          <w:rFonts w:ascii="Arial" w:hAnsi="Arial" w:cs="Arial"/>
          <w:sz w:val="22"/>
          <w:szCs w:val="22"/>
        </w:rPr>
        <w:t xml:space="preserve">divided by total </w:t>
      </w:r>
      <w:r w:rsidR="00015379" w:rsidRPr="009802CB">
        <w:rPr>
          <w:rFonts w:ascii="Arial" w:hAnsi="Arial" w:cs="Arial"/>
          <w:sz w:val="22"/>
          <w:szCs w:val="22"/>
        </w:rPr>
        <w:t xml:space="preserve">system </w:t>
      </w:r>
      <w:r w:rsidR="00B7620D" w:rsidRPr="009802CB">
        <w:rPr>
          <w:rFonts w:ascii="Arial" w:hAnsi="Arial" w:cs="Arial"/>
          <w:sz w:val="22"/>
          <w:szCs w:val="22"/>
        </w:rPr>
        <w:t>kWh</w:t>
      </w:r>
      <w:r w:rsidR="00860C8F" w:rsidRPr="009802CB">
        <w:rPr>
          <w:rFonts w:ascii="Arial" w:hAnsi="Arial" w:cs="Arial"/>
          <w:sz w:val="22"/>
          <w:szCs w:val="22"/>
        </w:rPr>
        <w:t xml:space="preserve"> and then levelized</w:t>
      </w:r>
      <w:r w:rsidR="00B264DC" w:rsidRPr="009802CB">
        <w:rPr>
          <w:rFonts w:ascii="Arial" w:hAnsi="Arial" w:cs="Arial"/>
          <w:sz w:val="22"/>
          <w:szCs w:val="22"/>
        </w:rPr>
        <w:t>.</w:t>
      </w:r>
      <w:r w:rsidR="0062246D">
        <w:rPr>
          <w:rFonts w:ascii="Arial" w:hAnsi="Arial" w:cs="Arial"/>
          <w:sz w:val="22"/>
          <w:szCs w:val="22"/>
        </w:rPr>
        <w:t xml:space="preserve"> </w:t>
      </w:r>
      <w:r w:rsidR="00B7620D" w:rsidRPr="009802CB">
        <w:rPr>
          <w:rFonts w:ascii="Arial" w:hAnsi="Arial" w:cs="Arial"/>
          <w:sz w:val="22"/>
          <w:szCs w:val="22"/>
        </w:rPr>
        <w:t>These values are provided for each</w:t>
      </w:r>
      <w:r w:rsidRPr="009802CB">
        <w:rPr>
          <w:rFonts w:ascii="Arial" w:hAnsi="Arial" w:cs="Arial"/>
          <w:sz w:val="22"/>
          <w:szCs w:val="22"/>
        </w:rPr>
        <w:t xml:space="preserve"> </w:t>
      </w:r>
      <w:r w:rsidR="00B7620D" w:rsidRPr="009802CB">
        <w:rPr>
          <w:rFonts w:ascii="Arial" w:hAnsi="Arial" w:cs="Arial"/>
          <w:sz w:val="22"/>
          <w:szCs w:val="22"/>
        </w:rPr>
        <w:t>sensitivity</w:t>
      </w:r>
      <w:r w:rsidR="00733AF7" w:rsidRPr="009802CB">
        <w:rPr>
          <w:rFonts w:ascii="Arial" w:hAnsi="Arial" w:cs="Arial"/>
          <w:sz w:val="22"/>
          <w:szCs w:val="22"/>
        </w:rPr>
        <w:t xml:space="preserve"> case</w:t>
      </w:r>
      <w:r w:rsidRPr="009802CB">
        <w:rPr>
          <w:rFonts w:ascii="Arial" w:hAnsi="Arial" w:cs="Arial"/>
          <w:sz w:val="22"/>
          <w:szCs w:val="22"/>
        </w:rPr>
        <w:t>.</w:t>
      </w:r>
      <w:r w:rsidR="0062246D">
        <w:rPr>
          <w:rFonts w:ascii="Arial" w:hAnsi="Arial" w:cs="Arial"/>
          <w:sz w:val="22"/>
          <w:szCs w:val="22"/>
        </w:rPr>
        <w:t xml:space="preserve"> </w:t>
      </w:r>
      <w:r w:rsidR="00DB10BE" w:rsidRPr="009802CB">
        <w:rPr>
          <w:rFonts w:ascii="Arial" w:hAnsi="Arial" w:cs="Arial"/>
          <w:sz w:val="22"/>
          <w:szCs w:val="22"/>
        </w:rPr>
        <w:t xml:space="preserve">A summary table is provided with the </w:t>
      </w:r>
      <w:r w:rsidRPr="009802CB">
        <w:rPr>
          <w:rFonts w:ascii="Arial" w:hAnsi="Arial" w:cs="Arial"/>
          <w:sz w:val="22"/>
          <w:szCs w:val="22"/>
        </w:rPr>
        <w:t xml:space="preserve">results of the detailed calculations contained in Exhibits 0 through </w:t>
      </w:r>
      <w:r w:rsidR="00AD64CF" w:rsidRPr="009802CB">
        <w:rPr>
          <w:rFonts w:ascii="Arial" w:hAnsi="Arial" w:cs="Arial"/>
          <w:sz w:val="22"/>
          <w:szCs w:val="22"/>
        </w:rPr>
        <w:t>2</w:t>
      </w:r>
      <w:r w:rsidR="007970FE" w:rsidRPr="009802CB">
        <w:rPr>
          <w:rFonts w:ascii="Arial" w:hAnsi="Arial" w:cs="Arial"/>
          <w:sz w:val="22"/>
          <w:szCs w:val="22"/>
        </w:rPr>
        <w:t>0</w:t>
      </w:r>
      <w:r w:rsidRPr="009802CB">
        <w:rPr>
          <w:rFonts w:ascii="Arial" w:hAnsi="Arial" w:cs="Arial"/>
          <w:sz w:val="22"/>
          <w:szCs w:val="22"/>
        </w:rPr>
        <w:t>.</w:t>
      </w:r>
      <w:r w:rsidR="0062246D">
        <w:rPr>
          <w:rFonts w:ascii="Arial" w:hAnsi="Arial" w:cs="Arial"/>
          <w:sz w:val="22"/>
          <w:szCs w:val="22"/>
        </w:rPr>
        <w:t xml:space="preserve"> </w:t>
      </w:r>
      <w:r w:rsidR="00DE6AE0" w:rsidRPr="009802CB">
        <w:rPr>
          <w:rFonts w:ascii="Arial" w:hAnsi="Arial" w:cs="Arial"/>
          <w:sz w:val="22"/>
          <w:szCs w:val="22"/>
        </w:rPr>
        <w:t>This table also provides a percentage comparison of each sensitivity</w:t>
      </w:r>
      <w:r w:rsidR="00733AF7" w:rsidRPr="009802CB">
        <w:rPr>
          <w:rFonts w:ascii="Arial" w:hAnsi="Arial" w:cs="Arial"/>
          <w:sz w:val="22"/>
          <w:szCs w:val="22"/>
        </w:rPr>
        <w:t xml:space="preserve"> case</w:t>
      </w:r>
      <w:r w:rsidR="00DE6AE0" w:rsidRPr="009802CB">
        <w:rPr>
          <w:rFonts w:ascii="Arial" w:hAnsi="Arial" w:cs="Arial"/>
          <w:sz w:val="22"/>
          <w:szCs w:val="22"/>
        </w:rPr>
        <w:t xml:space="preserve"> </w:t>
      </w:r>
      <w:r w:rsidR="00733AF7" w:rsidRPr="009802CB">
        <w:rPr>
          <w:rFonts w:ascii="Arial" w:hAnsi="Arial" w:cs="Arial"/>
          <w:sz w:val="22"/>
          <w:szCs w:val="22"/>
        </w:rPr>
        <w:t>to</w:t>
      </w:r>
      <w:r w:rsidR="00DE6AE0" w:rsidRPr="009802CB">
        <w:rPr>
          <w:rFonts w:ascii="Arial" w:hAnsi="Arial" w:cs="Arial"/>
          <w:sz w:val="22"/>
          <w:szCs w:val="22"/>
        </w:rPr>
        <w:t xml:space="preserve"> the reference case.</w:t>
      </w:r>
    </w:p>
    <w:p w:rsidR="008C3499" w:rsidRPr="009802CB" w:rsidRDefault="008C3499" w:rsidP="008C3499">
      <w:pPr>
        <w:tabs>
          <w:tab w:val="left" w:pos="360"/>
        </w:tabs>
        <w:rPr>
          <w:rFonts w:ascii="Arial" w:hAnsi="Arial" w:cs="Arial"/>
          <w:color w:val="FF0000"/>
          <w:sz w:val="22"/>
          <w:szCs w:val="22"/>
        </w:rPr>
      </w:pPr>
    </w:p>
    <w:p w:rsidR="008C3499" w:rsidRPr="009802CB" w:rsidRDefault="008C3499" w:rsidP="008C3499">
      <w:pPr>
        <w:pStyle w:val="BodyText"/>
        <w:rPr>
          <w:rFonts w:ascii="Arial" w:hAnsi="Arial" w:cs="Arial"/>
          <w:color w:val="FF0000"/>
          <w:sz w:val="22"/>
          <w:szCs w:val="22"/>
        </w:rPr>
      </w:pPr>
    </w:p>
    <w:p w:rsidR="008C3499" w:rsidRPr="009802CB" w:rsidRDefault="008C3499" w:rsidP="005E20A3">
      <w:pPr>
        <w:pStyle w:val="Heading3"/>
      </w:pPr>
      <w:r w:rsidRPr="009802CB">
        <w:lastRenderedPageBreak/>
        <w:t>B.</w:t>
      </w:r>
      <w:r w:rsidR="004647D9" w:rsidRPr="009802CB">
        <w:t>4</w:t>
      </w:r>
      <w:r w:rsidR="009802CB">
        <w:t xml:space="preserve">. </w:t>
      </w:r>
      <w:r w:rsidRPr="009802CB">
        <w:t xml:space="preserve"> Overall Assessment of the Business and Financial Risks</w:t>
      </w:r>
    </w:p>
    <w:p w:rsidR="008C3499" w:rsidRPr="009802CB" w:rsidRDefault="008C3499" w:rsidP="0062246D">
      <w:pPr>
        <w:pStyle w:val="BodyText"/>
        <w:keepNext/>
        <w:rPr>
          <w:rFonts w:ascii="Arial" w:hAnsi="Arial" w:cs="Arial"/>
          <w:b/>
          <w:color w:val="FF0000"/>
          <w:sz w:val="22"/>
          <w:szCs w:val="22"/>
        </w:rPr>
      </w:pPr>
    </w:p>
    <w:p w:rsidR="008C3499" w:rsidRPr="009802CB" w:rsidRDefault="008C3499" w:rsidP="005E20A3">
      <w:pPr>
        <w:pStyle w:val="BodyText"/>
        <w:keepNext/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 xml:space="preserve">Georgia Power and </w:t>
      </w:r>
      <w:r w:rsidR="00873E25" w:rsidRPr="009802CB">
        <w:rPr>
          <w:rFonts w:ascii="Arial" w:hAnsi="Arial" w:cs="Arial"/>
          <w:sz w:val="22"/>
          <w:szCs w:val="22"/>
        </w:rPr>
        <w:t>its</w:t>
      </w:r>
      <w:r w:rsidRPr="009802CB">
        <w:rPr>
          <w:rFonts w:ascii="Arial" w:hAnsi="Arial" w:cs="Arial"/>
          <w:sz w:val="22"/>
          <w:szCs w:val="22"/>
        </w:rPr>
        <w:t xml:space="preserve"> customers face risks related to loads (and resulting generation requirements), fuel and technology prices and availability, and environmental laws and regulations.</w:t>
      </w:r>
      <w:r w:rsidR="0062246D">
        <w:rPr>
          <w:rFonts w:ascii="Arial" w:hAnsi="Arial" w:cs="Arial"/>
          <w:sz w:val="22"/>
          <w:szCs w:val="22"/>
        </w:rPr>
        <w:t xml:space="preserve"> </w:t>
      </w:r>
      <w:r w:rsidRPr="009802CB">
        <w:rPr>
          <w:rFonts w:ascii="Arial" w:hAnsi="Arial" w:cs="Arial"/>
          <w:sz w:val="22"/>
          <w:szCs w:val="22"/>
        </w:rPr>
        <w:t>The previously described analysis presents an assessment of the resulting cost uncertainty.</w:t>
      </w:r>
    </w:p>
    <w:p w:rsidR="008C3499" w:rsidRPr="009802CB" w:rsidRDefault="008C3499" w:rsidP="005E20A3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636E20" w:rsidRPr="009802CB" w:rsidRDefault="008C3499" w:rsidP="005E20A3">
      <w:pPr>
        <w:pStyle w:val="BodyText"/>
        <w:jc w:val="both"/>
        <w:rPr>
          <w:rFonts w:ascii="Arial" w:hAnsi="Arial" w:cs="Arial"/>
          <w:sz w:val="22"/>
          <w:szCs w:val="22"/>
        </w:rPr>
      </w:pPr>
      <w:r w:rsidRPr="009802CB">
        <w:rPr>
          <w:rFonts w:ascii="Arial" w:hAnsi="Arial" w:cs="Arial"/>
          <w:sz w:val="22"/>
          <w:szCs w:val="22"/>
        </w:rPr>
        <w:t>Additionally, new generation resources to serve Georgia Power</w:t>
      </w:r>
      <w:r w:rsidR="00F614C2" w:rsidRPr="009802CB">
        <w:rPr>
          <w:rFonts w:ascii="Arial" w:hAnsi="Arial" w:cs="Arial"/>
          <w:sz w:val="22"/>
          <w:szCs w:val="22"/>
        </w:rPr>
        <w:t>’s</w:t>
      </w:r>
      <w:r w:rsidRPr="009802CB">
        <w:rPr>
          <w:rFonts w:ascii="Arial" w:hAnsi="Arial" w:cs="Arial"/>
          <w:sz w:val="22"/>
          <w:szCs w:val="22"/>
        </w:rPr>
        <w:t xml:space="preserve"> regulated customers are </w:t>
      </w:r>
      <w:r w:rsidR="00F1444B" w:rsidRPr="009802CB">
        <w:rPr>
          <w:rFonts w:ascii="Arial" w:hAnsi="Arial" w:cs="Arial"/>
          <w:sz w:val="22"/>
          <w:szCs w:val="22"/>
        </w:rPr>
        <w:t xml:space="preserve">generally </w:t>
      </w:r>
      <w:r w:rsidRPr="009802CB">
        <w:rPr>
          <w:rFonts w:ascii="Arial" w:hAnsi="Arial" w:cs="Arial"/>
          <w:sz w:val="22"/>
          <w:szCs w:val="22"/>
        </w:rPr>
        <w:t>being acquired through a competitive bidding process at market prices.</w:t>
      </w:r>
      <w:r w:rsidR="0062246D">
        <w:rPr>
          <w:rFonts w:ascii="Arial" w:hAnsi="Arial" w:cs="Arial"/>
          <w:sz w:val="22"/>
          <w:szCs w:val="22"/>
        </w:rPr>
        <w:t xml:space="preserve"> </w:t>
      </w:r>
      <w:r w:rsidRPr="009802CB">
        <w:rPr>
          <w:rFonts w:ascii="Arial" w:hAnsi="Arial" w:cs="Arial"/>
          <w:sz w:val="22"/>
          <w:szCs w:val="22"/>
        </w:rPr>
        <w:t>This approach to generation procurement helps to mitigate the business and financial risks related to new generation</w:t>
      </w:r>
      <w:r w:rsidR="001B2375" w:rsidRPr="009802CB">
        <w:rPr>
          <w:rFonts w:ascii="Arial" w:hAnsi="Arial" w:cs="Arial"/>
          <w:sz w:val="22"/>
          <w:szCs w:val="22"/>
        </w:rPr>
        <w:t>.</w:t>
      </w:r>
    </w:p>
    <w:sectPr w:rsidR="00636E20" w:rsidRPr="009802CB" w:rsidSect="005E20A3">
      <w:headerReference w:type="default" r:id="rId7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4D1" w:rsidRDefault="008054D1">
      <w:r>
        <w:separator/>
      </w:r>
    </w:p>
  </w:endnote>
  <w:endnote w:type="continuationSeparator" w:id="0">
    <w:p w:rsidR="008054D1" w:rsidRDefault="00805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4D1" w:rsidRDefault="008054D1">
      <w:r>
        <w:separator/>
      </w:r>
    </w:p>
  </w:footnote>
  <w:footnote w:type="continuationSeparator" w:id="0">
    <w:p w:rsidR="008054D1" w:rsidRDefault="00805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14C" w:rsidRPr="009802CB" w:rsidRDefault="00570482" w:rsidP="00A9314C">
    <w:pPr>
      <w:pStyle w:val="Header"/>
      <w:jc w:val="right"/>
      <w:rPr>
        <w:rFonts w:ascii="Arial" w:hAnsi="Arial" w:cs="Arial"/>
        <w:b/>
        <w:sz w:val="22"/>
      </w:rPr>
    </w:pPr>
    <w:r w:rsidRPr="009802CB">
      <w:rPr>
        <w:rFonts w:ascii="Arial" w:hAnsi="Arial" w:cs="Arial"/>
        <w:b/>
        <w:sz w:val="22"/>
      </w:rPr>
      <w:t>PUBLIC DISCLOSURE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C8435B"/>
    <w:multiLevelType w:val="singleLevel"/>
    <w:tmpl w:val="7104226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540"/>
      </w:pPr>
      <w:rPr>
        <w:rFonts w:hint="default"/>
      </w:rPr>
    </w:lvl>
  </w:abstractNum>
  <w:abstractNum w:abstractNumId="1" w15:restartNumberingAfterBreak="0">
    <w:nsid w:val="2E007BA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417473E"/>
    <w:multiLevelType w:val="hybridMultilevel"/>
    <w:tmpl w:val="D1F42954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B85F37"/>
    <w:multiLevelType w:val="hybridMultilevel"/>
    <w:tmpl w:val="25B8577E"/>
    <w:lvl w:ilvl="0" w:tplc="CBE0EC6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4FD"/>
    <w:rsid w:val="000000F2"/>
    <w:rsid w:val="00002B51"/>
    <w:rsid w:val="00010C90"/>
    <w:rsid w:val="00015379"/>
    <w:rsid w:val="0001580C"/>
    <w:rsid w:val="00015E10"/>
    <w:rsid w:val="00021212"/>
    <w:rsid w:val="00023154"/>
    <w:rsid w:val="000275B4"/>
    <w:rsid w:val="00053465"/>
    <w:rsid w:val="00074FEB"/>
    <w:rsid w:val="00086776"/>
    <w:rsid w:val="000977DE"/>
    <w:rsid w:val="0009780B"/>
    <w:rsid w:val="000B364C"/>
    <w:rsid w:val="000B445A"/>
    <w:rsid w:val="000B5EBE"/>
    <w:rsid w:val="000D33AC"/>
    <w:rsid w:val="000D754A"/>
    <w:rsid w:val="000E07B6"/>
    <w:rsid w:val="000F4EEC"/>
    <w:rsid w:val="000F5D59"/>
    <w:rsid w:val="00115D23"/>
    <w:rsid w:val="00116EC3"/>
    <w:rsid w:val="0011797C"/>
    <w:rsid w:val="00121851"/>
    <w:rsid w:val="00144CFA"/>
    <w:rsid w:val="0014530E"/>
    <w:rsid w:val="0015178D"/>
    <w:rsid w:val="001645C0"/>
    <w:rsid w:val="00167EE3"/>
    <w:rsid w:val="001857D5"/>
    <w:rsid w:val="00186829"/>
    <w:rsid w:val="0019488E"/>
    <w:rsid w:val="001A72EE"/>
    <w:rsid w:val="001B03C2"/>
    <w:rsid w:val="001B2375"/>
    <w:rsid w:val="001B4751"/>
    <w:rsid w:val="001B58C1"/>
    <w:rsid w:val="001B750A"/>
    <w:rsid w:val="001C7C92"/>
    <w:rsid w:val="001E6CAA"/>
    <w:rsid w:val="001F0579"/>
    <w:rsid w:val="001F17E7"/>
    <w:rsid w:val="001F75A3"/>
    <w:rsid w:val="002102F2"/>
    <w:rsid w:val="0021337C"/>
    <w:rsid w:val="00214B44"/>
    <w:rsid w:val="002232B8"/>
    <w:rsid w:val="00223506"/>
    <w:rsid w:val="0023068D"/>
    <w:rsid w:val="00230DFB"/>
    <w:rsid w:val="002328E4"/>
    <w:rsid w:val="00250632"/>
    <w:rsid w:val="00253D57"/>
    <w:rsid w:val="002639B8"/>
    <w:rsid w:val="00280FA7"/>
    <w:rsid w:val="00287B9C"/>
    <w:rsid w:val="002A25CA"/>
    <w:rsid w:val="002A72CD"/>
    <w:rsid w:val="002B59CB"/>
    <w:rsid w:val="002E1CB3"/>
    <w:rsid w:val="002E1E75"/>
    <w:rsid w:val="002E25BB"/>
    <w:rsid w:val="002E6A1E"/>
    <w:rsid w:val="002F24BE"/>
    <w:rsid w:val="002F7478"/>
    <w:rsid w:val="003207FE"/>
    <w:rsid w:val="00331FE5"/>
    <w:rsid w:val="00335F63"/>
    <w:rsid w:val="003369DE"/>
    <w:rsid w:val="0034616A"/>
    <w:rsid w:val="00356B2F"/>
    <w:rsid w:val="00362CC6"/>
    <w:rsid w:val="003738F7"/>
    <w:rsid w:val="0037650E"/>
    <w:rsid w:val="0038391C"/>
    <w:rsid w:val="003867D6"/>
    <w:rsid w:val="003B0A21"/>
    <w:rsid w:val="003B0BC5"/>
    <w:rsid w:val="003B0F70"/>
    <w:rsid w:val="003C40D8"/>
    <w:rsid w:val="003C7220"/>
    <w:rsid w:val="003D0ADD"/>
    <w:rsid w:val="003D383F"/>
    <w:rsid w:val="003E3176"/>
    <w:rsid w:val="003E31C0"/>
    <w:rsid w:val="003E7656"/>
    <w:rsid w:val="003F144E"/>
    <w:rsid w:val="004110A8"/>
    <w:rsid w:val="00413DCD"/>
    <w:rsid w:val="00416F9D"/>
    <w:rsid w:val="00424185"/>
    <w:rsid w:val="0042613D"/>
    <w:rsid w:val="0044734A"/>
    <w:rsid w:val="00453CBF"/>
    <w:rsid w:val="004647D9"/>
    <w:rsid w:val="00464C8E"/>
    <w:rsid w:val="00470E7E"/>
    <w:rsid w:val="00476A60"/>
    <w:rsid w:val="00497A92"/>
    <w:rsid w:val="004A1A3C"/>
    <w:rsid w:val="004A2DD5"/>
    <w:rsid w:val="004C1BAD"/>
    <w:rsid w:val="004D1C75"/>
    <w:rsid w:val="004D74FD"/>
    <w:rsid w:val="004E5389"/>
    <w:rsid w:val="004F173D"/>
    <w:rsid w:val="004F28DC"/>
    <w:rsid w:val="004F601A"/>
    <w:rsid w:val="004F61D0"/>
    <w:rsid w:val="004F7F2B"/>
    <w:rsid w:val="00507220"/>
    <w:rsid w:val="00511772"/>
    <w:rsid w:val="00521312"/>
    <w:rsid w:val="0054790E"/>
    <w:rsid w:val="00551185"/>
    <w:rsid w:val="00560685"/>
    <w:rsid w:val="00560E71"/>
    <w:rsid w:val="00570482"/>
    <w:rsid w:val="005753A1"/>
    <w:rsid w:val="005764C4"/>
    <w:rsid w:val="00587F64"/>
    <w:rsid w:val="005915FF"/>
    <w:rsid w:val="005942F6"/>
    <w:rsid w:val="00595191"/>
    <w:rsid w:val="00596835"/>
    <w:rsid w:val="005C11C1"/>
    <w:rsid w:val="005C6DD8"/>
    <w:rsid w:val="005E20A3"/>
    <w:rsid w:val="005E66D0"/>
    <w:rsid w:val="005F54B5"/>
    <w:rsid w:val="005F6D3D"/>
    <w:rsid w:val="006010AD"/>
    <w:rsid w:val="00602862"/>
    <w:rsid w:val="00613272"/>
    <w:rsid w:val="0062246D"/>
    <w:rsid w:val="00622602"/>
    <w:rsid w:val="00625B36"/>
    <w:rsid w:val="00626069"/>
    <w:rsid w:val="006312B2"/>
    <w:rsid w:val="00636E20"/>
    <w:rsid w:val="0064049F"/>
    <w:rsid w:val="00640A78"/>
    <w:rsid w:val="00647E8A"/>
    <w:rsid w:val="006650EE"/>
    <w:rsid w:val="00665265"/>
    <w:rsid w:val="00665468"/>
    <w:rsid w:val="00672053"/>
    <w:rsid w:val="0068027B"/>
    <w:rsid w:val="00681F59"/>
    <w:rsid w:val="006844DD"/>
    <w:rsid w:val="006865DC"/>
    <w:rsid w:val="00693514"/>
    <w:rsid w:val="006A5A62"/>
    <w:rsid w:val="006B369C"/>
    <w:rsid w:val="006B6808"/>
    <w:rsid w:val="006C568F"/>
    <w:rsid w:val="006E30F1"/>
    <w:rsid w:val="006F1D73"/>
    <w:rsid w:val="00705280"/>
    <w:rsid w:val="0071075B"/>
    <w:rsid w:val="00713897"/>
    <w:rsid w:val="007146FA"/>
    <w:rsid w:val="00717536"/>
    <w:rsid w:val="00733AF7"/>
    <w:rsid w:val="00744FBC"/>
    <w:rsid w:val="00745E7E"/>
    <w:rsid w:val="007521A1"/>
    <w:rsid w:val="0075453F"/>
    <w:rsid w:val="00757778"/>
    <w:rsid w:val="00764819"/>
    <w:rsid w:val="00772B41"/>
    <w:rsid w:val="00772EEB"/>
    <w:rsid w:val="00791549"/>
    <w:rsid w:val="00796418"/>
    <w:rsid w:val="007970FE"/>
    <w:rsid w:val="0079711F"/>
    <w:rsid w:val="007A42F7"/>
    <w:rsid w:val="007A56B1"/>
    <w:rsid w:val="007A796A"/>
    <w:rsid w:val="007B3953"/>
    <w:rsid w:val="007C47F4"/>
    <w:rsid w:val="007C6E03"/>
    <w:rsid w:val="007C7EDC"/>
    <w:rsid w:val="007D3BA9"/>
    <w:rsid w:val="007E58F4"/>
    <w:rsid w:val="007F06E3"/>
    <w:rsid w:val="007F4EB7"/>
    <w:rsid w:val="007F7E6B"/>
    <w:rsid w:val="008048A3"/>
    <w:rsid w:val="008054D1"/>
    <w:rsid w:val="00825EBB"/>
    <w:rsid w:val="0083149B"/>
    <w:rsid w:val="00860753"/>
    <w:rsid w:val="00860C8F"/>
    <w:rsid w:val="00863CAE"/>
    <w:rsid w:val="00873E25"/>
    <w:rsid w:val="00882811"/>
    <w:rsid w:val="00884C49"/>
    <w:rsid w:val="008863D7"/>
    <w:rsid w:val="00893B5D"/>
    <w:rsid w:val="008C3499"/>
    <w:rsid w:val="008C5B87"/>
    <w:rsid w:val="008D2821"/>
    <w:rsid w:val="008D6528"/>
    <w:rsid w:val="008E26BF"/>
    <w:rsid w:val="008F18F4"/>
    <w:rsid w:val="009030E0"/>
    <w:rsid w:val="00904528"/>
    <w:rsid w:val="0092324A"/>
    <w:rsid w:val="00930E24"/>
    <w:rsid w:val="00957B99"/>
    <w:rsid w:val="00967E99"/>
    <w:rsid w:val="009738D3"/>
    <w:rsid w:val="00976615"/>
    <w:rsid w:val="009802CB"/>
    <w:rsid w:val="00981A2F"/>
    <w:rsid w:val="009A2399"/>
    <w:rsid w:val="009B1156"/>
    <w:rsid w:val="009B1C86"/>
    <w:rsid w:val="009C19D0"/>
    <w:rsid w:val="009C5A68"/>
    <w:rsid w:val="009C5F37"/>
    <w:rsid w:val="009C67CD"/>
    <w:rsid w:val="009C7B04"/>
    <w:rsid w:val="009D42C0"/>
    <w:rsid w:val="009E1123"/>
    <w:rsid w:val="009E3B7D"/>
    <w:rsid w:val="009E5CD3"/>
    <w:rsid w:val="00A01608"/>
    <w:rsid w:val="00A06676"/>
    <w:rsid w:val="00A11843"/>
    <w:rsid w:val="00A322C2"/>
    <w:rsid w:val="00A33366"/>
    <w:rsid w:val="00A423E9"/>
    <w:rsid w:val="00A43926"/>
    <w:rsid w:val="00A56AD8"/>
    <w:rsid w:val="00A57B9A"/>
    <w:rsid w:val="00A91905"/>
    <w:rsid w:val="00A9314C"/>
    <w:rsid w:val="00AA54D2"/>
    <w:rsid w:val="00AB4B64"/>
    <w:rsid w:val="00AB6DA8"/>
    <w:rsid w:val="00AD531D"/>
    <w:rsid w:val="00AD64CF"/>
    <w:rsid w:val="00AE04BE"/>
    <w:rsid w:val="00AE218C"/>
    <w:rsid w:val="00B0003B"/>
    <w:rsid w:val="00B10045"/>
    <w:rsid w:val="00B1302F"/>
    <w:rsid w:val="00B142B9"/>
    <w:rsid w:val="00B21224"/>
    <w:rsid w:val="00B25B41"/>
    <w:rsid w:val="00B264DC"/>
    <w:rsid w:val="00B40A1F"/>
    <w:rsid w:val="00B40D9F"/>
    <w:rsid w:val="00B454E0"/>
    <w:rsid w:val="00B46373"/>
    <w:rsid w:val="00B46E87"/>
    <w:rsid w:val="00B567E4"/>
    <w:rsid w:val="00B7506F"/>
    <w:rsid w:val="00B7620D"/>
    <w:rsid w:val="00B76C13"/>
    <w:rsid w:val="00B8100A"/>
    <w:rsid w:val="00B84B66"/>
    <w:rsid w:val="00B92C44"/>
    <w:rsid w:val="00B930EA"/>
    <w:rsid w:val="00BA1756"/>
    <w:rsid w:val="00BA1971"/>
    <w:rsid w:val="00BC1B87"/>
    <w:rsid w:val="00BC1CDF"/>
    <w:rsid w:val="00BE2A86"/>
    <w:rsid w:val="00BE33B9"/>
    <w:rsid w:val="00BE35D5"/>
    <w:rsid w:val="00BF0CC3"/>
    <w:rsid w:val="00BF6AD2"/>
    <w:rsid w:val="00C05764"/>
    <w:rsid w:val="00C1313F"/>
    <w:rsid w:val="00C13C54"/>
    <w:rsid w:val="00C2154F"/>
    <w:rsid w:val="00C24D0D"/>
    <w:rsid w:val="00C257CC"/>
    <w:rsid w:val="00C268EC"/>
    <w:rsid w:val="00C3165F"/>
    <w:rsid w:val="00C34332"/>
    <w:rsid w:val="00C37318"/>
    <w:rsid w:val="00C463EE"/>
    <w:rsid w:val="00C579D5"/>
    <w:rsid w:val="00C63235"/>
    <w:rsid w:val="00CA2FA1"/>
    <w:rsid w:val="00CA5F0F"/>
    <w:rsid w:val="00CB01B1"/>
    <w:rsid w:val="00CB6C5F"/>
    <w:rsid w:val="00CB7921"/>
    <w:rsid w:val="00CD45C9"/>
    <w:rsid w:val="00CE04B3"/>
    <w:rsid w:val="00CF2F6B"/>
    <w:rsid w:val="00CF3D59"/>
    <w:rsid w:val="00D01930"/>
    <w:rsid w:val="00D03129"/>
    <w:rsid w:val="00D347DD"/>
    <w:rsid w:val="00D35DBF"/>
    <w:rsid w:val="00D419D4"/>
    <w:rsid w:val="00D42D3B"/>
    <w:rsid w:val="00D43D22"/>
    <w:rsid w:val="00D4572B"/>
    <w:rsid w:val="00D5692A"/>
    <w:rsid w:val="00D61FDC"/>
    <w:rsid w:val="00D6585D"/>
    <w:rsid w:val="00D67589"/>
    <w:rsid w:val="00D6773C"/>
    <w:rsid w:val="00D75978"/>
    <w:rsid w:val="00D774E7"/>
    <w:rsid w:val="00D84AB1"/>
    <w:rsid w:val="00D9415A"/>
    <w:rsid w:val="00D975BE"/>
    <w:rsid w:val="00DA19FA"/>
    <w:rsid w:val="00DB10BE"/>
    <w:rsid w:val="00DC1B22"/>
    <w:rsid w:val="00DD11E0"/>
    <w:rsid w:val="00DD3180"/>
    <w:rsid w:val="00DD37C2"/>
    <w:rsid w:val="00DD55FB"/>
    <w:rsid w:val="00DE0494"/>
    <w:rsid w:val="00DE59C0"/>
    <w:rsid w:val="00DE6AE0"/>
    <w:rsid w:val="00DF377F"/>
    <w:rsid w:val="00DF5336"/>
    <w:rsid w:val="00E24316"/>
    <w:rsid w:val="00E32807"/>
    <w:rsid w:val="00E37E3E"/>
    <w:rsid w:val="00E432AE"/>
    <w:rsid w:val="00E43CA0"/>
    <w:rsid w:val="00E50C37"/>
    <w:rsid w:val="00E633D3"/>
    <w:rsid w:val="00E63C21"/>
    <w:rsid w:val="00E91B98"/>
    <w:rsid w:val="00EA0EAB"/>
    <w:rsid w:val="00EB453A"/>
    <w:rsid w:val="00EB58BC"/>
    <w:rsid w:val="00EB6C1F"/>
    <w:rsid w:val="00ED2228"/>
    <w:rsid w:val="00ED4395"/>
    <w:rsid w:val="00EE03AF"/>
    <w:rsid w:val="00EF6082"/>
    <w:rsid w:val="00F001DE"/>
    <w:rsid w:val="00F00575"/>
    <w:rsid w:val="00F0311F"/>
    <w:rsid w:val="00F102D5"/>
    <w:rsid w:val="00F1444B"/>
    <w:rsid w:val="00F15B36"/>
    <w:rsid w:val="00F16F28"/>
    <w:rsid w:val="00F20C67"/>
    <w:rsid w:val="00F239FA"/>
    <w:rsid w:val="00F27330"/>
    <w:rsid w:val="00F4138C"/>
    <w:rsid w:val="00F44CDA"/>
    <w:rsid w:val="00F56CE5"/>
    <w:rsid w:val="00F57D06"/>
    <w:rsid w:val="00F614C2"/>
    <w:rsid w:val="00F63ABC"/>
    <w:rsid w:val="00F66EB3"/>
    <w:rsid w:val="00F67714"/>
    <w:rsid w:val="00FB293A"/>
    <w:rsid w:val="00FB70C3"/>
    <w:rsid w:val="00FC149F"/>
    <w:rsid w:val="00FC65A7"/>
    <w:rsid w:val="00FD1C20"/>
    <w:rsid w:val="00FE0CA7"/>
    <w:rsid w:val="00FF0AEF"/>
    <w:rsid w:val="00FF0FC4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F6082"/>
    <w:rPr>
      <w:sz w:val="24"/>
    </w:rPr>
  </w:style>
  <w:style w:type="paragraph" w:styleId="Heading1">
    <w:name w:val="heading 1"/>
    <w:basedOn w:val="Normal"/>
    <w:next w:val="Normal"/>
    <w:qFormat/>
    <w:rsid w:val="005E20A3"/>
    <w:pPr>
      <w:keepNext/>
      <w:outlineLvl w:val="0"/>
    </w:pPr>
    <w:rPr>
      <w:rFonts w:ascii="Arial" w:hAnsi="Arial" w:cs="Arial"/>
      <w:b/>
      <w:szCs w:val="22"/>
    </w:rPr>
  </w:style>
  <w:style w:type="paragraph" w:styleId="Heading2">
    <w:name w:val="heading 2"/>
    <w:basedOn w:val="Normal"/>
    <w:next w:val="Normal"/>
    <w:qFormat/>
    <w:rsid w:val="008C3499"/>
    <w:pPr>
      <w:keepNext/>
      <w:tabs>
        <w:tab w:val="left" w:pos="360"/>
      </w:tabs>
      <w:outlineLvl w:val="1"/>
    </w:pPr>
  </w:style>
  <w:style w:type="paragraph" w:styleId="Heading3">
    <w:name w:val="heading 3"/>
    <w:basedOn w:val="Normal"/>
    <w:next w:val="Normal"/>
    <w:qFormat/>
    <w:rsid w:val="005E20A3"/>
    <w:pPr>
      <w:keepNext/>
      <w:outlineLvl w:val="2"/>
    </w:pPr>
    <w:rPr>
      <w:rFonts w:ascii="Arial" w:hAnsi="Arial" w:cs="Arial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8C3499"/>
    <w:pPr>
      <w:framePr w:w="7920" w:h="1980" w:hRule="exact" w:hSpace="180" w:wrap="auto" w:hAnchor="page" w:xAlign="center" w:yAlign="bottom"/>
      <w:ind w:left="2880"/>
    </w:pPr>
    <w:rPr>
      <w:rFonts w:ascii="Arial" w:hAnsi="Arial"/>
      <w:b/>
      <w:sz w:val="28"/>
    </w:rPr>
  </w:style>
  <w:style w:type="paragraph" w:styleId="EnvelopeReturn">
    <w:name w:val="envelope return"/>
    <w:basedOn w:val="Normal"/>
    <w:rsid w:val="008C3499"/>
    <w:rPr>
      <w:rFonts w:ascii="Arial" w:hAnsi="Arial"/>
    </w:rPr>
  </w:style>
  <w:style w:type="paragraph" w:styleId="BodyText">
    <w:name w:val="Body Text"/>
    <w:basedOn w:val="Normal"/>
    <w:rsid w:val="008C3499"/>
    <w:pPr>
      <w:tabs>
        <w:tab w:val="left" w:pos="360"/>
      </w:tabs>
    </w:pPr>
  </w:style>
  <w:style w:type="paragraph" w:styleId="BalloonText">
    <w:name w:val="Balloon Text"/>
    <w:basedOn w:val="Normal"/>
    <w:semiHidden/>
    <w:rsid w:val="00D7597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3C7220"/>
    <w:rPr>
      <w:sz w:val="16"/>
      <w:szCs w:val="16"/>
    </w:rPr>
  </w:style>
  <w:style w:type="paragraph" w:styleId="CommentText">
    <w:name w:val="annotation text"/>
    <w:basedOn w:val="Normal"/>
    <w:semiHidden/>
    <w:rsid w:val="003C7220"/>
    <w:rPr>
      <w:sz w:val="20"/>
    </w:rPr>
  </w:style>
  <w:style w:type="paragraph" w:styleId="CommentSubject">
    <w:name w:val="annotation subject"/>
    <w:basedOn w:val="CommentText"/>
    <w:next w:val="CommentText"/>
    <w:semiHidden/>
    <w:rsid w:val="003C7220"/>
    <w:rPr>
      <w:b/>
      <w:bCs/>
    </w:rPr>
  </w:style>
  <w:style w:type="paragraph" w:styleId="Header">
    <w:name w:val="header"/>
    <w:basedOn w:val="Normal"/>
    <w:rsid w:val="00DE049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E049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DE0494"/>
    <w:pPr>
      <w:jc w:val="both"/>
    </w:pPr>
    <w:rPr>
      <w:color w:val="000000"/>
    </w:rPr>
  </w:style>
  <w:style w:type="character" w:styleId="PageNumber">
    <w:name w:val="page number"/>
    <w:basedOn w:val="DefaultParagraphFont"/>
    <w:rsid w:val="00B40A1F"/>
  </w:style>
  <w:style w:type="paragraph" w:styleId="Revision">
    <w:name w:val="Revision"/>
    <w:hidden/>
    <w:uiPriority w:val="99"/>
    <w:semiHidden/>
    <w:rsid w:val="00FB293A"/>
    <w:rPr>
      <w:sz w:val="24"/>
    </w:rPr>
  </w:style>
  <w:style w:type="table" w:styleId="TableGrid">
    <w:name w:val="Table Grid"/>
    <w:basedOn w:val="TableNormal"/>
    <w:rsid w:val="00797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4094</Characters>
  <Application>Microsoft Office Word</Application>
  <DocSecurity>0</DocSecurity>
  <Lines>34</Lines>
  <Paragraphs>9</Paragraphs>
  <ScaleCrop>false</ScaleCrop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2019-01-29T20:39:00Z</dcterms:created>
  <dcterms:modified xsi:type="dcterms:W3CDTF">2019-01-29T20:39:00Z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