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23C14" w14:textId="77777777" w:rsidR="00C5174D" w:rsidRPr="004E042F" w:rsidRDefault="004C31D2" w:rsidP="00956DB0">
      <w:bookmarkStart w:id="0" w:name="_GoBack"/>
      <w:bookmarkEnd w:id="0"/>
      <w:r w:rsidRPr="004E042F">
        <w:tab/>
      </w:r>
      <w:r w:rsidRPr="004E042F">
        <w:tab/>
      </w:r>
      <w:r w:rsidRPr="004E042F">
        <w:tab/>
      </w:r>
      <w:r w:rsidRPr="004E042F">
        <w:tab/>
      </w:r>
    </w:p>
    <w:p w14:paraId="43777C92" w14:textId="77777777" w:rsidR="00C5174D" w:rsidRPr="00464D7A" w:rsidRDefault="00C5174D" w:rsidP="00956DB0">
      <w:pPr>
        <w:rPr>
          <w:u w:val="single"/>
        </w:rPr>
      </w:pPr>
    </w:p>
    <w:tbl>
      <w:tblPr>
        <w:tblW w:w="0" w:type="auto"/>
        <w:tblLook w:val="0000" w:firstRow="0" w:lastRow="0" w:firstColumn="0" w:lastColumn="0" w:noHBand="0" w:noVBand="0"/>
      </w:tblPr>
      <w:tblGrid>
        <w:gridCol w:w="4219"/>
      </w:tblGrid>
      <w:tr w:rsidR="00C5174D" w:rsidRPr="008B593C" w14:paraId="4F015739" w14:textId="77777777">
        <w:tc>
          <w:tcPr>
            <w:tcW w:w="4219" w:type="dxa"/>
          </w:tcPr>
          <w:p w14:paraId="59F2B472" w14:textId="77777777" w:rsidR="00C5174D" w:rsidRPr="00464D7A" w:rsidRDefault="00C5174D">
            <w:pPr>
              <w:rPr>
                <w:rFonts w:cs="Arial"/>
                <w:u w:val="single"/>
              </w:rPr>
            </w:pPr>
          </w:p>
        </w:tc>
      </w:tr>
      <w:tr w:rsidR="00C5174D" w:rsidRPr="008B593C" w14:paraId="0F68D41E" w14:textId="77777777">
        <w:tc>
          <w:tcPr>
            <w:tcW w:w="4219" w:type="dxa"/>
          </w:tcPr>
          <w:p w14:paraId="017C0F6F" w14:textId="77777777" w:rsidR="00C5174D" w:rsidRPr="00464D7A" w:rsidRDefault="00C5174D">
            <w:pPr>
              <w:pStyle w:val="TabletextR2"/>
              <w:ind w:left="0"/>
              <w:rPr>
                <w:rFonts w:cs="Arial"/>
                <w:sz w:val="24"/>
                <w:szCs w:val="24"/>
                <w:u w:val="single"/>
              </w:rPr>
            </w:pPr>
            <w:r w:rsidRPr="00464D7A">
              <w:rPr>
                <w:sz w:val="24"/>
                <w:szCs w:val="24"/>
                <w:u w:val="single"/>
              </w:rPr>
              <w:t>Prepared For:</w:t>
            </w:r>
          </w:p>
        </w:tc>
      </w:tr>
      <w:tr w:rsidR="00C5174D" w:rsidRPr="008B593C" w14:paraId="28D50FD3" w14:textId="77777777">
        <w:tc>
          <w:tcPr>
            <w:tcW w:w="4219" w:type="dxa"/>
          </w:tcPr>
          <w:p w14:paraId="439E3E9E" w14:textId="77777777" w:rsidR="00C5174D" w:rsidRPr="00464D7A" w:rsidRDefault="00C5174D">
            <w:pPr>
              <w:pStyle w:val="TabletextR3"/>
              <w:rPr>
                <w:sz w:val="24"/>
                <w:szCs w:val="24"/>
                <w:u w:val="single"/>
              </w:rPr>
            </w:pPr>
            <w:r w:rsidRPr="00464D7A">
              <w:rPr>
                <w:sz w:val="24"/>
                <w:szCs w:val="24"/>
                <w:u w:val="single"/>
              </w:rPr>
              <w:t>Southern Company Services</w:t>
            </w:r>
          </w:p>
        </w:tc>
      </w:tr>
      <w:tr w:rsidR="00C5174D" w:rsidRPr="008B593C" w14:paraId="1DE3AFEF" w14:textId="77777777">
        <w:tc>
          <w:tcPr>
            <w:tcW w:w="4219" w:type="dxa"/>
          </w:tcPr>
          <w:p w14:paraId="10CCDA69" w14:textId="77777777" w:rsidR="00C5174D" w:rsidRPr="00464D7A" w:rsidRDefault="00C5174D">
            <w:pPr>
              <w:pStyle w:val="TabletextR3"/>
              <w:rPr>
                <w:u w:val="single"/>
              </w:rPr>
            </w:pPr>
          </w:p>
        </w:tc>
      </w:tr>
      <w:tr w:rsidR="00C5174D" w:rsidRPr="008B593C" w14:paraId="530AD6D4" w14:textId="77777777">
        <w:tc>
          <w:tcPr>
            <w:tcW w:w="4219" w:type="dxa"/>
          </w:tcPr>
          <w:p w14:paraId="42E129BC" w14:textId="77777777" w:rsidR="00C5174D" w:rsidRPr="00464D7A" w:rsidRDefault="00C5174D">
            <w:pPr>
              <w:pStyle w:val="TabletextR3"/>
              <w:rPr>
                <w:b/>
                <w:u w:val="single"/>
              </w:rPr>
            </w:pPr>
          </w:p>
        </w:tc>
      </w:tr>
    </w:tbl>
    <w:p w14:paraId="61E0726F" w14:textId="46030910" w:rsidR="00C5174D" w:rsidRPr="004E042F" w:rsidRDefault="00526955" w:rsidP="005A0AC1">
      <w:r>
        <w:tab/>
      </w:r>
    </w:p>
    <w:p w14:paraId="7A92E9FB" w14:textId="77777777" w:rsidR="00C5174D" w:rsidRPr="004E042F" w:rsidRDefault="00C5174D">
      <w:pPr>
        <w:pStyle w:val="BodyText"/>
      </w:pPr>
    </w:p>
    <w:p w14:paraId="71274455" w14:textId="77777777" w:rsidR="00C5174D" w:rsidRPr="004E042F" w:rsidRDefault="004C31D2">
      <w:pPr>
        <w:pStyle w:val="BodyText"/>
      </w:pPr>
      <w:r w:rsidRPr="004E042F">
        <w:tab/>
      </w:r>
      <w:r w:rsidRPr="004E042F">
        <w:tab/>
      </w:r>
    </w:p>
    <w:p w14:paraId="0A755E5A" w14:textId="4C04B3CE" w:rsidR="00C5174D" w:rsidRPr="004E042F" w:rsidRDefault="00C5174D" w:rsidP="00AE6F3D">
      <w:pPr>
        <w:pStyle w:val="ReportName"/>
        <w:suppressAutoHyphens/>
        <w:ind w:left="0"/>
      </w:pPr>
      <w:r w:rsidRPr="004E042F">
        <w:t xml:space="preserve">Scenario Fuel Forecast Documentation – Budget </w:t>
      </w:r>
      <w:r w:rsidR="00211155">
        <w:t>201</w:t>
      </w:r>
      <w:r w:rsidR="00B26A30">
        <w:t>9</w:t>
      </w:r>
    </w:p>
    <w:p w14:paraId="53B164B5" w14:textId="77777777" w:rsidR="00C5174D" w:rsidRPr="004E042F" w:rsidRDefault="00C5174D">
      <w:pPr>
        <w:pStyle w:val="BodyText"/>
        <w:rPr>
          <w:b/>
        </w:rPr>
      </w:pPr>
    </w:p>
    <w:p w14:paraId="57714E91" w14:textId="77777777" w:rsidR="00C5174D" w:rsidRPr="004E042F" w:rsidRDefault="00C5174D">
      <w:pPr>
        <w:pStyle w:val="BodyText"/>
        <w:rPr>
          <w:b/>
        </w:rPr>
      </w:pPr>
    </w:p>
    <w:p w14:paraId="30DFF036" w14:textId="77777777" w:rsidR="00C5174D" w:rsidRPr="004E042F" w:rsidRDefault="00C5174D">
      <w:pPr>
        <w:pStyle w:val="BodyText"/>
        <w:rPr>
          <w:b/>
        </w:rPr>
      </w:pPr>
    </w:p>
    <w:p w14:paraId="1A0F11CD" w14:textId="77777777" w:rsidR="00C5174D" w:rsidRPr="004E042F" w:rsidRDefault="00C5174D">
      <w:pPr>
        <w:pStyle w:val="BodyText"/>
      </w:pPr>
    </w:p>
    <w:tbl>
      <w:tblPr>
        <w:tblW w:w="0" w:type="auto"/>
        <w:tblLook w:val="0000" w:firstRow="0" w:lastRow="0" w:firstColumn="0" w:lastColumn="0" w:noHBand="0" w:noVBand="0"/>
      </w:tblPr>
      <w:tblGrid>
        <w:gridCol w:w="7218"/>
      </w:tblGrid>
      <w:tr w:rsidR="00C5174D" w:rsidRPr="004E042F" w14:paraId="08BDD083" w14:textId="77777777" w:rsidTr="00255448">
        <w:trPr>
          <w:trHeight w:val="423"/>
        </w:trPr>
        <w:tc>
          <w:tcPr>
            <w:tcW w:w="7218" w:type="dxa"/>
          </w:tcPr>
          <w:p w14:paraId="2F37BF97" w14:textId="3C97EF5F" w:rsidR="00C5174D" w:rsidRPr="00255448" w:rsidRDefault="00C5174D" w:rsidP="00255448">
            <w:pPr>
              <w:pStyle w:val="TabletextR2"/>
              <w:ind w:left="0"/>
              <w:rPr>
                <w:sz w:val="20"/>
              </w:rPr>
            </w:pPr>
            <w:r w:rsidRPr="00572538">
              <w:rPr>
                <w:sz w:val="20"/>
              </w:rPr>
              <w:t>Prepared By:</w:t>
            </w:r>
          </w:p>
        </w:tc>
      </w:tr>
      <w:tr w:rsidR="00C5174D" w:rsidRPr="004E042F" w14:paraId="70F93ADF" w14:textId="77777777" w:rsidTr="00AB1979">
        <w:trPr>
          <w:trHeight w:val="397"/>
        </w:trPr>
        <w:tc>
          <w:tcPr>
            <w:tcW w:w="7218" w:type="dxa"/>
          </w:tcPr>
          <w:p w14:paraId="74F4DE18" w14:textId="77777777" w:rsidR="00C5174D" w:rsidRPr="004E042F" w:rsidRDefault="00C5174D">
            <w:pPr>
              <w:pStyle w:val="TabletextR3"/>
              <w:rPr>
                <w:sz w:val="20"/>
              </w:rPr>
            </w:pPr>
            <w:r w:rsidRPr="004E042F">
              <w:rPr>
                <w:sz w:val="20"/>
              </w:rPr>
              <w:t xml:space="preserve">Charles River Associates </w:t>
            </w:r>
          </w:p>
        </w:tc>
      </w:tr>
      <w:tr w:rsidR="00C5174D" w:rsidRPr="004E042F" w14:paraId="5837BA05" w14:textId="77777777" w:rsidTr="00AB1979">
        <w:trPr>
          <w:trHeight w:val="411"/>
        </w:trPr>
        <w:tc>
          <w:tcPr>
            <w:tcW w:w="7218" w:type="dxa"/>
          </w:tcPr>
          <w:p w14:paraId="24547C77" w14:textId="77777777" w:rsidR="00C5174D" w:rsidRPr="004E042F" w:rsidRDefault="00C5174D">
            <w:pPr>
              <w:pStyle w:val="TabletextR3"/>
              <w:rPr>
                <w:sz w:val="20"/>
              </w:rPr>
            </w:pPr>
            <w:r w:rsidRPr="004E042F">
              <w:rPr>
                <w:sz w:val="20"/>
              </w:rPr>
              <w:t>1201 F Street, NW, Suite 700</w:t>
            </w:r>
          </w:p>
        </w:tc>
      </w:tr>
      <w:tr w:rsidR="00C5174D" w:rsidRPr="004E042F" w14:paraId="2346ED8A" w14:textId="77777777" w:rsidTr="00AB1979">
        <w:trPr>
          <w:trHeight w:val="397"/>
        </w:trPr>
        <w:tc>
          <w:tcPr>
            <w:tcW w:w="7218" w:type="dxa"/>
          </w:tcPr>
          <w:p w14:paraId="6CE83505" w14:textId="77777777" w:rsidR="00C5174D" w:rsidRPr="004E042F" w:rsidRDefault="00C5174D">
            <w:pPr>
              <w:pStyle w:val="TabletextR3"/>
              <w:rPr>
                <w:sz w:val="20"/>
              </w:rPr>
            </w:pPr>
            <w:r w:rsidRPr="004E042F">
              <w:rPr>
                <w:sz w:val="20"/>
              </w:rPr>
              <w:t>Washington, DC 20004</w:t>
            </w:r>
          </w:p>
        </w:tc>
      </w:tr>
      <w:tr w:rsidR="00C5174D" w:rsidRPr="004E042F" w14:paraId="508F5F19" w14:textId="77777777" w:rsidTr="00AB1979">
        <w:trPr>
          <w:trHeight w:val="241"/>
        </w:trPr>
        <w:tc>
          <w:tcPr>
            <w:tcW w:w="7218" w:type="dxa"/>
          </w:tcPr>
          <w:p w14:paraId="502C791C" w14:textId="77777777" w:rsidR="00C5174D" w:rsidRDefault="00C5174D">
            <w:pPr>
              <w:pStyle w:val="TabletextR3"/>
              <w:rPr>
                <w:sz w:val="20"/>
              </w:rPr>
            </w:pPr>
          </w:p>
          <w:p w14:paraId="552EF6D2" w14:textId="77777777" w:rsidR="00255448" w:rsidRDefault="00255448">
            <w:pPr>
              <w:pStyle w:val="TabletextR3"/>
              <w:rPr>
                <w:sz w:val="20"/>
              </w:rPr>
            </w:pPr>
          </w:p>
          <w:p w14:paraId="7313902F" w14:textId="77777777" w:rsidR="00255448" w:rsidRPr="004E042F" w:rsidRDefault="00255448">
            <w:pPr>
              <w:pStyle w:val="TabletextR3"/>
              <w:rPr>
                <w:sz w:val="20"/>
              </w:rPr>
            </w:pPr>
          </w:p>
        </w:tc>
      </w:tr>
      <w:tr w:rsidR="00C5174D" w:rsidRPr="004E042F" w14:paraId="61C6BB0B" w14:textId="77777777" w:rsidTr="00AB1979">
        <w:trPr>
          <w:trHeight w:val="397"/>
        </w:trPr>
        <w:tc>
          <w:tcPr>
            <w:tcW w:w="7218" w:type="dxa"/>
            <w:tcBorders>
              <w:bottom w:val="single" w:sz="4" w:space="0" w:color="auto"/>
            </w:tcBorders>
          </w:tcPr>
          <w:p w14:paraId="27401DDF" w14:textId="21BBFA11" w:rsidR="00C5174D" w:rsidRPr="004738A8" w:rsidRDefault="00EF1766" w:rsidP="00AC7874">
            <w:pPr>
              <w:pStyle w:val="TabletextR3"/>
              <w:rPr>
                <w:sz w:val="20"/>
              </w:rPr>
            </w:pPr>
            <w:r w:rsidRPr="004738A8">
              <w:rPr>
                <w:sz w:val="20"/>
              </w:rPr>
              <w:t xml:space="preserve">Confidential </w:t>
            </w:r>
            <w:r w:rsidR="00485A9E" w:rsidRPr="004738A8">
              <w:rPr>
                <w:sz w:val="20"/>
              </w:rPr>
              <w:t>–</w:t>
            </w:r>
            <w:r w:rsidR="003E3289">
              <w:rPr>
                <w:sz w:val="20"/>
              </w:rPr>
              <w:t xml:space="preserve"> </w:t>
            </w:r>
            <w:r w:rsidR="00AC7874">
              <w:rPr>
                <w:sz w:val="20"/>
              </w:rPr>
              <w:t>October</w:t>
            </w:r>
            <w:r w:rsidR="006D583A">
              <w:rPr>
                <w:sz w:val="20"/>
              </w:rPr>
              <w:t>, 201</w:t>
            </w:r>
            <w:r w:rsidR="00B26A30">
              <w:rPr>
                <w:sz w:val="20"/>
              </w:rPr>
              <w:t>8</w:t>
            </w:r>
          </w:p>
        </w:tc>
      </w:tr>
      <w:tr w:rsidR="00C5174D" w:rsidRPr="004E042F" w14:paraId="19824C7C" w14:textId="77777777" w:rsidTr="00AB1979">
        <w:trPr>
          <w:trHeight w:val="411"/>
        </w:trPr>
        <w:tc>
          <w:tcPr>
            <w:tcW w:w="7218" w:type="dxa"/>
            <w:tcBorders>
              <w:top w:val="single" w:sz="4" w:space="0" w:color="auto"/>
            </w:tcBorders>
          </w:tcPr>
          <w:p w14:paraId="20027655" w14:textId="77777777" w:rsidR="00C5174D" w:rsidRPr="004E042F" w:rsidRDefault="00C5174D">
            <w:pPr>
              <w:pStyle w:val="TabletextR3"/>
              <w:rPr>
                <w:b/>
              </w:rPr>
            </w:pPr>
          </w:p>
        </w:tc>
      </w:tr>
    </w:tbl>
    <w:p w14:paraId="36BCEDF7" w14:textId="77777777" w:rsidR="00C5174D" w:rsidRPr="004E042F" w:rsidRDefault="00C5174D">
      <w:pPr>
        <w:pStyle w:val="BodyText"/>
        <w:rPr>
          <w:b/>
        </w:rPr>
      </w:pPr>
    </w:p>
    <w:p w14:paraId="0901EA0F" w14:textId="77777777" w:rsidR="00C5174D" w:rsidRPr="004E042F" w:rsidRDefault="00C5174D">
      <w:pPr>
        <w:pStyle w:val="BodyText"/>
        <w:rPr>
          <w:rFonts w:ascii="TimesNewRomanPS" w:hAnsi="TimesNewRomanPS"/>
        </w:rPr>
        <w:sectPr w:rsidR="00C5174D" w:rsidRPr="004E042F">
          <w:footerReference w:type="even" r:id="rId9"/>
          <w:footerReference w:type="default" r:id="rId10"/>
          <w:headerReference w:type="first" r:id="rId11"/>
          <w:footerReference w:type="first" r:id="rId12"/>
          <w:pgSz w:w="12242" w:h="15842" w:code="1"/>
          <w:pgMar w:top="1440" w:right="1440" w:bottom="1440" w:left="1440" w:header="578" w:footer="431" w:gutter="1077"/>
          <w:paperSrc w:first="500" w:other="500"/>
          <w:cols w:space="720"/>
          <w:titlePg/>
        </w:sectPr>
      </w:pPr>
    </w:p>
    <w:p w14:paraId="297D064F" w14:textId="77777777" w:rsidR="00C5174D" w:rsidRPr="004E042F" w:rsidRDefault="008771A0" w:rsidP="007C2729">
      <w:pPr>
        <w:pStyle w:val="SectionHeading"/>
        <w:tabs>
          <w:tab w:val="center" w:pos="3782"/>
          <w:tab w:val="right" w:pos="8285"/>
        </w:tabs>
        <w:spacing w:line="240" w:lineRule="auto"/>
        <w:jc w:val="left"/>
        <w:rPr>
          <w:caps w:val="0"/>
        </w:rPr>
      </w:pPr>
      <w:r w:rsidRPr="004E042F">
        <w:rPr>
          <w:caps w:val="0"/>
        </w:rPr>
        <w:lastRenderedPageBreak/>
        <w:tab/>
      </w:r>
      <w:r w:rsidR="00C5174D" w:rsidRPr="004E042F">
        <w:rPr>
          <w:caps w:val="0"/>
        </w:rPr>
        <w:t xml:space="preserve">Table of </w:t>
      </w:r>
      <w:r w:rsidR="008F346D" w:rsidRPr="004E042F">
        <w:rPr>
          <w:caps w:val="0"/>
        </w:rPr>
        <w:t>C</w:t>
      </w:r>
      <w:r w:rsidR="00C5174D" w:rsidRPr="004E042F">
        <w:rPr>
          <w:caps w:val="0"/>
        </w:rPr>
        <w:t>ontents</w:t>
      </w:r>
      <w:r w:rsidRPr="004E042F">
        <w:rPr>
          <w:caps w:val="0"/>
        </w:rPr>
        <w:tab/>
      </w:r>
    </w:p>
    <w:p w14:paraId="7FB82B23" w14:textId="4C9DD0BB" w:rsidR="005A679A" w:rsidRDefault="005A679A">
      <w:pPr>
        <w:pStyle w:val="TOC1"/>
        <w:rPr>
          <w:rFonts w:asciiTheme="minorHAnsi" w:eastAsiaTheme="minorEastAsia" w:hAnsiTheme="minorHAnsi" w:cstheme="minorBidi"/>
          <w:caps w:val="0"/>
          <w:color w:val="auto"/>
          <w:szCs w:val="22"/>
        </w:rPr>
      </w:pPr>
      <w:r w:rsidRPr="00850B32">
        <w:rPr>
          <w:sz w:val="19"/>
          <w:u w:color="808080"/>
        </w:rPr>
        <w:t>1.</w:t>
      </w:r>
      <w:r>
        <w:rPr>
          <w:rFonts w:asciiTheme="minorHAnsi" w:eastAsiaTheme="minorEastAsia" w:hAnsiTheme="minorHAnsi" w:cstheme="minorBidi"/>
          <w:caps w:val="0"/>
          <w:color w:val="auto"/>
          <w:szCs w:val="22"/>
        </w:rPr>
        <w:tab/>
      </w:r>
      <w:r w:rsidRPr="00850B32">
        <w:rPr>
          <w:sz w:val="19"/>
          <w:u w:color="808080"/>
        </w:rPr>
        <w:t>INTRODUCTION</w:t>
      </w:r>
      <w:r>
        <w:rPr>
          <w:webHidden/>
        </w:rPr>
        <w:tab/>
      </w:r>
      <w:r w:rsidR="00ED2C2F">
        <w:rPr>
          <w:webHidden/>
        </w:rPr>
        <w:t>1</w:t>
      </w:r>
    </w:p>
    <w:p w14:paraId="575BE675" w14:textId="6A3FDCF5" w:rsidR="005A679A" w:rsidRDefault="005A679A">
      <w:pPr>
        <w:pStyle w:val="TOC2"/>
        <w:rPr>
          <w:rFonts w:asciiTheme="minorHAnsi" w:eastAsiaTheme="minorEastAsia" w:hAnsiTheme="minorHAnsi" w:cstheme="minorBidi"/>
          <w:smallCaps w:val="0"/>
          <w:sz w:val="22"/>
          <w:szCs w:val="22"/>
        </w:rPr>
      </w:pPr>
      <w:r w:rsidRPr="00850B32">
        <w:rPr>
          <w:sz w:val="19"/>
          <w:u w:color="808080"/>
        </w:rPr>
        <w:t>1.1.</w:t>
      </w:r>
      <w:r>
        <w:rPr>
          <w:rFonts w:asciiTheme="minorHAnsi" w:eastAsiaTheme="minorEastAsia" w:hAnsiTheme="minorHAnsi" w:cstheme="minorBidi"/>
          <w:smallCaps w:val="0"/>
          <w:sz w:val="22"/>
          <w:szCs w:val="22"/>
        </w:rPr>
        <w:tab/>
      </w:r>
      <w:r w:rsidRPr="00850B32">
        <w:rPr>
          <w:sz w:val="19"/>
          <w:u w:color="808080"/>
        </w:rPr>
        <w:t>Utilizing the Results of this Report</w:t>
      </w:r>
      <w:r>
        <w:rPr>
          <w:webHidden/>
        </w:rPr>
        <w:tab/>
      </w:r>
      <w:r w:rsidR="00ED2C2F">
        <w:rPr>
          <w:webHidden/>
        </w:rPr>
        <w:t>1</w:t>
      </w:r>
    </w:p>
    <w:p w14:paraId="7BA5035F" w14:textId="23762E83" w:rsidR="005A679A" w:rsidRDefault="005A679A">
      <w:pPr>
        <w:pStyle w:val="TOC1"/>
        <w:rPr>
          <w:rFonts w:asciiTheme="minorHAnsi" w:eastAsiaTheme="minorEastAsia" w:hAnsiTheme="minorHAnsi" w:cstheme="minorBidi"/>
          <w:caps w:val="0"/>
          <w:color w:val="auto"/>
          <w:szCs w:val="22"/>
        </w:rPr>
      </w:pPr>
      <w:r w:rsidRPr="00850B32">
        <w:rPr>
          <w:sz w:val="19"/>
          <w:u w:color="808080"/>
        </w:rPr>
        <w:t>2.</w:t>
      </w:r>
      <w:r>
        <w:rPr>
          <w:rFonts w:asciiTheme="minorHAnsi" w:eastAsiaTheme="minorEastAsia" w:hAnsiTheme="minorHAnsi" w:cstheme="minorBidi"/>
          <w:caps w:val="0"/>
          <w:color w:val="auto"/>
          <w:szCs w:val="22"/>
        </w:rPr>
        <w:tab/>
      </w:r>
      <w:r w:rsidRPr="00850B32">
        <w:rPr>
          <w:sz w:val="19"/>
          <w:u w:color="808080"/>
        </w:rPr>
        <w:t>Overview of Key Drivers: Views on Natural Gas Prices and Environmental Regulations</w:t>
      </w:r>
      <w:r>
        <w:rPr>
          <w:webHidden/>
        </w:rPr>
        <w:tab/>
      </w:r>
      <w:r w:rsidR="00ED2C2F">
        <w:rPr>
          <w:webHidden/>
        </w:rPr>
        <w:t>3</w:t>
      </w:r>
    </w:p>
    <w:p w14:paraId="047F50CC" w14:textId="659C190A" w:rsidR="005A679A" w:rsidRDefault="005A679A">
      <w:pPr>
        <w:pStyle w:val="TOC2"/>
        <w:rPr>
          <w:rFonts w:asciiTheme="minorHAnsi" w:eastAsiaTheme="minorEastAsia" w:hAnsiTheme="minorHAnsi" w:cstheme="minorBidi"/>
          <w:smallCaps w:val="0"/>
          <w:sz w:val="22"/>
          <w:szCs w:val="22"/>
        </w:rPr>
      </w:pPr>
      <w:r w:rsidRPr="00850B32">
        <w:rPr>
          <w:sz w:val="19"/>
          <w:u w:color="808080"/>
        </w:rPr>
        <w:t>2.1.</w:t>
      </w:r>
      <w:r>
        <w:rPr>
          <w:rFonts w:asciiTheme="minorHAnsi" w:eastAsiaTheme="minorEastAsia" w:hAnsiTheme="minorHAnsi" w:cstheme="minorBidi"/>
          <w:smallCaps w:val="0"/>
          <w:sz w:val="22"/>
          <w:szCs w:val="22"/>
        </w:rPr>
        <w:tab/>
      </w:r>
      <w:r w:rsidRPr="00850B32">
        <w:rPr>
          <w:sz w:val="19"/>
          <w:u w:color="808080"/>
        </w:rPr>
        <w:t>Fuel</w:t>
      </w:r>
      <w:r>
        <w:rPr>
          <w:webHidden/>
        </w:rPr>
        <w:tab/>
      </w:r>
      <w:r w:rsidR="00ED2C2F">
        <w:rPr>
          <w:webHidden/>
        </w:rPr>
        <w:t>3</w:t>
      </w:r>
    </w:p>
    <w:p w14:paraId="234B4A33" w14:textId="011C8EE5" w:rsidR="005A679A" w:rsidRDefault="005A679A">
      <w:pPr>
        <w:pStyle w:val="TOC3"/>
        <w:rPr>
          <w:rFonts w:asciiTheme="minorHAnsi" w:eastAsiaTheme="minorEastAsia" w:hAnsiTheme="minorHAnsi" w:cstheme="minorBidi"/>
          <w:sz w:val="22"/>
          <w:szCs w:val="22"/>
        </w:rPr>
      </w:pPr>
      <w:r w:rsidRPr="00850B32">
        <w:rPr>
          <w:sz w:val="19"/>
          <w:u w:color="808080"/>
        </w:rPr>
        <w:t>2.1.1.</w:t>
      </w:r>
      <w:r>
        <w:rPr>
          <w:rFonts w:asciiTheme="minorHAnsi" w:eastAsiaTheme="minorEastAsia" w:hAnsiTheme="minorHAnsi" w:cstheme="minorBidi"/>
          <w:sz w:val="22"/>
          <w:szCs w:val="22"/>
        </w:rPr>
        <w:tab/>
      </w:r>
      <w:r w:rsidRPr="00850B32">
        <w:rPr>
          <w:sz w:val="19"/>
          <w:u w:color="808080"/>
        </w:rPr>
        <w:t>Natural Gas</w:t>
      </w:r>
      <w:r>
        <w:rPr>
          <w:webHidden/>
        </w:rPr>
        <w:tab/>
      </w:r>
      <w:r w:rsidR="00ED2C2F">
        <w:rPr>
          <w:webHidden/>
        </w:rPr>
        <w:t>3</w:t>
      </w:r>
    </w:p>
    <w:p w14:paraId="1A6A40D3" w14:textId="7B9A40EA" w:rsidR="005A679A" w:rsidRDefault="005A679A">
      <w:pPr>
        <w:pStyle w:val="TOC3"/>
        <w:rPr>
          <w:rFonts w:asciiTheme="minorHAnsi" w:eastAsiaTheme="minorEastAsia" w:hAnsiTheme="minorHAnsi" w:cstheme="minorBidi"/>
          <w:sz w:val="22"/>
          <w:szCs w:val="22"/>
        </w:rPr>
      </w:pPr>
      <w:r w:rsidRPr="00850B32">
        <w:rPr>
          <w:sz w:val="19"/>
          <w:u w:color="808080"/>
        </w:rPr>
        <w:t>2.1.2.</w:t>
      </w:r>
      <w:r>
        <w:rPr>
          <w:rFonts w:asciiTheme="minorHAnsi" w:eastAsiaTheme="minorEastAsia" w:hAnsiTheme="minorHAnsi" w:cstheme="minorBidi"/>
          <w:sz w:val="22"/>
          <w:szCs w:val="22"/>
        </w:rPr>
        <w:tab/>
      </w:r>
      <w:r w:rsidRPr="00850B32">
        <w:rPr>
          <w:sz w:val="19"/>
          <w:u w:color="808080"/>
        </w:rPr>
        <w:t>Oil</w:t>
      </w:r>
      <w:r>
        <w:rPr>
          <w:webHidden/>
        </w:rPr>
        <w:tab/>
      </w:r>
      <w:r w:rsidR="00ED2C2F">
        <w:rPr>
          <w:webHidden/>
        </w:rPr>
        <w:t>4</w:t>
      </w:r>
    </w:p>
    <w:p w14:paraId="79459E43" w14:textId="0E848967" w:rsidR="005A679A" w:rsidRDefault="005A679A">
      <w:pPr>
        <w:pStyle w:val="TOC3"/>
        <w:rPr>
          <w:rFonts w:asciiTheme="minorHAnsi" w:eastAsiaTheme="minorEastAsia" w:hAnsiTheme="minorHAnsi" w:cstheme="minorBidi"/>
          <w:sz w:val="22"/>
          <w:szCs w:val="22"/>
        </w:rPr>
      </w:pPr>
      <w:r w:rsidRPr="00850B32">
        <w:rPr>
          <w:sz w:val="19"/>
          <w:u w:color="808080"/>
        </w:rPr>
        <w:t>2.1.3.</w:t>
      </w:r>
      <w:r>
        <w:rPr>
          <w:rFonts w:asciiTheme="minorHAnsi" w:eastAsiaTheme="minorEastAsia" w:hAnsiTheme="minorHAnsi" w:cstheme="minorBidi"/>
          <w:sz w:val="22"/>
          <w:szCs w:val="22"/>
        </w:rPr>
        <w:tab/>
      </w:r>
      <w:r w:rsidRPr="00850B32">
        <w:rPr>
          <w:sz w:val="19"/>
          <w:u w:color="808080"/>
        </w:rPr>
        <w:t>Coal</w:t>
      </w:r>
      <w:r>
        <w:rPr>
          <w:webHidden/>
        </w:rPr>
        <w:tab/>
      </w:r>
      <w:r w:rsidR="00ED2C2F">
        <w:rPr>
          <w:webHidden/>
        </w:rPr>
        <w:t>5</w:t>
      </w:r>
    </w:p>
    <w:p w14:paraId="7ED578B5" w14:textId="4DB74D8E" w:rsidR="005A679A" w:rsidRDefault="005A679A">
      <w:pPr>
        <w:pStyle w:val="TOC2"/>
        <w:rPr>
          <w:rFonts w:asciiTheme="minorHAnsi" w:eastAsiaTheme="minorEastAsia" w:hAnsiTheme="minorHAnsi" w:cstheme="minorBidi"/>
          <w:smallCaps w:val="0"/>
          <w:sz w:val="22"/>
          <w:szCs w:val="22"/>
        </w:rPr>
      </w:pPr>
      <w:r w:rsidRPr="00850B32">
        <w:rPr>
          <w:sz w:val="19"/>
          <w:u w:color="808080"/>
        </w:rPr>
        <w:t>2.2.</w:t>
      </w:r>
      <w:r>
        <w:rPr>
          <w:rFonts w:asciiTheme="minorHAnsi" w:eastAsiaTheme="minorEastAsia" w:hAnsiTheme="minorHAnsi" w:cstheme="minorBidi"/>
          <w:smallCaps w:val="0"/>
          <w:sz w:val="22"/>
          <w:szCs w:val="22"/>
        </w:rPr>
        <w:tab/>
      </w:r>
      <w:r w:rsidRPr="00850B32">
        <w:rPr>
          <w:sz w:val="19"/>
          <w:u w:color="808080"/>
        </w:rPr>
        <w:t>Environmental Regulations</w:t>
      </w:r>
      <w:r>
        <w:rPr>
          <w:webHidden/>
        </w:rPr>
        <w:tab/>
      </w:r>
      <w:r w:rsidR="00ED2C2F">
        <w:rPr>
          <w:webHidden/>
        </w:rPr>
        <w:t>6</w:t>
      </w:r>
    </w:p>
    <w:p w14:paraId="5E84A812" w14:textId="50C1EAD2" w:rsidR="005A679A" w:rsidRDefault="005A679A">
      <w:pPr>
        <w:pStyle w:val="TOC2"/>
        <w:rPr>
          <w:rFonts w:asciiTheme="minorHAnsi" w:eastAsiaTheme="minorEastAsia" w:hAnsiTheme="minorHAnsi" w:cstheme="minorBidi"/>
          <w:smallCaps w:val="0"/>
          <w:sz w:val="22"/>
          <w:szCs w:val="22"/>
        </w:rPr>
      </w:pPr>
      <w:r w:rsidRPr="00850B32">
        <w:rPr>
          <w:sz w:val="19"/>
          <w:u w:color="808080"/>
        </w:rPr>
        <w:t>2.3.</w:t>
      </w:r>
      <w:r>
        <w:rPr>
          <w:rFonts w:asciiTheme="minorHAnsi" w:eastAsiaTheme="minorEastAsia" w:hAnsiTheme="minorHAnsi" w:cstheme="minorBidi"/>
          <w:smallCaps w:val="0"/>
          <w:sz w:val="22"/>
          <w:szCs w:val="22"/>
        </w:rPr>
        <w:tab/>
      </w:r>
      <w:r w:rsidRPr="00850B32">
        <w:rPr>
          <w:sz w:val="19"/>
          <w:u w:color="808080"/>
        </w:rPr>
        <w:t>Limitations on Electric Generation Baseload Capacity Additions</w:t>
      </w:r>
      <w:r>
        <w:rPr>
          <w:webHidden/>
        </w:rPr>
        <w:tab/>
      </w:r>
      <w:r w:rsidR="00ED2C2F">
        <w:rPr>
          <w:webHidden/>
        </w:rPr>
        <w:t>7</w:t>
      </w:r>
    </w:p>
    <w:p w14:paraId="22309F2B" w14:textId="3395077D" w:rsidR="005A679A" w:rsidRDefault="005A679A">
      <w:pPr>
        <w:pStyle w:val="TOC3"/>
        <w:rPr>
          <w:rFonts w:asciiTheme="minorHAnsi" w:eastAsiaTheme="minorEastAsia" w:hAnsiTheme="minorHAnsi" w:cstheme="minorBidi"/>
          <w:sz w:val="22"/>
          <w:szCs w:val="22"/>
        </w:rPr>
      </w:pPr>
      <w:r w:rsidRPr="00850B32">
        <w:rPr>
          <w:sz w:val="19"/>
          <w:u w:color="808080"/>
        </w:rPr>
        <w:t>2.3.1.</w:t>
      </w:r>
      <w:r>
        <w:rPr>
          <w:rFonts w:asciiTheme="minorHAnsi" w:eastAsiaTheme="minorEastAsia" w:hAnsiTheme="minorHAnsi" w:cstheme="minorBidi"/>
          <w:sz w:val="22"/>
          <w:szCs w:val="22"/>
        </w:rPr>
        <w:tab/>
      </w:r>
      <w:r w:rsidRPr="00850B32">
        <w:rPr>
          <w:sz w:val="19"/>
          <w:u w:color="808080"/>
        </w:rPr>
        <w:t>Treatment of Existing and New Nuclear Capacity</w:t>
      </w:r>
      <w:r>
        <w:rPr>
          <w:webHidden/>
        </w:rPr>
        <w:tab/>
      </w:r>
      <w:r w:rsidR="00ED2C2F">
        <w:rPr>
          <w:webHidden/>
        </w:rPr>
        <w:t>8</w:t>
      </w:r>
    </w:p>
    <w:p w14:paraId="3E570C4A" w14:textId="2B5BF2B9" w:rsidR="005A679A" w:rsidRDefault="005A679A">
      <w:pPr>
        <w:pStyle w:val="TOC1"/>
        <w:rPr>
          <w:rFonts w:asciiTheme="minorHAnsi" w:eastAsiaTheme="minorEastAsia" w:hAnsiTheme="minorHAnsi" w:cstheme="minorBidi"/>
          <w:caps w:val="0"/>
          <w:color w:val="auto"/>
          <w:szCs w:val="22"/>
        </w:rPr>
      </w:pPr>
      <w:r w:rsidRPr="00850B32">
        <w:rPr>
          <w:sz w:val="19"/>
          <w:u w:color="808080"/>
        </w:rPr>
        <w:t>3.</w:t>
      </w:r>
      <w:r>
        <w:rPr>
          <w:rFonts w:asciiTheme="minorHAnsi" w:eastAsiaTheme="minorEastAsia" w:hAnsiTheme="minorHAnsi" w:cstheme="minorBidi"/>
          <w:caps w:val="0"/>
          <w:color w:val="auto"/>
          <w:szCs w:val="22"/>
        </w:rPr>
        <w:tab/>
      </w:r>
      <w:r w:rsidRPr="00850B32">
        <w:rPr>
          <w:sz w:val="19"/>
          <w:u w:color="808080"/>
        </w:rPr>
        <w:t>Natural Gas Outlook</w:t>
      </w:r>
      <w:r>
        <w:rPr>
          <w:webHidden/>
        </w:rPr>
        <w:tab/>
      </w:r>
      <w:r w:rsidR="00FC45E1">
        <w:rPr>
          <w:webHidden/>
        </w:rPr>
        <w:t>1</w:t>
      </w:r>
      <w:r w:rsidR="00ED2C2F">
        <w:rPr>
          <w:webHidden/>
        </w:rPr>
        <w:t>1</w:t>
      </w:r>
    </w:p>
    <w:p w14:paraId="2C7F3A4A" w14:textId="017B6D17" w:rsidR="005A679A" w:rsidRDefault="005A679A">
      <w:pPr>
        <w:pStyle w:val="TOC2"/>
        <w:rPr>
          <w:rFonts w:asciiTheme="minorHAnsi" w:eastAsiaTheme="minorEastAsia" w:hAnsiTheme="minorHAnsi" w:cstheme="minorBidi"/>
          <w:smallCaps w:val="0"/>
          <w:sz w:val="22"/>
          <w:szCs w:val="22"/>
        </w:rPr>
      </w:pPr>
      <w:r w:rsidRPr="00850B32">
        <w:rPr>
          <w:sz w:val="19"/>
          <w:u w:color="808080"/>
        </w:rPr>
        <w:t>3.1.</w:t>
      </w:r>
      <w:r>
        <w:rPr>
          <w:rFonts w:asciiTheme="minorHAnsi" w:eastAsiaTheme="minorEastAsia" w:hAnsiTheme="minorHAnsi" w:cstheme="minorBidi"/>
          <w:smallCaps w:val="0"/>
          <w:sz w:val="22"/>
          <w:szCs w:val="22"/>
        </w:rPr>
        <w:tab/>
      </w:r>
      <w:r w:rsidRPr="00850B32">
        <w:rPr>
          <w:sz w:val="19"/>
          <w:u w:color="808080"/>
        </w:rPr>
        <w:t>Key Market Drivers</w:t>
      </w:r>
      <w:r>
        <w:rPr>
          <w:webHidden/>
        </w:rPr>
        <w:tab/>
      </w:r>
      <w:r w:rsidR="00FC45E1">
        <w:rPr>
          <w:webHidden/>
        </w:rPr>
        <w:t>1</w:t>
      </w:r>
      <w:r w:rsidR="00ED2C2F">
        <w:rPr>
          <w:webHidden/>
        </w:rPr>
        <w:t>1</w:t>
      </w:r>
    </w:p>
    <w:p w14:paraId="27EC06B2" w14:textId="7714C293" w:rsidR="005A679A" w:rsidRDefault="005A679A">
      <w:pPr>
        <w:pStyle w:val="TOC2"/>
        <w:rPr>
          <w:rFonts w:asciiTheme="minorHAnsi" w:eastAsiaTheme="minorEastAsia" w:hAnsiTheme="minorHAnsi" w:cstheme="minorBidi"/>
          <w:smallCaps w:val="0"/>
          <w:sz w:val="22"/>
          <w:szCs w:val="22"/>
        </w:rPr>
      </w:pPr>
      <w:r w:rsidRPr="00850B32">
        <w:rPr>
          <w:sz w:val="19"/>
          <w:u w:color="808080"/>
        </w:rPr>
        <w:t>3.2.</w:t>
      </w:r>
      <w:r>
        <w:rPr>
          <w:rFonts w:asciiTheme="minorHAnsi" w:eastAsiaTheme="minorEastAsia" w:hAnsiTheme="minorHAnsi" w:cstheme="minorBidi"/>
          <w:smallCaps w:val="0"/>
          <w:sz w:val="22"/>
          <w:szCs w:val="22"/>
        </w:rPr>
        <w:tab/>
      </w:r>
      <w:r w:rsidRPr="00850B32">
        <w:rPr>
          <w:sz w:val="19"/>
          <w:u w:color="808080"/>
        </w:rPr>
        <w:t>U.S. Gas Production &amp; Prices</w:t>
      </w:r>
      <w:r>
        <w:rPr>
          <w:webHidden/>
        </w:rPr>
        <w:tab/>
      </w:r>
      <w:r w:rsidR="00FC45E1">
        <w:rPr>
          <w:webHidden/>
        </w:rPr>
        <w:t>1</w:t>
      </w:r>
      <w:r w:rsidR="00ED2C2F">
        <w:rPr>
          <w:webHidden/>
        </w:rPr>
        <w:t>1</w:t>
      </w:r>
    </w:p>
    <w:p w14:paraId="24C99E07" w14:textId="72797C95" w:rsidR="005A679A" w:rsidRDefault="005A679A">
      <w:pPr>
        <w:pStyle w:val="TOC3"/>
        <w:rPr>
          <w:rFonts w:asciiTheme="minorHAnsi" w:eastAsiaTheme="minorEastAsia" w:hAnsiTheme="minorHAnsi" w:cstheme="minorBidi"/>
          <w:sz w:val="22"/>
          <w:szCs w:val="22"/>
        </w:rPr>
      </w:pPr>
      <w:r w:rsidRPr="00850B32">
        <w:rPr>
          <w:sz w:val="19"/>
          <w:u w:color="808080"/>
        </w:rPr>
        <w:t>3.2.1.</w:t>
      </w:r>
      <w:r>
        <w:rPr>
          <w:rFonts w:asciiTheme="minorHAnsi" w:eastAsiaTheme="minorEastAsia" w:hAnsiTheme="minorHAnsi" w:cstheme="minorBidi"/>
          <w:sz w:val="22"/>
          <w:szCs w:val="22"/>
        </w:rPr>
        <w:tab/>
      </w:r>
      <w:r w:rsidRPr="00850B32">
        <w:rPr>
          <w:sz w:val="19"/>
          <w:u w:color="808080"/>
        </w:rPr>
        <w:t>Shale Gas Supply</w:t>
      </w:r>
      <w:r>
        <w:rPr>
          <w:webHidden/>
        </w:rPr>
        <w:tab/>
      </w:r>
      <w:r w:rsidR="00FC45E1">
        <w:rPr>
          <w:webHidden/>
        </w:rPr>
        <w:t>1</w:t>
      </w:r>
      <w:r w:rsidR="00ED2C2F">
        <w:rPr>
          <w:webHidden/>
        </w:rPr>
        <w:t>2</w:t>
      </w:r>
    </w:p>
    <w:p w14:paraId="65C03155" w14:textId="39AD5D2F" w:rsidR="005A679A" w:rsidRDefault="005A679A">
      <w:pPr>
        <w:pStyle w:val="TOC3"/>
        <w:rPr>
          <w:rFonts w:asciiTheme="minorHAnsi" w:eastAsiaTheme="minorEastAsia" w:hAnsiTheme="minorHAnsi" w:cstheme="minorBidi"/>
          <w:sz w:val="22"/>
          <w:szCs w:val="22"/>
        </w:rPr>
      </w:pPr>
      <w:r w:rsidRPr="00850B32">
        <w:rPr>
          <w:sz w:val="19"/>
          <w:u w:color="808080"/>
        </w:rPr>
        <w:t>3.2.2.</w:t>
      </w:r>
      <w:r>
        <w:rPr>
          <w:rFonts w:asciiTheme="minorHAnsi" w:eastAsiaTheme="minorEastAsia" w:hAnsiTheme="minorHAnsi" w:cstheme="minorBidi"/>
          <w:sz w:val="22"/>
          <w:szCs w:val="22"/>
        </w:rPr>
        <w:tab/>
      </w:r>
      <w:r w:rsidRPr="00850B32">
        <w:rPr>
          <w:sz w:val="19"/>
          <w:u w:color="808080"/>
        </w:rPr>
        <w:t>Initial Production Rates and Production Decline Curves</w:t>
      </w:r>
      <w:r>
        <w:rPr>
          <w:webHidden/>
        </w:rPr>
        <w:tab/>
      </w:r>
      <w:r w:rsidR="00FC45E1">
        <w:rPr>
          <w:webHidden/>
        </w:rPr>
        <w:t>1</w:t>
      </w:r>
      <w:r w:rsidR="00ED2C2F">
        <w:rPr>
          <w:webHidden/>
        </w:rPr>
        <w:t>6</w:t>
      </w:r>
    </w:p>
    <w:p w14:paraId="19316BF6" w14:textId="0FF47114" w:rsidR="005A679A" w:rsidRDefault="005A679A">
      <w:pPr>
        <w:pStyle w:val="TOC3"/>
        <w:rPr>
          <w:rFonts w:asciiTheme="minorHAnsi" w:eastAsiaTheme="minorEastAsia" w:hAnsiTheme="minorHAnsi" w:cstheme="minorBidi"/>
          <w:sz w:val="22"/>
          <w:szCs w:val="22"/>
        </w:rPr>
      </w:pPr>
      <w:r w:rsidRPr="00850B32">
        <w:rPr>
          <w:sz w:val="19"/>
          <w:u w:color="808080"/>
        </w:rPr>
        <w:t>3.2.3.</w:t>
      </w:r>
      <w:r>
        <w:rPr>
          <w:rFonts w:asciiTheme="minorHAnsi" w:eastAsiaTheme="minorEastAsia" w:hAnsiTheme="minorHAnsi" w:cstheme="minorBidi"/>
          <w:sz w:val="22"/>
          <w:szCs w:val="22"/>
        </w:rPr>
        <w:tab/>
      </w:r>
      <w:r w:rsidRPr="00850B32">
        <w:rPr>
          <w:sz w:val="19"/>
          <w:u w:color="808080"/>
        </w:rPr>
        <w:t>Cost of Drilling &amp; Well Productivity</w:t>
      </w:r>
      <w:r>
        <w:rPr>
          <w:webHidden/>
        </w:rPr>
        <w:tab/>
      </w:r>
      <w:r w:rsidR="00FC45E1">
        <w:rPr>
          <w:webHidden/>
        </w:rPr>
        <w:t>2</w:t>
      </w:r>
      <w:r w:rsidR="00ED2C2F">
        <w:rPr>
          <w:webHidden/>
        </w:rPr>
        <w:t>1</w:t>
      </w:r>
    </w:p>
    <w:p w14:paraId="18078D4B" w14:textId="12AB21CD" w:rsidR="005A679A" w:rsidRDefault="005A679A">
      <w:pPr>
        <w:pStyle w:val="TOC3"/>
        <w:rPr>
          <w:rFonts w:asciiTheme="minorHAnsi" w:eastAsiaTheme="minorEastAsia" w:hAnsiTheme="minorHAnsi" w:cstheme="minorBidi"/>
          <w:sz w:val="22"/>
          <w:szCs w:val="22"/>
        </w:rPr>
      </w:pPr>
      <w:r w:rsidRPr="00850B32">
        <w:rPr>
          <w:sz w:val="19"/>
          <w:u w:color="808080"/>
        </w:rPr>
        <w:t>3.2.4.</w:t>
      </w:r>
      <w:r>
        <w:rPr>
          <w:rFonts w:asciiTheme="minorHAnsi" w:eastAsiaTheme="minorEastAsia" w:hAnsiTheme="minorHAnsi" w:cstheme="minorBidi"/>
          <w:sz w:val="22"/>
          <w:szCs w:val="22"/>
        </w:rPr>
        <w:tab/>
      </w:r>
      <w:r w:rsidRPr="00850B32">
        <w:rPr>
          <w:sz w:val="19"/>
          <w:u w:color="808080"/>
        </w:rPr>
        <w:t>Policies Governing Shale Drilling Access and Costs</w:t>
      </w:r>
      <w:r>
        <w:rPr>
          <w:webHidden/>
        </w:rPr>
        <w:tab/>
      </w:r>
      <w:r w:rsidR="00FC45E1">
        <w:rPr>
          <w:webHidden/>
        </w:rPr>
        <w:t>2</w:t>
      </w:r>
      <w:r w:rsidR="00ED2C2F">
        <w:rPr>
          <w:webHidden/>
        </w:rPr>
        <w:t>4</w:t>
      </w:r>
    </w:p>
    <w:p w14:paraId="74C43050" w14:textId="0B2E3CF8" w:rsidR="005A679A" w:rsidRDefault="005A679A">
      <w:pPr>
        <w:pStyle w:val="TOC2"/>
        <w:rPr>
          <w:rFonts w:asciiTheme="minorHAnsi" w:eastAsiaTheme="minorEastAsia" w:hAnsiTheme="minorHAnsi" w:cstheme="minorBidi"/>
          <w:smallCaps w:val="0"/>
          <w:sz w:val="22"/>
          <w:szCs w:val="22"/>
        </w:rPr>
      </w:pPr>
      <w:r w:rsidRPr="00850B32">
        <w:rPr>
          <w:sz w:val="19"/>
          <w:u w:color="808080"/>
        </w:rPr>
        <w:t>3.3.</w:t>
      </w:r>
      <w:r>
        <w:rPr>
          <w:rFonts w:asciiTheme="minorHAnsi" w:eastAsiaTheme="minorEastAsia" w:hAnsiTheme="minorHAnsi" w:cstheme="minorBidi"/>
          <w:smallCaps w:val="0"/>
          <w:sz w:val="22"/>
          <w:szCs w:val="22"/>
        </w:rPr>
        <w:tab/>
      </w:r>
      <w:r w:rsidRPr="00850B32">
        <w:rPr>
          <w:sz w:val="19"/>
          <w:u w:color="808080"/>
        </w:rPr>
        <w:t>Trends in Domestic &amp; International Demand</w:t>
      </w:r>
      <w:r>
        <w:rPr>
          <w:webHidden/>
        </w:rPr>
        <w:tab/>
      </w:r>
      <w:r w:rsidR="00FC45E1">
        <w:rPr>
          <w:webHidden/>
        </w:rPr>
        <w:t>2</w:t>
      </w:r>
      <w:r w:rsidR="00ED2C2F">
        <w:rPr>
          <w:webHidden/>
        </w:rPr>
        <w:t>8</w:t>
      </w:r>
    </w:p>
    <w:p w14:paraId="257E6480" w14:textId="11BB0B4C" w:rsidR="005A679A" w:rsidRDefault="005A679A">
      <w:pPr>
        <w:pStyle w:val="TOC3"/>
        <w:rPr>
          <w:rFonts w:asciiTheme="minorHAnsi" w:eastAsiaTheme="minorEastAsia" w:hAnsiTheme="minorHAnsi" w:cstheme="minorBidi"/>
          <w:sz w:val="22"/>
          <w:szCs w:val="22"/>
        </w:rPr>
      </w:pPr>
      <w:r w:rsidRPr="00850B32">
        <w:rPr>
          <w:sz w:val="19"/>
          <w:u w:color="808080"/>
        </w:rPr>
        <w:t>3.3.1.</w:t>
      </w:r>
      <w:r>
        <w:rPr>
          <w:rFonts w:asciiTheme="minorHAnsi" w:eastAsiaTheme="minorEastAsia" w:hAnsiTheme="minorHAnsi" w:cstheme="minorBidi"/>
          <w:sz w:val="22"/>
          <w:szCs w:val="22"/>
        </w:rPr>
        <w:tab/>
      </w:r>
      <w:r w:rsidRPr="00850B32">
        <w:rPr>
          <w:sz w:val="19"/>
          <w:u w:color="808080"/>
        </w:rPr>
        <w:t>International Demand &amp; LNG Exports</w:t>
      </w:r>
      <w:r>
        <w:rPr>
          <w:webHidden/>
        </w:rPr>
        <w:tab/>
      </w:r>
      <w:r w:rsidR="00FC45E1">
        <w:rPr>
          <w:webHidden/>
        </w:rPr>
        <w:t>2</w:t>
      </w:r>
      <w:r w:rsidR="00ED2C2F">
        <w:rPr>
          <w:webHidden/>
        </w:rPr>
        <w:t>8</w:t>
      </w:r>
    </w:p>
    <w:p w14:paraId="7CE24AA7" w14:textId="4217AEEB" w:rsidR="005A679A" w:rsidRDefault="005A679A">
      <w:pPr>
        <w:pStyle w:val="TOC3"/>
        <w:rPr>
          <w:rFonts w:asciiTheme="minorHAnsi" w:eastAsiaTheme="minorEastAsia" w:hAnsiTheme="minorHAnsi" w:cstheme="minorBidi"/>
          <w:sz w:val="22"/>
          <w:szCs w:val="22"/>
        </w:rPr>
      </w:pPr>
      <w:r w:rsidRPr="00850B32">
        <w:rPr>
          <w:sz w:val="19"/>
          <w:u w:color="808080"/>
        </w:rPr>
        <w:t>3.3.2.</w:t>
      </w:r>
      <w:r>
        <w:rPr>
          <w:rFonts w:asciiTheme="minorHAnsi" w:eastAsiaTheme="minorEastAsia" w:hAnsiTheme="minorHAnsi" w:cstheme="minorBidi"/>
          <w:sz w:val="22"/>
          <w:szCs w:val="22"/>
        </w:rPr>
        <w:tab/>
      </w:r>
      <w:r w:rsidRPr="00850B32">
        <w:rPr>
          <w:sz w:val="19"/>
          <w:u w:color="808080"/>
        </w:rPr>
        <w:t>Mexican Pipeline Exports</w:t>
      </w:r>
      <w:r>
        <w:rPr>
          <w:webHidden/>
        </w:rPr>
        <w:tab/>
      </w:r>
      <w:r w:rsidR="00FC45E1">
        <w:rPr>
          <w:webHidden/>
        </w:rPr>
        <w:t>3</w:t>
      </w:r>
      <w:r w:rsidR="00ED2C2F">
        <w:rPr>
          <w:webHidden/>
        </w:rPr>
        <w:t>0</w:t>
      </w:r>
    </w:p>
    <w:p w14:paraId="1056E5CD" w14:textId="4F164030" w:rsidR="005A679A" w:rsidRDefault="005A679A">
      <w:pPr>
        <w:pStyle w:val="TOC3"/>
        <w:rPr>
          <w:rFonts w:asciiTheme="minorHAnsi" w:eastAsiaTheme="minorEastAsia" w:hAnsiTheme="minorHAnsi" w:cstheme="minorBidi"/>
          <w:sz w:val="22"/>
          <w:szCs w:val="22"/>
        </w:rPr>
      </w:pPr>
      <w:r w:rsidRPr="00850B32">
        <w:rPr>
          <w:sz w:val="19"/>
          <w:u w:color="808080"/>
        </w:rPr>
        <w:t>3.3.3.</w:t>
      </w:r>
      <w:r>
        <w:rPr>
          <w:rFonts w:asciiTheme="minorHAnsi" w:eastAsiaTheme="minorEastAsia" w:hAnsiTheme="minorHAnsi" w:cstheme="minorBidi"/>
          <w:sz w:val="22"/>
          <w:szCs w:val="22"/>
        </w:rPr>
        <w:tab/>
      </w:r>
      <w:r w:rsidRPr="00850B32">
        <w:rPr>
          <w:sz w:val="19"/>
          <w:u w:color="808080"/>
        </w:rPr>
        <w:t>Domestic Consumption</w:t>
      </w:r>
      <w:r>
        <w:rPr>
          <w:webHidden/>
        </w:rPr>
        <w:tab/>
      </w:r>
      <w:r w:rsidR="00FC45E1">
        <w:rPr>
          <w:webHidden/>
        </w:rPr>
        <w:t>3</w:t>
      </w:r>
      <w:r w:rsidR="00ED2C2F">
        <w:rPr>
          <w:webHidden/>
        </w:rPr>
        <w:t>2</w:t>
      </w:r>
    </w:p>
    <w:p w14:paraId="70BAAA22" w14:textId="2FFBFD00" w:rsidR="005A679A" w:rsidRDefault="005A679A">
      <w:pPr>
        <w:pStyle w:val="TOC2"/>
        <w:rPr>
          <w:rFonts w:asciiTheme="minorHAnsi" w:eastAsiaTheme="minorEastAsia" w:hAnsiTheme="minorHAnsi" w:cstheme="minorBidi"/>
          <w:smallCaps w:val="0"/>
          <w:sz w:val="22"/>
          <w:szCs w:val="22"/>
        </w:rPr>
      </w:pPr>
      <w:r w:rsidRPr="00850B32">
        <w:rPr>
          <w:sz w:val="19"/>
          <w:u w:color="808080"/>
        </w:rPr>
        <w:t>3.4.</w:t>
      </w:r>
      <w:r>
        <w:rPr>
          <w:rFonts w:asciiTheme="minorHAnsi" w:eastAsiaTheme="minorEastAsia" w:hAnsiTheme="minorHAnsi" w:cstheme="minorBidi"/>
          <w:smallCaps w:val="0"/>
          <w:sz w:val="22"/>
          <w:szCs w:val="22"/>
        </w:rPr>
        <w:tab/>
      </w:r>
      <w:r w:rsidRPr="00850B32">
        <w:rPr>
          <w:sz w:val="19"/>
          <w:u w:color="808080"/>
        </w:rPr>
        <w:t>Fuel Views</w:t>
      </w:r>
      <w:r>
        <w:rPr>
          <w:webHidden/>
        </w:rPr>
        <w:tab/>
      </w:r>
      <w:r w:rsidR="00FC45E1">
        <w:rPr>
          <w:webHidden/>
        </w:rPr>
        <w:t>3</w:t>
      </w:r>
      <w:r w:rsidR="00ED2C2F">
        <w:rPr>
          <w:webHidden/>
        </w:rPr>
        <w:t>3</w:t>
      </w:r>
    </w:p>
    <w:p w14:paraId="441DD130" w14:textId="51237E9B" w:rsidR="005A679A" w:rsidRDefault="005A679A">
      <w:pPr>
        <w:pStyle w:val="TOC3"/>
        <w:rPr>
          <w:rFonts w:asciiTheme="minorHAnsi" w:eastAsiaTheme="minorEastAsia" w:hAnsiTheme="minorHAnsi" w:cstheme="minorBidi"/>
          <w:sz w:val="22"/>
          <w:szCs w:val="22"/>
        </w:rPr>
      </w:pPr>
      <w:r w:rsidRPr="00850B32">
        <w:rPr>
          <w:sz w:val="19"/>
          <w:u w:color="808080"/>
        </w:rPr>
        <w:t>3.4.1.</w:t>
      </w:r>
      <w:r>
        <w:rPr>
          <w:rFonts w:asciiTheme="minorHAnsi" w:eastAsiaTheme="minorEastAsia" w:hAnsiTheme="minorHAnsi" w:cstheme="minorBidi"/>
          <w:sz w:val="22"/>
          <w:szCs w:val="22"/>
        </w:rPr>
        <w:tab/>
      </w:r>
      <w:r w:rsidRPr="00850B32">
        <w:rPr>
          <w:sz w:val="19"/>
          <w:u w:color="808080"/>
        </w:rPr>
        <w:t>Development of the Budget 2019 Fuel Views</w:t>
      </w:r>
      <w:r>
        <w:rPr>
          <w:webHidden/>
        </w:rPr>
        <w:tab/>
      </w:r>
      <w:r w:rsidR="00FC45E1">
        <w:rPr>
          <w:webHidden/>
        </w:rPr>
        <w:t>3</w:t>
      </w:r>
      <w:r w:rsidR="00ED2C2F">
        <w:rPr>
          <w:webHidden/>
        </w:rPr>
        <w:t>7</w:t>
      </w:r>
    </w:p>
    <w:p w14:paraId="46EEFB93" w14:textId="3B4949A7" w:rsidR="005A679A" w:rsidRDefault="005A679A">
      <w:pPr>
        <w:pStyle w:val="TOC3"/>
        <w:rPr>
          <w:rFonts w:asciiTheme="minorHAnsi" w:eastAsiaTheme="minorEastAsia" w:hAnsiTheme="minorHAnsi" w:cstheme="minorBidi"/>
          <w:sz w:val="22"/>
          <w:szCs w:val="22"/>
        </w:rPr>
      </w:pPr>
      <w:r w:rsidRPr="00850B32">
        <w:rPr>
          <w:sz w:val="19"/>
          <w:u w:color="808080"/>
        </w:rPr>
        <w:t>3.4.2.</w:t>
      </w:r>
      <w:r>
        <w:rPr>
          <w:rFonts w:asciiTheme="minorHAnsi" w:eastAsiaTheme="minorEastAsia" w:hAnsiTheme="minorHAnsi" w:cstheme="minorBidi"/>
          <w:sz w:val="22"/>
          <w:szCs w:val="22"/>
        </w:rPr>
        <w:tab/>
      </w:r>
      <w:r w:rsidRPr="00850B32">
        <w:rPr>
          <w:sz w:val="19"/>
          <w:u w:color="808080"/>
        </w:rPr>
        <w:t>High Fuel View</w:t>
      </w:r>
      <w:r>
        <w:rPr>
          <w:webHidden/>
        </w:rPr>
        <w:tab/>
      </w:r>
      <w:r w:rsidR="00FC45E1">
        <w:rPr>
          <w:webHidden/>
        </w:rPr>
        <w:t>3</w:t>
      </w:r>
      <w:r w:rsidR="00ED2C2F">
        <w:rPr>
          <w:webHidden/>
        </w:rPr>
        <w:t>8</w:t>
      </w:r>
    </w:p>
    <w:p w14:paraId="593607C6" w14:textId="6EE90CC7" w:rsidR="005A679A" w:rsidRDefault="005A679A">
      <w:pPr>
        <w:pStyle w:val="TOC3"/>
        <w:rPr>
          <w:rFonts w:asciiTheme="minorHAnsi" w:eastAsiaTheme="minorEastAsia" w:hAnsiTheme="minorHAnsi" w:cstheme="minorBidi"/>
          <w:sz w:val="22"/>
          <w:szCs w:val="22"/>
        </w:rPr>
      </w:pPr>
      <w:r w:rsidRPr="00850B32">
        <w:rPr>
          <w:sz w:val="19"/>
          <w:u w:color="808080"/>
        </w:rPr>
        <w:t>3.4.3.</w:t>
      </w:r>
      <w:r>
        <w:rPr>
          <w:rFonts w:asciiTheme="minorHAnsi" w:eastAsiaTheme="minorEastAsia" w:hAnsiTheme="minorHAnsi" w:cstheme="minorBidi"/>
          <w:sz w:val="22"/>
          <w:szCs w:val="22"/>
        </w:rPr>
        <w:tab/>
      </w:r>
      <w:r w:rsidRPr="00850B32">
        <w:rPr>
          <w:sz w:val="19"/>
          <w:u w:color="808080"/>
        </w:rPr>
        <w:t>Moderate Fuel View</w:t>
      </w:r>
      <w:r>
        <w:rPr>
          <w:webHidden/>
        </w:rPr>
        <w:tab/>
      </w:r>
      <w:r w:rsidR="00FC45E1">
        <w:rPr>
          <w:webHidden/>
        </w:rPr>
        <w:t>4</w:t>
      </w:r>
      <w:r w:rsidR="00ED2C2F">
        <w:rPr>
          <w:webHidden/>
        </w:rPr>
        <w:t>0</w:t>
      </w:r>
    </w:p>
    <w:p w14:paraId="08D51AD0" w14:textId="69326C97" w:rsidR="005A679A" w:rsidRDefault="005A679A">
      <w:pPr>
        <w:pStyle w:val="TOC3"/>
        <w:rPr>
          <w:rFonts w:asciiTheme="minorHAnsi" w:eastAsiaTheme="minorEastAsia" w:hAnsiTheme="minorHAnsi" w:cstheme="minorBidi"/>
          <w:sz w:val="22"/>
          <w:szCs w:val="22"/>
        </w:rPr>
      </w:pPr>
      <w:r w:rsidRPr="00850B32">
        <w:rPr>
          <w:sz w:val="19"/>
          <w:u w:color="808080"/>
        </w:rPr>
        <w:t>3.4.4.</w:t>
      </w:r>
      <w:r>
        <w:rPr>
          <w:rFonts w:asciiTheme="minorHAnsi" w:eastAsiaTheme="minorEastAsia" w:hAnsiTheme="minorHAnsi" w:cstheme="minorBidi"/>
          <w:sz w:val="22"/>
          <w:szCs w:val="22"/>
        </w:rPr>
        <w:tab/>
      </w:r>
      <w:r w:rsidRPr="00850B32">
        <w:rPr>
          <w:sz w:val="19"/>
          <w:u w:color="808080"/>
        </w:rPr>
        <w:t>Low Fuel View</w:t>
      </w:r>
      <w:r>
        <w:rPr>
          <w:webHidden/>
        </w:rPr>
        <w:tab/>
      </w:r>
      <w:r w:rsidR="00FC45E1">
        <w:rPr>
          <w:webHidden/>
        </w:rPr>
        <w:t>4</w:t>
      </w:r>
      <w:r w:rsidR="00ED2C2F">
        <w:rPr>
          <w:webHidden/>
        </w:rPr>
        <w:t>1</w:t>
      </w:r>
    </w:p>
    <w:p w14:paraId="727255E8" w14:textId="275618D4" w:rsidR="005A679A" w:rsidRDefault="005A679A">
      <w:pPr>
        <w:pStyle w:val="TOC2"/>
        <w:rPr>
          <w:rFonts w:asciiTheme="minorHAnsi" w:eastAsiaTheme="minorEastAsia" w:hAnsiTheme="minorHAnsi" w:cstheme="minorBidi"/>
          <w:smallCaps w:val="0"/>
          <w:sz w:val="22"/>
          <w:szCs w:val="22"/>
        </w:rPr>
      </w:pPr>
      <w:r w:rsidRPr="00850B32">
        <w:rPr>
          <w:sz w:val="19"/>
          <w:u w:color="808080"/>
        </w:rPr>
        <w:t>3.5.</w:t>
      </w:r>
      <w:r>
        <w:rPr>
          <w:rFonts w:asciiTheme="minorHAnsi" w:eastAsiaTheme="minorEastAsia" w:hAnsiTheme="minorHAnsi" w:cstheme="minorBidi"/>
          <w:smallCaps w:val="0"/>
          <w:sz w:val="22"/>
          <w:szCs w:val="22"/>
        </w:rPr>
        <w:tab/>
      </w:r>
      <w:r w:rsidRPr="00850B32">
        <w:rPr>
          <w:sz w:val="19"/>
          <w:u w:color="808080"/>
        </w:rPr>
        <w:t>Gas Price Volatility</w:t>
      </w:r>
      <w:r>
        <w:rPr>
          <w:webHidden/>
        </w:rPr>
        <w:tab/>
      </w:r>
      <w:r w:rsidR="00FC45E1">
        <w:rPr>
          <w:webHidden/>
        </w:rPr>
        <w:t>4</w:t>
      </w:r>
      <w:r w:rsidR="00ED2C2F">
        <w:rPr>
          <w:webHidden/>
        </w:rPr>
        <w:t>3</w:t>
      </w:r>
    </w:p>
    <w:p w14:paraId="275695E6" w14:textId="73A966EB" w:rsidR="005A679A" w:rsidRDefault="005A679A">
      <w:pPr>
        <w:pStyle w:val="TOC2"/>
        <w:rPr>
          <w:rFonts w:asciiTheme="minorHAnsi" w:eastAsiaTheme="minorEastAsia" w:hAnsiTheme="minorHAnsi" w:cstheme="minorBidi"/>
          <w:smallCaps w:val="0"/>
          <w:sz w:val="22"/>
          <w:szCs w:val="22"/>
        </w:rPr>
      </w:pPr>
      <w:r w:rsidRPr="00850B32">
        <w:rPr>
          <w:sz w:val="19"/>
          <w:u w:color="808080"/>
        </w:rPr>
        <w:t>3.6.</w:t>
      </w:r>
      <w:r>
        <w:rPr>
          <w:rFonts w:asciiTheme="minorHAnsi" w:eastAsiaTheme="minorEastAsia" w:hAnsiTheme="minorHAnsi" w:cstheme="minorBidi"/>
          <w:smallCaps w:val="0"/>
          <w:sz w:val="22"/>
          <w:szCs w:val="22"/>
        </w:rPr>
        <w:tab/>
      </w:r>
      <w:r w:rsidRPr="00850B32">
        <w:rPr>
          <w:sz w:val="19"/>
          <w:u w:color="808080"/>
        </w:rPr>
        <w:t>Comparison of Budget 2019 to Budget 2018</w:t>
      </w:r>
      <w:r>
        <w:rPr>
          <w:webHidden/>
        </w:rPr>
        <w:tab/>
      </w:r>
      <w:r w:rsidR="00FC45E1">
        <w:rPr>
          <w:webHidden/>
        </w:rPr>
        <w:t>4</w:t>
      </w:r>
      <w:r w:rsidR="00ED2C2F">
        <w:rPr>
          <w:webHidden/>
        </w:rPr>
        <w:t>4</w:t>
      </w:r>
    </w:p>
    <w:p w14:paraId="3FC172B2" w14:textId="1C7C3D08" w:rsidR="005A679A" w:rsidRDefault="005A679A">
      <w:pPr>
        <w:pStyle w:val="TOC2"/>
        <w:rPr>
          <w:rFonts w:asciiTheme="minorHAnsi" w:eastAsiaTheme="minorEastAsia" w:hAnsiTheme="minorHAnsi" w:cstheme="minorBidi"/>
          <w:smallCaps w:val="0"/>
          <w:sz w:val="22"/>
          <w:szCs w:val="22"/>
        </w:rPr>
      </w:pPr>
      <w:r w:rsidRPr="00850B32">
        <w:rPr>
          <w:sz w:val="19"/>
          <w:u w:color="808080"/>
        </w:rPr>
        <w:t>3.7.</w:t>
      </w:r>
      <w:r>
        <w:rPr>
          <w:rFonts w:asciiTheme="minorHAnsi" w:eastAsiaTheme="minorEastAsia" w:hAnsiTheme="minorHAnsi" w:cstheme="minorBidi"/>
          <w:smallCaps w:val="0"/>
          <w:sz w:val="22"/>
          <w:szCs w:val="22"/>
        </w:rPr>
        <w:tab/>
      </w:r>
      <w:r w:rsidRPr="00850B32">
        <w:rPr>
          <w:sz w:val="19"/>
          <w:u w:color="808080"/>
        </w:rPr>
        <w:t>Impact of CO</w:t>
      </w:r>
      <w:r w:rsidRPr="00850B32">
        <w:rPr>
          <w:sz w:val="19"/>
          <w:u w:color="808080"/>
          <w:vertAlign w:val="subscript"/>
        </w:rPr>
        <w:t>2</w:t>
      </w:r>
      <w:r w:rsidRPr="00850B32">
        <w:rPr>
          <w:sz w:val="19"/>
          <w:u w:color="808080"/>
        </w:rPr>
        <w:t xml:space="preserve"> Stringency on Natural Gas Prices</w:t>
      </w:r>
      <w:r>
        <w:rPr>
          <w:webHidden/>
        </w:rPr>
        <w:tab/>
      </w:r>
      <w:r w:rsidR="00FC45E1">
        <w:rPr>
          <w:webHidden/>
        </w:rPr>
        <w:t>4</w:t>
      </w:r>
      <w:r w:rsidR="00ED2C2F">
        <w:rPr>
          <w:webHidden/>
        </w:rPr>
        <w:t>6</w:t>
      </w:r>
    </w:p>
    <w:p w14:paraId="7B59DDD8" w14:textId="1DC91BC3" w:rsidR="005A679A" w:rsidRDefault="005A679A">
      <w:pPr>
        <w:pStyle w:val="TOC1"/>
        <w:rPr>
          <w:rFonts w:asciiTheme="minorHAnsi" w:eastAsiaTheme="minorEastAsia" w:hAnsiTheme="minorHAnsi" w:cstheme="minorBidi"/>
          <w:caps w:val="0"/>
          <w:color w:val="auto"/>
          <w:szCs w:val="22"/>
        </w:rPr>
      </w:pPr>
      <w:r w:rsidRPr="00850B32">
        <w:rPr>
          <w:sz w:val="19"/>
          <w:u w:color="808080"/>
        </w:rPr>
        <w:t>4.</w:t>
      </w:r>
      <w:r>
        <w:rPr>
          <w:rFonts w:asciiTheme="minorHAnsi" w:eastAsiaTheme="minorEastAsia" w:hAnsiTheme="minorHAnsi" w:cstheme="minorBidi"/>
          <w:caps w:val="0"/>
          <w:color w:val="auto"/>
          <w:szCs w:val="22"/>
        </w:rPr>
        <w:tab/>
      </w:r>
      <w:r w:rsidRPr="00850B32">
        <w:rPr>
          <w:sz w:val="19"/>
          <w:u w:color="808080"/>
        </w:rPr>
        <w:t>CRUDE OIL OUTLOOK</w:t>
      </w:r>
      <w:r>
        <w:rPr>
          <w:webHidden/>
        </w:rPr>
        <w:tab/>
      </w:r>
      <w:r w:rsidR="00FC45E1">
        <w:rPr>
          <w:webHidden/>
        </w:rPr>
        <w:t>4</w:t>
      </w:r>
      <w:r w:rsidR="00ED2C2F">
        <w:rPr>
          <w:webHidden/>
        </w:rPr>
        <w:t>7</w:t>
      </w:r>
    </w:p>
    <w:p w14:paraId="41A096BD" w14:textId="33730120" w:rsidR="005A679A" w:rsidRDefault="005A679A">
      <w:pPr>
        <w:pStyle w:val="TOC2"/>
        <w:rPr>
          <w:rFonts w:asciiTheme="minorHAnsi" w:eastAsiaTheme="minorEastAsia" w:hAnsiTheme="minorHAnsi" w:cstheme="minorBidi"/>
          <w:smallCaps w:val="0"/>
          <w:sz w:val="22"/>
          <w:szCs w:val="22"/>
        </w:rPr>
      </w:pPr>
      <w:r w:rsidRPr="00850B32">
        <w:rPr>
          <w:sz w:val="19"/>
          <w:u w:color="808080"/>
        </w:rPr>
        <w:t>4.1.</w:t>
      </w:r>
      <w:r>
        <w:rPr>
          <w:rFonts w:asciiTheme="minorHAnsi" w:eastAsiaTheme="minorEastAsia" w:hAnsiTheme="minorHAnsi" w:cstheme="minorBidi"/>
          <w:smallCaps w:val="0"/>
          <w:sz w:val="22"/>
          <w:szCs w:val="22"/>
        </w:rPr>
        <w:tab/>
      </w:r>
      <w:r w:rsidRPr="00850B32">
        <w:rPr>
          <w:sz w:val="19"/>
          <w:u w:color="808080"/>
        </w:rPr>
        <w:t>Key Market Drivers</w:t>
      </w:r>
      <w:r>
        <w:rPr>
          <w:webHidden/>
        </w:rPr>
        <w:tab/>
      </w:r>
      <w:r w:rsidR="00FC45E1">
        <w:rPr>
          <w:webHidden/>
        </w:rPr>
        <w:t>5</w:t>
      </w:r>
      <w:r w:rsidR="00ED2C2F">
        <w:rPr>
          <w:webHidden/>
        </w:rPr>
        <w:t>0</w:t>
      </w:r>
    </w:p>
    <w:p w14:paraId="48C3A075" w14:textId="184860D9" w:rsidR="005A679A" w:rsidRDefault="005A679A">
      <w:pPr>
        <w:pStyle w:val="TOC3"/>
        <w:rPr>
          <w:rFonts w:asciiTheme="minorHAnsi" w:eastAsiaTheme="minorEastAsia" w:hAnsiTheme="minorHAnsi" w:cstheme="minorBidi"/>
          <w:sz w:val="22"/>
          <w:szCs w:val="22"/>
        </w:rPr>
      </w:pPr>
      <w:r w:rsidRPr="00850B32">
        <w:rPr>
          <w:sz w:val="19"/>
          <w:u w:color="808080"/>
        </w:rPr>
        <w:t>4.1.1.</w:t>
      </w:r>
      <w:r>
        <w:rPr>
          <w:rFonts w:asciiTheme="minorHAnsi" w:eastAsiaTheme="minorEastAsia" w:hAnsiTheme="minorHAnsi" w:cstheme="minorBidi"/>
          <w:sz w:val="22"/>
          <w:szCs w:val="22"/>
        </w:rPr>
        <w:tab/>
      </w:r>
      <w:r w:rsidRPr="00850B32">
        <w:rPr>
          <w:sz w:val="19"/>
          <w:u w:color="808080"/>
        </w:rPr>
        <w:t>Supply</w:t>
      </w:r>
      <w:r>
        <w:rPr>
          <w:webHidden/>
        </w:rPr>
        <w:tab/>
      </w:r>
      <w:r w:rsidR="00FC45E1">
        <w:rPr>
          <w:webHidden/>
        </w:rPr>
        <w:t>5</w:t>
      </w:r>
      <w:r w:rsidR="00ED2C2F">
        <w:rPr>
          <w:webHidden/>
        </w:rPr>
        <w:t>1</w:t>
      </w:r>
    </w:p>
    <w:p w14:paraId="13EF9381" w14:textId="5388DDD7" w:rsidR="005A679A" w:rsidRDefault="005A679A">
      <w:pPr>
        <w:pStyle w:val="TOC3"/>
        <w:rPr>
          <w:rFonts w:asciiTheme="minorHAnsi" w:eastAsiaTheme="minorEastAsia" w:hAnsiTheme="minorHAnsi" w:cstheme="minorBidi"/>
          <w:sz w:val="22"/>
          <w:szCs w:val="22"/>
        </w:rPr>
      </w:pPr>
      <w:r w:rsidRPr="00850B32">
        <w:rPr>
          <w:sz w:val="19"/>
          <w:u w:color="808080"/>
        </w:rPr>
        <w:lastRenderedPageBreak/>
        <w:t>4.1.2.</w:t>
      </w:r>
      <w:r>
        <w:rPr>
          <w:rFonts w:asciiTheme="minorHAnsi" w:eastAsiaTheme="minorEastAsia" w:hAnsiTheme="minorHAnsi" w:cstheme="minorBidi"/>
          <w:sz w:val="22"/>
          <w:szCs w:val="22"/>
        </w:rPr>
        <w:tab/>
      </w:r>
      <w:r w:rsidRPr="00850B32">
        <w:rPr>
          <w:sz w:val="19"/>
          <w:u w:color="808080"/>
        </w:rPr>
        <w:t>Demand</w:t>
      </w:r>
      <w:r>
        <w:rPr>
          <w:webHidden/>
        </w:rPr>
        <w:tab/>
      </w:r>
      <w:r w:rsidR="00FC45E1">
        <w:rPr>
          <w:webHidden/>
        </w:rPr>
        <w:t>5</w:t>
      </w:r>
      <w:r w:rsidR="00ED2C2F">
        <w:rPr>
          <w:webHidden/>
        </w:rPr>
        <w:t>1</w:t>
      </w:r>
    </w:p>
    <w:p w14:paraId="68FA7E06" w14:textId="31781348" w:rsidR="005A679A" w:rsidRDefault="005A679A">
      <w:pPr>
        <w:pStyle w:val="TOC2"/>
        <w:rPr>
          <w:rFonts w:asciiTheme="minorHAnsi" w:eastAsiaTheme="minorEastAsia" w:hAnsiTheme="minorHAnsi" w:cstheme="minorBidi"/>
          <w:smallCaps w:val="0"/>
          <w:sz w:val="22"/>
          <w:szCs w:val="22"/>
        </w:rPr>
      </w:pPr>
      <w:r w:rsidRPr="00850B32">
        <w:rPr>
          <w:sz w:val="19"/>
          <w:u w:color="808080"/>
        </w:rPr>
        <w:t>4.2.</w:t>
      </w:r>
      <w:r>
        <w:rPr>
          <w:rFonts w:asciiTheme="minorHAnsi" w:eastAsiaTheme="minorEastAsia" w:hAnsiTheme="minorHAnsi" w:cstheme="minorBidi"/>
          <w:smallCaps w:val="0"/>
          <w:sz w:val="22"/>
          <w:szCs w:val="22"/>
        </w:rPr>
        <w:tab/>
      </w:r>
      <w:r w:rsidRPr="00850B32">
        <w:rPr>
          <w:sz w:val="19"/>
          <w:u w:color="808080"/>
        </w:rPr>
        <w:t>Budget 2019 Crude Oil Prices</w:t>
      </w:r>
      <w:r>
        <w:rPr>
          <w:webHidden/>
        </w:rPr>
        <w:tab/>
      </w:r>
      <w:r w:rsidR="00FC45E1">
        <w:rPr>
          <w:webHidden/>
        </w:rPr>
        <w:t>5</w:t>
      </w:r>
      <w:r w:rsidR="00ED2C2F">
        <w:rPr>
          <w:webHidden/>
        </w:rPr>
        <w:t>2</w:t>
      </w:r>
    </w:p>
    <w:p w14:paraId="6CC194ED" w14:textId="1FFE422A" w:rsidR="005A679A" w:rsidRDefault="005A679A">
      <w:pPr>
        <w:pStyle w:val="TOC3"/>
        <w:rPr>
          <w:rFonts w:asciiTheme="minorHAnsi" w:eastAsiaTheme="minorEastAsia" w:hAnsiTheme="minorHAnsi" w:cstheme="minorBidi"/>
          <w:sz w:val="22"/>
          <w:szCs w:val="22"/>
        </w:rPr>
      </w:pPr>
      <w:r w:rsidRPr="00850B32">
        <w:rPr>
          <w:sz w:val="19"/>
          <w:u w:color="808080"/>
        </w:rPr>
        <w:t>4.2.1.</w:t>
      </w:r>
      <w:r>
        <w:rPr>
          <w:rFonts w:asciiTheme="minorHAnsi" w:eastAsiaTheme="minorEastAsia" w:hAnsiTheme="minorHAnsi" w:cstheme="minorBidi"/>
          <w:sz w:val="22"/>
          <w:szCs w:val="22"/>
        </w:rPr>
        <w:tab/>
      </w:r>
      <w:r w:rsidRPr="00850B32">
        <w:rPr>
          <w:sz w:val="19"/>
          <w:u w:color="808080"/>
        </w:rPr>
        <w:t>Dealing with Uncertainty in Medium Term Crude Oil Prices</w:t>
      </w:r>
      <w:r>
        <w:rPr>
          <w:webHidden/>
        </w:rPr>
        <w:tab/>
      </w:r>
      <w:r w:rsidR="00FC45E1">
        <w:rPr>
          <w:webHidden/>
        </w:rPr>
        <w:t>5</w:t>
      </w:r>
      <w:r w:rsidR="00ED2C2F">
        <w:rPr>
          <w:webHidden/>
        </w:rPr>
        <w:t>3</w:t>
      </w:r>
    </w:p>
    <w:p w14:paraId="597B45C0" w14:textId="5763E75B" w:rsidR="005A679A" w:rsidRDefault="005A679A">
      <w:pPr>
        <w:pStyle w:val="TOC1"/>
        <w:rPr>
          <w:rFonts w:asciiTheme="minorHAnsi" w:eastAsiaTheme="minorEastAsia" w:hAnsiTheme="minorHAnsi" w:cstheme="minorBidi"/>
          <w:caps w:val="0"/>
          <w:color w:val="auto"/>
          <w:szCs w:val="22"/>
        </w:rPr>
      </w:pPr>
      <w:r w:rsidRPr="00850B32">
        <w:rPr>
          <w:sz w:val="19"/>
          <w:u w:color="808080"/>
        </w:rPr>
        <w:t>5.</w:t>
      </w:r>
      <w:r>
        <w:rPr>
          <w:rFonts w:asciiTheme="minorHAnsi" w:eastAsiaTheme="minorEastAsia" w:hAnsiTheme="minorHAnsi" w:cstheme="minorBidi"/>
          <w:caps w:val="0"/>
          <w:color w:val="auto"/>
          <w:szCs w:val="22"/>
        </w:rPr>
        <w:tab/>
      </w:r>
      <w:r w:rsidRPr="00850B32">
        <w:rPr>
          <w:sz w:val="19"/>
          <w:u w:color="808080"/>
        </w:rPr>
        <w:t>Coal OUTLOOK</w:t>
      </w:r>
      <w:r>
        <w:rPr>
          <w:webHidden/>
        </w:rPr>
        <w:tab/>
      </w:r>
      <w:r w:rsidR="00FC45E1">
        <w:rPr>
          <w:webHidden/>
        </w:rPr>
        <w:t>5</w:t>
      </w:r>
      <w:r w:rsidR="00ED2C2F">
        <w:rPr>
          <w:webHidden/>
        </w:rPr>
        <w:t>6</w:t>
      </w:r>
    </w:p>
    <w:p w14:paraId="692FC81D" w14:textId="19573E0F" w:rsidR="005A679A" w:rsidRDefault="005A679A">
      <w:pPr>
        <w:pStyle w:val="TOC2"/>
        <w:rPr>
          <w:rFonts w:asciiTheme="minorHAnsi" w:eastAsiaTheme="minorEastAsia" w:hAnsiTheme="minorHAnsi" w:cstheme="minorBidi"/>
          <w:smallCaps w:val="0"/>
          <w:sz w:val="22"/>
          <w:szCs w:val="22"/>
        </w:rPr>
      </w:pPr>
      <w:r w:rsidRPr="00850B32">
        <w:rPr>
          <w:sz w:val="19"/>
          <w:u w:color="808080"/>
        </w:rPr>
        <w:t>5.1.</w:t>
      </w:r>
      <w:r>
        <w:rPr>
          <w:rFonts w:asciiTheme="minorHAnsi" w:eastAsiaTheme="minorEastAsia" w:hAnsiTheme="minorHAnsi" w:cstheme="minorBidi"/>
          <w:smallCaps w:val="0"/>
          <w:sz w:val="22"/>
          <w:szCs w:val="22"/>
        </w:rPr>
        <w:tab/>
      </w:r>
      <w:r w:rsidRPr="00850B32">
        <w:rPr>
          <w:sz w:val="19"/>
          <w:u w:color="808080"/>
        </w:rPr>
        <w:t>Key Market Drivers</w:t>
      </w:r>
      <w:r>
        <w:rPr>
          <w:webHidden/>
        </w:rPr>
        <w:tab/>
      </w:r>
      <w:r w:rsidR="00FC45E1">
        <w:rPr>
          <w:webHidden/>
        </w:rPr>
        <w:t>5</w:t>
      </w:r>
      <w:r w:rsidR="00ED2C2F">
        <w:rPr>
          <w:webHidden/>
        </w:rPr>
        <w:t>6</w:t>
      </w:r>
    </w:p>
    <w:p w14:paraId="691CF9EB" w14:textId="38B023AF" w:rsidR="005A679A" w:rsidRDefault="005A679A">
      <w:pPr>
        <w:pStyle w:val="TOC3"/>
        <w:rPr>
          <w:rFonts w:asciiTheme="minorHAnsi" w:eastAsiaTheme="minorEastAsia" w:hAnsiTheme="minorHAnsi" w:cstheme="minorBidi"/>
          <w:sz w:val="22"/>
          <w:szCs w:val="22"/>
        </w:rPr>
      </w:pPr>
      <w:r w:rsidRPr="00850B32">
        <w:rPr>
          <w:sz w:val="19"/>
          <w:u w:color="808080"/>
        </w:rPr>
        <w:t>5.1.1.</w:t>
      </w:r>
      <w:r>
        <w:rPr>
          <w:rFonts w:asciiTheme="minorHAnsi" w:eastAsiaTheme="minorEastAsia" w:hAnsiTheme="minorHAnsi" w:cstheme="minorBidi"/>
          <w:sz w:val="22"/>
          <w:szCs w:val="22"/>
        </w:rPr>
        <w:tab/>
      </w:r>
      <w:r w:rsidRPr="00850B32">
        <w:rPr>
          <w:sz w:val="19"/>
          <w:u w:color="808080"/>
        </w:rPr>
        <w:t>Outlook for Coal Capacity</w:t>
      </w:r>
      <w:r>
        <w:rPr>
          <w:webHidden/>
        </w:rPr>
        <w:tab/>
      </w:r>
      <w:r w:rsidR="00FC45E1">
        <w:rPr>
          <w:webHidden/>
        </w:rPr>
        <w:t>5</w:t>
      </w:r>
      <w:r w:rsidR="00ED2C2F">
        <w:rPr>
          <w:webHidden/>
        </w:rPr>
        <w:t>6</w:t>
      </w:r>
    </w:p>
    <w:p w14:paraId="17AC901A" w14:textId="6C04300B" w:rsidR="005A679A" w:rsidRDefault="005A679A">
      <w:pPr>
        <w:pStyle w:val="TOC3"/>
        <w:rPr>
          <w:rFonts w:asciiTheme="minorHAnsi" w:eastAsiaTheme="minorEastAsia" w:hAnsiTheme="minorHAnsi" w:cstheme="minorBidi"/>
          <w:sz w:val="22"/>
          <w:szCs w:val="22"/>
        </w:rPr>
      </w:pPr>
      <w:r w:rsidRPr="00850B32">
        <w:rPr>
          <w:sz w:val="19"/>
          <w:u w:color="808080"/>
        </w:rPr>
        <w:t>5.1.2.</w:t>
      </w:r>
      <w:r>
        <w:rPr>
          <w:rFonts w:asciiTheme="minorHAnsi" w:eastAsiaTheme="minorEastAsia" w:hAnsiTheme="minorHAnsi" w:cstheme="minorBidi"/>
          <w:sz w:val="22"/>
          <w:szCs w:val="22"/>
        </w:rPr>
        <w:tab/>
      </w:r>
      <w:r w:rsidRPr="00850B32">
        <w:rPr>
          <w:sz w:val="19"/>
          <w:u w:color="808080"/>
        </w:rPr>
        <w:t>Retirements of Coal-Fired Generators</w:t>
      </w:r>
      <w:r>
        <w:rPr>
          <w:webHidden/>
        </w:rPr>
        <w:tab/>
      </w:r>
      <w:r w:rsidR="00FC45E1">
        <w:rPr>
          <w:webHidden/>
        </w:rPr>
        <w:t>5</w:t>
      </w:r>
      <w:r w:rsidR="00ED2C2F">
        <w:rPr>
          <w:webHidden/>
        </w:rPr>
        <w:t>8</w:t>
      </w:r>
    </w:p>
    <w:p w14:paraId="52210638" w14:textId="4FBC5731" w:rsidR="005A679A" w:rsidRDefault="005A679A">
      <w:pPr>
        <w:pStyle w:val="TOC2"/>
        <w:rPr>
          <w:rFonts w:asciiTheme="minorHAnsi" w:eastAsiaTheme="minorEastAsia" w:hAnsiTheme="minorHAnsi" w:cstheme="minorBidi"/>
          <w:smallCaps w:val="0"/>
          <w:sz w:val="22"/>
          <w:szCs w:val="22"/>
        </w:rPr>
      </w:pPr>
      <w:r w:rsidRPr="00850B32">
        <w:rPr>
          <w:sz w:val="19"/>
          <w:u w:color="808080"/>
        </w:rPr>
        <w:t>5.2.</w:t>
      </w:r>
      <w:r>
        <w:rPr>
          <w:rFonts w:asciiTheme="minorHAnsi" w:eastAsiaTheme="minorEastAsia" w:hAnsiTheme="minorHAnsi" w:cstheme="minorBidi"/>
          <w:smallCaps w:val="0"/>
          <w:sz w:val="22"/>
          <w:szCs w:val="22"/>
        </w:rPr>
        <w:tab/>
      </w:r>
      <w:r w:rsidRPr="00850B32">
        <w:rPr>
          <w:sz w:val="19"/>
          <w:u w:color="808080"/>
        </w:rPr>
        <w:t>Outlook for Major Coal Basins</w:t>
      </w:r>
      <w:r>
        <w:rPr>
          <w:webHidden/>
        </w:rPr>
        <w:tab/>
      </w:r>
      <w:r w:rsidR="00FC45E1">
        <w:rPr>
          <w:webHidden/>
        </w:rPr>
        <w:t>5</w:t>
      </w:r>
      <w:r w:rsidR="00ED2C2F">
        <w:rPr>
          <w:webHidden/>
        </w:rPr>
        <w:t>9</w:t>
      </w:r>
    </w:p>
    <w:p w14:paraId="57F864D7" w14:textId="271E8D0E" w:rsidR="005A679A" w:rsidRDefault="005A679A">
      <w:pPr>
        <w:pStyle w:val="TOC3"/>
        <w:rPr>
          <w:rFonts w:asciiTheme="minorHAnsi" w:eastAsiaTheme="minorEastAsia" w:hAnsiTheme="minorHAnsi" w:cstheme="minorBidi"/>
          <w:sz w:val="22"/>
          <w:szCs w:val="22"/>
        </w:rPr>
      </w:pPr>
      <w:r w:rsidRPr="00850B32">
        <w:rPr>
          <w:sz w:val="19"/>
          <w:u w:color="808080"/>
        </w:rPr>
        <w:t>5.2.1.</w:t>
      </w:r>
      <w:r>
        <w:rPr>
          <w:rFonts w:asciiTheme="minorHAnsi" w:eastAsiaTheme="minorEastAsia" w:hAnsiTheme="minorHAnsi" w:cstheme="minorBidi"/>
          <w:sz w:val="22"/>
          <w:szCs w:val="22"/>
        </w:rPr>
        <w:tab/>
      </w:r>
      <w:r w:rsidRPr="00850B32">
        <w:rPr>
          <w:sz w:val="19"/>
          <w:u w:color="808080"/>
        </w:rPr>
        <w:t>Fuel Switching Options</w:t>
      </w:r>
      <w:r>
        <w:rPr>
          <w:webHidden/>
        </w:rPr>
        <w:tab/>
      </w:r>
      <w:r w:rsidR="00FC45E1">
        <w:rPr>
          <w:webHidden/>
        </w:rPr>
        <w:t>6</w:t>
      </w:r>
      <w:r w:rsidR="00ED2C2F">
        <w:rPr>
          <w:webHidden/>
        </w:rPr>
        <w:t>3</w:t>
      </w:r>
    </w:p>
    <w:p w14:paraId="6F41656B" w14:textId="1F77B695" w:rsidR="005A679A" w:rsidRDefault="005A679A">
      <w:pPr>
        <w:pStyle w:val="TOC3"/>
        <w:rPr>
          <w:rFonts w:asciiTheme="minorHAnsi" w:eastAsiaTheme="minorEastAsia" w:hAnsiTheme="minorHAnsi" w:cstheme="minorBidi"/>
          <w:sz w:val="22"/>
          <w:szCs w:val="22"/>
        </w:rPr>
      </w:pPr>
      <w:r w:rsidRPr="00850B32">
        <w:rPr>
          <w:sz w:val="19"/>
          <w:u w:color="808080"/>
        </w:rPr>
        <w:t>5.2.2.</w:t>
      </w:r>
      <w:r>
        <w:rPr>
          <w:rFonts w:asciiTheme="minorHAnsi" w:eastAsiaTheme="minorEastAsia" w:hAnsiTheme="minorHAnsi" w:cstheme="minorBidi"/>
          <w:sz w:val="22"/>
          <w:szCs w:val="22"/>
        </w:rPr>
        <w:tab/>
      </w:r>
      <w:r w:rsidRPr="00850B32">
        <w:rPr>
          <w:sz w:val="19"/>
          <w:u w:color="808080"/>
        </w:rPr>
        <w:t>Coal Supply Challenges</w:t>
      </w:r>
      <w:r>
        <w:rPr>
          <w:webHidden/>
        </w:rPr>
        <w:tab/>
      </w:r>
      <w:r w:rsidR="00FC45E1">
        <w:rPr>
          <w:webHidden/>
        </w:rPr>
        <w:t>6</w:t>
      </w:r>
      <w:r w:rsidR="00ED2C2F">
        <w:rPr>
          <w:webHidden/>
        </w:rPr>
        <w:t>4</w:t>
      </w:r>
    </w:p>
    <w:p w14:paraId="3ADCA77E" w14:textId="0D17DC65" w:rsidR="005A679A" w:rsidRDefault="005A679A">
      <w:pPr>
        <w:pStyle w:val="TOC2"/>
        <w:rPr>
          <w:rFonts w:asciiTheme="minorHAnsi" w:eastAsiaTheme="minorEastAsia" w:hAnsiTheme="minorHAnsi" w:cstheme="minorBidi"/>
          <w:smallCaps w:val="0"/>
          <w:sz w:val="22"/>
          <w:szCs w:val="22"/>
        </w:rPr>
      </w:pPr>
      <w:r w:rsidRPr="00850B32">
        <w:rPr>
          <w:sz w:val="19"/>
          <w:u w:color="808080"/>
        </w:rPr>
        <w:t>5.3.</w:t>
      </w:r>
      <w:r>
        <w:rPr>
          <w:rFonts w:asciiTheme="minorHAnsi" w:eastAsiaTheme="minorEastAsia" w:hAnsiTheme="minorHAnsi" w:cstheme="minorBidi"/>
          <w:smallCaps w:val="0"/>
          <w:sz w:val="22"/>
          <w:szCs w:val="22"/>
        </w:rPr>
        <w:tab/>
      </w:r>
      <w:r w:rsidRPr="00850B32">
        <w:rPr>
          <w:sz w:val="19"/>
          <w:u w:color="808080"/>
        </w:rPr>
        <w:t>Coal Characteristics and Mine-mouth Coal Prices</w:t>
      </w:r>
      <w:r>
        <w:rPr>
          <w:webHidden/>
        </w:rPr>
        <w:tab/>
      </w:r>
      <w:r w:rsidR="00FC45E1">
        <w:rPr>
          <w:webHidden/>
        </w:rPr>
        <w:t>6</w:t>
      </w:r>
      <w:r w:rsidR="00ED2C2F">
        <w:rPr>
          <w:webHidden/>
        </w:rPr>
        <w:t>4</w:t>
      </w:r>
    </w:p>
    <w:p w14:paraId="3E125CB9" w14:textId="1EA302BA" w:rsidR="005A679A" w:rsidRDefault="005A679A">
      <w:pPr>
        <w:pStyle w:val="TOC2"/>
        <w:rPr>
          <w:rFonts w:asciiTheme="minorHAnsi" w:eastAsiaTheme="minorEastAsia" w:hAnsiTheme="minorHAnsi" w:cstheme="minorBidi"/>
          <w:smallCaps w:val="0"/>
          <w:sz w:val="22"/>
          <w:szCs w:val="22"/>
        </w:rPr>
      </w:pPr>
      <w:r w:rsidRPr="00850B32">
        <w:rPr>
          <w:sz w:val="19"/>
          <w:u w:color="808080"/>
        </w:rPr>
        <w:t>5.4.</w:t>
      </w:r>
      <w:r>
        <w:rPr>
          <w:rFonts w:asciiTheme="minorHAnsi" w:eastAsiaTheme="minorEastAsia" w:hAnsiTheme="minorHAnsi" w:cstheme="minorBidi"/>
          <w:smallCaps w:val="0"/>
          <w:sz w:val="22"/>
          <w:szCs w:val="22"/>
        </w:rPr>
        <w:tab/>
      </w:r>
      <w:r w:rsidRPr="00850B32">
        <w:rPr>
          <w:sz w:val="19"/>
          <w:u w:color="808080"/>
        </w:rPr>
        <w:t>Comparison of Budget 2019 to Budget 2018</w:t>
      </w:r>
      <w:r>
        <w:rPr>
          <w:webHidden/>
        </w:rPr>
        <w:tab/>
      </w:r>
      <w:r w:rsidR="00FC45E1">
        <w:rPr>
          <w:webHidden/>
        </w:rPr>
        <w:t>6</w:t>
      </w:r>
      <w:r w:rsidR="00ED2C2F">
        <w:rPr>
          <w:webHidden/>
        </w:rPr>
        <w:t>6</w:t>
      </w:r>
    </w:p>
    <w:p w14:paraId="617BF7C7" w14:textId="65F475EC" w:rsidR="005A679A" w:rsidRDefault="005A679A">
      <w:pPr>
        <w:pStyle w:val="TOC2"/>
        <w:rPr>
          <w:rFonts w:asciiTheme="minorHAnsi" w:eastAsiaTheme="minorEastAsia" w:hAnsiTheme="minorHAnsi" w:cstheme="minorBidi"/>
          <w:smallCaps w:val="0"/>
          <w:sz w:val="22"/>
          <w:szCs w:val="22"/>
        </w:rPr>
      </w:pPr>
      <w:r w:rsidRPr="00850B32">
        <w:rPr>
          <w:sz w:val="19"/>
          <w:u w:color="808080"/>
        </w:rPr>
        <w:t>5.5.</w:t>
      </w:r>
      <w:r>
        <w:rPr>
          <w:rFonts w:asciiTheme="minorHAnsi" w:eastAsiaTheme="minorEastAsia" w:hAnsiTheme="minorHAnsi" w:cstheme="minorBidi"/>
          <w:smallCaps w:val="0"/>
          <w:sz w:val="22"/>
          <w:szCs w:val="22"/>
        </w:rPr>
        <w:tab/>
      </w:r>
      <w:r w:rsidRPr="00850B32">
        <w:rPr>
          <w:sz w:val="19"/>
          <w:u w:color="808080"/>
        </w:rPr>
        <w:t>Impact of CO</w:t>
      </w:r>
      <w:r w:rsidRPr="00850B32">
        <w:rPr>
          <w:sz w:val="19"/>
          <w:u w:color="808080"/>
          <w:vertAlign w:val="subscript"/>
        </w:rPr>
        <w:t>2</w:t>
      </w:r>
      <w:r w:rsidRPr="00850B32">
        <w:rPr>
          <w:sz w:val="19"/>
          <w:u w:color="808080"/>
        </w:rPr>
        <w:t xml:space="preserve"> Prices on Mine-mouth Coal Prices</w:t>
      </w:r>
      <w:r>
        <w:rPr>
          <w:webHidden/>
        </w:rPr>
        <w:tab/>
      </w:r>
      <w:r w:rsidR="00FC45E1">
        <w:rPr>
          <w:webHidden/>
        </w:rPr>
        <w:t>6</w:t>
      </w:r>
      <w:r w:rsidR="00ED2C2F">
        <w:rPr>
          <w:webHidden/>
        </w:rPr>
        <w:t>8</w:t>
      </w:r>
    </w:p>
    <w:p w14:paraId="6BDD6D93" w14:textId="78F6107B" w:rsidR="005A679A" w:rsidRDefault="005A679A">
      <w:pPr>
        <w:pStyle w:val="TOC1"/>
        <w:rPr>
          <w:rFonts w:asciiTheme="minorHAnsi" w:eastAsiaTheme="minorEastAsia" w:hAnsiTheme="minorHAnsi" w:cstheme="minorBidi"/>
          <w:caps w:val="0"/>
          <w:color w:val="auto"/>
          <w:szCs w:val="22"/>
        </w:rPr>
      </w:pPr>
      <w:r w:rsidRPr="00850B32">
        <w:rPr>
          <w:sz w:val="19"/>
          <w:u w:color="808080"/>
        </w:rPr>
        <w:t>6.</w:t>
      </w:r>
      <w:r>
        <w:rPr>
          <w:rFonts w:asciiTheme="minorHAnsi" w:eastAsiaTheme="minorEastAsia" w:hAnsiTheme="minorHAnsi" w:cstheme="minorBidi"/>
          <w:caps w:val="0"/>
          <w:color w:val="auto"/>
          <w:szCs w:val="22"/>
        </w:rPr>
        <w:tab/>
      </w:r>
      <w:r w:rsidRPr="00850B32">
        <w:rPr>
          <w:sz w:val="19"/>
          <w:u w:color="808080"/>
        </w:rPr>
        <w:t>Environmental Policy Outlook</w:t>
      </w:r>
      <w:r>
        <w:rPr>
          <w:webHidden/>
        </w:rPr>
        <w:tab/>
      </w:r>
      <w:r w:rsidR="00FC45E1">
        <w:rPr>
          <w:webHidden/>
        </w:rPr>
        <w:t>7</w:t>
      </w:r>
      <w:r w:rsidR="00ED2C2F">
        <w:rPr>
          <w:webHidden/>
        </w:rPr>
        <w:t>0</w:t>
      </w:r>
    </w:p>
    <w:p w14:paraId="28C189E7" w14:textId="327D6163" w:rsidR="005A679A" w:rsidRDefault="005A679A">
      <w:pPr>
        <w:pStyle w:val="TOC2"/>
        <w:rPr>
          <w:rFonts w:asciiTheme="minorHAnsi" w:eastAsiaTheme="minorEastAsia" w:hAnsiTheme="minorHAnsi" w:cstheme="minorBidi"/>
          <w:smallCaps w:val="0"/>
          <w:sz w:val="22"/>
          <w:szCs w:val="22"/>
        </w:rPr>
      </w:pPr>
      <w:r w:rsidRPr="00850B32">
        <w:rPr>
          <w:sz w:val="19"/>
          <w:u w:color="808080"/>
        </w:rPr>
        <w:t>6.1.</w:t>
      </w:r>
      <w:r>
        <w:rPr>
          <w:rFonts w:asciiTheme="minorHAnsi" w:eastAsiaTheme="minorEastAsia" w:hAnsiTheme="minorHAnsi" w:cstheme="minorBidi"/>
          <w:smallCaps w:val="0"/>
          <w:sz w:val="22"/>
          <w:szCs w:val="22"/>
        </w:rPr>
        <w:tab/>
      </w:r>
      <w:r w:rsidRPr="00850B32">
        <w:rPr>
          <w:sz w:val="19"/>
          <w:u w:color="808080"/>
        </w:rPr>
        <w:t>GHG View Development</w:t>
      </w:r>
      <w:r>
        <w:rPr>
          <w:webHidden/>
        </w:rPr>
        <w:tab/>
      </w:r>
      <w:r w:rsidR="00FC45E1">
        <w:rPr>
          <w:webHidden/>
        </w:rPr>
        <w:t>7</w:t>
      </w:r>
      <w:r w:rsidR="00ED2C2F">
        <w:rPr>
          <w:webHidden/>
        </w:rPr>
        <w:t>0</w:t>
      </w:r>
    </w:p>
    <w:p w14:paraId="23D4332B" w14:textId="2131AFD1" w:rsidR="005A679A" w:rsidRDefault="005A679A">
      <w:pPr>
        <w:pStyle w:val="TOC2"/>
        <w:rPr>
          <w:rFonts w:asciiTheme="minorHAnsi" w:eastAsiaTheme="minorEastAsia" w:hAnsiTheme="minorHAnsi" w:cstheme="minorBidi"/>
          <w:smallCaps w:val="0"/>
          <w:sz w:val="22"/>
          <w:szCs w:val="22"/>
        </w:rPr>
      </w:pPr>
      <w:r w:rsidRPr="00850B32">
        <w:rPr>
          <w:sz w:val="19"/>
          <w:u w:color="808080"/>
        </w:rPr>
        <w:t>6.2.</w:t>
      </w:r>
      <w:r>
        <w:rPr>
          <w:rFonts w:asciiTheme="minorHAnsi" w:eastAsiaTheme="minorEastAsia" w:hAnsiTheme="minorHAnsi" w:cstheme="minorBidi"/>
          <w:smallCaps w:val="0"/>
          <w:sz w:val="22"/>
          <w:szCs w:val="22"/>
        </w:rPr>
        <w:tab/>
      </w:r>
      <w:r w:rsidRPr="00850B32">
        <w:rPr>
          <w:sz w:val="19"/>
          <w:u w:color="808080"/>
        </w:rPr>
        <w:t>Non-CO2 and Airborne Pollutants</w:t>
      </w:r>
      <w:r>
        <w:rPr>
          <w:webHidden/>
        </w:rPr>
        <w:tab/>
      </w:r>
      <w:r w:rsidR="00FC45E1">
        <w:rPr>
          <w:webHidden/>
        </w:rPr>
        <w:t>7</w:t>
      </w:r>
      <w:r w:rsidR="00ED2C2F">
        <w:rPr>
          <w:webHidden/>
        </w:rPr>
        <w:t>2</w:t>
      </w:r>
    </w:p>
    <w:p w14:paraId="1EBBC0B4" w14:textId="53DC4444" w:rsidR="005A679A" w:rsidRDefault="005A679A">
      <w:pPr>
        <w:pStyle w:val="TOC2"/>
        <w:rPr>
          <w:rFonts w:asciiTheme="minorHAnsi" w:eastAsiaTheme="minorEastAsia" w:hAnsiTheme="minorHAnsi" w:cstheme="minorBidi"/>
          <w:smallCaps w:val="0"/>
          <w:sz w:val="22"/>
          <w:szCs w:val="22"/>
        </w:rPr>
      </w:pPr>
      <w:r w:rsidRPr="00850B32">
        <w:rPr>
          <w:sz w:val="19"/>
          <w:u w:color="808080"/>
        </w:rPr>
        <w:t>6.3.</w:t>
      </w:r>
      <w:r>
        <w:rPr>
          <w:rFonts w:asciiTheme="minorHAnsi" w:eastAsiaTheme="minorEastAsia" w:hAnsiTheme="minorHAnsi" w:cstheme="minorBidi"/>
          <w:smallCaps w:val="0"/>
          <w:sz w:val="22"/>
          <w:szCs w:val="22"/>
        </w:rPr>
        <w:tab/>
      </w:r>
      <w:r w:rsidRPr="00850B32">
        <w:rPr>
          <w:sz w:val="19"/>
          <w:u w:color="808080"/>
        </w:rPr>
        <w:t>Land, Water and Waste Regulations</w:t>
      </w:r>
      <w:r>
        <w:rPr>
          <w:webHidden/>
        </w:rPr>
        <w:tab/>
      </w:r>
      <w:r w:rsidR="00FC45E1">
        <w:rPr>
          <w:webHidden/>
        </w:rPr>
        <w:t>8</w:t>
      </w:r>
      <w:r w:rsidR="00ED2C2F">
        <w:rPr>
          <w:webHidden/>
        </w:rPr>
        <w:t>2</w:t>
      </w:r>
    </w:p>
    <w:p w14:paraId="23DC8931" w14:textId="141E1E43" w:rsidR="005A679A" w:rsidRDefault="005A679A">
      <w:pPr>
        <w:pStyle w:val="TOC1"/>
        <w:rPr>
          <w:rFonts w:asciiTheme="minorHAnsi" w:eastAsiaTheme="minorEastAsia" w:hAnsiTheme="minorHAnsi" w:cstheme="minorBidi"/>
          <w:caps w:val="0"/>
          <w:color w:val="auto"/>
          <w:szCs w:val="22"/>
        </w:rPr>
      </w:pPr>
      <w:r w:rsidRPr="00850B32">
        <w:rPr>
          <w:sz w:val="19"/>
          <w:u w:color="808080"/>
        </w:rPr>
        <w:t>Appendix A Fuel PRICE Forecasts</w:t>
      </w:r>
      <w:r>
        <w:rPr>
          <w:webHidden/>
        </w:rPr>
        <w:tab/>
      </w:r>
      <w:r w:rsidR="00FC45E1">
        <w:rPr>
          <w:webHidden/>
        </w:rPr>
        <w:t>8</w:t>
      </w:r>
      <w:r w:rsidR="00ED2C2F">
        <w:rPr>
          <w:webHidden/>
        </w:rPr>
        <w:t>8</w:t>
      </w:r>
    </w:p>
    <w:p w14:paraId="5E87E16F" w14:textId="3B70C44C" w:rsidR="005A679A" w:rsidRDefault="005A679A">
      <w:pPr>
        <w:pStyle w:val="TOC2"/>
        <w:rPr>
          <w:rFonts w:asciiTheme="minorHAnsi" w:eastAsiaTheme="minorEastAsia" w:hAnsiTheme="minorHAnsi" w:cstheme="minorBidi"/>
          <w:smallCaps w:val="0"/>
          <w:sz w:val="22"/>
          <w:szCs w:val="22"/>
        </w:rPr>
      </w:pPr>
      <w:r w:rsidRPr="00850B32">
        <w:rPr>
          <w:sz w:val="19"/>
          <w:u w:color="808080"/>
        </w:rPr>
        <w:t>A.1</w:t>
      </w:r>
      <w:r>
        <w:rPr>
          <w:rFonts w:asciiTheme="minorHAnsi" w:eastAsiaTheme="minorEastAsia" w:hAnsiTheme="minorHAnsi" w:cstheme="minorBidi"/>
          <w:smallCaps w:val="0"/>
          <w:sz w:val="22"/>
          <w:szCs w:val="22"/>
        </w:rPr>
        <w:tab/>
      </w:r>
      <w:r w:rsidRPr="00850B32">
        <w:rPr>
          <w:sz w:val="19"/>
          <w:u w:color="808080"/>
        </w:rPr>
        <w:t>Natural Gas Prices</w:t>
      </w:r>
      <w:r>
        <w:rPr>
          <w:webHidden/>
        </w:rPr>
        <w:tab/>
      </w:r>
      <w:r w:rsidR="00FC45E1">
        <w:rPr>
          <w:webHidden/>
        </w:rPr>
        <w:t>8</w:t>
      </w:r>
      <w:r w:rsidR="00ED2C2F">
        <w:rPr>
          <w:webHidden/>
        </w:rPr>
        <w:t>8</w:t>
      </w:r>
    </w:p>
    <w:p w14:paraId="1DE047DA" w14:textId="347A377A" w:rsidR="005A679A" w:rsidRDefault="005A679A">
      <w:pPr>
        <w:pStyle w:val="TOC2"/>
        <w:rPr>
          <w:rFonts w:asciiTheme="minorHAnsi" w:eastAsiaTheme="minorEastAsia" w:hAnsiTheme="minorHAnsi" w:cstheme="minorBidi"/>
          <w:smallCaps w:val="0"/>
          <w:sz w:val="22"/>
          <w:szCs w:val="22"/>
        </w:rPr>
      </w:pPr>
      <w:r w:rsidRPr="00850B32">
        <w:rPr>
          <w:sz w:val="19"/>
          <w:u w:color="808080"/>
        </w:rPr>
        <w:t>A.2</w:t>
      </w:r>
      <w:r>
        <w:rPr>
          <w:rFonts w:asciiTheme="minorHAnsi" w:eastAsiaTheme="minorEastAsia" w:hAnsiTheme="minorHAnsi" w:cstheme="minorBidi"/>
          <w:smallCaps w:val="0"/>
          <w:sz w:val="22"/>
          <w:szCs w:val="22"/>
        </w:rPr>
        <w:tab/>
      </w:r>
      <w:r w:rsidRPr="00850B32">
        <w:rPr>
          <w:sz w:val="19"/>
          <w:u w:color="808080"/>
        </w:rPr>
        <w:t>Coal Prices</w:t>
      </w:r>
      <w:r>
        <w:rPr>
          <w:webHidden/>
        </w:rPr>
        <w:tab/>
      </w:r>
      <w:r w:rsidR="00FC45E1">
        <w:rPr>
          <w:webHidden/>
        </w:rPr>
        <w:t>8</w:t>
      </w:r>
      <w:r w:rsidR="00ED2C2F">
        <w:rPr>
          <w:webHidden/>
        </w:rPr>
        <w:t>9</w:t>
      </w:r>
    </w:p>
    <w:p w14:paraId="40313895" w14:textId="093B5F62" w:rsidR="005A679A" w:rsidRDefault="005A679A">
      <w:pPr>
        <w:pStyle w:val="TOC1"/>
        <w:rPr>
          <w:rFonts w:asciiTheme="minorHAnsi" w:eastAsiaTheme="minorEastAsia" w:hAnsiTheme="minorHAnsi" w:cstheme="minorBidi"/>
          <w:caps w:val="0"/>
          <w:color w:val="auto"/>
          <w:szCs w:val="22"/>
        </w:rPr>
      </w:pPr>
      <w:r w:rsidRPr="00850B32">
        <w:rPr>
          <w:sz w:val="19"/>
          <w:u w:color="808080"/>
        </w:rPr>
        <w:t>Appendix B Fuel Demand and Production FORECASTS</w:t>
      </w:r>
      <w:r>
        <w:rPr>
          <w:webHidden/>
        </w:rPr>
        <w:tab/>
      </w:r>
      <w:r w:rsidR="00FC45E1">
        <w:rPr>
          <w:webHidden/>
        </w:rPr>
        <w:t>9</w:t>
      </w:r>
      <w:r w:rsidR="00ED2C2F">
        <w:rPr>
          <w:webHidden/>
        </w:rPr>
        <w:t>2</w:t>
      </w:r>
    </w:p>
    <w:p w14:paraId="3B54836C" w14:textId="7CD6C384" w:rsidR="005A679A" w:rsidRDefault="005A679A">
      <w:pPr>
        <w:pStyle w:val="TOC2"/>
        <w:rPr>
          <w:rFonts w:asciiTheme="minorHAnsi" w:eastAsiaTheme="minorEastAsia" w:hAnsiTheme="minorHAnsi" w:cstheme="minorBidi"/>
          <w:smallCaps w:val="0"/>
          <w:sz w:val="22"/>
          <w:szCs w:val="22"/>
        </w:rPr>
      </w:pPr>
      <w:r w:rsidRPr="00850B32">
        <w:rPr>
          <w:sz w:val="19"/>
          <w:u w:color="808080"/>
        </w:rPr>
        <w:t>B.1</w:t>
      </w:r>
      <w:r>
        <w:rPr>
          <w:rFonts w:asciiTheme="minorHAnsi" w:eastAsiaTheme="minorEastAsia" w:hAnsiTheme="minorHAnsi" w:cstheme="minorBidi"/>
          <w:smallCaps w:val="0"/>
          <w:sz w:val="22"/>
          <w:szCs w:val="22"/>
        </w:rPr>
        <w:tab/>
      </w:r>
      <w:r w:rsidRPr="00850B32">
        <w:rPr>
          <w:sz w:val="19"/>
          <w:u w:color="808080"/>
        </w:rPr>
        <w:t>Natural Gas Demand</w:t>
      </w:r>
      <w:r>
        <w:rPr>
          <w:webHidden/>
        </w:rPr>
        <w:tab/>
      </w:r>
      <w:r w:rsidR="00FC45E1">
        <w:rPr>
          <w:webHidden/>
        </w:rPr>
        <w:t>9</w:t>
      </w:r>
      <w:r w:rsidR="00ED2C2F">
        <w:rPr>
          <w:webHidden/>
        </w:rPr>
        <w:t>2</w:t>
      </w:r>
    </w:p>
    <w:p w14:paraId="3442912A" w14:textId="647DC50D" w:rsidR="005A679A" w:rsidRDefault="005A679A">
      <w:pPr>
        <w:pStyle w:val="TOC2"/>
        <w:rPr>
          <w:rFonts w:asciiTheme="minorHAnsi" w:eastAsiaTheme="minorEastAsia" w:hAnsiTheme="minorHAnsi" w:cstheme="minorBidi"/>
          <w:smallCaps w:val="0"/>
          <w:sz w:val="22"/>
          <w:szCs w:val="22"/>
        </w:rPr>
      </w:pPr>
      <w:r w:rsidRPr="00850B32">
        <w:rPr>
          <w:sz w:val="19"/>
          <w:u w:color="808080"/>
        </w:rPr>
        <w:t>B.2</w:t>
      </w:r>
      <w:r>
        <w:rPr>
          <w:rFonts w:asciiTheme="minorHAnsi" w:eastAsiaTheme="minorEastAsia" w:hAnsiTheme="minorHAnsi" w:cstheme="minorBidi"/>
          <w:smallCaps w:val="0"/>
          <w:sz w:val="22"/>
          <w:szCs w:val="22"/>
        </w:rPr>
        <w:tab/>
      </w:r>
      <w:r w:rsidRPr="00850B32">
        <w:rPr>
          <w:sz w:val="19"/>
          <w:u w:color="808080"/>
        </w:rPr>
        <w:t>Natural Gas Production</w:t>
      </w:r>
      <w:r>
        <w:rPr>
          <w:webHidden/>
        </w:rPr>
        <w:tab/>
      </w:r>
      <w:r w:rsidR="00FC45E1">
        <w:rPr>
          <w:webHidden/>
        </w:rPr>
        <w:t>9</w:t>
      </w:r>
      <w:r w:rsidR="00ED2C2F">
        <w:rPr>
          <w:webHidden/>
        </w:rPr>
        <w:t>5</w:t>
      </w:r>
    </w:p>
    <w:p w14:paraId="78C7C44F" w14:textId="60037793" w:rsidR="005A679A" w:rsidRDefault="005A679A">
      <w:pPr>
        <w:pStyle w:val="TOC2"/>
        <w:rPr>
          <w:rFonts w:asciiTheme="minorHAnsi" w:eastAsiaTheme="minorEastAsia" w:hAnsiTheme="minorHAnsi" w:cstheme="minorBidi"/>
          <w:smallCaps w:val="0"/>
          <w:sz w:val="22"/>
          <w:szCs w:val="22"/>
        </w:rPr>
      </w:pPr>
      <w:r w:rsidRPr="00850B32">
        <w:rPr>
          <w:sz w:val="19"/>
          <w:u w:color="808080"/>
        </w:rPr>
        <w:t>B.3</w:t>
      </w:r>
      <w:r>
        <w:rPr>
          <w:rFonts w:asciiTheme="minorHAnsi" w:eastAsiaTheme="minorEastAsia" w:hAnsiTheme="minorHAnsi" w:cstheme="minorBidi"/>
          <w:smallCaps w:val="0"/>
          <w:sz w:val="22"/>
          <w:szCs w:val="22"/>
        </w:rPr>
        <w:tab/>
      </w:r>
      <w:r w:rsidRPr="00850B32">
        <w:rPr>
          <w:sz w:val="19"/>
          <w:u w:color="808080"/>
        </w:rPr>
        <w:t>Coal Demand</w:t>
      </w:r>
      <w:r>
        <w:rPr>
          <w:webHidden/>
        </w:rPr>
        <w:tab/>
      </w:r>
      <w:r w:rsidR="00FC45E1">
        <w:rPr>
          <w:webHidden/>
        </w:rPr>
        <w:t>9</w:t>
      </w:r>
      <w:r w:rsidR="00ED2C2F">
        <w:rPr>
          <w:webHidden/>
        </w:rPr>
        <w:t>6</w:t>
      </w:r>
    </w:p>
    <w:p w14:paraId="22C2F28D" w14:textId="61DD441D" w:rsidR="005A679A" w:rsidRDefault="005A679A">
      <w:pPr>
        <w:pStyle w:val="TOC1"/>
        <w:rPr>
          <w:rFonts w:asciiTheme="minorHAnsi" w:eastAsiaTheme="minorEastAsia" w:hAnsiTheme="minorHAnsi" w:cstheme="minorBidi"/>
          <w:caps w:val="0"/>
          <w:color w:val="auto"/>
          <w:szCs w:val="22"/>
        </w:rPr>
      </w:pPr>
      <w:r w:rsidRPr="00850B32">
        <w:rPr>
          <w:sz w:val="19"/>
          <w:u w:color="808080"/>
        </w:rPr>
        <w:t>Appendix C MRN-NEEM Model</w:t>
      </w:r>
      <w:r>
        <w:rPr>
          <w:webHidden/>
        </w:rPr>
        <w:tab/>
      </w:r>
      <w:r w:rsidR="00FC45E1">
        <w:rPr>
          <w:webHidden/>
        </w:rPr>
        <w:t>9</w:t>
      </w:r>
      <w:r w:rsidR="00ED2C2F">
        <w:rPr>
          <w:webHidden/>
        </w:rPr>
        <w:t>6</w:t>
      </w:r>
    </w:p>
    <w:p w14:paraId="3E9E3D75" w14:textId="50B50C18" w:rsidR="00C5174D" w:rsidRPr="004E042F" w:rsidRDefault="00C5174D" w:rsidP="00485A9E">
      <w:pPr>
        <w:tabs>
          <w:tab w:val="right" w:leader="dot" w:pos="7598"/>
          <w:tab w:val="right" w:pos="7920"/>
        </w:tabs>
      </w:pPr>
    </w:p>
    <w:p w14:paraId="57A8966E" w14:textId="5374AECB" w:rsidR="00C5174D" w:rsidRPr="004E042F" w:rsidRDefault="00C5174D" w:rsidP="005B232A">
      <w:pPr>
        <w:pStyle w:val="SectionHeading"/>
        <w:ind w:left="0"/>
        <w:rPr>
          <w:caps w:val="0"/>
        </w:rPr>
      </w:pPr>
      <w:r w:rsidRPr="004E042F">
        <w:br w:type="page"/>
      </w:r>
      <w:r w:rsidRPr="004E042F">
        <w:rPr>
          <w:caps w:val="0"/>
        </w:rPr>
        <w:lastRenderedPageBreak/>
        <w:t xml:space="preserve">Index of </w:t>
      </w:r>
      <w:r w:rsidR="008F346D" w:rsidRPr="004E042F">
        <w:rPr>
          <w:caps w:val="0"/>
        </w:rPr>
        <w:t>F</w:t>
      </w:r>
      <w:r w:rsidRPr="004E042F">
        <w:rPr>
          <w:caps w:val="0"/>
        </w:rPr>
        <w:t>igures</w:t>
      </w:r>
    </w:p>
    <w:p w14:paraId="7EC1A213" w14:textId="0BE6D878"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 Budget 2019 Planning Scenarios</w:t>
      </w:r>
      <w:r>
        <w:rPr>
          <w:noProof/>
          <w:webHidden/>
        </w:rPr>
        <w:tab/>
      </w:r>
      <w:r w:rsidR="00ED2C2F">
        <w:rPr>
          <w:noProof/>
          <w:webHidden/>
        </w:rPr>
        <w:t>3</w:t>
      </w:r>
    </w:p>
    <w:p w14:paraId="6573A23E" w14:textId="75CB693B"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 Allowances for New Brownfield Nuclear Capacity to Replace Retiring Plants</w:t>
      </w:r>
      <w:r>
        <w:rPr>
          <w:noProof/>
          <w:webHidden/>
        </w:rPr>
        <w:tab/>
      </w:r>
      <w:r w:rsidR="00ED2C2F">
        <w:rPr>
          <w:noProof/>
          <w:webHidden/>
        </w:rPr>
        <w:t>9</w:t>
      </w:r>
    </w:p>
    <w:p w14:paraId="202421BB" w14:textId="13490038"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3: North American Maximum Available Nuclear Capacity Summary</w:t>
      </w:r>
      <w:r>
        <w:rPr>
          <w:noProof/>
          <w:webHidden/>
        </w:rPr>
        <w:tab/>
      </w:r>
      <w:r w:rsidR="00ED2C2F">
        <w:rPr>
          <w:noProof/>
          <w:webHidden/>
        </w:rPr>
        <w:t>10</w:t>
      </w:r>
    </w:p>
    <w:p w14:paraId="252ECA6B" w14:textId="008AE70E"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4: U.S. Marketed Natural Gas Production and Wellhead Prices</w:t>
      </w:r>
      <w:r>
        <w:rPr>
          <w:noProof/>
          <w:webHidden/>
        </w:rPr>
        <w:tab/>
      </w:r>
      <w:r w:rsidR="00FC45E1">
        <w:rPr>
          <w:noProof/>
          <w:webHidden/>
        </w:rPr>
        <w:t>1</w:t>
      </w:r>
      <w:r w:rsidR="00ED2C2F">
        <w:rPr>
          <w:noProof/>
          <w:webHidden/>
        </w:rPr>
        <w:t>2</w:t>
      </w:r>
    </w:p>
    <w:p w14:paraId="0F18294A" w14:textId="6BCEAF04"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5: U.S. Shale Gas Plays, Lower 48 States</w:t>
      </w:r>
      <w:r>
        <w:rPr>
          <w:noProof/>
          <w:webHidden/>
        </w:rPr>
        <w:tab/>
      </w:r>
      <w:r w:rsidR="00FC45E1">
        <w:rPr>
          <w:noProof/>
          <w:webHidden/>
        </w:rPr>
        <w:t>1</w:t>
      </w:r>
      <w:r w:rsidR="00ED2C2F">
        <w:rPr>
          <w:noProof/>
          <w:webHidden/>
        </w:rPr>
        <w:t>3</w:t>
      </w:r>
    </w:p>
    <w:p w14:paraId="2CF4BB20" w14:textId="731D2FBA"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6: U.S. Gas Resource Estimates over Time by Study</w:t>
      </w:r>
      <w:r>
        <w:rPr>
          <w:noProof/>
          <w:webHidden/>
        </w:rPr>
        <w:tab/>
      </w:r>
      <w:r w:rsidR="00FC45E1">
        <w:rPr>
          <w:noProof/>
          <w:webHidden/>
        </w:rPr>
        <w:t>1</w:t>
      </w:r>
      <w:r w:rsidR="00ED2C2F">
        <w:rPr>
          <w:noProof/>
          <w:webHidden/>
        </w:rPr>
        <w:t>5</w:t>
      </w:r>
    </w:p>
    <w:p w14:paraId="43BB79CA" w14:textId="41BCE0F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7: Southwestern Energy’s Improving Well Performance in Marcellus Shale</w:t>
      </w:r>
      <w:r>
        <w:rPr>
          <w:noProof/>
          <w:webHidden/>
        </w:rPr>
        <w:tab/>
      </w:r>
      <w:r w:rsidR="00FC45E1">
        <w:rPr>
          <w:noProof/>
          <w:webHidden/>
        </w:rPr>
        <w:t>1</w:t>
      </w:r>
      <w:r w:rsidR="00ED2C2F">
        <w:rPr>
          <w:noProof/>
          <w:webHidden/>
        </w:rPr>
        <w:t>7</w:t>
      </w:r>
    </w:p>
    <w:p w14:paraId="0A3C18F2" w14:textId="060E4676"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8: U.S. Drilling Rig Gas Count</w:t>
      </w:r>
      <w:r>
        <w:rPr>
          <w:noProof/>
          <w:webHidden/>
        </w:rPr>
        <w:tab/>
      </w:r>
      <w:r w:rsidR="00FC45E1">
        <w:rPr>
          <w:noProof/>
          <w:webHidden/>
        </w:rPr>
        <w:t>1</w:t>
      </w:r>
      <w:r w:rsidR="00ED2C2F">
        <w:rPr>
          <w:noProof/>
          <w:webHidden/>
        </w:rPr>
        <w:t>8</w:t>
      </w:r>
    </w:p>
    <w:p w14:paraId="3E95B83B" w14:textId="6CB1C63A"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9: Drilling Rig Gas Productivity of 7 Major U.S. Basins</w:t>
      </w:r>
      <w:r>
        <w:rPr>
          <w:noProof/>
          <w:webHidden/>
        </w:rPr>
        <w:tab/>
      </w:r>
      <w:r w:rsidR="00FC45E1">
        <w:rPr>
          <w:noProof/>
          <w:webHidden/>
        </w:rPr>
        <w:t>1</w:t>
      </w:r>
      <w:r w:rsidR="00ED2C2F">
        <w:rPr>
          <w:noProof/>
          <w:webHidden/>
        </w:rPr>
        <w:t>8</w:t>
      </w:r>
    </w:p>
    <w:p w14:paraId="10C991BE" w14:textId="7B0E8319"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10: Estimated Range of Full Cycle Costs for Shale Gas (2020 Moderate Fuel View)</w:t>
      </w:r>
      <w:r>
        <w:rPr>
          <w:noProof/>
          <w:webHidden/>
        </w:rPr>
        <w:tab/>
      </w:r>
      <w:r w:rsidR="00FC45E1">
        <w:rPr>
          <w:noProof/>
          <w:webHidden/>
        </w:rPr>
        <w:t>1</w:t>
      </w:r>
      <w:r w:rsidR="00ED2C2F">
        <w:rPr>
          <w:noProof/>
          <w:webHidden/>
        </w:rPr>
        <w:t>9</w:t>
      </w:r>
    </w:p>
    <w:p w14:paraId="1FE8E57D" w14:textId="7BB7A1E3"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11: CRA Analysis of First Year Well Productivity in the Barnett Shale Since 2010</w:t>
      </w:r>
      <w:r>
        <w:rPr>
          <w:noProof/>
          <w:webHidden/>
        </w:rPr>
        <w:tab/>
      </w:r>
      <w:r w:rsidR="00FC45E1">
        <w:rPr>
          <w:noProof/>
          <w:webHidden/>
        </w:rPr>
        <w:t>2</w:t>
      </w:r>
      <w:r w:rsidR="00ED2C2F">
        <w:rPr>
          <w:noProof/>
          <w:webHidden/>
        </w:rPr>
        <w:t>0</w:t>
      </w:r>
    </w:p>
    <w:p w14:paraId="44B8C07B" w14:textId="4A72C825"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12: Prime and Poor Productivity Distribution by Region Relative to Play Average</w:t>
      </w:r>
      <w:r>
        <w:rPr>
          <w:noProof/>
          <w:webHidden/>
        </w:rPr>
        <w:tab/>
      </w:r>
      <w:r w:rsidR="00FC45E1">
        <w:rPr>
          <w:noProof/>
          <w:webHidden/>
        </w:rPr>
        <w:t>2</w:t>
      </w:r>
      <w:r w:rsidR="00ED2C2F">
        <w:rPr>
          <w:noProof/>
          <w:webHidden/>
        </w:rPr>
        <w:t>0</w:t>
      </w:r>
    </w:p>
    <w:p w14:paraId="7EBD00E0" w14:textId="1327106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13: Budget 2019 Approach to Remaining Resource Distribution</w:t>
      </w:r>
      <w:r>
        <w:rPr>
          <w:noProof/>
          <w:webHidden/>
        </w:rPr>
        <w:tab/>
      </w:r>
      <w:r w:rsidR="00FC45E1">
        <w:rPr>
          <w:noProof/>
          <w:webHidden/>
        </w:rPr>
        <w:t>2</w:t>
      </w:r>
      <w:r w:rsidR="00ED2C2F">
        <w:rPr>
          <w:noProof/>
          <w:webHidden/>
        </w:rPr>
        <w:t>1</w:t>
      </w:r>
    </w:p>
    <w:p w14:paraId="33D79B8B" w14:textId="4EB002D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14: Drilling Productivity in Select Gas Basins</w:t>
      </w:r>
      <w:r>
        <w:rPr>
          <w:noProof/>
          <w:webHidden/>
        </w:rPr>
        <w:tab/>
      </w:r>
      <w:r w:rsidR="00FC45E1">
        <w:rPr>
          <w:noProof/>
          <w:webHidden/>
        </w:rPr>
        <w:t>2</w:t>
      </w:r>
      <w:r w:rsidR="00ED2C2F">
        <w:rPr>
          <w:noProof/>
          <w:webHidden/>
        </w:rPr>
        <w:t>2</w:t>
      </w:r>
    </w:p>
    <w:p w14:paraId="7176FB3C" w14:textId="41547597"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15: Estimated Drilling Costs by Play, Budget 2019 vs Budget 2018</w:t>
      </w:r>
      <w:r>
        <w:rPr>
          <w:noProof/>
          <w:webHidden/>
        </w:rPr>
        <w:tab/>
      </w:r>
      <w:r w:rsidR="00FC45E1">
        <w:rPr>
          <w:noProof/>
          <w:webHidden/>
        </w:rPr>
        <w:t>2</w:t>
      </w:r>
      <w:r w:rsidR="00ED2C2F">
        <w:rPr>
          <w:noProof/>
          <w:webHidden/>
        </w:rPr>
        <w:t>3</w:t>
      </w:r>
    </w:p>
    <w:p w14:paraId="7C912188" w14:textId="2A989BB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16: Onshore Lower 48 Technology Assumptions (EIA)</w:t>
      </w:r>
      <w:r>
        <w:rPr>
          <w:noProof/>
          <w:webHidden/>
        </w:rPr>
        <w:tab/>
      </w:r>
      <w:r w:rsidR="00FC45E1">
        <w:rPr>
          <w:noProof/>
          <w:webHidden/>
        </w:rPr>
        <w:t>2</w:t>
      </w:r>
      <w:r w:rsidR="00ED2C2F">
        <w:rPr>
          <w:noProof/>
          <w:webHidden/>
        </w:rPr>
        <w:t>3</w:t>
      </w:r>
    </w:p>
    <w:p w14:paraId="66C05E9B" w14:textId="115F6F93"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17: Budget 2019 U.S. LNG Exports</w:t>
      </w:r>
      <w:r>
        <w:rPr>
          <w:noProof/>
          <w:webHidden/>
        </w:rPr>
        <w:tab/>
      </w:r>
      <w:r w:rsidR="00FC45E1">
        <w:rPr>
          <w:noProof/>
          <w:webHidden/>
        </w:rPr>
        <w:t>3</w:t>
      </w:r>
      <w:r w:rsidR="00ED2C2F">
        <w:rPr>
          <w:noProof/>
          <w:webHidden/>
        </w:rPr>
        <w:t>0</w:t>
      </w:r>
    </w:p>
    <w:p w14:paraId="7CFA586A" w14:textId="5BBFC68B"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18: Budget 2019 Pipeline Exports to Mexico</w:t>
      </w:r>
      <w:r>
        <w:rPr>
          <w:noProof/>
          <w:webHidden/>
        </w:rPr>
        <w:tab/>
      </w:r>
      <w:r w:rsidR="00FC45E1">
        <w:rPr>
          <w:noProof/>
          <w:webHidden/>
        </w:rPr>
        <w:t>3</w:t>
      </w:r>
      <w:r w:rsidR="00ED2C2F">
        <w:rPr>
          <w:noProof/>
          <w:webHidden/>
        </w:rPr>
        <w:t>1</w:t>
      </w:r>
    </w:p>
    <w:p w14:paraId="2B1EE13B" w14:textId="4ED641D2"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19: Electric Sector Natural Gas Use (Tcf) - $0 CO</w:t>
      </w:r>
      <w:r w:rsidRPr="00850B32">
        <w:rPr>
          <w:noProof/>
          <w:sz w:val="19"/>
          <w:u w:color="808080"/>
          <w:vertAlign w:val="subscript"/>
        </w:rPr>
        <w:t>2</w:t>
      </w:r>
      <w:r w:rsidRPr="00850B32">
        <w:rPr>
          <w:noProof/>
          <w:sz w:val="19"/>
          <w:u w:color="808080"/>
        </w:rPr>
        <w:t xml:space="preserve"> Policy Views</w:t>
      </w:r>
      <w:r>
        <w:rPr>
          <w:noProof/>
          <w:webHidden/>
        </w:rPr>
        <w:tab/>
      </w:r>
      <w:r w:rsidR="00FC45E1">
        <w:rPr>
          <w:noProof/>
          <w:webHidden/>
        </w:rPr>
        <w:t>3</w:t>
      </w:r>
      <w:r w:rsidR="00ED2C2F">
        <w:rPr>
          <w:noProof/>
          <w:webHidden/>
        </w:rPr>
        <w:t>2</w:t>
      </w:r>
    </w:p>
    <w:p w14:paraId="5AB35EB0" w14:textId="200F47DD"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20: Natural Gas Consumption by Sector – Moderate Fuel, $0 CO</w:t>
      </w:r>
      <w:r w:rsidRPr="00850B32">
        <w:rPr>
          <w:noProof/>
          <w:sz w:val="19"/>
          <w:u w:color="808080"/>
          <w:vertAlign w:val="subscript"/>
        </w:rPr>
        <w:t>2</w:t>
      </w:r>
      <w:r w:rsidRPr="00850B32">
        <w:rPr>
          <w:noProof/>
          <w:sz w:val="19"/>
          <w:u w:color="808080"/>
        </w:rPr>
        <w:t xml:space="preserve"> Policy</w:t>
      </w:r>
      <w:r>
        <w:rPr>
          <w:noProof/>
          <w:webHidden/>
        </w:rPr>
        <w:tab/>
      </w:r>
      <w:r w:rsidR="00FC45E1">
        <w:rPr>
          <w:noProof/>
          <w:webHidden/>
        </w:rPr>
        <w:t>3</w:t>
      </w:r>
      <w:r w:rsidR="00ED2C2F">
        <w:rPr>
          <w:noProof/>
          <w:webHidden/>
        </w:rPr>
        <w:t>3</w:t>
      </w:r>
    </w:p>
    <w:p w14:paraId="2E446001" w14:textId="35D40447"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21: Interaction of CRA Gas Models</w:t>
      </w:r>
      <w:r>
        <w:rPr>
          <w:noProof/>
          <w:webHidden/>
        </w:rPr>
        <w:tab/>
      </w:r>
      <w:r w:rsidR="00FC45E1">
        <w:rPr>
          <w:noProof/>
          <w:webHidden/>
        </w:rPr>
        <w:t>3</w:t>
      </w:r>
      <w:r w:rsidR="00ED2C2F">
        <w:rPr>
          <w:noProof/>
          <w:webHidden/>
        </w:rPr>
        <w:t>7</w:t>
      </w:r>
    </w:p>
    <w:p w14:paraId="1023C694" w14:textId="34BDD000"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22: Henry Hub Natural Gas Prices – Budget 2019 Fuel Views ($0 CO</w:t>
      </w:r>
      <w:r w:rsidRPr="00850B32">
        <w:rPr>
          <w:noProof/>
          <w:sz w:val="19"/>
          <w:u w:color="808080"/>
          <w:vertAlign w:val="subscript"/>
        </w:rPr>
        <w:t>2</w:t>
      </w:r>
      <w:r w:rsidRPr="00850B32">
        <w:rPr>
          <w:noProof/>
          <w:sz w:val="19"/>
          <w:u w:color="808080"/>
        </w:rPr>
        <w:t xml:space="preserve"> Policy)</w:t>
      </w:r>
      <w:r>
        <w:rPr>
          <w:noProof/>
          <w:webHidden/>
        </w:rPr>
        <w:tab/>
      </w:r>
      <w:r w:rsidR="00FC45E1">
        <w:rPr>
          <w:noProof/>
          <w:webHidden/>
        </w:rPr>
        <w:t>3</w:t>
      </w:r>
      <w:r w:rsidR="00ED2C2F">
        <w:rPr>
          <w:noProof/>
          <w:webHidden/>
        </w:rPr>
        <w:t>8</w:t>
      </w:r>
    </w:p>
    <w:p w14:paraId="4785E8CB" w14:textId="10DD2358"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23: Domestic Gas Supply – High Fuel View (MMcf / Day)</w:t>
      </w:r>
      <w:r>
        <w:rPr>
          <w:noProof/>
          <w:webHidden/>
        </w:rPr>
        <w:tab/>
      </w:r>
      <w:r w:rsidR="00FC45E1">
        <w:rPr>
          <w:noProof/>
          <w:webHidden/>
        </w:rPr>
        <w:t>3</w:t>
      </w:r>
      <w:r w:rsidR="00ED2C2F">
        <w:rPr>
          <w:noProof/>
          <w:webHidden/>
        </w:rPr>
        <w:t>9</w:t>
      </w:r>
    </w:p>
    <w:p w14:paraId="77408318" w14:textId="6916546E"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24: High Fuel View Full Cycle Costs for Shale Gas in 2020</w:t>
      </w:r>
      <w:r>
        <w:rPr>
          <w:noProof/>
          <w:webHidden/>
        </w:rPr>
        <w:tab/>
      </w:r>
      <w:r w:rsidR="00FC45E1">
        <w:rPr>
          <w:noProof/>
          <w:webHidden/>
        </w:rPr>
        <w:t>3</w:t>
      </w:r>
      <w:r w:rsidR="00ED2C2F">
        <w:rPr>
          <w:noProof/>
          <w:webHidden/>
        </w:rPr>
        <w:t>9</w:t>
      </w:r>
    </w:p>
    <w:p w14:paraId="00F21746" w14:textId="7AAF971F"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25: Domestic Gas Production – Moderate Fuel View (MMcf / Day)</w:t>
      </w:r>
      <w:r>
        <w:rPr>
          <w:noProof/>
          <w:webHidden/>
        </w:rPr>
        <w:tab/>
      </w:r>
      <w:r w:rsidR="00FC45E1">
        <w:rPr>
          <w:noProof/>
          <w:webHidden/>
        </w:rPr>
        <w:t>4</w:t>
      </w:r>
      <w:r w:rsidR="00ED2C2F">
        <w:rPr>
          <w:noProof/>
          <w:webHidden/>
        </w:rPr>
        <w:t>1</w:t>
      </w:r>
    </w:p>
    <w:p w14:paraId="62738D1A" w14:textId="30411140"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26: Moderate Fuel View Full Cycle Costs for Shale Gas in 2020</w:t>
      </w:r>
      <w:r>
        <w:rPr>
          <w:noProof/>
          <w:webHidden/>
        </w:rPr>
        <w:tab/>
      </w:r>
      <w:r w:rsidR="00FC45E1">
        <w:rPr>
          <w:noProof/>
          <w:webHidden/>
        </w:rPr>
        <w:t>4</w:t>
      </w:r>
      <w:r w:rsidR="00ED2C2F">
        <w:rPr>
          <w:noProof/>
          <w:webHidden/>
        </w:rPr>
        <w:t>1</w:t>
      </w:r>
    </w:p>
    <w:p w14:paraId="05F912E4" w14:textId="6355C1E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27: Domestic Gas Production – Low Fuel View (MMcf / Day)</w:t>
      </w:r>
      <w:r>
        <w:rPr>
          <w:noProof/>
          <w:webHidden/>
        </w:rPr>
        <w:tab/>
      </w:r>
      <w:r w:rsidR="00FC45E1">
        <w:rPr>
          <w:noProof/>
          <w:webHidden/>
        </w:rPr>
        <w:t>4</w:t>
      </w:r>
      <w:r w:rsidR="00ED2C2F">
        <w:rPr>
          <w:noProof/>
          <w:webHidden/>
        </w:rPr>
        <w:t>2</w:t>
      </w:r>
    </w:p>
    <w:p w14:paraId="3F5657BF" w14:textId="32AA06D3"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28: Low Fuel View Full Cycle Costs for Shale Gas in 2020</w:t>
      </w:r>
      <w:r>
        <w:rPr>
          <w:noProof/>
          <w:webHidden/>
        </w:rPr>
        <w:tab/>
      </w:r>
      <w:r w:rsidR="00FC45E1">
        <w:rPr>
          <w:noProof/>
          <w:webHidden/>
        </w:rPr>
        <w:t>4</w:t>
      </w:r>
      <w:r w:rsidR="00ED2C2F">
        <w:rPr>
          <w:noProof/>
          <w:webHidden/>
        </w:rPr>
        <w:t>3</w:t>
      </w:r>
    </w:p>
    <w:p w14:paraId="6E710696" w14:textId="5B298B46"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29: Historical Henry Hub Natural Gas Prices (Nominal $ / MMBtu)</w:t>
      </w:r>
      <w:r>
        <w:rPr>
          <w:noProof/>
          <w:webHidden/>
        </w:rPr>
        <w:tab/>
      </w:r>
      <w:r w:rsidR="00FC45E1">
        <w:rPr>
          <w:noProof/>
          <w:webHidden/>
        </w:rPr>
        <w:t>4</w:t>
      </w:r>
      <w:r w:rsidR="00ED2C2F">
        <w:rPr>
          <w:noProof/>
          <w:webHidden/>
        </w:rPr>
        <w:t>4</w:t>
      </w:r>
    </w:p>
    <w:p w14:paraId="01169E49" w14:textId="5E991CA6"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Figure 30: </w:t>
      </w:r>
      <w:r w:rsidRPr="00FC45E1">
        <w:rPr>
          <w:noProof/>
          <w:spacing w:val="4"/>
          <w:sz w:val="19"/>
          <w:u w:color="808080"/>
        </w:rPr>
        <w:t>Comparison of Budget 2019 and Budget 2018 Henry Hub Gas Price Forecasts, $0 CO</w:t>
      </w:r>
      <w:r w:rsidRPr="00FC45E1">
        <w:rPr>
          <w:noProof/>
          <w:spacing w:val="4"/>
          <w:sz w:val="19"/>
          <w:u w:color="808080"/>
          <w:vertAlign w:val="subscript"/>
        </w:rPr>
        <w:t xml:space="preserve">2 </w:t>
      </w:r>
      <w:r w:rsidRPr="00FC45E1">
        <w:rPr>
          <w:noProof/>
          <w:spacing w:val="4"/>
          <w:sz w:val="19"/>
          <w:u w:color="808080"/>
        </w:rPr>
        <w:t>Scenarios</w:t>
      </w:r>
      <w:r>
        <w:rPr>
          <w:noProof/>
          <w:webHidden/>
        </w:rPr>
        <w:tab/>
      </w:r>
      <w:r w:rsidR="00FC45E1">
        <w:rPr>
          <w:noProof/>
          <w:webHidden/>
        </w:rPr>
        <w:t>4</w:t>
      </w:r>
      <w:r w:rsidR="00ED2C2F">
        <w:rPr>
          <w:noProof/>
          <w:webHidden/>
        </w:rPr>
        <w:t>5</w:t>
      </w:r>
    </w:p>
    <w:p w14:paraId="5BC2F850" w14:textId="48C6C2C3"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Figure 31: </w:t>
      </w:r>
      <w:r w:rsidRPr="00FC45E1">
        <w:rPr>
          <w:noProof/>
          <w:spacing w:val="4"/>
          <w:sz w:val="19"/>
          <w:u w:color="808080"/>
        </w:rPr>
        <w:t>Comparison of Budget 2019 and Budget 2018 Natural Gas Consumption Forecasts</w:t>
      </w:r>
      <w:r>
        <w:rPr>
          <w:noProof/>
          <w:webHidden/>
        </w:rPr>
        <w:tab/>
      </w:r>
      <w:r w:rsidR="00FC45E1">
        <w:rPr>
          <w:noProof/>
          <w:webHidden/>
        </w:rPr>
        <w:t>4</w:t>
      </w:r>
      <w:r w:rsidR="00ED2C2F">
        <w:rPr>
          <w:noProof/>
          <w:webHidden/>
        </w:rPr>
        <w:t>5</w:t>
      </w:r>
    </w:p>
    <w:p w14:paraId="61BCEBD4" w14:textId="5A1B6196"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32: Budget 2018 Crude Oil Price Forecasts</w:t>
      </w:r>
      <w:r>
        <w:rPr>
          <w:noProof/>
          <w:webHidden/>
        </w:rPr>
        <w:tab/>
      </w:r>
      <w:r w:rsidR="00FC45E1">
        <w:rPr>
          <w:noProof/>
          <w:webHidden/>
        </w:rPr>
        <w:t>4</w:t>
      </w:r>
      <w:r w:rsidR="00ED2C2F">
        <w:rPr>
          <w:noProof/>
          <w:webHidden/>
        </w:rPr>
        <w:t>8</w:t>
      </w:r>
    </w:p>
    <w:p w14:paraId="27B0165C" w14:textId="0A77BC12"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Figure 33: </w:t>
      </w:r>
      <w:r w:rsidRPr="00FC45E1">
        <w:rPr>
          <w:noProof/>
          <w:spacing w:val="4"/>
          <w:sz w:val="19"/>
          <w:u w:color="808080"/>
        </w:rPr>
        <w:t>CRA Range of Medium-Term WTI Crude Oil Prices around Budget 2019 Forecast</w:t>
      </w:r>
      <w:r>
        <w:rPr>
          <w:noProof/>
          <w:webHidden/>
        </w:rPr>
        <w:tab/>
      </w:r>
      <w:r w:rsidR="00FC45E1">
        <w:rPr>
          <w:noProof/>
          <w:webHidden/>
        </w:rPr>
        <w:t>4</w:t>
      </w:r>
      <w:r w:rsidR="00ED2C2F">
        <w:rPr>
          <w:noProof/>
          <w:webHidden/>
        </w:rPr>
        <w:t>9</w:t>
      </w:r>
    </w:p>
    <w:p w14:paraId="295681F1" w14:textId="566B4B20"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lastRenderedPageBreak/>
        <w:t>Figure 34: CRA Cyclical Brent Crude Oil Price Scenarios</w:t>
      </w:r>
      <w:r>
        <w:rPr>
          <w:noProof/>
          <w:webHidden/>
        </w:rPr>
        <w:tab/>
      </w:r>
      <w:r w:rsidR="00FC45E1">
        <w:rPr>
          <w:noProof/>
          <w:webHidden/>
        </w:rPr>
        <w:t>5</w:t>
      </w:r>
      <w:r w:rsidR="00ED2C2F">
        <w:rPr>
          <w:noProof/>
          <w:webHidden/>
        </w:rPr>
        <w:t>4</w:t>
      </w:r>
    </w:p>
    <w:p w14:paraId="76C3CF11" w14:textId="1482DC54"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35: Brent and WTI Spot Prices (Nominal $/bbl)</w:t>
      </w:r>
      <w:r>
        <w:rPr>
          <w:noProof/>
          <w:webHidden/>
        </w:rPr>
        <w:tab/>
      </w:r>
      <w:r w:rsidR="00FC45E1">
        <w:rPr>
          <w:noProof/>
          <w:webHidden/>
        </w:rPr>
        <w:t>5</w:t>
      </w:r>
      <w:r w:rsidR="00ED2C2F">
        <w:rPr>
          <w:noProof/>
          <w:webHidden/>
        </w:rPr>
        <w:t>5</w:t>
      </w:r>
    </w:p>
    <w:p w14:paraId="50EBBB2E" w14:textId="1060179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36: Historical Coal Capacity Additions</w:t>
      </w:r>
      <w:r>
        <w:rPr>
          <w:noProof/>
          <w:webHidden/>
        </w:rPr>
        <w:tab/>
      </w:r>
      <w:r w:rsidR="00FC45E1">
        <w:rPr>
          <w:noProof/>
          <w:webHidden/>
        </w:rPr>
        <w:t>5</w:t>
      </w:r>
      <w:r w:rsidR="00ED2C2F">
        <w:rPr>
          <w:noProof/>
          <w:webHidden/>
        </w:rPr>
        <w:t>7</w:t>
      </w:r>
    </w:p>
    <w:p w14:paraId="7E78C539" w14:textId="0B6F0B26"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37: Forecasted Cumulative Coal Retirements through 2028 by Scenario</w:t>
      </w:r>
      <w:r>
        <w:rPr>
          <w:noProof/>
          <w:webHidden/>
        </w:rPr>
        <w:tab/>
      </w:r>
      <w:r w:rsidR="00FC45E1">
        <w:rPr>
          <w:noProof/>
          <w:webHidden/>
        </w:rPr>
        <w:t>5</w:t>
      </w:r>
      <w:r w:rsidR="00ED2C2F">
        <w:rPr>
          <w:noProof/>
          <w:webHidden/>
        </w:rPr>
        <w:t>9</w:t>
      </w:r>
    </w:p>
    <w:p w14:paraId="7A332306" w14:textId="58071953"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38: Historical Coal Spot Prices (Nominal $/ton)</w:t>
      </w:r>
      <w:r>
        <w:rPr>
          <w:noProof/>
          <w:webHidden/>
        </w:rPr>
        <w:tab/>
      </w:r>
      <w:r w:rsidR="00FC45E1">
        <w:rPr>
          <w:noProof/>
          <w:webHidden/>
        </w:rPr>
        <w:t>6</w:t>
      </w:r>
      <w:r w:rsidR="00ED2C2F">
        <w:rPr>
          <w:noProof/>
          <w:webHidden/>
        </w:rPr>
        <w:t>0</w:t>
      </w:r>
    </w:p>
    <w:p w14:paraId="16D39F2F" w14:textId="37F4F44A"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39: Coal Demand (Millions of Short Tons) – Historical and Moderate Fuel, $0 CO</w:t>
      </w:r>
      <w:r w:rsidRPr="00850B32">
        <w:rPr>
          <w:noProof/>
          <w:sz w:val="19"/>
          <w:u w:color="808080"/>
          <w:vertAlign w:val="subscript"/>
        </w:rPr>
        <w:t>2</w:t>
      </w:r>
      <w:r w:rsidRPr="00850B32">
        <w:rPr>
          <w:noProof/>
          <w:sz w:val="19"/>
          <w:u w:color="808080"/>
        </w:rPr>
        <w:t xml:space="preserve"> Policy Scenario</w:t>
      </w:r>
      <w:r>
        <w:rPr>
          <w:noProof/>
          <w:webHidden/>
        </w:rPr>
        <w:tab/>
      </w:r>
      <w:r w:rsidR="00FC45E1">
        <w:rPr>
          <w:noProof/>
          <w:webHidden/>
        </w:rPr>
        <w:t>6</w:t>
      </w:r>
      <w:r w:rsidR="00ED2C2F">
        <w:rPr>
          <w:noProof/>
          <w:webHidden/>
        </w:rPr>
        <w:t>4</w:t>
      </w:r>
    </w:p>
    <w:p w14:paraId="4F8E873E" w14:textId="51FE256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Figure 40: </w:t>
      </w:r>
      <w:r w:rsidRPr="007C2729">
        <w:rPr>
          <w:noProof/>
          <w:spacing w:val="4"/>
          <w:sz w:val="19"/>
          <w:u w:color="808080"/>
        </w:rPr>
        <w:t>Coal Demand Comparison: Budget 2019 and Budget 2018 Forecasts under the Moderate Fuel, $0 CO</w:t>
      </w:r>
      <w:r w:rsidRPr="007C2729">
        <w:rPr>
          <w:noProof/>
          <w:spacing w:val="4"/>
          <w:sz w:val="19"/>
          <w:u w:color="808080"/>
          <w:vertAlign w:val="subscript"/>
        </w:rPr>
        <w:t>2</w:t>
      </w:r>
      <w:r w:rsidRPr="007C2729">
        <w:rPr>
          <w:noProof/>
          <w:spacing w:val="4"/>
          <w:sz w:val="19"/>
          <w:u w:color="808080"/>
        </w:rPr>
        <w:t xml:space="preserve"> Policy Scenario</w:t>
      </w:r>
      <w:r>
        <w:rPr>
          <w:noProof/>
          <w:webHidden/>
        </w:rPr>
        <w:tab/>
      </w:r>
      <w:r w:rsidR="00FC45E1">
        <w:rPr>
          <w:noProof/>
          <w:webHidden/>
        </w:rPr>
        <w:t>6</w:t>
      </w:r>
      <w:r w:rsidR="00ED2C2F">
        <w:rPr>
          <w:noProof/>
          <w:webHidden/>
        </w:rPr>
        <w:t>7</w:t>
      </w:r>
    </w:p>
    <w:p w14:paraId="29E74611" w14:textId="257927EF"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41: Mine-mouth Coal Price Comparison – Budget 2019 and Budget 2018 Forecasts, Moderate Fuel, $0 CO</w:t>
      </w:r>
      <w:r w:rsidRPr="00850B32">
        <w:rPr>
          <w:noProof/>
          <w:sz w:val="19"/>
          <w:u w:color="808080"/>
          <w:vertAlign w:val="subscript"/>
        </w:rPr>
        <w:t>2</w:t>
      </w:r>
      <w:r w:rsidRPr="00850B32">
        <w:rPr>
          <w:noProof/>
          <w:sz w:val="19"/>
          <w:u w:color="808080"/>
        </w:rPr>
        <w:t xml:space="preserve"> Scenarios</w:t>
      </w:r>
      <w:r>
        <w:rPr>
          <w:noProof/>
          <w:webHidden/>
        </w:rPr>
        <w:tab/>
      </w:r>
      <w:r w:rsidR="00FC45E1">
        <w:rPr>
          <w:noProof/>
          <w:webHidden/>
        </w:rPr>
        <w:t>6</w:t>
      </w:r>
      <w:r w:rsidR="00ED2C2F">
        <w:rPr>
          <w:noProof/>
          <w:webHidden/>
        </w:rPr>
        <w:t>8</w:t>
      </w:r>
    </w:p>
    <w:p w14:paraId="2877CD46" w14:textId="29B6068E"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42: Coal-Fired Generation Responding to CO</w:t>
      </w:r>
      <w:r w:rsidRPr="00850B32">
        <w:rPr>
          <w:noProof/>
          <w:sz w:val="19"/>
          <w:u w:color="808080"/>
          <w:vertAlign w:val="subscript"/>
        </w:rPr>
        <w:t>2</w:t>
      </w:r>
      <w:r w:rsidRPr="00850B32">
        <w:rPr>
          <w:noProof/>
          <w:sz w:val="19"/>
          <w:u w:color="808080"/>
        </w:rPr>
        <w:t xml:space="preserve"> Prices – Moderate Fuel View</w:t>
      </w:r>
      <w:r>
        <w:rPr>
          <w:noProof/>
          <w:webHidden/>
        </w:rPr>
        <w:tab/>
      </w:r>
      <w:r w:rsidR="00FC45E1">
        <w:rPr>
          <w:noProof/>
          <w:webHidden/>
        </w:rPr>
        <w:t>6</w:t>
      </w:r>
      <w:r w:rsidR="00ED2C2F">
        <w:rPr>
          <w:noProof/>
          <w:webHidden/>
        </w:rPr>
        <w:t>9</w:t>
      </w:r>
    </w:p>
    <w:p w14:paraId="170ABAC4" w14:textId="21F5EEF7"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43: Sector Natural Gas Consumption (Quads) – Low Fuel, $0 CO</w:t>
      </w:r>
      <w:r w:rsidRPr="00850B32">
        <w:rPr>
          <w:noProof/>
          <w:sz w:val="19"/>
          <w:u w:color="808080"/>
          <w:vertAlign w:val="subscript"/>
        </w:rPr>
        <w:t>2</w:t>
      </w:r>
      <w:r w:rsidRPr="00850B32">
        <w:rPr>
          <w:noProof/>
          <w:sz w:val="19"/>
          <w:u w:color="808080"/>
        </w:rPr>
        <w:t xml:space="preserve"> Policy Scenario</w:t>
      </w:r>
      <w:r>
        <w:rPr>
          <w:noProof/>
          <w:webHidden/>
        </w:rPr>
        <w:tab/>
      </w:r>
      <w:r w:rsidR="00FC45E1">
        <w:rPr>
          <w:noProof/>
          <w:webHidden/>
        </w:rPr>
        <w:t>9</w:t>
      </w:r>
      <w:r w:rsidR="00ED2C2F">
        <w:rPr>
          <w:noProof/>
          <w:webHidden/>
        </w:rPr>
        <w:t>3</w:t>
      </w:r>
    </w:p>
    <w:p w14:paraId="11ABBDDC" w14:textId="2B1ED04A"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Figure 44: </w:t>
      </w:r>
      <w:r w:rsidRPr="007C2729">
        <w:rPr>
          <w:noProof/>
          <w:spacing w:val="4"/>
          <w:sz w:val="19"/>
          <w:u w:color="808080"/>
        </w:rPr>
        <w:t>Sector Natural Gas Consumption (Quads) – Moderate Fuel, $0 CO</w:t>
      </w:r>
      <w:r w:rsidRPr="007C2729">
        <w:rPr>
          <w:noProof/>
          <w:spacing w:val="4"/>
          <w:sz w:val="19"/>
          <w:u w:color="808080"/>
          <w:vertAlign w:val="subscript"/>
        </w:rPr>
        <w:t>2</w:t>
      </w:r>
      <w:r w:rsidRPr="007C2729">
        <w:rPr>
          <w:noProof/>
          <w:spacing w:val="4"/>
          <w:sz w:val="19"/>
          <w:u w:color="808080"/>
        </w:rPr>
        <w:t xml:space="preserve"> Policy Scenario</w:t>
      </w:r>
      <w:r>
        <w:rPr>
          <w:noProof/>
          <w:webHidden/>
        </w:rPr>
        <w:tab/>
      </w:r>
      <w:r w:rsidR="00FC45E1">
        <w:rPr>
          <w:noProof/>
          <w:webHidden/>
        </w:rPr>
        <w:t>9</w:t>
      </w:r>
      <w:r w:rsidR="00ED2C2F">
        <w:rPr>
          <w:noProof/>
          <w:webHidden/>
        </w:rPr>
        <w:t>3</w:t>
      </w:r>
    </w:p>
    <w:p w14:paraId="049F4D6F" w14:textId="4753B7E2"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Figure 45: </w:t>
      </w:r>
      <w:r w:rsidRPr="007C2729">
        <w:rPr>
          <w:noProof/>
          <w:spacing w:val="4"/>
          <w:sz w:val="19"/>
          <w:u w:color="808080"/>
        </w:rPr>
        <w:t>Sector Natural Gas Consumption (Quads) – High Fuel, $0 CO2 Policy Scenario</w:t>
      </w:r>
      <w:r>
        <w:rPr>
          <w:noProof/>
          <w:webHidden/>
        </w:rPr>
        <w:tab/>
      </w:r>
      <w:r w:rsidR="00FC45E1">
        <w:rPr>
          <w:noProof/>
          <w:webHidden/>
        </w:rPr>
        <w:t>9</w:t>
      </w:r>
      <w:r w:rsidR="00ED2C2F">
        <w:rPr>
          <w:noProof/>
          <w:webHidden/>
        </w:rPr>
        <w:t>4</w:t>
      </w:r>
    </w:p>
    <w:p w14:paraId="6E6A4AC0" w14:textId="444B40A7"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Figure 46: Map of MRN-NEEM Regions</w:t>
      </w:r>
      <w:r>
        <w:rPr>
          <w:noProof/>
          <w:webHidden/>
        </w:rPr>
        <w:tab/>
      </w:r>
      <w:r w:rsidR="00FC45E1">
        <w:rPr>
          <w:noProof/>
          <w:webHidden/>
        </w:rPr>
        <w:t>9</w:t>
      </w:r>
      <w:r w:rsidR="00ED2C2F">
        <w:rPr>
          <w:noProof/>
          <w:webHidden/>
        </w:rPr>
        <w:t>7</w:t>
      </w:r>
    </w:p>
    <w:p w14:paraId="5B933410" w14:textId="507DF9D9" w:rsidR="00C5174D" w:rsidRPr="004E042F" w:rsidRDefault="00C5174D" w:rsidP="00784F4B">
      <w:pPr>
        <w:pStyle w:val="TableofFigures"/>
        <w:tabs>
          <w:tab w:val="right" w:leader="dot" w:pos="8275"/>
        </w:tabs>
        <w:ind w:right="1085"/>
        <w:rPr>
          <w:rStyle w:val="Hyperlink"/>
          <w:rFonts w:cs="Arial"/>
          <w:sz w:val="20"/>
        </w:rPr>
      </w:pPr>
    </w:p>
    <w:p w14:paraId="39412021" w14:textId="77777777" w:rsidR="00C94C99" w:rsidRPr="004E042F" w:rsidRDefault="00C94C99" w:rsidP="00C94C99"/>
    <w:p w14:paraId="127A756C" w14:textId="779D48E1" w:rsidR="009E57E3" w:rsidRDefault="009E57E3">
      <w:pPr>
        <w:spacing w:before="0" w:after="0"/>
        <w:ind w:left="0"/>
        <w:jc w:val="left"/>
      </w:pPr>
      <w:r>
        <w:br w:type="page"/>
      </w:r>
    </w:p>
    <w:p w14:paraId="6801D42D" w14:textId="65A92EA3" w:rsidR="00C94C99" w:rsidRPr="0078240E" w:rsidRDefault="00E7772B" w:rsidP="00014FA5">
      <w:pPr>
        <w:pStyle w:val="SectionHeading"/>
        <w:tabs>
          <w:tab w:val="center" w:pos="3782"/>
          <w:tab w:val="right" w:pos="8285"/>
        </w:tabs>
      </w:pPr>
      <w:r>
        <w:rPr>
          <w:caps w:val="0"/>
        </w:rPr>
        <w:lastRenderedPageBreak/>
        <w:t>Index</w:t>
      </w:r>
      <w:r w:rsidR="009E57E3" w:rsidRPr="00014FA5">
        <w:rPr>
          <w:caps w:val="0"/>
        </w:rPr>
        <w:t xml:space="preserve"> of Tables</w:t>
      </w:r>
    </w:p>
    <w:p w14:paraId="23F3B335" w14:textId="713BBB14"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 ERR supply assumptions by Fuel View – Budget 2019</w:t>
      </w:r>
      <w:r>
        <w:rPr>
          <w:noProof/>
          <w:webHidden/>
        </w:rPr>
        <w:tab/>
      </w:r>
      <w:r w:rsidR="007C2729">
        <w:rPr>
          <w:noProof/>
          <w:webHidden/>
        </w:rPr>
        <w:t>1</w:t>
      </w:r>
      <w:r w:rsidR="00ED2C2F">
        <w:rPr>
          <w:noProof/>
          <w:webHidden/>
        </w:rPr>
        <w:t>5</w:t>
      </w:r>
    </w:p>
    <w:p w14:paraId="572ECBCC" w14:textId="5330C09F"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 Variations in Fuel Price Supply and Demand Assumptions</w:t>
      </w:r>
      <w:r>
        <w:rPr>
          <w:noProof/>
          <w:webHidden/>
        </w:rPr>
        <w:tab/>
      </w:r>
      <w:r w:rsidR="007C2729">
        <w:rPr>
          <w:noProof/>
          <w:webHidden/>
        </w:rPr>
        <w:t>3</w:t>
      </w:r>
      <w:r w:rsidR="00ED2C2F">
        <w:rPr>
          <w:noProof/>
          <w:webHidden/>
        </w:rPr>
        <w:t>6</w:t>
      </w:r>
    </w:p>
    <w:p w14:paraId="394D3F41" w14:textId="7A5085EA"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3: Percent Change in Gas Demand in CO</w:t>
      </w:r>
      <w:r w:rsidRPr="00850B32">
        <w:rPr>
          <w:noProof/>
          <w:sz w:val="19"/>
          <w:u w:color="808080"/>
          <w:vertAlign w:val="subscript"/>
        </w:rPr>
        <w:t>2</w:t>
      </w:r>
      <w:r w:rsidRPr="00850B32">
        <w:rPr>
          <w:noProof/>
          <w:sz w:val="19"/>
          <w:u w:color="808080"/>
        </w:rPr>
        <w:t xml:space="preserve"> Price Scenarios Relative to $0 CO</w:t>
      </w:r>
      <w:r w:rsidRPr="00850B32">
        <w:rPr>
          <w:noProof/>
          <w:sz w:val="19"/>
          <w:u w:color="808080"/>
          <w:vertAlign w:val="subscript"/>
        </w:rPr>
        <w:t>2</w:t>
      </w:r>
      <w:r w:rsidRPr="00850B32">
        <w:rPr>
          <w:noProof/>
          <w:sz w:val="19"/>
          <w:u w:color="808080"/>
        </w:rPr>
        <w:t xml:space="preserve"> Policy – Moderate Fuel View</w:t>
      </w:r>
      <w:r>
        <w:rPr>
          <w:noProof/>
          <w:webHidden/>
        </w:rPr>
        <w:tab/>
      </w:r>
      <w:r w:rsidR="007C2729">
        <w:rPr>
          <w:noProof/>
          <w:webHidden/>
        </w:rPr>
        <w:t>4</w:t>
      </w:r>
      <w:r w:rsidR="00ED2C2F">
        <w:rPr>
          <w:noProof/>
          <w:webHidden/>
        </w:rPr>
        <w:t>6</w:t>
      </w:r>
    </w:p>
    <w:p w14:paraId="63807AE6" w14:textId="516F8656"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4: CRA West Texas Intermediate (WTI) Crude Oil Price Projections</w:t>
      </w:r>
      <w:r>
        <w:rPr>
          <w:noProof/>
          <w:webHidden/>
        </w:rPr>
        <w:tab/>
      </w:r>
      <w:r w:rsidR="007C2729">
        <w:rPr>
          <w:noProof/>
          <w:webHidden/>
        </w:rPr>
        <w:t>4</w:t>
      </w:r>
      <w:r w:rsidR="00ED2C2F">
        <w:rPr>
          <w:noProof/>
          <w:webHidden/>
        </w:rPr>
        <w:t>7</w:t>
      </w:r>
    </w:p>
    <w:p w14:paraId="52F7C509" w14:textId="068B4F94"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5: Budget 2019 Crude Oil Prices for All $0 CO</w:t>
      </w:r>
      <w:r w:rsidRPr="00850B32">
        <w:rPr>
          <w:noProof/>
          <w:sz w:val="19"/>
          <w:u w:color="808080"/>
          <w:vertAlign w:val="subscript"/>
        </w:rPr>
        <w:t>2</w:t>
      </w:r>
      <w:r w:rsidRPr="00850B32">
        <w:rPr>
          <w:noProof/>
          <w:sz w:val="19"/>
          <w:u w:color="808080"/>
        </w:rPr>
        <w:t xml:space="preserve"> Policy Views ($/bbl)</w:t>
      </w:r>
      <w:r>
        <w:rPr>
          <w:noProof/>
          <w:webHidden/>
        </w:rPr>
        <w:tab/>
      </w:r>
      <w:r w:rsidR="007C2729">
        <w:rPr>
          <w:noProof/>
          <w:webHidden/>
        </w:rPr>
        <w:t>5</w:t>
      </w:r>
      <w:r w:rsidR="00ED2C2F">
        <w:rPr>
          <w:noProof/>
          <w:webHidden/>
        </w:rPr>
        <w:t>2</w:t>
      </w:r>
    </w:p>
    <w:p w14:paraId="064ED14D" w14:textId="142C058F"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6: Budget 2019 and Budget 2018 Crude Oil Prices for All CO</w:t>
      </w:r>
      <w:r w:rsidRPr="00850B32">
        <w:rPr>
          <w:noProof/>
          <w:sz w:val="19"/>
          <w:u w:color="808080"/>
          <w:vertAlign w:val="subscript"/>
        </w:rPr>
        <w:t>2</w:t>
      </w:r>
      <w:r w:rsidRPr="00850B32">
        <w:rPr>
          <w:noProof/>
          <w:sz w:val="19"/>
          <w:u w:color="808080"/>
        </w:rPr>
        <w:t xml:space="preserve"> Policy Views ($/bbl)</w:t>
      </w:r>
      <w:r>
        <w:rPr>
          <w:noProof/>
          <w:webHidden/>
        </w:rPr>
        <w:tab/>
      </w:r>
      <w:r w:rsidR="007C2729">
        <w:rPr>
          <w:noProof/>
          <w:webHidden/>
        </w:rPr>
        <w:t>5</w:t>
      </w:r>
      <w:r w:rsidR="00ED2C2F">
        <w:rPr>
          <w:noProof/>
          <w:webHidden/>
        </w:rPr>
        <w:t>3</w:t>
      </w:r>
    </w:p>
    <w:p w14:paraId="18C02116" w14:textId="17DB1A95"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7: Coal Characteristics</w:t>
      </w:r>
      <w:r>
        <w:rPr>
          <w:noProof/>
          <w:webHidden/>
        </w:rPr>
        <w:tab/>
      </w:r>
      <w:r w:rsidR="007C2729">
        <w:rPr>
          <w:noProof/>
          <w:webHidden/>
        </w:rPr>
        <w:t>6</w:t>
      </w:r>
      <w:r w:rsidR="00ED2C2F">
        <w:rPr>
          <w:noProof/>
          <w:webHidden/>
        </w:rPr>
        <w:t>5</w:t>
      </w:r>
    </w:p>
    <w:p w14:paraId="1DC1FF9E" w14:textId="114E50E0"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8: Mine-mouth Coal Prices (2017$/ton) – Moderate Fuel, $0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6</w:t>
      </w:r>
      <w:r w:rsidR="00ED2C2F">
        <w:rPr>
          <w:noProof/>
          <w:webHidden/>
        </w:rPr>
        <w:t>6</w:t>
      </w:r>
    </w:p>
    <w:p w14:paraId="367813D6" w14:textId="70C93F0E"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9: Comparison of Modeled Environmental Regulations</w:t>
      </w:r>
      <w:r w:rsidRPr="00040F0B">
        <w:rPr>
          <w:noProof/>
          <w:webHidden/>
        </w:rPr>
        <w:tab/>
      </w:r>
      <w:r w:rsidR="007C2729">
        <w:rPr>
          <w:noProof/>
          <w:webHidden/>
        </w:rPr>
        <w:t>7</w:t>
      </w:r>
      <w:r w:rsidR="00ED2C2F">
        <w:rPr>
          <w:noProof/>
          <w:webHidden/>
        </w:rPr>
        <w:t>3</w:t>
      </w:r>
    </w:p>
    <w:p w14:paraId="379DBE80" w14:textId="4CD896C5"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10: Henry Hub Natural Gas Prices (2017$/MMBtu) – $0/tonne CO</w:t>
      </w:r>
      <w:r w:rsidRPr="00850B32">
        <w:rPr>
          <w:noProof/>
          <w:sz w:val="19"/>
          <w:u w:color="808080"/>
          <w:vertAlign w:val="subscript"/>
        </w:rPr>
        <w:t>2</w:t>
      </w:r>
      <w:r w:rsidRPr="00850B32">
        <w:rPr>
          <w:noProof/>
          <w:sz w:val="19"/>
          <w:u w:color="808080"/>
        </w:rPr>
        <w:t xml:space="preserve"> Policy</w:t>
      </w:r>
      <w:r w:rsidRPr="00040F0B">
        <w:rPr>
          <w:noProof/>
          <w:webHidden/>
        </w:rPr>
        <w:tab/>
      </w:r>
      <w:r w:rsidR="007C2729">
        <w:rPr>
          <w:noProof/>
          <w:webHidden/>
        </w:rPr>
        <w:t>8</w:t>
      </w:r>
      <w:r w:rsidR="00ED2C2F">
        <w:rPr>
          <w:noProof/>
          <w:webHidden/>
        </w:rPr>
        <w:t>8</w:t>
      </w:r>
    </w:p>
    <w:p w14:paraId="39A21276" w14:textId="6D748D46"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11: Henry Hub Natural Gas Prices (2017$/MMBtu) – $10/tonne CO</w:t>
      </w:r>
      <w:r w:rsidRPr="00850B32">
        <w:rPr>
          <w:noProof/>
          <w:sz w:val="19"/>
          <w:u w:color="808080"/>
          <w:vertAlign w:val="subscript"/>
        </w:rPr>
        <w:t>2</w:t>
      </w:r>
      <w:r w:rsidRPr="00850B32">
        <w:rPr>
          <w:noProof/>
          <w:sz w:val="19"/>
          <w:u w:color="808080"/>
        </w:rPr>
        <w:t xml:space="preserve"> Policy</w:t>
      </w:r>
      <w:r w:rsidRPr="00040F0B">
        <w:rPr>
          <w:noProof/>
          <w:webHidden/>
        </w:rPr>
        <w:tab/>
      </w:r>
      <w:r w:rsidR="007C2729">
        <w:rPr>
          <w:noProof/>
          <w:webHidden/>
        </w:rPr>
        <w:t>8</w:t>
      </w:r>
      <w:r w:rsidR="00ED2C2F">
        <w:rPr>
          <w:noProof/>
          <w:webHidden/>
        </w:rPr>
        <w:t>8</w:t>
      </w:r>
    </w:p>
    <w:p w14:paraId="19AB0A2B" w14:textId="1D8405DC"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12: Henry Hub Natural Gas Prices (2017$/MMBtu) – $20/tonne CO</w:t>
      </w:r>
      <w:r w:rsidRPr="00850B32">
        <w:rPr>
          <w:noProof/>
          <w:sz w:val="19"/>
          <w:u w:color="808080"/>
          <w:vertAlign w:val="subscript"/>
        </w:rPr>
        <w:t>2</w:t>
      </w:r>
      <w:r w:rsidRPr="00850B32">
        <w:rPr>
          <w:noProof/>
          <w:sz w:val="19"/>
          <w:u w:color="808080"/>
        </w:rPr>
        <w:t xml:space="preserve"> Policy</w:t>
      </w:r>
      <w:r w:rsidRPr="00040F0B">
        <w:rPr>
          <w:noProof/>
          <w:webHidden/>
        </w:rPr>
        <w:tab/>
      </w:r>
      <w:r w:rsidR="007C2729">
        <w:rPr>
          <w:noProof/>
          <w:webHidden/>
        </w:rPr>
        <w:t>8</w:t>
      </w:r>
      <w:r w:rsidR="00ED2C2F">
        <w:rPr>
          <w:noProof/>
          <w:webHidden/>
        </w:rPr>
        <w:t>8</w:t>
      </w:r>
    </w:p>
    <w:p w14:paraId="51B1CA2B" w14:textId="264ACEBB"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13: Mine-mouth Coal Prices (2017$/ton) – Low Fuel, $0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8</w:t>
      </w:r>
      <w:r w:rsidR="00ED2C2F">
        <w:rPr>
          <w:noProof/>
          <w:webHidden/>
        </w:rPr>
        <w:t>9</w:t>
      </w:r>
    </w:p>
    <w:p w14:paraId="2CA5B674" w14:textId="03ECE144"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14: Mine-mouth Coal Prices (2017$/ton) – Moderate Fuel, $0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8</w:t>
      </w:r>
      <w:r w:rsidR="00ED2C2F">
        <w:rPr>
          <w:noProof/>
          <w:webHidden/>
        </w:rPr>
        <w:t>9</w:t>
      </w:r>
    </w:p>
    <w:p w14:paraId="6C554A04" w14:textId="2D0E8221"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15: Mine-mouth Coal Prices (2017$/ton) – High Fuel, $0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8</w:t>
      </w:r>
      <w:r w:rsidR="00ED2C2F">
        <w:rPr>
          <w:noProof/>
          <w:webHidden/>
        </w:rPr>
        <w:t>9</w:t>
      </w:r>
    </w:p>
    <w:p w14:paraId="1F057F67" w14:textId="24BC9A63"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16: Mine-mouth Coal Prices (2017$/ton) – Low Fuel, $10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9</w:t>
      </w:r>
      <w:r w:rsidR="00ED2C2F">
        <w:rPr>
          <w:noProof/>
          <w:webHidden/>
        </w:rPr>
        <w:t>0</w:t>
      </w:r>
    </w:p>
    <w:p w14:paraId="30F56750" w14:textId="06CB2943"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17: Mine-mouth Coal Prices (2017$/ton) – Moderate Fuel, $10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9</w:t>
      </w:r>
      <w:r w:rsidR="00ED2C2F">
        <w:rPr>
          <w:noProof/>
          <w:webHidden/>
        </w:rPr>
        <w:t>0</w:t>
      </w:r>
    </w:p>
    <w:p w14:paraId="51893A2F" w14:textId="3A1196F2"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18: Mine-mouth Coal Prices (2017$/ton) – High Fuel, $10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9</w:t>
      </w:r>
      <w:r w:rsidR="00ED2C2F">
        <w:rPr>
          <w:noProof/>
          <w:webHidden/>
        </w:rPr>
        <w:t>0</w:t>
      </w:r>
    </w:p>
    <w:p w14:paraId="1889F9EA" w14:textId="441B49F1"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19: Mine-mouth Coal Prices (2017$/ton) – Low Fuel, $20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9</w:t>
      </w:r>
      <w:r w:rsidR="00ED2C2F">
        <w:rPr>
          <w:noProof/>
          <w:webHidden/>
        </w:rPr>
        <w:t>1</w:t>
      </w:r>
    </w:p>
    <w:p w14:paraId="00453B83" w14:textId="53B8F2D4" w:rsidR="005A679A" w:rsidRPr="00040F0B"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20: Mine-mouth Coal Prices (2017$/ton) – Moderate Fuel, $20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9</w:t>
      </w:r>
      <w:r w:rsidR="00ED2C2F">
        <w:rPr>
          <w:noProof/>
          <w:webHidden/>
        </w:rPr>
        <w:t>1</w:t>
      </w:r>
    </w:p>
    <w:p w14:paraId="7B08B839" w14:textId="723DA29F"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21: Mine-mouth Coal Prices (2017$/ton) – High Fuel, $20 CO</w:t>
      </w:r>
      <w:r w:rsidRPr="00850B32">
        <w:rPr>
          <w:noProof/>
          <w:sz w:val="19"/>
          <w:u w:color="808080"/>
          <w:vertAlign w:val="subscript"/>
        </w:rPr>
        <w:t>2</w:t>
      </w:r>
      <w:r w:rsidRPr="00850B32">
        <w:rPr>
          <w:noProof/>
          <w:sz w:val="19"/>
          <w:u w:color="808080"/>
        </w:rPr>
        <w:t xml:space="preserve"> Policy Scenario</w:t>
      </w:r>
      <w:r w:rsidRPr="00040F0B">
        <w:rPr>
          <w:noProof/>
          <w:webHidden/>
        </w:rPr>
        <w:tab/>
      </w:r>
      <w:r w:rsidR="007C2729">
        <w:rPr>
          <w:noProof/>
          <w:webHidden/>
        </w:rPr>
        <w:t>9</w:t>
      </w:r>
      <w:r w:rsidR="00ED2C2F">
        <w:rPr>
          <w:noProof/>
          <w:webHidden/>
        </w:rPr>
        <w:t>1</w:t>
      </w:r>
    </w:p>
    <w:p w14:paraId="18906649" w14:textId="7B9E5F9E"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22: Electric Sector Natural Gas Demand (Quads) – $0 CO</w:t>
      </w:r>
      <w:r w:rsidRPr="00850B32">
        <w:rPr>
          <w:noProof/>
          <w:sz w:val="19"/>
          <w:u w:color="808080"/>
          <w:vertAlign w:val="subscript"/>
        </w:rPr>
        <w:t>2</w:t>
      </w:r>
      <w:r w:rsidRPr="00850B32">
        <w:rPr>
          <w:noProof/>
          <w:sz w:val="19"/>
          <w:u w:color="808080"/>
        </w:rPr>
        <w:t xml:space="preserve"> Policy</w:t>
      </w:r>
      <w:r>
        <w:rPr>
          <w:noProof/>
          <w:webHidden/>
        </w:rPr>
        <w:tab/>
      </w:r>
      <w:r w:rsidR="007C2729">
        <w:rPr>
          <w:noProof/>
          <w:webHidden/>
        </w:rPr>
        <w:t>9</w:t>
      </w:r>
      <w:r w:rsidR="00ED2C2F">
        <w:rPr>
          <w:noProof/>
          <w:webHidden/>
        </w:rPr>
        <w:t>2</w:t>
      </w:r>
    </w:p>
    <w:p w14:paraId="76B0BEE1" w14:textId="4591F66A"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23: Electric Sector Natural Gas Demand (Quads) – $10 CO</w:t>
      </w:r>
      <w:r w:rsidRPr="00850B32">
        <w:rPr>
          <w:noProof/>
          <w:sz w:val="19"/>
          <w:u w:color="808080"/>
          <w:vertAlign w:val="subscript"/>
        </w:rPr>
        <w:t>2</w:t>
      </w:r>
      <w:r w:rsidRPr="00850B32">
        <w:rPr>
          <w:noProof/>
          <w:sz w:val="19"/>
          <w:u w:color="808080"/>
        </w:rPr>
        <w:t xml:space="preserve"> Policy</w:t>
      </w:r>
      <w:r>
        <w:rPr>
          <w:noProof/>
          <w:webHidden/>
        </w:rPr>
        <w:tab/>
      </w:r>
      <w:r w:rsidR="007C2729">
        <w:rPr>
          <w:noProof/>
          <w:webHidden/>
        </w:rPr>
        <w:t>9</w:t>
      </w:r>
      <w:r w:rsidR="00ED2C2F">
        <w:rPr>
          <w:noProof/>
          <w:webHidden/>
        </w:rPr>
        <w:t>2</w:t>
      </w:r>
    </w:p>
    <w:p w14:paraId="7597BF10" w14:textId="2406C16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24: Electric Sector Natural Gas Demand (Quads) – $20 CO</w:t>
      </w:r>
      <w:r w:rsidRPr="00850B32">
        <w:rPr>
          <w:noProof/>
          <w:sz w:val="19"/>
          <w:u w:color="808080"/>
          <w:vertAlign w:val="subscript"/>
        </w:rPr>
        <w:t>2</w:t>
      </w:r>
      <w:r w:rsidRPr="00850B32">
        <w:rPr>
          <w:noProof/>
          <w:sz w:val="19"/>
          <w:u w:color="808080"/>
        </w:rPr>
        <w:t xml:space="preserve"> Policy</w:t>
      </w:r>
      <w:r>
        <w:rPr>
          <w:noProof/>
          <w:webHidden/>
        </w:rPr>
        <w:tab/>
      </w:r>
      <w:r w:rsidR="007C2729">
        <w:rPr>
          <w:noProof/>
          <w:webHidden/>
        </w:rPr>
        <w:t>9</w:t>
      </w:r>
      <w:r w:rsidR="00ED2C2F">
        <w:rPr>
          <w:noProof/>
          <w:webHidden/>
        </w:rPr>
        <w:t>2</w:t>
      </w:r>
    </w:p>
    <w:p w14:paraId="5989B66E" w14:textId="44636BC8"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Table 25: </w:t>
      </w:r>
      <w:r w:rsidRPr="007C2729">
        <w:rPr>
          <w:noProof/>
          <w:spacing w:val="4"/>
          <w:sz w:val="19"/>
          <w:u w:color="808080"/>
        </w:rPr>
        <w:t>Natural Gas Production by Source (Quads) – Low Fuel View, $0 CO</w:t>
      </w:r>
      <w:r w:rsidRPr="007C2729">
        <w:rPr>
          <w:noProof/>
          <w:spacing w:val="4"/>
          <w:sz w:val="19"/>
          <w:u w:color="808080"/>
          <w:vertAlign w:val="subscript"/>
        </w:rPr>
        <w:t>2</w:t>
      </w:r>
      <w:r w:rsidRPr="007C2729">
        <w:rPr>
          <w:noProof/>
          <w:spacing w:val="4"/>
          <w:sz w:val="19"/>
          <w:u w:color="808080"/>
        </w:rPr>
        <w:t xml:space="preserve"> Policy Scenario</w:t>
      </w:r>
      <w:r>
        <w:rPr>
          <w:noProof/>
          <w:webHidden/>
        </w:rPr>
        <w:tab/>
      </w:r>
      <w:r w:rsidR="007C2729">
        <w:rPr>
          <w:noProof/>
          <w:webHidden/>
        </w:rPr>
        <w:t>9</w:t>
      </w:r>
      <w:r w:rsidR="00ED2C2F">
        <w:rPr>
          <w:noProof/>
          <w:webHidden/>
        </w:rPr>
        <w:t>5</w:t>
      </w:r>
    </w:p>
    <w:p w14:paraId="13289047" w14:textId="4121CFBB"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Table 26: </w:t>
      </w:r>
      <w:r w:rsidRPr="007C2729">
        <w:rPr>
          <w:noProof/>
          <w:spacing w:val="4"/>
          <w:sz w:val="19"/>
          <w:u w:color="808080"/>
        </w:rPr>
        <w:t>Natural Gas Production by Source (Quads) – Moderate Fuel, $0 CO</w:t>
      </w:r>
      <w:r w:rsidRPr="007C2729">
        <w:rPr>
          <w:noProof/>
          <w:spacing w:val="4"/>
          <w:sz w:val="19"/>
          <w:u w:color="808080"/>
          <w:vertAlign w:val="subscript"/>
        </w:rPr>
        <w:t>2</w:t>
      </w:r>
      <w:r w:rsidRPr="007C2729">
        <w:rPr>
          <w:noProof/>
          <w:spacing w:val="4"/>
          <w:sz w:val="19"/>
          <w:u w:color="808080"/>
        </w:rPr>
        <w:t xml:space="preserve"> Policy Scenario</w:t>
      </w:r>
      <w:r>
        <w:rPr>
          <w:noProof/>
          <w:webHidden/>
        </w:rPr>
        <w:tab/>
      </w:r>
      <w:r w:rsidR="007C2729">
        <w:rPr>
          <w:noProof/>
          <w:webHidden/>
        </w:rPr>
        <w:t>9</w:t>
      </w:r>
      <w:r w:rsidR="00ED2C2F">
        <w:rPr>
          <w:noProof/>
          <w:webHidden/>
        </w:rPr>
        <w:t>5</w:t>
      </w:r>
    </w:p>
    <w:p w14:paraId="1633A001" w14:textId="16C94D18"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 xml:space="preserve">Table 27: </w:t>
      </w:r>
      <w:r w:rsidRPr="007C2729">
        <w:rPr>
          <w:noProof/>
          <w:spacing w:val="4"/>
          <w:sz w:val="19"/>
          <w:u w:color="808080"/>
        </w:rPr>
        <w:t>Natural Gas Production by Source (Quads) – High Fuel View, $0 CO</w:t>
      </w:r>
      <w:r w:rsidRPr="007C2729">
        <w:rPr>
          <w:noProof/>
          <w:spacing w:val="4"/>
          <w:sz w:val="19"/>
          <w:u w:color="808080"/>
          <w:vertAlign w:val="subscript"/>
        </w:rPr>
        <w:t>2</w:t>
      </w:r>
      <w:r w:rsidRPr="007C2729">
        <w:rPr>
          <w:noProof/>
          <w:spacing w:val="4"/>
          <w:sz w:val="19"/>
          <w:u w:color="808080"/>
        </w:rPr>
        <w:t xml:space="preserve"> Policy Scenario</w:t>
      </w:r>
      <w:r>
        <w:rPr>
          <w:noProof/>
          <w:webHidden/>
        </w:rPr>
        <w:tab/>
      </w:r>
      <w:r w:rsidR="007C2729">
        <w:rPr>
          <w:noProof/>
          <w:webHidden/>
        </w:rPr>
        <w:t>9</w:t>
      </w:r>
      <w:r w:rsidR="00ED2C2F">
        <w:rPr>
          <w:noProof/>
          <w:webHidden/>
        </w:rPr>
        <w:t>5</w:t>
      </w:r>
    </w:p>
    <w:p w14:paraId="558E0048" w14:textId="4FFD8309"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28: Coal Demand (Million Tons) – Low Fuel, $0 CO</w:t>
      </w:r>
      <w:r w:rsidRPr="00850B32">
        <w:rPr>
          <w:noProof/>
          <w:sz w:val="19"/>
          <w:u w:color="808080"/>
          <w:vertAlign w:val="subscript"/>
        </w:rPr>
        <w:t>2</w:t>
      </w:r>
      <w:r w:rsidRPr="00850B32">
        <w:rPr>
          <w:noProof/>
          <w:sz w:val="19"/>
          <w:u w:color="808080"/>
        </w:rPr>
        <w:t xml:space="preserve"> Policy Scenario</w:t>
      </w:r>
      <w:r>
        <w:rPr>
          <w:noProof/>
          <w:webHidden/>
        </w:rPr>
        <w:tab/>
      </w:r>
      <w:r w:rsidR="007C2729">
        <w:rPr>
          <w:noProof/>
          <w:webHidden/>
        </w:rPr>
        <w:t>9</w:t>
      </w:r>
      <w:r w:rsidR="00ED2C2F">
        <w:rPr>
          <w:noProof/>
          <w:webHidden/>
        </w:rPr>
        <w:t>6</w:t>
      </w:r>
    </w:p>
    <w:p w14:paraId="43ADB3A8" w14:textId="3E7D5221"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29: Coal Demand (Million Tons) – Moderate Fuel, $0 CO</w:t>
      </w:r>
      <w:r w:rsidRPr="00850B32">
        <w:rPr>
          <w:noProof/>
          <w:sz w:val="19"/>
          <w:u w:color="808080"/>
          <w:vertAlign w:val="subscript"/>
        </w:rPr>
        <w:t>2</w:t>
      </w:r>
      <w:r w:rsidRPr="00850B32">
        <w:rPr>
          <w:noProof/>
          <w:sz w:val="19"/>
          <w:u w:color="808080"/>
        </w:rPr>
        <w:t xml:space="preserve"> Policy Scenario</w:t>
      </w:r>
      <w:r>
        <w:rPr>
          <w:noProof/>
          <w:webHidden/>
        </w:rPr>
        <w:tab/>
      </w:r>
      <w:r w:rsidR="007C2729">
        <w:rPr>
          <w:noProof/>
          <w:webHidden/>
        </w:rPr>
        <w:t>9</w:t>
      </w:r>
      <w:r w:rsidR="00ED2C2F">
        <w:rPr>
          <w:noProof/>
          <w:webHidden/>
        </w:rPr>
        <w:t>6</w:t>
      </w:r>
    </w:p>
    <w:p w14:paraId="79D20447" w14:textId="59D14AE2" w:rsidR="005A679A" w:rsidRDefault="005A679A">
      <w:pPr>
        <w:pStyle w:val="TableofFigures"/>
        <w:tabs>
          <w:tab w:val="right" w:leader="dot" w:pos="8275"/>
        </w:tabs>
        <w:rPr>
          <w:rFonts w:asciiTheme="minorHAnsi" w:eastAsiaTheme="minorEastAsia" w:hAnsiTheme="minorHAnsi" w:cstheme="minorBidi"/>
          <w:noProof/>
          <w:sz w:val="22"/>
          <w:szCs w:val="22"/>
        </w:rPr>
      </w:pPr>
      <w:r w:rsidRPr="00850B32">
        <w:rPr>
          <w:noProof/>
          <w:sz w:val="19"/>
          <w:u w:color="808080"/>
        </w:rPr>
        <w:t>Table 30: Coal Demand (Million Tons) – High Fuel, $0 CO</w:t>
      </w:r>
      <w:r w:rsidRPr="00850B32">
        <w:rPr>
          <w:noProof/>
          <w:sz w:val="19"/>
          <w:u w:color="808080"/>
          <w:vertAlign w:val="subscript"/>
        </w:rPr>
        <w:t>2</w:t>
      </w:r>
      <w:r w:rsidRPr="00850B32">
        <w:rPr>
          <w:noProof/>
          <w:sz w:val="19"/>
          <w:u w:color="808080"/>
        </w:rPr>
        <w:t xml:space="preserve"> Policy Scenario</w:t>
      </w:r>
      <w:r>
        <w:rPr>
          <w:noProof/>
          <w:webHidden/>
        </w:rPr>
        <w:tab/>
      </w:r>
      <w:r w:rsidR="007C2729">
        <w:rPr>
          <w:noProof/>
          <w:webHidden/>
        </w:rPr>
        <w:t>9</w:t>
      </w:r>
      <w:r w:rsidR="00ED2C2F">
        <w:rPr>
          <w:noProof/>
          <w:webHidden/>
        </w:rPr>
        <w:t>6</w:t>
      </w:r>
    </w:p>
    <w:p w14:paraId="03151C5B" w14:textId="22220AAC" w:rsidR="00C5174D" w:rsidRPr="004E042F" w:rsidRDefault="00C5174D" w:rsidP="00014FA5">
      <w:pPr>
        <w:pStyle w:val="TableofFigures"/>
        <w:tabs>
          <w:tab w:val="right" w:leader="dot" w:pos="8275"/>
        </w:tabs>
        <w:ind w:right="1085"/>
        <w:rPr>
          <w:rStyle w:val="Hyperlink"/>
          <w:rFonts w:cs="Arial"/>
          <w:sz w:val="20"/>
        </w:rPr>
      </w:pPr>
    </w:p>
    <w:p w14:paraId="5BED7F63" w14:textId="23FCB7AF" w:rsidR="00C5174D" w:rsidRPr="004E042F" w:rsidRDefault="00C5174D">
      <w:pPr>
        <w:pStyle w:val="SectionHeading"/>
        <w:rPr>
          <w:caps w:val="0"/>
        </w:rPr>
      </w:pPr>
      <w:r w:rsidRPr="004E042F">
        <w:rPr>
          <w:caps w:val="0"/>
        </w:rPr>
        <w:lastRenderedPageBreak/>
        <w:t>Disclaimer</w:t>
      </w:r>
    </w:p>
    <w:p w14:paraId="413CD8E0" w14:textId="77777777" w:rsidR="00C5174D" w:rsidRPr="004E042F" w:rsidRDefault="00C5174D">
      <w:pPr>
        <w:pStyle w:val="Disclaimer"/>
      </w:pPr>
      <w:r w:rsidRPr="004E042F">
        <w:t>All references to views of Charles River Associates and CRA represent views of the authors and do not necessarily represent views of all representatives of CRA.</w:t>
      </w:r>
    </w:p>
    <w:p w14:paraId="5658E709" w14:textId="7F7D102B" w:rsidR="00C5174D" w:rsidRPr="004E042F" w:rsidRDefault="00C5174D" w:rsidP="00917D0E">
      <w:pPr>
        <w:pStyle w:val="SectionHeading"/>
        <w:ind w:left="0"/>
        <w:jc w:val="both"/>
      </w:pPr>
    </w:p>
    <w:p w14:paraId="2BA4200F" w14:textId="77777777" w:rsidR="00C5174D" w:rsidRPr="004E042F" w:rsidRDefault="00C5174D" w:rsidP="00FB6B32">
      <w:pPr>
        <w:sectPr w:rsidR="00C5174D" w:rsidRPr="004E042F">
          <w:headerReference w:type="default" r:id="rId13"/>
          <w:footerReference w:type="default" r:id="rId14"/>
          <w:headerReference w:type="first" r:id="rId15"/>
          <w:footerReference w:type="first" r:id="rId16"/>
          <w:pgSz w:w="12242" w:h="15842" w:code="1"/>
          <w:pgMar w:top="1440" w:right="1440" w:bottom="1440" w:left="1440" w:header="578" w:footer="431" w:gutter="1077"/>
          <w:paperSrc w:first="500" w:other="500"/>
          <w:pgNumType w:fmt="lowerRoman" w:start="1"/>
          <w:cols w:space="720"/>
        </w:sectPr>
      </w:pPr>
    </w:p>
    <w:p w14:paraId="526EA67B" w14:textId="77777777" w:rsidR="00C5174D" w:rsidRPr="005149A4" w:rsidRDefault="00C5174D" w:rsidP="005149A4">
      <w:pPr>
        <w:pStyle w:val="Heading1"/>
        <w:numPr>
          <w:ilvl w:val="0"/>
          <w:numId w:val="2"/>
        </w:numPr>
      </w:pPr>
      <w:bookmarkStart w:id="1" w:name="_Toc368649409"/>
      <w:bookmarkStart w:id="2" w:name="_Ref521663133"/>
      <w:bookmarkStart w:id="3" w:name="_Toc528761237"/>
      <w:r w:rsidRPr="005149A4">
        <w:lastRenderedPageBreak/>
        <w:t>INTRODUCTION</w:t>
      </w:r>
      <w:bookmarkEnd w:id="1"/>
      <w:bookmarkEnd w:id="2"/>
      <w:bookmarkEnd w:id="3"/>
    </w:p>
    <w:p w14:paraId="79F59E03" w14:textId="22E8F81D" w:rsidR="00AD3549" w:rsidRPr="004B00C8" w:rsidRDefault="00C5174D" w:rsidP="00E04F42">
      <w:pPr>
        <w:pStyle w:val="BodyText"/>
        <w:jc w:val="both"/>
      </w:pPr>
      <w:r w:rsidRPr="004B00C8">
        <w:t>This report describes Charles River Associates’ (CRA’s) dev</w:t>
      </w:r>
      <w:r w:rsidR="00AD3549" w:rsidRPr="004B00C8">
        <w:t>elopment of fuel price forecasts</w:t>
      </w:r>
      <w:r w:rsidRPr="004B00C8">
        <w:t xml:space="preserve"> for Southern Company</w:t>
      </w:r>
      <w:r w:rsidR="00AD3549" w:rsidRPr="004B00C8">
        <w:t xml:space="preserve">’s Budget </w:t>
      </w:r>
      <w:r w:rsidR="00DB58F0" w:rsidRPr="004B00C8">
        <w:t>201</w:t>
      </w:r>
      <w:r w:rsidR="00E663EE">
        <w:t>9</w:t>
      </w:r>
      <w:r w:rsidR="005149A4" w:rsidRPr="004B00C8">
        <w:t xml:space="preserve"> </w:t>
      </w:r>
      <w:r w:rsidR="00AD3549" w:rsidRPr="004B00C8">
        <w:t>planning scenarios</w:t>
      </w:r>
      <w:r w:rsidR="00757C56" w:rsidRPr="004B00C8">
        <w:t xml:space="preserve">. </w:t>
      </w:r>
      <w:r w:rsidR="00AD3549" w:rsidRPr="004B00C8">
        <w:t xml:space="preserve">CRA has produced similar reports </w:t>
      </w:r>
      <w:r w:rsidR="00CC084C">
        <w:t>supporting</w:t>
      </w:r>
      <w:r w:rsidR="00AD3549" w:rsidRPr="004B00C8">
        <w:t xml:space="preserve"> </w:t>
      </w:r>
      <w:r w:rsidR="00255448">
        <w:t>Southern</w:t>
      </w:r>
      <w:r w:rsidR="00AD3549" w:rsidRPr="004B00C8">
        <w:t xml:space="preserve">'s fuel price forecasts </w:t>
      </w:r>
      <w:r w:rsidR="00CC084C">
        <w:t xml:space="preserve">over the past </w:t>
      </w:r>
      <w:r w:rsidR="009611DC">
        <w:t>nine years</w:t>
      </w:r>
      <w:r w:rsidR="00AD3549" w:rsidRPr="004B00C8">
        <w:t>.</w:t>
      </w:r>
    </w:p>
    <w:p w14:paraId="5EBBD76B" w14:textId="582D37AE" w:rsidR="00AD3549" w:rsidRPr="004B00C8" w:rsidRDefault="00AD3549" w:rsidP="0056756C">
      <w:pPr>
        <w:pStyle w:val="BodyText"/>
        <w:jc w:val="both"/>
      </w:pPr>
      <w:r w:rsidRPr="00E519DC">
        <w:t xml:space="preserve">The Budget </w:t>
      </w:r>
      <w:r w:rsidR="00DB58F0" w:rsidRPr="00E519DC">
        <w:t>201</w:t>
      </w:r>
      <w:r w:rsidR="00E663EE">
        <w:t>9</w:t>
      </w:r>
      <w:r w:rsidR="00DB58F0" w:rsidRPr="00E519DC">
        <w:t xml:space="preserve"> </w:t>
      </w:r>
      <w:r w:rsidRPr="00E519DC">
        <w:t>scenarios</w:t>
      </w:r>
      <w:r w:rsidR="00CC084C">
        <w:t xml:space="preserve"> prepared by CRA</w:t>
      </w:r>
      <w:r w:rsidRPr="00E519DC">
        <w:t xml:space="preserve"> are differentiated by </w:t>
      </w:r>
      <w:r w:rsidR="00963810" w:rsidRPr="00E519DC">
        <w:t>varying views</w:t>
      </w:r>
      <w:r w:rsidRPr="00E519DC">
        <w:t xml:space="preserve"> </w:t>
      </w:r>
      <w:r w:rsidR="00CF1C23" w:rsidRPr="00E519DC">
        <w:t>on</w:t>
      </w:r>
      <w:r w:rsidR="00F13F2A" w:rsidRPr="00E519DC">
        <w:t xml:space="preserve"> </w:t>
      </w:r>
      <w:r w:rsidRPr="00E519DC">
        <w:t xml:space="preserve">the evolution of natural gas </w:t>
      </w:r>
      <w:r w:rsidR="00CF1C23" w:rsidRPr="00E519DC">
        <w:t xml:space="preserve">cost and </w:t>
      </w:r>
      <w:r w:rsidR="000D0B50" w:rsidRPr="00E519DC">
        <w:t>supply</w:t>
      </w:r>
      <w:r w:rsidR="00F13F2A" w:rsidRPr="00E519DC">
        <w:t xml:space="preserve">, </w:t>
      </w:r>
      <w:r w:rsidR="00963810" w:rsidRPr="00E519DC">
        <w:t xml:space="preserve">future </w:t>
      </w:r>
      <w:r w:rsidRPr="00E519DC">
        <w:t xml:space="preserve">greenhouse gas </w:t>
      </w:r>
      <w:r w:rsidR="005B7B5B" w:rsidRPr="00E519DC">
        <w:t xml:space="preserve">(GHG) </w:t>
      </w:r>
      <w:r w:rsidRPr="00E519DC">
        <w:t>emissions control polic</w:t>
      </w:r>
      <w:r w:rsidR="00963810" w:rsidRPr="00E519DC">
        <w:t>ies</w:t>
      </w:r>
      <w:r w:rsidR="00F13F2A" w:rsidRPr="00E519DC">
        <w:t>,</w:t>
      </w:r>
      <w:r w:rsidR="00DA4F64" w:rsidRPr="00E519DC">
        <w:t xml:space="preserve"> and</w:t>
      </w:r>
      <w:r w:rsidR="00F13F2A" w:rsidRPr="00E519DC">
        <w:t xml:space="preserve"> </w:t>
      </w:r>
      <w:r w:rsidR="00FD61E5" w:rsidRPr="00E519DC">
        <w:t>clean technolog</w:t>
      </w:r>
      <w:r w:rsidR="00C677B5" w:rsidRPr="00E519DC">
        <w:t>y</w:t>
      </w:r>
      <w:r w:rsidR="00FD61E5" w:rsidRPr="00E519DC">
        <w:t xml:space="preserve"> advances</w:t>
      </w:r>
      <w:r w:rsidR="00DA4F64" w:rsidRPr="00E519DC">
        <w:t>.</w:t>
      </w:r>
    </w:p>
    <w:p w14:paraId="67440726" w14:textId="3B3835A6" w:rsidR="00C5174D" w:rsidRPr="004B00C8" w:rsidRDefault="00255448" w:rsidP="00E04F42">
      <w:pPr>
        <w:pStyle w:val="BodyText"/>
        <w:jc w:val="both"/>
      </w:pPr>
      <w:r>
        <w:t xml:space="preserve">CRA deploys </w:t>
      </w:r>
      <w:r w:rsidR="006950E5">
        <w:t>its</w:t>
      </w:r>
      <w:r>
        <w:t xml:space="preserve"> national MRN-NEEM model</w:t>
      </w:r>
      <w:r w:rsidR="008F20BE">
        <w:t xml:space="preserve"> </w:t>
      </w:r>
      <w:r w:rsidR="008F20BE" w:rsidRPr="004B00C8">
        <w:t xml:space="preserve">to generate integrated scenario results for natural gas and coal prices for the period from </w:t>
      </w:r>
      <w:r w:rsidR="008F20BE">
        <w:t>202</w:t>
      </w:r>
      <w:r w:rsidR="00E663EE">
        <w:t>3</w:t>
      </w:r>
      <w:r w:rsidR="008F20BE" w:rsidRPr="004B00C8">
        <w:t xml:space="preserve"> through 205</w:t>
      </w:r>
      <w:r w:rsidR="00E663EE">
        <w:t>8</w:t>
      </w:r>
      <w:r w:rsidR="008F20BE">
        <w:t xml:space="preserve"> </w:t>
      </w:r>
      <w:r w:rsidR="008F20BE" w:rsidRPr="004B00C8">
        <w:t>in five-year increments</w:t>
      </w:r>
      <w:r w:rsidR="008F20BE">
        <w:t>. MRN-NEEM is</w:t>
      </w:r>
      <w:r w:rsidR="00C5174D" w:rsidRPr="004B00C8">
        <w:t xml:space="preserve"> multi-sector</w:t>
      </w:r>
      <w:r w:rsidR="008F20BE">
        <w:t xml:space="preserve"> </w:t>
      </w:r>
      <w:r w:rsidR="00EF1566" w:rsidRPr="004B00C8">
        <w:t xml:space="preserve">energy-economy </w:t>
      </w:r>
      <w:r w:rsidR="00C5174D" w:rsidRPr="004B00C8">
        <w:t>mode</w:t>
      </w:r>
      <w:r w:rsidR="008F20BE">
        <w:t xml:space="preserve">l that solves for fuel prices and fuel demand across </w:t>
      </w:r>
      <w:r w:rsidR="008933F7">
        <w:t>U.S.</w:t>
      </w:r>
      <w:r w:rsidR="008F20BE">
        <w:t xml:space="preserve"> regions.</w:t>
      </w:r>
    </w:p>
    <w:p w14:paraId="37D3307F" w14:textId="09B6972C" w:rsidR="00C5174D" w:rsidRPr="004B00C8" w:rsidRDefault="00C5174D" w:rsidP="00E04F42">
      <w:pPr>
        <w:pStyle w:val="BodyText"/>
        <w:jc w:val="both"/>
      </w:pPr>
      <w:r w:rsidRPr="004B00C8">
        <w:t>The integrated modeling approach makes it possible t</w:t>
      </w:r>
      <w:r w:rsidR="00AD3549" w:rsidRPr="004B00C8">
        <w:t>o develop forecasts</w:t>
      </w:r>
      <w:r w:rsidRPr="004B00C8">
        <w:t xml:space="preserve"> for natural gas, petroleum</w:t>
      </w:r>
      <w:r w:rsidR="00E04F42" w:rsidRPr="004B00C8">
        <w:t>,</w:t>
      </w:r>
      <w:r w:rsidRPr="004B00C8">
        <w:t xml:space="preserve"> and coal prices </w:t>
      </w:r>
      <w:r w:rsidR="00AD3549" w:rsidRPr="004B00C8">
        <w:t xml:space="preserve">that </w:t>
      </w:r>
      <w:r w:rsidR="008F20BE">
        <w:t xml:space="preserve">use a </w:t>
      </w:r>
      <w:r w:rsidR="00AD3549" w:rsidRPr="004B00C8">
        <w:t>consistent</w:t>
      </w:r>
      <w:r w:rsidR="008F20BE">
        <w:t xml:space="preserve"> set of underlying assumptions and accounts for fuel price impacts on</w:t>
      </w:r>
      <w:r w:rsidR="00AD3549" w:rsidRPr="004B00C8">
        <w:t xml:space="preserve"> economic growth, electricity consumption</w:t>
      </w:r>
      <w:r w:rsidR="00E04F42" w:rsidRPr="004B00C8">
        <w:t>,</w:t>
      </w:r>
      <w:r w:rsidR="00AD3549" w:rsidRPr="004B00C8">
        <w:t xml:space="preserve"> and output </w:t>
      </w:r>
      <w:r w:rsidR="00345BB4" w:rsidRPr="004B00C8">
        <w:t xml:space="preserve">across </w:t>
      </w:r>
      <w:r w:rsidR="00AD3549" w:rsidRPr="004B00C8">
        <w:t>many sectors and regions</w:t>
      </w:r>
      <w:r w:rsidR="00757C56" w:rsidRPr="004B00C8">
        <w:t xml:space="preserve">. </w:t>
      </w:r>
      <w:r w:rsidR="00DC696C" w:rsidRPr="004B00C8">
        <w:t>The integrated scenario approach takes a set of assumptions about market fundamentals and then solves for the prices that make the quantity supplied equal to the quantity demanded in all markets</w:t>
      </w:r>
      <w:r w:rsidR="00757C56" w:rsidRPr="004B00C8">
        <w:t xml:space="preserve">. </w:t>
      </w:r>
      <w:r w:rsidR="00DC696C" w:rsidRPr="004B00C8">
        <w:t>In addition, the integrated approach simulates interactions among different markets and thereby reveals how such things as environmental regulations and natural gas supply outlooks shape the disposition of economic output across sectors, as well as the competition between</w:t>
      </w:r>
      <w:r w:rsidR="00540EA3">
        <w:t xml:space="preserve"> generation fuels such as</w:t>
      </w:r>
      <w:r w:rsidR="00DC696C" w:rsidRPr="004B00C8">
        <w:t xml:space="preserve"> coal and natural gas.</w:t>
      </w:r>
    </w:p>
    <w:p w14:paraId="3BF83CFF" w14:textId="6378133C" w:rsidR="00C5174D" w:rsidRPr="004E042F" w:rsidRDefault="00C5174D" w:rsidP="00E04F42">
      <w:pPr>
        <w:pStyle w:val="BodyText"/>
        <w:jc w:val="both"/>
      </w:pPr>
      <w:r w:rsidRPr="004B00C8">
        <w:t xml:space="preserve">The modeling process began with a calibration of the MRN-NEEM model to the most recent </w:t>
      </w:r>
      <w:r w:rsidR="00DF5EC0" w:rsidRPr="004B00C8">
        <w:t>Energy Information Agency (</w:t>
      </w:r>
      <w:r w:rsidRPr="004B00C8">
        <w:t>EIA</w:t>
      </w:r>
      <w:r w:rsidR="00DF5EC0" w:rsidRPr="004B00C8">
        <w:t>)</w:t>
      </w:r>
      <w:r w:rsidRPr="004B00C8">
        <w:t xml:space="preserve"> Annual Ener</w:t>
      </w:r>
      <w:r w:rsidR="00246220" w:rsidRPr="004B00C8">
        <w:t>gy Outlook</w:t>
      </w:r>
      <w:r w:rsidR="000D6FE1">
        <w:t xml:space="preserve"> (AEO)</w:t>
      </w:r>
      <w:r w:rsidR="00E663EE">
        <w:t xml:space="preserve"> that was</w:t>
      </w:r>
      <w:r w:rsidR="00C917D3">
        <w:t xml:space="preserve"> </w:t>
      </w:r>
      <w:r w:rsidR="00540EA3">
        <w:t>available</w:t>
      </w:r>
      <w:r w:rsidR="00E663EE">
        <w:t xml:space="preserve"> at the time of the analysis</w:t>
      </w:r>
      <w:r w:rsidR="00246220" w:rsidRPr="004B00C8">
        <w:t xml:space="preserve">, in this case </w:t>
      </w:r>
      <w:r w:rsidR="00AD3549" w:rsidRPr="004B00C8">
        <w:t>the AEO</w:t>
      </w:r>
      <w:r w:rsidR="005A5BE2" w:rsidRPr="004B00C8">
        <w:t xml:space="preserve"> </w:t>
      </w:r>
      <w:r w:rsidR="00DB58F0" w:rsidRPr="004B00C8">
        <w:t>201</w:t>
      </w:r>
      <w:r w:rsidR="00B26A30">
        <w:t>8</w:t>
      </w:r>
      <w:r w:rsidR="00DB58F0" w:rsidRPr="004B00C8">
        <w:t xml:space="preserve"> </w:t>
      </w:r>
      <w:r w:rsidR="000A513B" w:rsidRPr="004B00C8">
        <w:t>Reference c</w:t>
      </w:r>
      <w:r w:rsidR="00AD3549" w:rsidRPr="004B00C8">
        <w:t>ase</w:t>
      </w:r>
      <w:r w:rsidR="00757C56" w:rsidRPr="004B00C8">
        <w:t xml:space="preserve">. </w:t>
      </w:r>
      <w:r w:rsidR="00BE36ED" w:rsidRPr="004B00C8">
        <w:t>T</w:t>
      </w:r>
      <w:r w:rsidRPr="004B00C8">
        <w:t xml:space="preserve">he </w:t>
      </w:r>
      <w:r w:rsidR="007B73CB" w:rsidRPr="004B00C8">
        <w:t xml:space="preserve">AEO </w:t>
      </w:r>
      <w:r w:rsidR="00DB58F0" w:rsidRPr="004B00C8">
        <w:t>201</w:t>
      </w:r>
      <w:r w:rsidR="009676C6">
        <w:t>8</w:t>
      </w:r>
      <w:r w:rsidR="00DB58F0" w:rsidRPr="004B00C8">
        <w:t xml:space="preserve"> </w:t>
      </w:r>
      <w:r w:rsidR="000A513B" w:rsidRPr="004B00C8">
        <w:t>Reference c</w:t>
      </w:r>
      <w:r w:rsidRPr="004B00C8">
        <w:t xml:space="preserve">ase assumes a continuation </w:t>
      </w:r>
      <w:r w:rsidR="008F20BE">
        <w:t xml:space="preserve">of </w:t>
      </w:r>
      <w:r w:rsidR="00540EA3">
        <w:t>the</w:t>
      </w:r>
      <w:r w:rsidRPr="004B00C8">
        <w:t xml:space="preserve"> environmental policies in place at the time of the forecast</w:t>
      </w:r>
      <w:r w:rsidR="009676C6">
        <w:t xml:space="preserve"> and does not include any nationwide domestic program</w:t>
      </w:r>
      <w:r w:rsidR="001539DF">
        <w:t>s</w:t>
      </w:r>
      <w:r w:rsidR="009676C6">
        <w:t xml:space="preserve"> to address greenhouse gases</w:t>
      </w:r>
      <w:r w:rsidR="00540EA3">
        <w:t>. CRA chose thi</w:t>
      </w:r>
      <w:r w:rsidR="008F20BE">
        <w:t>s case based on the March 2017 Executive O</w:t>
      </w:r>
      <w:r w:rsidR="00540EA3">
        <w:t>rder issued by the Trump administration to initiate a review and overhaul the rule.</w:t>
      </w:r>
      <w:r w:rsidRPr="004B00C8">
        <w:t xml:space="preserve"> </w:t>
      </w:r>
      <w:r w:rsidR="00BE36ED" w:rsidRPr="004B00C8">
        <w:t>CRA</w:t>
      </w:r>
      <w:r w:rsidR="00EF1566" w:rsidRPr="004B00C8">
        <w:t xml:space="preserve"> analyses</w:t>
      </w:r>
      <w:r w:rsidR="005F0E52" w:rsidRPr="004B00C8">
        <w:t xml:space="preserve"> assume that </w:t>
      </w:r>
      <w:r w:rsidR="003F6C66" w:rsidRPr="004B00C8">
        <w:t xml:space="preserve">other </w:t>
      </w:r>
      <w:r w:rsidRPr="004B00C8">
        <w:t xml:space="preserve">proposed rules that </w:t>
      </w:r>
      <w:r w:rsidR="005F0E52" w:rsidRPr="004B00C8">
        <w:t xml:space="preserve">the </w:t>
      </w:r>
      <w:r w:rsidR="00DF5EC0" w:rsidRPr="004B00C8">
        <w:t xml:space="preserve">United States Environmental Protection Agency (EPA) </w:t>
      </w:r>
      <w:r w:rsidR="005F0E52" w:rsidRPr="004B00C8">
        <w:t>has yet to finalize</w:t>
      </w:r>
      <w:r w:rsidRPr="004B00C8">
        <w:t xml:space="preserve"> </w:t>
      </w:r>
      <w:r w:rsidR="00E87E7D" w:rsidRPr="004B00C8">
        <w:t xml:space="preserve">(or </w:t>
      </w:r>
      <w:r w:rsidR="00345BB4" w:rsidRPr="004B00C8">
        <w:t xml:space="preserve">has </w:t>
      </w:r>
      <w:r w:rsidR="00E87E7D" w:rsidRPr="004B00C8">
        <w:t>finalized since EIA perform</w:t>
      </w:r>
      <w:r w:rsidR="000A513B" w:rsidRPr="004B00C8">
        <w:t>ed its</w:t>
      </w:r>
      <w:r w:rsidR="00704790" w:rsidRPr="004B00C8">
        <w:t xml:space="preserve"> </w:t>
      </w:r>
      <w:r w:rsidR="000A513B" w:rsidRPr="004B00C8">
        <w:t>Reference c</w:t>
      </w:r>
      <w:r w:rsidR="00E87E7D" w:rsidRPr="004B00C8">
        <w:t xml:space="preserve">ase forecast) </w:t>
      </w:r>
      <w:r w:rsidRPr="004B00C8">
        <w:t>will come into effect</w:t>
      </w:r>
      <w:r w:rsidR="00540EA3">
        <w:t xml:space="preserve"> and incorporates scenarios that include a tax on CO</w:t>
      </w:r>
      <w:r w:rsidR="00540EA3" w:rsidRPr="00CD7BF7">
        <w:rPr>
          <w:vertAlign w:val="subscript"/>
        </w:rPr>
        <w:t>2</w:t>
      </w:r>
      <w:r w:rsidR="00540EA3">
        <w:t xml:space="preserve"> emissions</w:t>
      </w:r>
      <w:r w:rsidR="00757C56" w:rsidRPr="004B00C8">
        <w:t xml:space="preserve">. </w:t>
      </w:r>
      <w:r w:rsidR="000034AE">
        <w:t>The combination of environmental pressure and lower gas prices causes many</w:t>
      </w:r>
      <w:r w:rsidR="00540EA3">
        <w:t xml:space="preserve"> </w:t>
      </w:r>
      <w:r w:rsidR="000D6FE1">
        <w:t>Budget 2019</w:t>
      </w:r>
      <w:r w:rsidRPr="00B10640">
        <w:t xml:space="preserve"> </w:t>
      </w:r>
      <w:r w:rsidR="000034AE">
        <w:t xml:space="preserve">scenarios to </w:t>
      </w:r>
      <w:r w:rsidRPr="00B10640">
        <w:t>forecast</w:t>
      </w:r>
      <w:r w:rsidR="00EF1566" w:rsidRPr="00B10640">
        <w:t xml:space="preserve"> </w:t>
      </w:r>
      <w:r w:rsidRPr="00B10640">
        <w:t xml:space="preserve">a </w:t>
      </w:r>
      <w:r w:rsidR="005F0E52" w:rsidRPr="00B10640">
        <w:t>large decrease in the</w:t>
      </w:r>
      <w:r w:rsidR="000034AE">
        <w:t xml:space="preserve"> size of the</w:t>
      </w:r>
      <w:r w:rsidRPr="00B10640">
        <w:t xml:space="preserve"> coal fleet</w:t>
      </w:r>
      <w:r w:rsidR="00815196" w:rsidRPr="00B10640">
        <w:t>.</w:t>
      </w:r>
    </w:p>
    <w:p w14:paraId="3D48D9B4" w14:textId="77777777" w:rsidR="00DE1363" w:rsidRPr="005149A4" w:rsidRDefault="007F24E0" w:rsidP="00DE1363">
      <w:pPr>
        <w:pStyle w:val="Heading2"/>
        <w:numPr>
          <w:ilvl w:val="1"/>
          <w:numId w:val="2"/>
        </w:numPr>
        <w:ind w:left="0" w:hanging="720"/>
        <w:rPr>
          <w:smallCaps w:val="0"/>
        </w:rPr>
      </w:pPr>
      <w:bookmarkStart w:id="4" w:name="_Ref400367943"/>
      <w:bookmarkStart w:id="5" w:name="_Toc528761238"/>
      <w:r w:rsidRPr="005149A4">
        <w:rPr>
          <w:smallCaps w:val="0"/>
        </w:rPr>
        <w:t>Utilizing the Results of this Report</w:t>
      </w:r>
      <w:bookmarkEnd w:id="4"/>
      <w:bookmarkEnd w:id="5"/>
    </w:p>
    <w:p w14:paraId="2ED4AAC7" w14:textId="61E780EB" w:rsidR="007F24E0" w:rsidRPr="004B00C8" w:rsidRDefault="00DE1363" w:rsidP="00DE1363">
      <w:pPr>
        <w:pStyle w:val="BodyText"/>
        <w:jc w:val="both"/>
      </w:pPr>
      <w:r w:rsidRPr="004B00C8">
        <w:t xml:space="preserve">The models used in this analysis are focused on long-term results. </w:t>
      </w:r>
      <w:r w:rsidR="007F24E0" w:rsidRPr="004B00C8">
        <w:t xml:space="preserve">Southern Company also uses near-term data from futures markets and similar sources to inform the initial years (current year plus next two years) of their internal modeling efforts. </w:t>
      </w:r>
      <w:r w:rsidRPr="004B00C8">
        <w:t xml:space="preserve">To account for this, and to </w:t>
      </w:r>
      <w:r w:rsidR="007F24E0" w:rsidRPr="004B00C8">
        <w:t>ensure</w:t>
      </w:r>
      <w:r w:rsidRPr="004B00C8">
        <w:t xml:space="preserve"> high-quality data</w:t>
      </w:r>
      <w:r w:rsidR="007F24E0" w:rsidRPr="004B00C8">
        <w:t xml:space="preserve"> is used for</w:t>
      </w:r>
      <w:r w:rsidR="008F20BE">
        <w:t xml:space="preserve"> near-term expected prices, Southern</w:t>
      </w:r>
      <w:r w:rsidRPr="004B00C8">
        <w:t xml:space="preserve"> </w:t>
      </w:r>
      <w:r w:rsidR="006950E5">
        <w:t xml:space="preserve">Company </w:t>
      </w:r>
      <w:r w:rsidR="008F20BE">
        <w:t xml:space="preserve">utilizes a </w:t>
      </w:r>
      <w:r w:rsidRPr="004B00C8">
        <w:t xml:space="preserve">blending approach </w:t>
      </w:r>
      <w:r w:rsidR="008F20BE">
        <w:t>that trends from futures data to the CRA forecast</w:t>
      </w:r>
      <w:r w:rsidR="007F24E0" w:rsidRPr="004B00C8">
        <w:t xml:space="preserve">. </w:t>
      </w:r>
      <w:r w:rsidRPr="004B00C8">
        <w:t xml:space="preserve">Under this blending approach, </w:t>
      </w:r>
      <w:r w:rsidR="007F24E0" w:rsidRPr="00E519DC">
        <w:t xml:space="preserve">Southern Company interpolates between </w:t>
      </w:r>
      <w:r w:rsidRPr="00E519DC">
        <w:t xml:space="preserve">near-term data </w:t>
      </w:r>
      <w:r w:rsidR="007F24E0" w:rsidRPr="00E519DC">
        <w:t xml:space="preserve">and long-term forecasts, with the results of this report being utilized for </w:t>
      </w:r>
      <w:r w:rsidR="00DB58F0" w:rsidRPr="00E519DC">
        <w:t>202</w:t>
      </w:r>
      <w:r w:rsidR="00E663EE">
        <w:t>3</w:t>
      </w:r>
      <w:r w:rsidR="00DB58F0" w:rsidRPr="00E519DC">
        <w:t xml:space="preserve"> </w:t>
      </w:r>
      <w:r w:rsidR="007F24E0" w:rsidRPr="00E519DC">
        <w:t>and all subsequent years</w:t>
      </w:r>
      <w:r w:rsidR="002D730B" w:rsidRPr="00E519DC">
        <w:t xml:space="preserve"> for natural gas and </w:t>
      </w:r>
      <w:r w:rsidR="00DB58F0" w:rsidRPr="00E519DC">
        <w:t>20</w:t>
      </w:r>
      <w:r w:rsidR="00F14AE4">
        <w:t>2</w:t>
      </w:r>
      <w:r w:rsidR="00E663EE">
        <w:t>1</w:t>
      </w:r>
      <w:r w:rsidR="00DB58F0" w:rsidRPr="00E519DC">
        <w:t xml:space="preserve"> </w:t>
      </w:r>
      <w:r w:rsidR="002D730B" w:rsidRPr="00E519DC">
        <w:t xml:space="preserve">and </w:t>
      </w:r>
      <w:r w:rsidR="00DC0517" w:rsidRPr="00E519DC">
        <w:t xml:space="preserve">all </w:t>
      </w:r>
      <w:r w:rsidR="002D730B" w:rsidRPr="00E519DC">
        <w:t>subsequent years for coal</w:t>
      </w:r>
      <w:r w:rsidR="007F24E0" w:rsidRPr="00E519DC">
        <w:t>.</w:t>
      </w:r>
    </w:p>
    <w:p w14:paraId="2FA86CB6" w14:textId="782EE10C" w:rsidR="00DE1363" w:rsidRPr="004B00C8" w:rsidRDefault="00DE1363" w:rsidP="00DE1363">
      <w:pPr>
        <w:pStyle w:val="BodyText"/>
        <w:jc w:val="both"/>
      </w:pPr>
      <w:r w:rsidRPr="004B00C8">
        <w:lastRenderedPageBreak/>
        <w:t>Short-term forecasts are</w:t>
      </w:r>
      <w:r w:rsidR="007F24E0" w:rsidRPr="004B00C8">
        <w:t xml:space="preserve"> overseen by Southern Company’s Fuel Services department and</w:t>
      </w:r>
      <w:r w:rsidRPr="004B00C8">
        <w:t xml:space="preserve"> updated monthly as part of Southern Company’s fuel budgeting process and margina</w:t>
      </w:r>
      <w:r w:rsidR="007F24E0" w:rsidRPr="004B00C8">
        <w:t xml:space="preserve">l pricing dispatch procedures. </w:t>
      </w:r>
      <w:r w:rsidRPr="004B00C8">
        <w:t>The long-term forecasts described in this report are developed each year for use in system planning activities, business case</w:t>
      </w:r>
      <w:r w:rsidR="007F24E0" w:rsidRPr="004B00C8">
        <w:t xml:space="preserve"> analyses, and decision making. </w:t>
      </w:r>
      <w:r w:rsidRPr="004B00C8">
        <w:t xml:space="preserve">The development and documentation of the long-term forecasts is a collaborative effort between CRA and Southern Company and occurs as a part of the planning scenario development process under the guidance and direction of </w:t>
      </w:r>
      <w:r w:rsidRPr="00E519DC">
        <w:t xml:space="preserve">the </w:t>
      </w:r>
      <w:r w:rsidR="006200BC">
        <w:t xml:space="preserve">Southern Company’s </w:t>
      </w:r>
      <w:r w:rsidRPr="00E519DC">
        <w:t>Planning Coordination Team</w:t>
      </w:r>
      <w:r w:rsidR="007F24E0" w:rsidRPr="00E519DC">
        <w:t>.</w:t>
      </w:r>
      <w:r w:rsidRPr="004B00C8">
        <w:t xml:space="preserve"> Once the updated long-term forecasts are developed, they are integrated with the short-term forecasts</w:t>
      </w:r>
      <w:r w:rsidR="00757C56" w:rsidRPr="004B00C8">
        <w:t>.</w:t>
      </w:r>
    </w:p>
    <w:p w14:paraId="6B5F427A" w14:textId="766EE902" w:rsidR="00DE1363" w:rsidRPr="004B00C8" w:rsidRDefault="00DE1363" w:rsidP="00DE1363">
      <w:pPr>
        <w:pStyle w:val="BodyText"/>
        <w:jc w:val="both"/>
      </w:pPr>
      <w:r w:rsidRPr="004B00C8">
        <w:t xml:space="preserve">The short-term and long-term forecasts </w:t>
      </w:r>
      <w:r w:rsidR="007F24E0" w:rsidRPr="004B00C8">
        <w:t xml:space="preserve">are separated for two reasons. </w:t>
      </w:r>
      <w:r w:rsidRPr="004B00C8">
        <w:t>The first is that the short-term forecasts are used for company activities such as regulatory fuel filings and operational budgets, which must reflect c</w:t>
      </w:r>
      <w:r w:rsidR="007F24E0" w:rsidRPr="004B00C8">
        <w:t xml:space="preserve">urrent laws that are in place. </w:t>
      </w:r>
      <w:r w:rsidRPr="004B00C8">
        <w:t>The long-term forecasts reflect a range of projections that take into account probable laws and regulations that are not yet in effect, yet represent Southern Company's expectation of a reasonable range o</w:t>
      </w:r>
      <w:r w:rsidR="007F24E0" w:rsidRPr="004B00C8">
        <w:t xml:space="preserve">f those future potential laws. </w:t>
      </w:r>
      <w:r w:rsidRPr="004B00C8">
        <w:t>Second, the short-term forecasts are based on actual market prices, which reflect current market conditions and market assumptions of the near future but which do not always reflect regulatory, legislative, or other impacts assumed in the modeling of the multiple long-term scenario forecasts</w:t>
      </w:r>
      <w:r w:rsidR="00757C56" w:rsidRPr="004B00C8">
        <w:t>.</w:t>
      </w:r>
    </w:p>
    <w:p w14:paraId="408643A6" w14:textId="17EDEB6A" w:rsidR="007F24E0" w:rsidRDefault="007F24E0" w:rsidP="007F24E0">
      <w:pPr>
        <w:pStyle w:val="BodyText"/>
        <w:jc w:val="both"/>
      </w:pPr>
      <w:r w:rsidRPr="004B00C8">
        <w:t xml:space="preserve">This report describes the models and methods used to develop the </w:t>
      </w:r>
      <w:r w:rsidR="006950E5">
        <w:t>long</w:t>
      </w:r>
      <w:r w:rsidR="00FE365F">
        <w:t xml:space="preserve"> </w:t>
      </w:r>
      <w:r w:rsidR="006950E5">
        <w:t xml:space="preserve">term </w:t>
      </w:r>
      <w:r w:rsidRPr="004B00C8">
        <w:t>fuel forecasts as well as the major underlying assumptions and justifications for these scenarios.</w:t>
      </w:r>
    </w:p>
    <w:p w14:paraId="79DDFE69" w14:textId="77777777" w:rsidR="00C5174D" w:rsidRPr="004E042F" w:rsidRDefault="00C5174D" w:rsidP="005149A4">
      <w:pPr>
        <w:pStyle w:val="Heading1"/>
        <w:numPr>
          <w:ilvl w:val="0"/>
          <w:numId w:val="2"/>
        </w:numPr>
      </w:pPr>
      <w:bookmarkStart w:id="6" w:name="_Toc399564029"/>
      <w:bookmarkStart w:id="7" w:name="_Toc399564068"/>
      <w:bookmarkStart w:id="8" w:name="_Toc415550940"/>
      <w:r w:rsidRPr="004E042F">
        <w:rPr>
          <w:highlight w:val="yellow"/>
        </w:rPr>
        <w:br w:type="page"/>
      </w:r>
      <w:bookmarkStart w:id="9" w:name="_Toc528761239"/>
      <w:bookmarkEnd w:id="6"/>
      <w:bookmarkEnd w:id="7"/>
      <w:bookmarkEnd w:id="8"/>
      <w:r w:rsidR="00E02122">
        <w:lastRenderedPageBreak/>
        <w:t xml:space="preserve">Overview of </w:t>
      </w:r>
      <w:r w:rsidR="00DE1363">
        <w:t>Key Drivers: View</w:t>
      </w:r>
      <w:r w:rsidR="00C56993">
        <w:t>s</w:t>
      </w:r>
      <w:r w:rsidR="00DE1363">
        <w:t xml:space="preserve"> on </w:t>
      </w:r>
      <w:r w:rsidR="009D48EA">
        <w:t xml:space="preserve">Natural Gas Prices and </w:t>
      </w:r>
      <w:r w:rsidR="00DE1363">
        <w:t>Env</w:t>
      </w:r>
      <w:r w:rsidR="00B16723">
        <w:t>i</w:t>
      </w:r>
      <w:r w:rsidR="00DE1363">
        <w:t>ro</w:t>
      </w:r>
      <w:r w:rsidR="00883107">
        <w:t>n</w:t>
      </w:r>
      <w:r w:rsidR="00DE1363">
        <w:t xml:space="preserve">mental </w:t>
      </w:r>
      <w:r w:rsidR="00F9693E">
        <w:t>Regulations</w:t>
      </w:r>
      <w:bookmarkEnd w:id="9"/>
    </w:p>
    <w:p w14:paraId="5475EA72" w14:textId="12107054" w:rsidR="00C5174D" w:rsidRPr="004B00C8" w:rsidRDefault="008F20BE" w:rsidP="00895115">
      <w:pPr>
        <w:pStyle w:val="BodyText"/>
        <w:jc w:val="both"/>
      </w:pPr>
      <w:r>
        <w:t>No model can</w:t>
      </w:r>
      <w:r w:rsidR="00721E65" w:rsidRPr="004B00C8">
        <w:t xml:space="preserve"> </w:t>
      </w:r>
      <w:r w:rsidR="00C5174D" w:rsidRPr="004B00C8">
        <w:t>p</w:t>
      </w:r>
      <w:r>
        <w:t>redict specific future outcomes. Thus,</w:t>
      </w:r>
      <w:r w:rsidR="00BD4308">
        <w:t xml:space="preserve"> it is important to consider</w:t>
      </w:r>
      <w:r w:rsidR="00C5174D" w:rsidRPr="004B00C8">
        <w:t xml:space="preserve"> a range of scena</w:t>
      </w:r>
      <w:r w:rsidR="00BD4308">
        <w:t>rios that encompass the uncertainty around key</w:t>
      </w:r>
      <w:r w:rsidR="00C5174D" w:rsidRPr="004B00C8">
        <w:t xml:space="preserve"> factors</w:t>
      </w:r>
      <w:r w:rsidR="00BD4308">
        <w:t xml:space="preserve">, such as fuel supply and emissions </w:t>
      </w:r>
      <w:r w:rsidR="009611DC">
        <w:t>regulation,</w:t>
      </w:r>
      <w:r w:rsidR="009611DC" w:rsidRPr="004B00C8">
        <w:t xml:space="preserve"> which</w:t>
      </w:r>
      <w:r w:rsidR="00BD4308">
        <w:t xml:space="preserve"> materially</w:t>
      </w:r>
      <w:r w:rsidR="00C5174D" w:rsidRPr="004B00C8">
        <w:t xml:space="preserve"> affect the</w:t>
      </w:r>
      <w:r w:rsidR="00BD4308">
        <w:t xml:space="preserve"> optimal</w:t>
      </w:r>
      <w:r w:rsidR="00C5174D" w:rsidRPr="004B00C8">
        <w:t xml:space="preserve"> </w:t>
      </w:r>
      <w:r w:rsidR="00BD4308">
        <w:t>long-term planning strategy</w:t>
      </w:r>
      <w:r w:rsidR="00485A9E" w:rsidRPr="004B00C8">
        <w:t>.</w:t>
      </w:r>
    </w:p>
    <w:p w14:paraId="4AAFEB42" w14:textId="73B87033" w:rsidR="005149A4" w:rsidRPr="004B00C8" w:rsidRDefault="00C5174D" w:rsidP="00081A56">
      <w:pPr>
        <w:pStyle w:val="BodyText"/>
        <w:jc w:val="both"/>
      </w:pPr>
      <w:r w:rsidRPr="004B00C8">
        <w:t xml:space="preserve">For purposes of </w:t>
      </w:r>
      <w:r w:rsidR="00EF1566" w:rsidRPr="004B00C8">
        <w:t xml:space="preserve">these </w:t>
      </w:r>
      <w:r w:rsidRPr="004B00C8">
        <w:t>forecast</w:t>
      </w:r>
      <w:r w:rsidR="00EF1566" w:rsidRPr="004B00C8">
        <w:t>s</w:t>
      </w:r>
      <w:r w:rsidR="00CC1F92" w:rsidRPr="004B00C8">
        <w:t xml:space="preserve">, </w:t>
      </w:r>
      <w:r w:rsidR="00541599" w:rsidRPr="004B00C8">
        <w:t xml:space="preserve">three </w:t>
      </w:r>
      <w:r w:rsidR="00CC1F92" w:rsidRPr="004B00C8">
        <w:t>fuel views were selected</w:t>
      </w:r>
      <w:r w:rsidR="00081A56" w:rsidRPr="004B00C8">
        <w:t>, in order of decreasing natural gas prices</w:t>
      </w:r>
      <w:r w:rsidR="009D48EA" w:rsidRPr="004B00C8">
        <w:t>:</w:t>
      </w:r>
      <w:r w:rsidR="00264CDC">
        <w:t xml:space="preserve"> </w:t>
      </w:r>
      <w:r w:rsidR="005149A4" w:rsidRPr="004B00C8">
        <w:t>High, Moderate, and Low</w:t>
      </w:r>
      <w:r w:rsidR="00757C56" w:rsidRPr="004B00C8">
        <w:t xml:space="preserve">. </w:t>
      </w:r>
      <w:r w:rsidR="00CC1F92" w:rsidRPr="004B00C8">
        <w:t>These view</w:t>
      </w:r>
      <w:r w:rsidRPr="004B00C8">
        <w:t xml:space="preserve">s were developed to encompass </w:t>
      </w:r>
      <w:r w:rsidR="00BD4308">
        <w:t>what CRA believes is</w:t>
      </w:r>
      <w:r w:rsidR="005149A4" w:rsidRPr="004B00C8">
        <w:t xml:space="preserve"> the</w:t>
      </w:r>
      <w:r w:rsidRPr="004B00C8">
        <w:t xml:space="preserve"> range of </w:t>
      </w:r>
      <w:r w:rsidR="005149A4" w:rsidRPr="004B00C8">
        <w:t xml:space="preserve">reasonably likely </w:t>
      </w:r>
      <w:r w:rsidR="00081A56" w:rsidRPr="004B00C8">
        <w:t>natural gas</w:t>
      </w:r>
      <w:r w:rsidRPr="004B00C8">
        <w:t xml:space="preserve"> price outcomes</w:t>
      </w:r>
      <w:r w:rsidR="005149A4" w:rsidRPr="004B00C8">
        <w:t xml:space="preserve"> over the modeling horizon</w:t>
      </w:r>
      <w:r w:rsidRPr="004B00C8">
        <w:t>.</w:t>
      </w:r>
    </w:p>
    <w:p w14:paraId="59E126A1" w14:textId="34FF1ADE" w:rsidR="00081A56" w:rsidRPr="004B00C8" w:rsidRDefault="00C5174D" w:rsidP="00081A56">
      <w:pPr>
        <w:pStyle w:val="BodyText"/>
        <w:jc w:val="both"/>
      </w:pPr>
      <w:r w:rsidRPr="004B00C8">
        <w:t xml:space="preserve">These </w:t>
      </w:r>
      <w:r w:rsidR="009D48EA" w:rsidRPr="004B00C8">
        <w:t xml:space="preserve">natural gas views </w:t>
      </w:r>
      <w:r w:rsidRPr="004B00C8">
        <w:t xml:space="preserve">were </w:t>
      </w:r>
      <w:r w:rsidR="00BD4308">
        <w:t xml:space="preserve">each </w:t>
      </w:r>
      <w:r w:rsidRPr="004B00C8">
        <w:t>then</w:t>
      </w:r>
      <w:r w:rsidR="00BD4308">
        <w:t xml:space="preserve"> paired with</w:t>
      </w:r>
      <w:r w:rsidRPr="004B00C8">
        <w:t xml:space="preserve"> </w:t>
      </w:r>
      <w:r w:rsidR="00BD6D35" w:rsidRPr="004B00C8">
        <w:t>three</w:t>
      </w:r>
      <w:r w:rsidRPr="004B00C8">
        <w:t xml:space="preserve"> CO</w:t>
      </w:r>
      <w:r w:rsidRPr="004B00C8">
        <w:rPr>
          <w:vertAlign w:val="subscript"/>
        </w:rPr>
        <w:t>2</w:t>
      </w:r>
      <w:r w:rsidRPr="004B00C8">
        <w:t xml:space="preserve"> p</w:t>
      </w:r>
      <w:r w:rsidR="004A40D1" w:rsidRPr="004B00C8">
        <w:t xml:space="preserve">olicy </w:t>
      </w:r>
      <w:r w:rsidR="009701F9" w:rsidRPr="004B00C8">
        <w:t>views</w:t>
      </w:r>
      <w:r w:rsidR="00BD4308">
        <w:t xml:space="preserve"> to create 9 unique scenarios</w:t>
      </w:r>
      <w:r w:rsidR="00964CA6" w:rsidRPr="004B00C8">
        <w:t>:</w:t>
      </w:r>
      <w:r w:rsidR="00264CDC">
        <w:t xml:space="preserve"> </w:t>
      </w:r>
    </w:p>
    <w:p w14:paraId="2D93DEA8" w14:textId="330E6E67" w:rsidR="00081A56" w:rsidRPr="00E519DC" w:rsidRDefault="006C110C" w:rsidP="00673344">
      <w:pPr>
        <w:pStyle w:val="BodyText"/>
        <w:numPr>
          <w:ilvl w:val="0"/>
          <w:numId w:val="20"/>
        </w:numPr>
        <w:jc w:val="both"/>
      </w:pPr>
      <w:r>
        <w:t>$</w:t>
      </w:r>
      <w:r w:rsidR="0059391A">
        <w:t>0</w:t>
      </w:r>
      <w:r w:rsidR="004374E2">
        <w:t>/tonne</w:t>
      </w:r>
      <w:r w:rsidR="00081A56" w:rsidRPr="00E519DC">
        <w:t xml:space="preserve"> CO</w:t>
      </w:r>
      <w:r w:rsidR="00081A56" w:rsidRPr="00E519DC">
        <w:rPr>
          <w:vertAlign w:val="subscript"/>
        </w:rPr>
        <w:t>2</w:t>
      </w:r>
      <w:r w:rsidR="004374E2">
        <w:t>:</w:t>
      </w:r>
      <w:r w:rsidR="00081A56" w:rsidRPr="00E519DC">
        <w:t xml:space="preserve"> </w:t>
      </w:r>
      <w:r w:rsidR="004374E2">
        <w:t>C</w:t>
      </w:r>
      <w:r w:rsidR="00081A56" w:rsidRPr="00E519DC">
        <w:t xml:space="preserve">urrent </w:t>
      </w:r>
      <w:r w:rsidR="009D48EA" w:rsidRPr="00E519DC">
        <w:t xml:space="preserve">on-the-books regulations </w:t>
      </w:r>
      <w:r w:rsidR="00081A56" w:rsidRPr="00E519DC">
        <w:t>affecting CO</w:t>
      </w:r>
      <w:r w:rsidR="00081A56" w:rsidRPr="00E519DC">
        <w:rPr>
          <w:vertAlign w:val="subscript"/>
        </w:rPr>
        <w:t>2</w:t>
      </w:r>
      <w:r w:rsidR="00081A56" w:rsidRPr="00E519DC">
        <w:t xml:space="preserve"> emissions and CO</w:t>
      </w:r>
      <w:r w:rsidR="00081A56" w:rsidRPr="00E519DC">
        <w:rPr>
          <w:vertAlign w:val="subscript"/>
        </w:rPr>
        <w:t>2</w:t>
      </w:r>
      <w:r w:rsidR="00081A56" w:rsidRPr="00E519DC">
        <w:t xml:space="preserve"> emitters, but no</w:t>
      </w:r>
      <w:r w:rsidR="00541599" w:rsidRPr="00E519DC">
        <w:t xml:space="preserve"> additional</w:t>
      </w:r>
      <w:r w:rsidR="00081A56" w:rsidRPr="00E519DC">
        <w:t xml:space="preserve"> carbon</w:t>
      </w:r>
      <w:r w:rsidR="00E95E7E" w:rsidRPr="00E519DC">
        <w:t xml:space="preserve"> </w:t>
      </w:r>
      <w:r w:rsidR="009701F9" w:rsidRPr="00E519DC">
        <w:t>cost</w:t>
      </w:r>
      <w:r w:rsidR="00757C56" w:rsidRPr="00E519DC">
        <w:t xml:space="preserve">. </w:t>
      </w:r>
      <w:r w:rsidR="00E21808" w:rsidRPr="00E519DC">
        <w:t>Like Budget 201</w:t>
      </w:r>
      <w:r w:rsidR="00E663EE">
        <w:t>8</w:t>
      </w:r>
      <w:r w:rsidR="009D48EA" w:rsidRPr="00E519DC">
        <w:t xml:space="preserve">, Budget </w:t>
      </w:r>
      <w:r w:rsidR="00E21808" w:rsidRPr="00E519DC">
        <w:t>201</w:t>
      </w:r>
      <w:r w:rsidR="00E663EE">
        <w:t>9</w:t>
      </w:r>
      <w:r w:rsidR="00E21808" w:rsidRPr="00E519DC">
        <w:t xml:space="preserve"> </w:t>
      </w:r>
      <w:r w:rsidR="009D48EA" w:rsidRPr="00E519DC">
        <w:t>imposes the EPA-promulgated new source performance standards (NSPS)</w:t>
      </w:r>
      <w:r w:rsidR="00111146">
        <w:t xml:space="preserve"> </w:t>
      </w:r>
      <w:r w:rsidR="009D48EA" w:rsidRPr="00E519DC">
        <w:t>for CO</w:t>
      </w:r>
      <w:r w:rsidR="009D48EA" w:rsidRPr="00E519DC">
        <w:rPr>
          <w:vertAlign w:val="subscript"/>
        </w:rPr>
        <w:t>2</w:t>
      </w:r>
      <w:r w:rsidR="009D48EA" w:rsidRPr="00E519DC">
        <w:t xml:space="preserve"> emissions from both coal- and gas/oil-fired new generating technologies</w:t>
      </w:r>
      <w:r w:rsidR="00757C56" w:rsidRPr="00E519DC">
        <w:t xml:space="preserve">. </w:t>
      </w:r>
    </w:p>
    <w:p w14:paraId="1CD1A9A7" w14:textId="47A7ABC3" w:rsidR="00081A56" w:rsidRPr="00E519DC" w:rsidRDefault="00A57837" w:rsidP="00673344">
      <w:pPr>
        <w:pStyle w:val="BodyText"/>
        <w:numPr>
          <w:ilvl w:val="0"/>
          <w:numId w:val="20"/>
        </w:numPr>
        <w:jc w:val="both"/>
      </w:pPr>
      <w:r w:rsidRPr="00E519DC">
        <w:t>$10</w:t>
      </w:r>
      <w:r w:rsidR="00081A56" w:rsidRPr="00E519DC">
        <w:t>/tonne CO</w:t>
      </w:r>
      <w:r w:rsidR="00081A56" w:rsidRPr="00E519DC">
        <w:rPr>
          <w:vertAlign w:val="subscript"/>
        </w:rPr>
        <w:t>2</w:t>
      </w:r>
      <w:r w:rsidR="00081A56" w:rsidRPr="00E519DC">
        <w:t>:</w:t>
      </w:r>
      <w:r w:rsidRPr="00E519DC">
        <w:t xml:space="preserve"> </w:t>
      </w:r>
      <w:r w:rsidR="00081A56" w:rsidRPr="00E519DC">
        <w:t>Starting in 20</w:t>
      </w:r>
      <w:r w:rsidR="00083CCC" w:rsidRPr="00E519DC">
        <w:t>2</w:t>
      </w:r>
      <w:r w:rsidR="00E663EE">
        <w:t>6</w:t>
      </w:r>
      <w:r w:rsidR="00081A56" w:rsidRPr="00E519DC">
        <w:t>, a carbon</w:t>
      </w:r>
      <w:r w:rsidR="00E95E7E" w:rsidRPr="00E519DC">
        <w:t xml:space="preserve"> cost</w:t>
      </w:r>
      <w:r w:rsidR="00081A56" w:rsidRPr="00E519DC">
        <w:t xml:space="preserve"> of $10</w:t>
      </w:r>
      <w:r w:rsidR="0064691E" w:rsidRPr="00E519DC">
        <w:t xml:space="preserve"> per </w:t>
      </w:r>
      <w:r w:rsidR="005149A4" w:rsidRPr="00E519DC">
        <w:t xml:space="preserve">metric </w:t>
      </w:r>
      <w:r w:rsidR="00081A56" w:rsidRPr="00E519DC">
        <w:t>ton CO</w:t>
      </w:r>
      <w:r w:rsidR="00081A56" w:rsidRPr="00E519DC">
        <w:rPr>
          <w:vertAlign w:val="subscript"/>
        </w:rPr>
        <w:t>2</w:t>
      </w:r>
      <w:r w:rsidR="00081A56" w:rsidRPr="00E519DC">
        <w:t xml:space="preserve"> (in </w:t>
      </w:r>
      <w:r w:rsidR="00850B32" w:rsidRPr="004677CB">
        <w:rPr>
          <w:b/>
          <w:sz w:val="16"/>
        </w:rPr>
        <w:t>REDACTED</w:t>
      </w:r>
      <w:r w:rsidR="00850B32" w:rsidRPr="004677CB">
        <w:rPr>
          <w:sz w:val="16"/>
        </w:rPr>
        <w:t xml:space="preserve"> </w:t>
      </w:r>
      <w:r w:rsidR="00081A56" w:rsidRPr="00E519DC">
        <w:t xml:space="preserve">dollars) is applied, </w:t>
      </w:r>
      <w:r w:rsidR="00C5174D" w:rsidRPr="00E519DC">
        <w:t xml:space="preserve">increasing at </w:t>
      </w:r>
      <w:r w:rsidR="006E69C9" w:rsidRPr="00E771D0">
        <w:rPr>
          <w:b/>
          <w:sz w:val="10"/>
        </w:rPr>
        <w:t>REDACTED</w:t>
      </w:r>
      <w:r w:rsidR="00C5174D" w:rsidRPr="00E519DC">
        <w:t xml:space="preserve">% </w:t>
      </w:r>
      <w:r w:rsidR="00E253AD" w:rsidRPr="00E519DC">
        <w:t xml:space="preserve">annually </w:t>
      </w:r>
      <w:r w:rsidR="00C5174D" w:rsidRPr="00E519DC">
        <w:t>in real dollar terms</w:t>
      </w:r>
      <w:r w:rsidR="00BD6D35" w:rsidRPr="00E519DC">
        <w:t>.</w:t>
      </w:r>
    </w:p>
    <w:p w14:paraId="32661E3F" w14:textId="29ECDE57" w:rsidR="00081A56" w:rsidRDefault="00081A56" w:rsidP="00673344">
      <w:pPr>
        <w:pStyle w:val="BodyText"/>
        <w:numPr>
          <w:ilvl w:val="0"/>
          <w:numId w:val="20"/>
        </w:numPr>
        <w:jc w:val="both"/>
      </w:pPr>
      <w:r w:rsidRPr="00E519DC">
        <w:t>$20/tonne CO</w:t>
      </w:r>
      <w:r w:rsidRPr="00E519DC">
        <w:rPr>
          <w:vertAlign w:val="subscript"/>
        </w:rPr>
        <w:t>2</w:t>
      </w:r>
      <w:r w:rsidRPr="00E519DC">
        <w:t>: Starting in 202</w:t>
      </w:r>
      <w:r w:rsidR="00E663EE">
        <w:t>6</w:t>
      </w:r>
      <w:r w:rsidRPr="00E519DC">
        <w:t xml:space="preserve">, a carbon </w:t>
      </w:r>
      <w:r w:rsidR="009701F9" w:rsidRPr="00E519DC">
        <w:t>cost</w:t>
      </w:r>
      <w:r w:rsidRPr="00E519DC">
        <w:t xml:space="preserve"> of $20</w:t>
      </w:r>
      <w:r w:rsidR="0064691E" w:rsidRPr="00E519DC">
        <w:t xml:space="preserve"> per </w:t>
      </w:r>
      <w:r w:rsidR="005149A4" w:rsidRPr="00E519DC">
        <w:t xml:space="preserve">metric </w:t>
      </w:r>
      <w:r w:rsidRPr="00E519DC">
        <w:t>ton CO</w:t>
      </w:r>
      <w:r w:rsidRPr="00E519DC">
        <w:rPr>
          <w:vertAlign w:val="subscript"/>
        </w:rPr>
        <w:t>2</w:t>
      </w:r>
      <w:r w:rsidRPr="00E519DC">
        <w:t xml:space="preserve"> (in </w:t>
      </w:r>
      <w:r w:rsidR="00850B32" w:rsidRPr="00E771D0">
        <w:rPr>
          <w:b/>
          <w:sz w:val="16"/>
        </w:rPr>
        <w:t>REDACTED</w:t>
      </w:r>
      <w:r w:rsidRPr="00E771D0">
        <w:rPr>
          <w:sz w:val="16"/>
        </w:rPr>
        <w:t xml:space="preserve"> </w:t>
      </w:r>
      <w:r w:rsidRPr="00E519DC">
        <w:t xml:space="preserve">dollars) is applied, increasing at </w:t>
      </w:r>
      <w:r w:rsidR="00850B32" w:rsidRPr="00E771D0">
        <w:rPr>
          <w:b/>
          <w:sz w:val="10"/>
        </w:rPr>
        <w:t>REDACTED</w:t>
      </w:r>
      <w:r w:rsidRPr="00E519DC">
        <w:t>% annually in real dollar terms.</w:t>
      </w:r>
    </w:p>
    <w:p w14:paraId="1E03B130" w14:textId="77E83A40" w:rsidR="00FA29D2" w:rsidRDefault="00FA29D2" w:rsidP="00FA29D2">
      <w:pPr>
        <w:pStyle w:val="BodyText"/>
        <w:jc w:val="both"/>
      </w:pPr>
      <w:r>
        <w:t xml:space="preserve">In summary, </w:t>
      </w:r>
      <w:r w:rsidR="006950E5">
        <w:t xml:space="preserve">CRA </w:t>
      </w:r>
      <w:r>
        <w:t>ha</w:t>
      </w:r>
      <w:r w:rsidR="006950E5">
        <w:t>s</w:t>
      </w:r>
      <w:r>
        <w:t xml:space="preserve"> analyzed</w:t>
      </w:r>
      <w:r w:rsidRPr="00194A95">
        <w:t xml:space="preserve"> nine </w:t>
      </w:r>
      <w:r>
        <w:t>scenarios, seen below</w:t>
      </w:r>
      <w:r w:rsidRPr="0026335E">
        <w:t xml:space="preserve"> in Figure 1</w:t>
      </w:r>
      <w:r>
        <w:t>, and named the scenarios based on their combination of fuel price outlook and CO</w:t>
      </w:r>
      <w:r w:rsidRPr="00CC39EE">
        <w:rPr>
          <w:vertAlign w:val="subscript"/>
        </w:rPr>
        <w:t>2</w:t>
      </w:r>
      <w:r>
        <w:t xml:space="preserve"> pressure</w:t>
      </w:r>
      <w:r w:rsidRPr="0026335E">
        <w:t>.</w:t>
      </w:r>
    </w:p>
    <w:p w14:paraId="0EB13EA8" w14:textId="109B5F6C" w:rsidR="00FA29D2" w:rsidRDefault="00FA29D2" w:rsidP="00FA29D2">
      <w:pPr>
        <w:pStyle w:val="Caption"/>
        <w:jc w:val="left"/>
      </w:pPr>
      <w:bookmarkStart w:id="10" w:name="_Toc528761294"/>
      <w:r w:rsidRPr="004E042F">
        <w:t xml:space="preserve">Figure </w:t>
      </w:r>
      <w:r>
        <w:rPr>
          <w:noProof/>
        </w:rPr>
        <w:fldChar w:fldCharType="begin"/>
      </w:r>
      <w:r>
        <w:rPr>
          <w:noProof/>
        </w:rPr>
        <w:instrText xml:space="preserve"> SEQ Figure \* ARABIC </w:instrText>
      </w:r>
      <w:r>
        <w:rPr>
          <w:noProof/>
        </w:rPr>
        <w:fldChar w:fldCharType="separate"/>
      </w:r>
      <w:r w:rsidR="006B6B17">
        <w:rPr>
          <w:noProof/>
        </w:rPr>
        <w:t>1</w:t>
      </w:r>
      <w:r>
        <w:rPr>
          <w:noProof/>
        </w:rPr>
        <w:fldChar w:fldCharType="end"/>
      </w:r>
      <w:r w:rsidRPr="004E042F">
        <w:t>:</w:t>
      </w:r>
      <w:r>
        <w:t xml:space="preserve"> </w:t>
      </w:r>
      <w:r w:rsidRPr="004E042F">
        <w:t>Budget 201</w:t>
      </w:r>
      <w:r>
        <w:t>9</w:t>
      </w:r>
      <w:r w:rsidRPr="004E042F">
        <w:t xml:space="preserve"> Planning Scenarios</w:t>
      </w:r>
      <w:bookmarkEnd w:id="10"/>
      <w:r w:rsidRPr="004E042F">
        <w:t xml:space="preserve"> </w:t>
      </w:r>
    </w:p>
    <w:tbl>
      <w:tblPr>
        <w:tblStyle w:val="TableGrid"/>
        <w:tblW w:w="0" w:type="auto"/>
        <w:tblLook w:val="04A0" w:firstRow="1" w:lastRow="0" w:firstColumn="1" w:lastColumn="0" w:noHBand="0" w:noVBand="1"/>
      </w:tblPr>
      <w:tblGrid>
        <w:gridCol w:w="823"/>
        <w:gridCol w:w="2025"/>
        <w:gridCol w:w="1802"/>
        <w:gridCol w:w="1811"/>
        <w:gridCol w:w="1811"/>
      </w:tblGrid>
      <w:tr w:rsidR="00FA29D2" w14:paraId="5B2D47A4" w14:textId="77777777" w:rsidTr="00064F56">
        <w:tc>
          <w:tcPr>
            <w:tcW w:w="2898"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0BD59B2" w14:textId="77777777" w:rsidR="00FA29D2" w:rsidRPr="00902115" w:rsidRDefault="00FA29D2" w:rsidP="00064F56">
            <w:pPr>
              <w:pStyle w:val="BodyText"/>
              <w:keepNext/>
              <w:keepLines/>
              <w:jc w:val="center"/>
              <w:rPr>
                <w:sz w:val="24"/>
              </w:rPr>
            </w:pPr>
          </w:p>
        </w:tc>
        <w:tc>
          <w:tcPr>
            <w:tcW w:w="560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vAlign w:val="center"/>
          </w:tcPr>
          <w:p w14:paraId="3B26D104" w14:textId="77777777" w:rsidR="00FA29D2" w:rsidRPr="00902115" w:rsidRDefault="00FA29D2" w:rsidP="00064F56">
            <w:pPr>
              <w:pStyle w:val="BodyText"/>
              <w:keepNext/>
              <w:keepLines/>
              <w:jc w:val="center"/>
              <w:rPr>
                <w:b/>
                <w:sz w:val="24"/>
              </w:rPr>
            </w:pPr>
            <w:r w:rsidRPr="00902115">
              <w:rPr>
                <w:b/>
                <w:color w:val="FFFFFF" w:themeColor="background1"/>
                <w:sz w:val="24"/>
              </w:rPr>
              <w:t>CO</w:t>
            </w:r>
            <w:r w:rsidRPr="00902115">
              <w:rPr>
                <w:b/>
                <w:color w:val="FFFFFF" w:themeColor="background1"/>
                <w:sz w:val="24"/>
                <w:vertAlign w:val="subscript"/>
              </w:rPr>
              <w:t>2</w:t>
            </w:r>
            <w:r w:rsidRPr="00902115">
              <w:rPr>
                <w:b/>
                <w:color w:val="FFFFFF" w:themeColor="background1"/>
                <w:sz w:val="24"/>
              </w:rPr>
              <w:t xml:space="preserve"> Views</w:t>
            </w:r>
          </w:p>
        </w:tc>
      </w:tr>
      <w:tr w:rsidR="00FA29D2" w14:paraId="0BA3493A" w14:textId="77777777" w:rsidTr="00064F56">
        <w:tc>
          <w:tcPr>
            <w:tcW w:w="2898"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3223977" w14:textId="77777777" w:rsidR="00FA29D2" w:rsidRPr="00902115" w:rsidRDefault="00FA29D2" w:rsidP="00064F56">
            <w:pPr>
              <w:pStyle w:val="BodyText"/>
              <w:keepNext/>
              <w:keepLines/>
              <w:jc w:val="center"/>
              <w:rPr>
                <w:sz w:val="24"/>
              </w:rPr>
            </w:pPr>
          </w:p>
        </w:tc>
        <w:tc>
          <w:tcPr>
            <w:tcW w:w="1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vAlign w:val="center"/>
          </w:tcPr>
          <w:p w14:paraId="030370BD" w14:textId="77777777" w:rsidR="00FA29D2" w:rsidRPr="00CF7E1E" w:rsidRDefault="00FA29D2" w:rsidP="00064F56">
            <w:pPr>
              <w:pStyle w:val="BodyText"/>
              <w:keepNext/>
              <w:keepLines/>
              <w:jc w:val="center"/>
              <w:rPr>
                <w:b/>
                <w:sz w:val="24"/>
              </w:rPr>
            </w:pPr>
            <w:r>
              <w:rPr>
                <w:b/>
                <w:sz w:val="24"/>
              </w:rPr>
              <w:t>$0 CO</w:t>
            </w:r>
            <w:r w:rsidRPr="0003006D">
              <w:rPr>
                <w:b/>
                <w:sz w:val="24"/>
                <w:vertAlign w:val="subscript"/>
              </w:rPr>
              <w:t>2</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vAlign w:val="center"/>
          </w:tcPr>
          <w:p w14:paraId="3608A25B" w14:textId="77777777" w:rsidR="00FA29D2" w:rsidRPr="00CF7E1E" w:rsidRDefault="00FA29D2" w:rsidP="00064F56">
            <w:pPr>
              <w:pStyle w:val="BodyText"/>
              <w:keepNext/>
              <w:keepLines/>
              <w:jc w:val="center"/>
              <w:rPr>
                <w:b/>
                <w:sz w:val="24"/>
              </w:rPr>
            </w:pPr>
            <w:r>
              <w:rPr>
                <w:b/>
                <w:sz w:val="24"/>
              </w:rPr>
              <w:t>$10 CO</w:t>
            </w:r>
            <w:r w:rsidRPr="0003006D">
              <w:rPr>
                <w:b/>
                <w:sz w:val="24"/>
                <w:vertAlign w:val="subscript"/>
              </w:rPr>
              <w:t>2</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vAlign w:val="center"/>
          </w:tcPr>
          <w:p w14:paraId="04495089" w14:textId="77777777" w:rsidR="00FA29D2" w:rsidRPr="00CF7E1E" w:rsidRDefault="00FA29D2" w:rsidP="00064F56">
            <w:pPr>
              <w:pStyle w:val="BodyText"/>
              <w:keepNext/>
              <w:keepLines/>
              <w:jc w:val="center"/>
              <w:rPr>
                <w:b/>
                <w:sz w:val="24"/>
              </w:rPr>
            </w:pPr>
            <w:r>
              <w:rPr>
                <w:b/>
                <w:sz w:val="24"/>
              </w:rPr>
              <w:t>$20 CO</w:t>
            </w:r>
            <w:r w:rsidRPr="0003006D">
              <w:rPr>
                <w:b/>
                <w:sz w:val="24"/>
                <w:vertAlign w:val="subscript"/>
              </w:rPr>
              <w:t>2</w:t>
            </w:r>
          </w:p>
        </w:tc>
      </w:tr>
      <w:tr w:rsidR="00FA29D2" w14:paraId="4C734D3A" w14:textId="77777777" w:rsidTr="00064F56">
        <w:tc>
          <w:tcPr>
            <w:tcW w:w="82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textDirection w:val="btLr"/>
            <w:vAlign w:val="center"/>
          </w:tcPr>
          <w:p w14:paraId="123CE50E" w14:textId="77777777" w:rsidR="00FA29D2" w:rsidRPr="00902115" w:rsidRDefault="00FA29D2" w:rsidP="00064F56">
            <w:pPr>
              <w:pStyle w:val="BodyText"/>
              <w:keepNext/>
              <w:keepLines/>
              <w:ind w:left="113" w:right="113"/>
              <w:jc w:val="center"/>
              <w:rPr>
                <w:b/>
                <w:sz w:val="24"/>
              </w:rPr>
            </w:pPr>
            <w:r w:rsidRPr="00902115">
              <w:rPr>
                <w:b/>
                <w:color w:val="FFFFFF" w:themeColor="background1"/>
                <w:sz w:val="24"/>
              </w:rPr>
              <w:t>Fuel</w:t>
            </w:r>
            <w:r w:rsidRPr="00902115">
              <w:rPr>
                <w:b/>
                <w:sz w:val="24"/>
              </w:rPr>
              <w:t xml:space="preserve"> </w:t>
            </w:r>
            <w:r w:rsidRPr="00902115">
              <w:rPr>
                <w:b/>
                <w:color w:val="FFFFFF" w:themeColor="background1"/>
                <w:sz w:val="24"/>
              </w:rPr>
              <w:t>Views</w:t>
            </w:r>
          </w:p>
        </w:tc>
        <w:tc>
          <w:tcPr>
            <w:tcW w:w="20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vAlign w:val="center"/>
          </w:tcPr>
          <w:p w14:paraId="452BF94A" w14:textId="77777777" w:rsidR="00FA29D2" w:rsidRPr="00902115" w:rsidRDefault="00FA29D2" w:rsidP="00064F56">
            <w:pPr>
              <w:pStyle w:val="BodyText"/>
              <w:keepNext/>
              <w:keepLines/>
              <w:jc w:val="center"/>
              <w:rPr>
                <w:b/>
                <w:sz w:val="24"/>
              </w:rPr>
            </w:pPr>
            <w:r>
              <w:rPr>
                <w:b/>
                <w:sz w:val="24"/>
              </w:rPr>
              <w:t>High Fuel</w:t>
            </w:r>
          </w:p>
        </w:tc>
        <w:tc>
          <w:tcPr>
            <w:tcW w:w="1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4307765B" w14:textId="77777777" w:rsidR="00FA29D2" w:rsidRPr="00902115" w:rsidRDefault="00FA29D2" w:rsidP="00064F56">
            <w:pPr>
              <w:pStyle w:val="BodyText"/>
              <w:keepNext/>
              <w:keepLines/>
              <w:jc w:val="center"/>
              <w:rPr>
                <w:sz w:val="24"/>
              </w:rPr>
            </w:pPr>
            <w:r w:rsidRPr="00902115">
              <w:rPr>
                <w:sz w:val="24"/>
              </w:rPr>
              <w:t>HG0</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10545F2C" w14:textId="77777777" w:rsidR="00FA29D2" w:rsidRPr="00902115" w:rsidRDefault="00FA29D2" w:rsidP="00064F56">
            <w:pPr>
              <w:pStyle w:val="BodyText"/>
              <w:keepNext/>
              <w:keepLines/>
              <w:jc w:val="center"/>
              <w:rPr>
                <w:sz w:val="24"/>
              </w:rPr>
            </w:pPr>
            <w:r w:rsidRPr="00902115">
              <w:rPr>
                <w:sz w:val="24"/>
              </w:rPr>
              <w:t>HG10</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0FD3D3DC" w14:textId="77777777" w:rsidR="00FA29D2" w:rsidRPr="00902115" w:rsidRDefault="00FA29D2" w:rsidP="00064F56">
            <w:pPr>
              <w:pStyle w:val="BodyText"/>
              <w:keepNext/>
              <w:keepLines/>
              <w:jc w:val="center"/>
              <w:rPr>
                <w:sz w:val="24"/>
              </w:rPr>
            </w:pPr>
            <w:r w:rsidRPr="00902115">
              <w:rPr>
                <w:sz w:val="24"/>
              </w:rPr>
              <w:t>HG20</w:t>
            </w:r>
          </w:p>
        </w:tc>
      </w:tr>
      <w:tr w:rsidR="00FA29D2" w14:paraId="406F298D" w14:textId="77777777" w:rsidTr="00064F56">
        <w:tc>
          <w:tcPr>
            <w:tcW w:w="82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vAlign w:val="center"/>
          </w:tcPr>
          <w:p w14:paraId="7E668DA6" w14:textId="77777777" w:rsidR="00FA29D2" w:rsidRPr="00902115" w:rsidRDefault="00FA29D2" w:rsidP="00064F56">
            <w:pPr>
              <w:pStyle w:val="BodyText"/>
              <w:keepNext/>
              <w:keepLines/>
              <w:jc w:val="center"/>
              <w:rPr>
                <w:sz w:val="24"/>
              </w:rPr>
            </w:pPr>
          </w:p>
        </w:tc>
        <w:tc>
          <w:tcPr>
            <w:tcW w:w="20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vAlign w:val="center"/>
          </w:tcPr>
          <w:p w14:paraId="3F550281" w14:textId="77777777" w:rsidR="00FA29D2" w:rsidRPr="00902115" w:rsidRDefault="00FA29D2" w:rsidP="00064F56">
            <w:pPr>
              <w:pStyle w:val="BodyText"/>
              <w:keepNext/>
              <w:keepLines/>
              <w:jc w:val="center"/>
              <w:rPr>
                <w:b/>
                <w:sz w:val="24"/>
              </w:rPr>
            </w:pPr>
            <w:r>
              <w:rPr>
                <w:b/>
                <w:sz w:val="24"/>
              </w:rPr>
              <w:t>Moderate Fuel</w:t>
            </w:r>
          </w:p>
        </w:tc>
        <w:tc>
          <w:tcPr>
            <w:tcW w:w="1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3B4DE99A" w14:textId="77777777" w:rsidR="00FA29D2" w:rsidRPr="00902115" w:rsidRDefault="00FA29D2" w:rsidP="00064F56">
            <w:pPr>
              <w:pStyle w:val="BodyText"/>
              <w:keepNext/>
              <w:keepLines/>
              <w:jc w:val="center"/>
              <w:rPr>
                <w:sz w:val="24"/>
              </w:rPr>
            </w:pPr>
            <w:r w:rsidRPr="00902115">
              <w:rPr>
                <w:sz w:val="24"/>
              </w:rPr>
              <w:t>MG0</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37079183" w14:textId="77777777" w:rsidR="00FA29D2" w:rsidRPr="00902115" w:rsidRDefault="00FA29D2" w:rsidP="00064F56">
            <w:pPr>
              <w:pStyle w:val="BodyText"/>
              <w:keepNext/>
              <w:keepLines/>
              <w:jc w:val="center"/>
              <w:rPr>
                <w:sz w:val="24"/>
              </w:rPr>
            </w:pPr>
            <w:r w:rsidRPr="00902115">
              <w:rPr>
                <w:sz w:val="24"/>
              </w:rPr>
              <w:t>MG10</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38661CE4" w14:textId="77777777" w:rsidR="00FA29D2" w:rsidRPr="00902115" w:rsidRDefault="00FA29D2" w:rsidP="00064F56">
            <w:pPr>
              <w:pStyle w:val="BodyText"/>
              <w:keepNext/>
              <w:keepLines/>
              <w:jc w:val="center"/>
              <w:rPr>
                <w:sz w:val="24"/>
              </w:rPr>
            </w:pPr>
            <w:r w:rsidRPr="00902115">
              <w:rPr>
                <w:sz w:val="24"/>
              </w:rPr>
              <w:t>MG20</w:t>
            </w:r>
          </w:p>
        </w:tc>
      </w:tr>
      <w:tr w:rsidR="00FA29D2" w14:paraId="2E5D6A59" w14:textId="77777777" w:rsidTr="00064F56">
        <w:tc>
          <w:tcPr>
            <w:tcW w:w="82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vAlign w:val="center"/>
          </w:tcPr>
          <w:p w14:paraId="0399CE15" w14:textId="77777777" w:rsidR="00FA29D2" w:rsidRPr="00902115" w:rsidRDefault="00FA29D2" w:rsidP="00064F56">
            <w:pPr>
              <w:pStyle w:val="BodyText"/>
              <w:keepNext/>
              <w:keepLines/>
              <w:jc w:val="center"/>
              <w:rPr>
                <w:sz w:val="24"/>
              </w:rPr>
            </w:pPr>
          </w:p>
        </w:tc>
        <w:tc>
          <w:tcPr>
            <w:tcW w:w="20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vAlign w:val="center"/>
          </w:tcPr>
          <w:p w14:paraId="3E83B686" w14:textId="77777777" w:rsidR="00FA29D2" w:rsidRPr="00902115" w:rsidRDefault="00FA29D2" w:rsidP="00064F56">
            <w:pPr>
              <w:pStyle w:val="BodyText"/>
              <w:keepNext/>
              <w:keepLines/>
              <w:jc w:val="center"/>
              <w:rPr>
                <w:b/>
                <w:sz w:val="24"/>
              </w:rPr>
            </w:pPr>
            <w:r>
              <w:rPr>
                <w:b/>
                <w:sz w:val="24"/>
              </w:rPr>
              <w:t>Low Fuel</w:t>
            </w:r>
          </w:p>
        </w:tc>
        <w:tc>
          <w:tcPr>
            <w:tcW w:w="1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5DFE03AD" w14:textId="77777777" w:rsidR="00FA29D2" w:rsidRPr="00902115" w:rsidRDefault="00FA29D2" w:rsidP="00064F56">
            <w:pPr>
              <w:pStyle w:val="BodyText"/>
              <w:keepNext/>
              <w:keepLines/>
              <w:jc w:val="center"/>
              <w:rPr>
                <w:sz w:val="24"/>
              </w:rPr>
            </w:pPr>
            <w:r w:rsidRPr="00902115">
              <w:rPr>
                <w:sz w:val="24"/>
              </w:rPr>
              <w:t>LG0</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74DFEB3F" w14:textId="77777777" w:rsidR="00FA29D2" w:rsidRPr="00902115" w:rsidRDefault="00FA29D2" w:rsidP="00064F56">
            <w:pPr>
              <w:pStyle w:val="BodyText"/>
              <w:keepNext/>
              <w:keepLines/>
              <w:jc w:val="center"/>
              <w:rPr>
                <w:sz w:val="24"/>
              </w:rPr>
            </w:pPr>
            <w:r w:rsidRPr="00902115">
              <w:rPr>
                <w:sz w:val="24"/>
              </w:rPr>
              <w:t>LG10</w:t>
            </w:r>
          </w:p>
        </w:tc>
        <w:tc>
          <w:tcPr>
            <w:tcW w:w="18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vAlign w:val="center"/>
          </w:tcPr>
          <w:p w14:paraId="4D50C333" w14:textId="77777777" w:rsidR="00FA29D2" w:rsidRPr="00902115" w:rsidRDefault="00FA29D2" w:rsidP="00064F56">
            <w:pPr>
              <w:pStyle w:val="BodyText"/>
              <w:keepNext/>
              <w:keepLines/>
              <w:jc w:val="center"/>
              <w:rPr>
                <w:sz w:val="24"/>
              </w:rPr>
            </w:pPr>
            <w:r w:rsidRPr="00902115">
              <w:rPr>
                <w:sz w:val="24"/>
              </w:rPr>
              <w:t>LG20</w:t>
            </w:r>
          </w:p>
        </w:tc>
      </w:tr>
    </w:tbl>
    <w:p w14:paraId="50C5A49C" w14:textId="77777777" w:rsidR="00FA29D2" w:rsidRDefault="00FA29D2" w:rsidP="00FA29D2">
      <w:pPr>
        <w:pStyle w:val="Heading2"/>
        <w:tabs>
          <w:tab w:val="clear" w:pos="360"/>
        </w:tabs>
        <w:ind w:left="0" w:firstLine="0"/>
        <w:rPr>
          <w:smallCaps w:val="0"/>
        </w:rPr>
      </w:pPr>
      <w:bookmarkStart w:id="11" w:name="_Toc368649413"/>
      <w:bookmarkStart w:id="12" w:name="_Ref370210401"/>
    </w:p>
    <w:p w14:paraId="174F5B3D" w14:textId="77777777" w:rsidR="00DE1363" w:rsidRDefault="00DE1363" w:rsidP="00E02122">
      <w:pPr>
        <w:pStyle w:val="Heading2"/>
        <w:numPr>
          <w:ilvl w:val="1"/>
          <w:numId w:val="2"/>
        </w:numPr>
        <w:ind w:left="0" w:hanging="720"/>
        <w:rPr>
          <w:smallCaps w:val="0"/>
        </w:rPr>
      </w:pPr>
      <w:bookmarkStart w:id="13" w:name="_Toc528761240"/>
      <w:r>
        <w:rPr>
          <w:smallCaps w:val="0"/>
        </w:rPr>
        <w:t>Fuel</w:t>
      </w:r>
      <w:bookmarkEnd w:id="13"/>
    </w:p>
    <w:p w14:paraId="5A6BFCE3" w14:textId="77777777" w:rsidR="00DE1363" w:rsidRPr="00FE1591" w:rsidRDefault="00DE1363" w:rsidP="00F9693E">
      <w:pPr>
        <w:pStyle w:val="Heading3"/>
        <w:numPr>
          <w:ilvl w:val="2"/>
          <w:numId w:val="2"/>
        </w:numPr>
        <w:ind w:left="0" w:hanging="720"/>
      </w:pPr>
      <w:bookmarkStart w:id="14" w:name="_Toc528761241"/>
      <w:r w:rsidRPr="00FE1591">
        <w:t>Natural Gas</w:t>
      </w:r>
      <w:bookmarkEnd w:id="14"/>
    </w:p>
    <w:p w14:paraId="7BD18679" w14:textId="0B0E5870" w:rsidR="00DE1363" w:rsidRPr="004B00C8" w:rsidRDefault="00DE1363" w:rsidP="00DE1363">
      <w:pPr>
        <w:pStyle w:val="BodyText"/>
        <w:jc w:val="both"/>
      </w:pPr>
      <w:r w:rsidRPr="004B00C8">
        <w:t>The most important factors in developing natural gas views are the cost, magnitude, and accessibility of shale resources and the magnitude and timing of demand growth.</w:t>
      </w:r>
    </w:p>
    <w:p w14:paraId="3020D362" w14:textId="57CEC7CB" w:rsidR="00DE1363" w:rsidRPr="004B00C8" w:rsidRDefault="00DE1363" w:rsidP="00DE1363">
      <w:pPr>
        <w:pStyle w:val="BodyText"/>
        <w:jc w:val="both"/>
      </w:pPr>
      <w:r w:rsidRPr="004B00C8">
        <w:t xml:space="preserve">The volume and cost of producible shale gas resources is critically important, and assumptions about the access to and cost of unconventional gas plays are key drivers in the Budget </w:t>
      </w:r>
      <w:r w:rsidR="00D43E11" w:rsidRPr="004B00C8">
        <w:t>201</w:t>
      </w:r>
      <w:r w:rsidR="00E663EE">
        <w:t>9</w:t>
      </w:r>
      <w:r w:rsidR="00D43E11" w:rsidRPr="004B00C8">
        <w:t xml:space="preserve"> </w:t>
      </w:r>
      <w:r w:rsidRPr="004B00C8">
        <w:lastRenderedPageBreak/>
        <w:t>fuel scenarios</w:t>
      </w:r>
      <w:r w:rsidR="00757C56" w:rsidRPr="004B00C8">
        <w:t xml:space="preserve">. </w:t>
      </w:r>
      <w:r w:rsidRPr="00E519DC">
        <w:t xml:space="preserve">Since the Budget </w:t>
      </w:r>
      <w:r w:rsidR="00D43E11" w:rsidRPr="00E519DC">
        <w:t xml:space="preserve">2015 </w:t>
      </w:r>
      <w:r w:rsidRPr="00E519DC">
        <w:t>analysis, there has been</w:t>
      </w:r>
      <w:r w:rsidR="00083CCC" w:rsidRPr="00E519DC">
        <w:t xml:space="preserve"> </w:t>
      </w:r>
      <w:r w:rsidRPr="00E519DC">
        <w:t>further confirmation of the size of the shale gas resource, and shale gas production has continued to prove plentiful and relatively inexpensive</w:t>
      </w:r>
      <w:r w:rsidR="00DA4F64" w:rsidRPr="00E519DC">
        <w:t>, particularly from “liquids-rich” plays</w:t>
      </w:r>
      <w:r w:rsidR="00757C56" w:rsidRPr="00E519DC">
        <w:t xml:space="preserve">. </w:t>
      </w:r>
      <w:r w:rsidR="00642A60">
        <w:t xml:space="preserve">CRA has </w:t>
      </w:r>
      <w:r w:rsidR="00E009E5">
        <w:t>observed</w:t>
      </w:r>
      <w:r w:rsidRPr="00E519DC">
        <w:t xml:space="preserve"> growth in the es</w:t>
      </w:r>
      <w:r w:rsidR="00642A60">
        <w:t>timates of recoverable reserves</w:t>
      </w:r>
      <w:r w:rsidR="00004EDC">
        <w:t xml:space="preserve"> </w:t>
      </w:r>
      <w:r w:rsidRPr="00E519DC">
        <w:t>and improvements in drilling techniques</w:t>
      </w:r>
      <w:r w:rsidR="00642A60">
        <w:t xml:space="preserve"> in recent years. These trends</w:t>
      </w:r>
      <w:r w:rsidRPr="00E519DC">
        <w:t xml:space="preserve"> drive scenarios where the </w:t>
      </w:r>
      <w:r w:rsidR="007231A4" w:rsidRPr="00E519DC">
        <w:t>U.S.</w:t>
      </w:r>
      <w:r w:rsidR="00BD4308">
        <w:t xml:space="preserve"> is self-sufficient with regard</w:t>
      </w:r>
      <w:r w:rsidRPr="00E519DC">
        <w:t xml:space="preserve"> to natural gas supply and becomes a net gas exporter</w:t>
      </w:r>
      <w:r w:rsidR="00757C56" w:rsidRPr="00E519DC">
        <w:t xml:space="preserve">. </w:t>
      </w:r>
      <w:r w:rsidRPr="00E519DC">
        <w:t>Un</w:t>
      </w:r>
      <w:r w:rsidRPr="004B00C8">
        <w:t>der these scenarios, prices are set by the interplay of shale gas production economics and demand in the electric power, industrial</w:t>
      </w:r>
      <w:r w:rsidR="000D6FE1">
        <w:t xml:space="preserve"> sect</w:t>
      </w:r>
      <w:r w:rsidR="006950E5">
        <w:t>or</w:t>
      </w:r>
      <w:r w:rsidRPr="004B00C8">
        <w:t>,</w:t>
      </w:r>
      <w:r w:rsidR="000D6FE1">
        <w:t xml:space="preserve"> and demand for</w:t>
      </w:r>
      <w:r w:rsidRPr="004B00C8">
        <w:t xml:space="preserve"> gas export</w:t>
      </w:r>
      <w:r w:rsidR="000D6FE1">
        <w:t>s</w:t>
      </w:r>
      <w:r w:rsidRPr="004B00C8">
        <w:t>.</w:t>
      </w:r>
    </w:p>
    <w:p w14:paraId="765A2101" w14:textId="65A0C0D2" w:rsidR="00DE1363" w:rsidRPr="00055393" w:rsidRDefault="00DE1363" w:rsidP="00DE1363">
      <w:pPr>
        <w:pStyle w:val="BodyText"/>
        <w:jc w:val="both"/>
      </w:pPr>
      <w:r w:rsidRPr="00055393">
        <w:t xml:space="preserve">Budget </w:t>
      </w:r>
      <w:r w:rsidR="00E21808" w:rsidRPr="00055393">
        <w:t>201</w:t>
      </w:r>
      <w:r w:rsidR="00E663EE">
        <w:t>9</w:t>
      </w:r>
      <w:r w:rsidR="00E21808" w:rsidRPr="00055393">
        <w:t xml:space="preserve"> </w:t>
      </w:r>
      <w:r w:rsidRPr="00055393">
        <w:t xml:space="preserve">also devotes considerable attention to what </w:t>
      </w:r>
      <w:r w:rsidR="00CC6BD2" w:rsidRPr="00055393">
        <w:t xml:space="preserve">are </w:t>
      </w:r>
      <w:r w:rsidRPr="00055393">
        <w:t>see</w:t>
      </w:r>
      <w:r w:rsidR="00CC6BD2" w:rsidRPr="00055393">
        <w:t>n</w:t>
      </w:r>
      <w:r w:rsidRPr="00055393">
        <w:t xml:space="preserve"> as pivotal drivers of natural gas demand:</w:t>
      </w:r>
    </w:p>
    <w:p w14:paraId="7AB10B5C" w14:textId="387229D2" w:rsidR="00DE1363" w:rsidRPr="00055393" w:rsidRDefault="00DE1363" w:rsidP="00673344">
      <w:pPr>
        <w:pStyle w:val="BodyText"/>
        <w:numPr>
          <w:ilvl w:val="0"/>
          <w:numId w:val="11"/>
        </w:numPr>
        <w:jc w:val="both"/>
      </w:pPr>
      <w:r w:rsidRPr="00055393">
        <w:rPr>
          <w:b/>
        </w:rPr>
        <w:t>Power Generation</w:t>
      </w:r>
      <w:r w:rsidRPr="00055393">
        <w:t>,</w:t>
      </w:r>
      <w:r w:rsidR="00BD4308">
        <w:t xml:space="preserve"> increased</w:t>
      </w:r>
      <w:r w:rsidR="00E72DDD">
        <w:t xml:space="preserve"> coal-to-gas switching as a result of natural gas prices and the decision whe</w:t>
      </w:r>
      <w:r w:rsidR="00E501E8">
        <w:t>ther</w:t>
      </w:r>
      <w:r w:rsidR="00E72DDD">
        <w:t xml:space="preserve"> or not to extend the life of the existing nuclear fleet; and</w:t>
      </w:r>
    </w:p>
    <w:p w14:paraId="66024D55" w14:textId="31D34BE8" w:rsidR="00F67311" w:rsidRPr="00055393" w:rsidRDefault="00F67311" w:rsidP="00673344">
      <w:pPr>
        <w:pStyle w:val="BodyText"/>
        <w:numPr>
          <w:ilvl w:val="0"/>
          <w:numId w:val="11"/>
        </w:numPr>
        <w:jc w:val="both"/>
      </w:pPr>
      <w:r w:rsidRPr="00055393">
        <w:rPr>
          <w:b/>
        </w:rPr>
        <w:t>Environmental Policies</w:t>
      </w:r>
      <w:r w:rsidRPr="00055393">
        <w:t xml:space="preserve">, recent actions by the EPA </w:t>
      </w:r>
      <w:r w:rsidR="00BD4308">
        <w:t>in</w:t>
      </w:r>
      <w:r w:rsidR="000034AE">
        <w:t>creased</w:t>
      </w:r>
      <w:r w:rsidRPr="00055393">
        <w:t xml:space="preserve"> pressure to reduce </w:t>
      </w:r>
      <w:r w:rsidR="000034AE">
        <w:t>generation</w:t>
      </w:r>
      <w:r w:rsidRPr="00055393">
        <w:t xml:space="preserve"> from coal</w:t>
      </w:r>
      <w:r w:rsidR="000034AE">
        <w:t>-fire</w:t>
      </w:r>
      <w:r w:rsidR="00B7400F">
        <w:t>d</w:t>
      </w:r>
      <w:r w:rsidR="000034AE">
        <w:t xml:space="preserve"> power plants</w:t>
      </w:r>
      <w:r w:rsidRPr="00055393">
        <w:t xml:space="preserve"> in favor of natural gas and zero-emitting sources;</w:t>
      </w:r>
      <w:r w:rsidR="004374E2">
        <w:t xml:space="preserve"> and</w:t>
      </w:r>
      <w:r w:rsidRPr="00055393">
        <w:t xml:space="preserve"> </w:t>
      </w:r>
    </w:p>
    <w:p w14:paraId="2D82EC1D" w14:textId="429A77A6" w:rsidR="00DE1363" w:rsidRPr="00055393" w:rsidRDefault="00DE1363" w:rsidP="00673344">
      <w:pPr>
        <w:pStyle w:val="BodyText"/>
        <w:numPr>
          <w:ilvl w:val="0"/>
          <w:numId w:val="11"/>
        </w:numPr>
        <w:jc w:val="both"/>
      </w:pPr>
      <w:r w:rsidRPr="00055393">
        <w:rPr>
          <w:b/>
        </w:rPr>
        <w:t>LNG Exports</w:t>
      </w:r>
      <w:r w:rsidRPr="00055393">
        <w:t xml:space="preserve">, </w:t>
      </w:r>
      <w:r w:rsidR="0093112D">
        <w:t xml:space="preserve">abundant </w:t>
      </w:r>
      <w:r w:rsidR="00BD4308">
        <w:t xml:space="preserve">gas </w:t>
      </w:r>
      <w:r w:rsidR="0093112D">
        <w:t xml:space="preserve">supply and low gas prices in many regions of </w:t>
      </w:r>
      <w:r w:rsidR="006200BC">
        <w:t xml:space="preserve">the </w:t>
      </w:r>
      <w:r w:rsidR="0093112D">
        <w:t>country have led to significant proposed investment</w:t>
      </w:r>
      <w:r w:rsidR="00BD4308">
        <w:t>s in LNG export capacity as compan</w:t>
      </w:r>
      <w:r w:rsidR="0093112D">
        <w:t>ies seek to take advantage of</w:t>
      </w:r>
      <w:r w:rsidRPr="00055393">
        <w:t xml:space="preserve"> international gas prices</w:t>
      </w:r>
      <w:r w:rsidR="00975573">
        <w:t>;</w:t>
      </w:r>
      <w:r w:rsidRPr="00055393">
        <w:t xml:space="preserve"> </w:t>
      </w:r>
      <w:r w:rsidR="0093112D">
        <w:t>further</w:t>
      </w:r>
      <w:r w:rsidR="006200BC">
        <w:t>,</w:t>
      </w:r>
      <w:r w:rsidR="00C677B5" w:rsidRPr="00055393">
        <w:t xml:space="preserve"> the federal government</w:t>
      </w:r>
      <w:r w:rsidR="0093112D">
        <w:t xml:space="preserve"> has signaled increasing</w:t>
      </w:r>
      <w:r w:rsidR="00C677B5" w:rsidRPr="00055393">
        <w:t xml:space="preserve"> openness to </w:t>
      </w:r>
      <w:r w:rsidRPr="00055393">
        <w:t>LNG exports</w:t>
      </w:r>
      <w:r w:rsidR="004374E2">
        <w:t>.</w:t>
      </w:r>
    </w:p>
    <w:p w14:paraId="743B3CA6" w14:textId="2A0462FA" w:rsidR="00C56993" w:rsidRPr="00C56993" w:rsidRDefault="00C56993" w:rsidP="00C56993">
      <w:pPr>
        <w:pStyle w:val="BodyText"/>
        <w:jc w:val="both"/>
      </w:pPr>
      <w:r w:rsidRPr="00055393">
        <w:t xml:space="preserve">Section </w:t>
      </w:r>
      <w:r w:rsidR="000C2D6D" w:rsidRPr="00055393">
        <w:t>3</w:t>
      </w:r>
      <w:r w:rsidR="006950E5">
        <w:t xml:space="preserve"> </w:t>
      </w:r>
      <w:r w:rsidRPr="00055393">
        <w:t>address</w:t>
      </w:r>
      <w:r w:rsidR="006950E5">
        <w:t>es</w:t>
      </w:r>
      <w:r w:rsidRPr="00055393">
        <w:t xml:space="preserve"> these demand drivers and the different views on the gas resource in greater detail.</w:t>
      </w:r>
    </w:p>
    <w:p w14:paraId="73A1BA26" w14:textId="2C09717D" w:rsidR="00C946E5" w:rsidRDefault="00DE1363" w:rsidP="00C946E5">
      <w:pPr>
        <w:pStyle w:val="Heading3"/>
        <w:numPr>
          <w:ilvl w:val="2"/>
          <w:numId w:val="2"/>
        </w:numPr>
        <w:ind w:left="0" w:hanging="720"/>
      </w:pPr>
      <w:bookmarkStart w:id="15" w:name="_Toc528761242"/>
      <w:r w:rsidRPr="00B16723">
        <w:t>Oil</w:t>
      </w:r>
      <w:bookmarkEnd w:id="15"/>
    </w:p>
    <w:p w14:paraId="7574DAD8" w14:textId="77777777" w:rsidR="00ED501A" w:rsidRDefault="00ED501A" w:rsidP="00ED501A">
      <w:pPr>
        <w:pStyle w:val="BodyText"/>
        <w:jc w:val="both"/>
      </w:pPr>
      <w:r>
        <w:t>At the commencement of modeling in early 2018, CRA observed a wide spread of recent international oil price forecasts. CRA assessed certain forecasts (e.g. AEO 2018 High Oil Price and Low Oil Price) as unsustainable over the long term, because market demand and supply respond to extended periods of high or low market prices, driving prices back towards the central trend. Still, the forecasts that remained represented radically different views of the global oil markets over the next 40 years. CRA attributes these discrepancies to different but reasonably probable perspectives on the direction and timing of key market drivers. It is extremely difficult to predict with any confidence the geopolitical developments that will shape OPEC’s market strategy, for instance. Given this uncertainty, it is best to view the Budget 2019 oil price forecast as a central tendency to which a range of possible forecasts revert. Through this lens, CRA determined that the EIA’s AEO 2018 Reference case was most consistent with CRA’s crude oil outlook.</w:t>
      </w:r>
    </w:p>
    <w:p w14:paraId="1EFC7C71" w14:textId="521C5AF8" w:rsidR="00ED501A" w:rsidRDefault="00ED501A" w:rsidP="00ED501A">
      <w:pPr>
        <w:pStyle w:val="BodyText"/>
        <w:jc w:val="both"/>
      </w:pPr>
      <w:r>
        <w:t>Just as with natural gas, supply and demand assumptions are the key drivers of the oil price forecast. However, international drivers currently play a much larger role in setting long-term oil prices. In particular, Asian economic growth has long been a driver for international crude oil demand.</w:t>
      </w:r>
      <w:r w:rsidR="003169EF">
        <w:t xml:space="preserve"> </w:t>
      </w:r>
      <w:r w:rsidR="006950E5">
        <w:t xml:space="preserve">CRA </w:t>
      </w:r>
      <w:r>
        <w:t>assume</w:t>
      </w:r>
      <w:r w:rsidR="006950E5">
        <w:t>s</w:t>
      </w:r>
      <w:r>
        <w:t xml:space="preserve"> that Asia will continue this trend, and expect the expansion of the personal transport sector in both India, China and smaller Asian countries to contribute to increased oil demand over the modeling horizon. Domestically, the Trump administration has announced its intention to freeze stringent fuel economy standards for passenger vehicles proposed by the Obama administration, which could put upwards pressure on demand over </w:t>
      </w:r>
      <w:r>
        <w:lastRenderedPageBreak/>
        <w:t>the next decade. Although certain pockets of the country may see increased penetration of alternative-fuel vehicles, our scenario set does not include a high level of penetration by 2nd and 3rd generation biofuels or electric vehicles.</w:t>
      </w:r>
    </w:p>
    <w:p w14:paraId="573ECB26" w14:textId="498024F1" w:rsidR="00ED501A" w:rsidRDefault="00ED501A" w:rsidP="00ED501A">
      <w:pPr>
        <w:pStyle w:val="BodyText"/>
        <w:jc w:val="both"/>
      </w:pPr>
      <w:r>
        <w:t xml:space="preserve">On the supply side, CRA believes that OPEC countries will continue to sustain some production discipline, with Saudi Arabia particularly interested in firm oil prices if and when it initiates the planned IPO of a portion of Saudi </w:t>
      </w:r>
      <w:r w:rsidR="006F2450">
        <w:t xml:space="preserve">Aramco. </w:t>
      </w:r>
      <w:r w:rsidR="006950E5">
        <w:t>CRA</w:t>
      </w:r>
      <w:r>
        <w:t xml:space="preserve"> see</w:t>
      </w:r>
      <w:r w:rsidR="006950E5">
        <w:t>s</w:t>
      </w:r>
      <w:r>
        <w:t xml:space="preserve"> some growth in non-OPEC production both domestically and internationally due to the exploitation of tight oil plays, other non-conventional sources and a resumption of deep water exploration to compensate for declining production from mature fields.</w:t>
      </w:r>
    </w:p>
    <w:p w14:paraId="56E49D97" w14:textId="6B9D7A0F" w:rsidR="00A03229" w:rsidRDefault="00ED501A" w:rsidP="00ED501A">
      <w:pPr>
        <w:pStyle w:val="BodyText"/>
        <w:jc w:val="both"/>
      </w:pPr>
      <w:r>
        <w:t xml:space="preserve">The AEO 2018 </w:t>
      </w:r>
      <w:r w:rsidR="003E3B9E">
        <w:t xml:space="preserve">Reference </w:t>
      </w:r>
      <w:r>
        <w:t xml:space="preserve">case projects modest recovery in international oil prices through 2018. This trend is attributable to a more moderate near-term outlook for low-cost tight oil production due to Permian basin infrastructure </w:t>
      </w:r>
      <w:r w:rsidR="006F2450">
        <w:t xml:space="preserve">bottlenecks. </w:t>
      </w:r>
      <w:r>
        <w:t>CRA concurs with this outlook, and believes that the renewed increase in tight oil exploration and production from 2020 through 2027 will buy time before traditional demand destruction economics again set global prices.</w:t>
      </w:r>
    </w:p>
    <w:p w14:paraId="6C98FAF4" w14:textId="43E0465F" w:rsidR="003E3B9E" w:rsidRPr="00A03229" w:rsidRDefault="003E3B9E" w:rsidP="00ED501A">
      <w:pPr>
        <w:pStyle w:val="BodyText"/>
        <w:jc w:val="both"/>
      </w:pPr>
      <w:r>
        <w:t>Section 4 discusses the outlook and drivers for the oil markets in greater detail.</w:t>
      </w:r>
    </w:p>
    <w:p w14:paraId="0D69A16B" w14:textId="20231ECA" w:rsidR="00654483" w:rsidRDefault="00DE1363" w:rsidP="00A03229">
      <w:pPr>
        <w:pStyle w:val="Heading3"/>
        <w:numPr>
          <w:ilvl w:val="2"/>
          <w:numId w:val="2"/>
        </w:numPr>
        <w:ind w:left="0" w:hanging="720"/>
      </w:pPr>
      <w:bookmarkStart w:id="16" w:name="_Ref394496718"/>
      <w:bookmarkStart w:id="17" w:name="_Toc528761243"/>
      <w:r w:rsidRPr="00F9693E">
        <w:t>Coal</w:t>
      </w:r>
      <w:bookmarkEnd w:id="16"/>
      <w:bookmarkEnd w:id="17"/>
    </w:p>
    <w:p w14:paraId="28624603" w14:textId="185FF1D2" w:rsidR="00525DC2" w:rsidRPr="004B00C8" w:rsidRDefault="00392534" w:rsidP="00883EAF">
      <w:pPr>
        <w:pStyle w:val="BodyText"/>
        <w:jc w:val="both"/>
      </w:pPr>
      <w:r w:rsidRPr="004B00C8">
        <w:t xml:space="preserve">Because the </w:t>
      </w:r>
      <w:r w:rsidR="007231A4" w:rsidRPr="004B00C8">
        <w:t>U.S.</w:t>
      </w:r>
      <w:r w:rsidRPr="004B00C8">
        <w:t xml:space="preserve"> power sector has historically</w:t>
      </w:r>
      <w:r w:rsidR="00883EAF" w:rsidRPr="004B00C8">
        <w:t xml:space="preserve"> consumed the vast majority of </w:t>
      </w:r>
      <w:r w:rsidR="007231A4" w:rsidRPr="004B00C8">
        <w:t>U.S.</w:t>
      </w:r>
      <w:r w:rsidR="00883EAF" w:rsidRPr="004B00C8">
        <w:t xml:space="preserve"> coal,</w:t>
      </w:r>
      <w:r w:rsidRPr="004B00C8">
        <w:t xml:space="preserve"> the </w:t>
      </w:r>
      <w:r w:rsidR="00883EAF" w:rsidRPr="004B00C8">
        <w:t xml:space="preserve">key drivers of our </w:t>
      </w:r>
      <w:r w:rsidR="00883666" w:rsidRPr="004B00C8">
        <w:t xml:space="preserve">coal demand </w:t>
      </w:r>
      <w:r w:rsidR="00883EAF" w:rsidRPr="004B00C8">
        <w:t>forecast are</w:t>
      </w:r>
      <w:r w:rsidRPr="004B00C8">
        <w:t xml:space="preserve"> </w:t>
      </w:r>
      <w:r w:rsidR="00883666" w:rsidRPr="004B00C8">
        <w:t xml:space="preserve">(1) </w:t>
      </w:r>
      <w:r w:rsidR="002951D1" w:rsidRPr="004B00C8">
        <w:t xml:space="preserve">how </w:t>
      </w:r>
      <w:r w:rsidR="00883666" w:rsidRPr="004B00C8">
        <w:t xml:space="preserve">the relationship between natural gas and coal commodity prices </w:t>
      </w:r>
      <w:r w:rsidR="002951D1" w:rsidRPr="004B00C8">
        <w:t>influences fuel-switching between coal and natural gas in the power sector</w:t>
      </w:r>
      <w:r w:rsidR="00883666" w:rsidRPr="004B00C8">
        <w:t xml:space="preserve">, and (2) </w:t>
      </w:r>
      <w:r w:rsidR="00E06EBA" w:rsidRPr="004B00C8">
        <w:t>environmental</w:t>
      </w:r>
      <w:r w:rsidRPr="004B00C8">
        <w:t xml:space="preserve"> regulations targeting coal</w:t>
      </w:r>
      <w:r w:rsidR="008B0326" w:rsidRPr="004B00C8">
        <w:t>-</w:t>
      </w:r>
      <w:r w:rsidRPr="004B00C8">
        <w:t>fired power plants.</w:t>
      </w:r>
    </w:p>
    <w:p w14:paraId="5D24A725" w14:textId="79D1F012" w:rsidR="00883EAF" w:rsidRPr="00C42B96" w:rsidRDefault="00883EAF" w:rsidP="00883EAF">
      <w:pPr>
        <w:pStyle w:val="BodyText"/>
        <w:jc w:val="both"/>
      </w:pPr>
      <w:r w:rsidRPr="00C42B96">
        <w:t xml:space="preserve">In response to stringent EPA requirements on </w:t>
      </w:r>
      <w:r w:rsidR="00FA267B" w:rsidRPr="00C42B96">
        <w:t xml:space="preserve">air </w:t>
      </w:r>
      <w:r w:rsidRPr="00C42B96">
        <w:t>emissions</w:t>
      </w:r>
      <w:r w:rsidR="00FA267B" w:rsidRPr="00C42B96">
        <w:t xml:space="preserve">, water intake and wastewater discharges, and coal ash disposal, </w:t>
      </w:r>
      <w:r w:rsidR="002951D1" w:rsidRPr="00C42B96">
        <w:t xml:space="preserve">the </w:t>
      </w:r>
      <w:r w:rsidR="00FA267B" w:rsidRPr="00C42B96">
        <w:t>costs of coal-fired generation are assumed to increase</w:t>
      </w:r>
      <w:r w:rsidR="00757C56" w:rsidRPr="00C42B96">
        <w:t xml:space="preserve">. </w:t>
      </w:r>
      <w:r w:rsidR="006950E5">
        <w:t xml:space="preserve">CRA </w:t>
      </w:r>
      <w:r w:rsidR="007E573E" w:rsidRPr="00C42B96">
        <w:t>assume</w:t>
      </w:r>
      <w:r w:rsidR="006950E5">
        <w:t>s</w:t>
      </w:r>
      <w:r w:rsidR="007E573E" w:rsidRPr="00C42B96">
        <w:t xml:space="preserve"> that existing plants will need to retrofit with environmental controls</w:t>
      </w:r>
      <w:r w:rsidR="00C42B96" w:rsidRPr="00C42B96">
        <w:t>, reduce dispatch,</w:t>
      </w:r>
      <w:r w:rsidR="007E573E" w:rsidRPr="00C42B96">
        <w:t xml:space="preserve"> or retire as</w:t>
      </w:r>
      <w:r w:rsidR="00E7136D">
        <w:t xml:space="preserve"> they face</w:t>
      </w:r>
      <w:r w:rsidR="007E573E" w:rsidRPr="00C42B96">
        <w:t xml:space="preserve"> new requirements</w:t>
      </w:r>
      <w:r w:rsidR="00757C56" w:rsidRPr="00C42B96">
        <w:t xml:space="preserve">. </w:t>
      </w:r>
      <w:r w:rsidR="004064DC" w:rsidRPr="00C42B96">
        <w:t>Furthermore</w:t>
      </w:r>
      <w:r w:rsidR="00FA267B" w:rsidRPr="00C42B96">
        <w:t xml:space="preserve">, </w:t>
      </w:r>
      <w:r w:rsidR="00FC7B66">
        <w:t>NSPS prevent</w:t>
      </w:r>
      <w:r w:rsidR="00A365B6">
        <w:t>s</w:t>
      </w:r>
      <w:r w:rsidR="00A632E0" w:rsidRPr="00C42B96">
        <w:t xml:space="preserve"> </w:t>
      </w:r>
      <w:r w:rsidRPr="00C42B96">
        <w:t xml:space="preserve">the construction of new coal-fired generation without </w:t>
      </w:r>
      <w:r w:rsidR="000C15FD" w:rsidRPr="00C42B96">
        <w:t>carbon capture and storage (</w:t>
      </w:r>
      <w:r w:rsidRPr="00C42B96">
        <w:t>CCS</w:t>
      </w:r>
      <w:r w:rsidR="000C15FD" w:rsidRPr="00C42B96">
        <w:t>)</w:t>
      </w:r>
      <w:r w:rsidRPr="00C42B96">
        <w:t>.</w:t>
      </w:r>
    </w:p>
    <w:p w14:paraId="205C3780" w14:textId="31CFE473" w:rsidR="00496327" w:rsidRDefault="00456AF5" w:rsidP="00883EAF">
      <w:pPr>
        <w:pStyle w:val="BodyText"/>
        <w:jc w:val="both"/>
      </w:pPr>
      <w:r w:rsidRPr="00C42B96">
        <w:t>In Budget 201</w:t>
      </w:r>
      <w:r w:rsidR="001257D4">
        <w:t>9</w:t>
      </w:r>
      <w:r w:rsidR="004134B7" w:rsidRPr="00C42B96">
        <w:t xml:space="preserve">, </w:t>
      </w:r>
      <w:r w:rsidR="004C1559" w:rsidRPr="00C42B96">
        <w:t>like Budget 201</w:t>
      </w:r>
      <w:r w:rsidR="001257D4">
        <w:t>8</w:t>
      </w:r>
      <w:r w:rsidR="00516DC3">
        <w:t xml:space="preserve">, </w:t>
      </w:r>
      <w:r w:rsidR="000614F9" w:rsidRPr="00C42B96">
        <w:t xml:space="preserve">certain scenarios impose </w:t>
      </w:r>
      <w:r w:rsidR="004134B7" w:rsidRPr="00C42B96">
        <w:t>more proscriptive assumptions around natural gas-fired combined-cycle (</w:t>
      </w:r>
      <w:r w:rsidR="00883666" w:rsidRPr="00C42B96">
        <w:t>NG</w:t>
      </w:r>
      <w:r w:rsidR="004134B7" w:rsidRPr="00C42B96">
        <w:t>CC) and nuclear capacity</w:t>
      </w:r>
      <w:r w:rsidR="00516DC3">
        <w:t>. These limits</w:t>
      </w:r>
      <w:r w:rsidR="004134B7" w:rsidRPr="00C42B96">
        <w:t xml:space="preserve"> </w:t>
      </w:r>
      <w:r w:rsidR="00516DC3">
        <w:t>mak</w:t>
      </w:r>
      <w:r w:rsidR="0045003F" w:rsidRPr="00C42B96">
        <w:t xml:space="preserve">e new CCS-equipped </w:t>
      </w:r>
      <w:r w:rsidR="004134B7" w:rsidRPr="00C42B96">
        <w:t xml:space="preserve">plants </w:t>
      </w:r>
      <w:r w:rsidR="00516DC3">
        <w:t xml:space="preserve">a </w:t>
      </w:r>
      <w:r w:rsidR="004134B7" w:rsidRPr="00C42B96">
        <w:t xml:space="preserve">more </w:t>
      </w:r>
      <w:r w:rsidR="002951D1" w:rsidRPr="00C42B96">
        <w:t>viable</w:t>
      </w:r>
      <w:r w:rsidR="00516DC3">
        <w:t xml:space="preserve"> option</w:t>
      </w:r>
      <w:r w:rsidR="004134B7" w:rsidRPr="00C42B96">
        <w:t xml:space="preserve"> for meeting long term demand growth</w:t>
      </w:r>
      <w:r w:rsidR="00D04E01" w:rsidRPr="00C42B96">
        <w:t xml:space="preserve"> in the</w:t>
      </w:r>
      <w:r w:rsidR="00C42B96">
        <w:t xml:space="preserve"> </w:t>
      </w:r>
      <w:r w:rsidR="00EA2C4B">
        <w:t xml:space="preserve">moderate and </w:t>
      </w:r>
      <w:r w:rsidR="00C42B96">
        <w:t>high gas price cases</w:t>
      </w:r>
      <w:r w:rsidR="00516DC3">
        <w:t xml:space="preserve"> that also </w:t>
      </w:r>
      <w:r w:rsidR="009611DC">
        <w:t>include</w:t>
      </w:r>
      <w:r w:rsidR="00516DC3">
        <w:t xml:space="preserve"> carbon pricing</w:t>
      </w:r>
      <w:r w:rsidR="00757C56" w:rsidRPr="00C42B96">
        <w:t>.</w:t>
      </w:r>
      <w:r w:rsidR="00757C56" w:rsidRPr="004B00C8">
        <w:t xml:space="preserve"> </w:t>
      </w:r>
      <w:r w:rsidRPr="004B00C8">
        <w:t xml:space="preserve">Budget </w:t>
      </w:r>
      <w:r w:rsidR="00496327">
        <w:t>201</w:t>
      </w:r>
      <w:r w:rsidR="001257D4">
        <w:t>9</w:t>
      </w:r>
      <w:r w:rsidR="00EA2C4B">
        <w:t xml:space="preserve"> had</w:t>
      </w:r>
      <w:r w:rsidR="00496327">
        <w:t xml:space="preserve"> </w:t>
      </w:r>
      <w:r w:rsidR="00905FC6" w:rsidRPr="004B00C8">
        <w:t>full CCS (90% capture) versions of integrated coal-gasification combined cycle (IGCC w/ CCS) and natural gas-fired CCs (</w:t>
      </w:r>
      <w:r w:rsidR="00883666" w:rsidRPr="004B00C8">
        <w:t>NG</w:t>
      </w:r>
      <w:r w:rsidR="00905FC6" w:rsidRPr="004B00C8">
        <w:t>CC w/ CCS)</w:t>
      </w:r>
      <w:r w:rsidR="00975573">
        <w:t xml:space="preserve"> units. </w:t>
      </w:r>
    </w:p>
    <w:p w14:paraId="716093E4" w14:textId="1E14205E" w:rsidR="001A6F5C" w:rsidRDefault="00496327" w:rsidP="00883EAF">
      <w:pPr>
        <w:pStyle w:val="BodyText"/>
        <w:jc w:val="both"/>
      </w:pPr>
      <w:r>
        <w:t>U</w:t>
      </w:r>
      <w:r w:rsidR="00392534" w:rsidRPr="004B00C8">
        <w:t xml:space="preserve">nder the </w:t>
      </w:r>
      <w:r w:rsidR="00C05EE8" w:rsidRPr="004B00C8">
        <w:t xml:space="preserve">natural </w:t>
      </w:r>
      <w:r w:rsidR="00392534" w:rsidRPr="004B00C8">
        <w:t xml:space="preserve">gas </w:t>
      </w:r>
      <w:r w:rsidR="00883EAF" w:rsidRPr="004B00C8">
        <w:t>and CO</w:t>
      </w:r>
      <w:r w:rsidR="00883EAF" w:rsidRPr="004B00C8">
        <w:rPr>
          <w:vertAlign w:val="subscript"/>
        </w:rPr>
        <w:t>2</w:t>
      </w:r>
      <w:r w:rsidR="00392534" w:rsidRPr="004B00C8">
        <w:t xml:space="preserve"> prices considered in B</w:t>
      </w:r>
      <w:r w:rsidR="00883EAF" w:rsidRPr="004B00C8">
        <w:t>udget</w:t>
      </w:r>
      <w:r w:rsidR="00392534" w:rsidRPr="004B00C8">
        <w:t xml:space="preserve"> </w:t>
      </w:r>
      <w:r w:rsidR="007C3BCC" w:rsidRPr="004B00C8">
        <w:t>201</w:t>
      </w:r>
      <w:r w:rsidR="001257D4">
        <w:t>9</w:t>
      </w:r>
      <w:r w:rsidR="007C3BCC" w:rsidRPr="004B00C8">
        <w:t xml:space="preserve"> </w:t>
      </w:r>
      <w:r w:rsidR="00883EAF" w:rsidRPr="004B00C8">
        <w:t>scenarios</w:t>
      </w:r>
      <w:r w:rsidR="000A7E74" w:rsidRPr="004B00C8">
        <w:t>,</w:t>
      </w:r>
      <w:r w:rsidR="00392534" w:rsidRPr="004B00C8">
        <w:t xml:space="preserve"> new coal</w:t>
      </w:r>
      <w:r w:rsidR="007B73CB" w:rsidRPr="004B00C8">
        <w:t>-</w:t>
      </w:r>
      <w:r w:rsidR="00392534" w:rsidRPr="004B00C8">
        <w:t xml:space="preserve">fired </w:t>
      </w:r>
      <w:r w:rsidR="00883EAF" w:rsidRPr="004B00C8">
        <w:t>plants with CCS</w:t>
      </w:r>
      <w:r>
        <w:t xml:space="preserve"> </w:t>
      </w:r>
      <w:r w:rsidR="00905FC6" w:rsidRPr="004B00C8">
        <w:t>prove</w:t>
      </w:r>
      <w:r w:rsidR="00883EAF" w:rsidRPr="004B00C8">
        <w:t xml:space="preserve"> economic</w:t>
      </w:r>
      <w:r w:rsidR="00905FC6" w:rsidRPr="004B00C8">
        <w:t xml:space="preserve"> only in </w:t>
      </w:r>
      <w:r w:rsidR="00EA2C4B">
        <w:t>year</w:t>
      </w:r>
      <w:r w:rsidR="00EA2C4B" w:rsidRPr="004B00C8">
        <w:t xml:space="preserve">s </w:t>
      </w:r>
      <w:r w:rsidR="00905FC6" w:rsidRPr="004B00C8">
        <w:t>featuring high natural gas prices</w:t>
      </w:r>
      <w:r w:rsidR="00080FAB">
        <w:t xml:space="preserve"> </w:t>
      </w:r>
      <w:r w:rsidR="00CF3748">
        <w:t>and</w:t>
      </w:r>
      <w:r w:rsidR="00080FAB">
        <w:t xml:space="preserve"> CO</w:t>
      </w:r>
      <w:r w:rsidR="00080FAB" w:rsidRPr="00080FAB">
        <w:rPr>
          <w:vertAlign w:val="subscript"/>
        </w:rPr>
        <w:t>2</w:t>
      </w:r>
      <w:r w:rsidR="00080FAB">
        <w:t xml:space="preserve"> price</w:t>
      </w:r>
      <w:r w:rsidR="00CF3748">
        <w:t xml:space="preserve"> pressure</w:t>
      </w:r>
      <w:r w:rsidR="00905FC6" w:rsidRPr="004B00C8">
        <w:t xml:space="preserve">, and not </w:t>
      </w:r>
      <w:r w:rsidR="000C62A8" w:rsidRPr="004B00C8">
        <w:t xml:space="preserve">in any significant amount until around </w:t>
      </w:r>
      <w:r w:rsidR="000C62A8" w:rsidRPr="00040F0B">
        <w:t>20</w:t>
      </w:r>
      <w:r w:rsidR="007C3BCC" w:rsidRPr="00040F0B">
        <w:t>5</w:t>
      </w:r>
      <w:r w:rsidR="00CF3748" w:rsidRPr="00040F0B">
        <w:t>3</w:t>
      </w:r>
      <w:r w:rsidR="00757C56" w:rsidRPr="00040F0B">
        <w:t>.</w:t>
      </w:r>
      <w:r w:rsidR="001A6F5C">
        <w:t xml:space="preserve"> </w:t>
      </w:r>
    </w:p>
    <w:p w14:paraId="622D3046" w14:textId="78E0BCB2" w:rsidR="003460E7" w:rsidRPr="004B00C8" w:rsidRDefault="000034AE" w:rsidP="00883EAF">
      <w:pPr>
        <w:pStyle w:val="BodyText"/>
        <w:jc w:val="both"/>
      </w:pPr>
      <w:r>
        <w:t xml:space="preserve">A small number of </w:t>
      </w:r>
      <w:r w:rsidR="001A6F5C">
        <w:t>CCS retrofits on existing coal units were selected in the $10 and $20 CO</w:t>
      </w:r>
      <w:r w:rsidR="001A6F5C" w:rsidRPr="00222615">
        <w:rPr>
          <w:vertAlign w:val="subscript"/>
        </w:rPr>
        <w:t>2</w:t>
      </w:r>
      <w:r w:rsidR="001A6F5C">
        <w:t xml:space="preserve"> cases across all gas price views. </w:t>
      </w:r>
      <w:r>
        <w:t>Some of t</w:t>
      </w:r>
      <w:r w:rsidR="00605582">
        <w:t>hese units are taking</w:t>
      </w:r>
      <w:r w:rsidR="001A6F5C">
        <w:t xml:space="preserve"> advantage of the 45Q tax credit and</w:t>
      </w:r>
      <w:r w:rsidR="00605582">
        <w:t xml:space="preserve"> enhanced oil recovery revenue available in oil producing regions of the U.S.</w:t>
      </w:r>
      <w:r w:rsidR="003169EF">
        <w:t xml:space="preserve"> </w:t>
      </w:r>
      <w:r w:rsidR="00605582">
        <w:t xml:space="preserve">In the MG20 and HG20 cases, the model </w:t>
      </w:r>
      <w:r w:rsidR="009611DC">
        <w:t>constructs</w:t>
      </w:r>
      <w:r w:rsidR="00605582">
        <w:t xml:space="preserve"> additional retrofits beginni</w:t>
      </w:r>
      <w:r w:rsidR="00605582" w:rsidRPr="00040F0B">
        <w:t>ng in late 2040’s and early 2050’s.</w:t>
      </w:r>
      <w:r w:rsidR="00605582">
        <w:t xml:space="preserve"> </w:t>
      </w:r>
      <w:r w:rsidR="000D6FE1">
        <w:t>However, the overall level of CCS activity is limited in scope and</w:t>
      </w:r>
      <w:r w:rsidR="00605582">
        <w:t xml:space="preserve"> CRA’s results show</w:t>
      </w:r>
      <w:r w:rsidR="00456AF5" w:rsidRPr="00080FAB">
        <w:t xml:space="preserve"> that new </w:t>
      </w:r>
      <w:r w:rsidR="002951D1" w:rsidRPr="00080FAB">
        <w:t xml:space="preserve">CCS-equipped </w:t>
      </w:r>
      <w:r w:rsidR="00456AF5" w:rsidRPr="00080FAB">
        <w:t xml:space="preserve">coal cannot come close to replacing </w:t>
      </w:r>
      <w:r w:rsidR="002951D1" w:rsidRPr="00080FAB">
        <w:t xml:space="preserve">the retirement of </w:t>
      </w:r>
      <w:r w:rsidR="00456AF5" w:rsidRPr="00080FAB">
        <w:t xml:space="preserve">existing coal units </w:t>
      </w:r>
      <w:r w:rsidR="002951D1" w:rsidRPr="00080FAB">
        <w:t>particularly vulnerable to</w:t>
      </w:r>
      <w:r w:rsidR="00456AF5" w:rsidRPr="00080FAB">
        <w:t xml:space="preserve"> </w:t>
      </w:r>
      <w:r w:rsidR="002951D1" w:rsidRPr="00080FAB">
        <w:t>near</w:t>
      </w:r>
      <w:r w:rsidR="006200BC">
        <w:t>-</w:t>
      </w:r>
      <w:r w:rsidR="002951D1" w:rsidRPr="00080FAB">
        <w:t>term en</w:t>
      </w:r>
      <w:r w:rsidR="00456AF5" w:rsidRPr="00080FAB">
        <w:t xml:space="preserve">vironmental </w:t>
      </w:r>
      <w:r w:rsidR="002951D1" w:rsidRPr="00080FAB">
        <w:t>regulations</w:t>
      </w:r>
      <w:r w:rsidR="00757C56" w:rsidRPr="00080FAB">
        <w:t xml:space="preserve">. </w:t>
      </w:r>
      <w:r w:rsidR="00456AF5" w:rsidRPr="00014FA5">
        <w:t xml:space="preserve">In turn, electric-sector </w:t>
      </w:r>
      <w:r w:rsidR="00456AF5" w:rsidRPr="00014FA5">
        <w:lastRenderedPageBreak/>
        <w:t xml:space="preserve">coal demand falls from </w:t>
      </w:r>
      <w:r w:rsidR="00F6564D">
        <w:t>current</w:t>
      </w:r>
      <w:r w:rsidR="00902115" w:rsidRPr="00014FA5">
        <w:t xml:space="preserve"> </w:t>
      </w:r>
      <w:r w:rsidR="00456AF5" w:rsidRPr="00014FA5">
        <w:t>levels across all Budget 201</w:t>
      </w:r>
      <w:r w:rsidR="00CD7ECB">
        <w:t>9</w:t>
      </w:r>
      <w:r w:rsidR="00456AF5" w:rsidRPr="00014FA5">
        <w:t xml:space="preserve"> sce</w:t>
      </w:r>
      <w:r w:rsidR="00F6564D">
        <w:t>narios</w:t>
      </w:r>
      <w:r w:rsidR="00DA4F95">
        <w:t xml:space="preserve"> with CO</w:t>
      </w:r>
      <w:r w:rsidR="00DA4F95" w:rsidRPr="00DA4F95">
        <w:rPr>
          <w:vertAlign w:val="subscript"/>
        </w:rPr>
        <w:t>2</w:t>
      </w:r>
      <w:r w:rsidR="00DA4F95">
        <w:t xml:space="preserve"> pressure</w:t>
      </w:r>
      <w:r w:rsidR="00F6564D">
        <w:t xml:space="preserve"> as more stringent environmental regulations take</w:t>
      </w:r>
      <w:r w:rsidR="00456AF5" w:rsidRPr="00080FAB">
        <w:t xml:space="preserve"> effect.</w:t>
      </w:r>
    </w:p>
    <w:p w14:paraId="383A5565" w14:textId="26010275" w:rsidR="00516DC3" w:rsidRPr="00DA4F95" w:rsidRDefault="00516DC3" w:rsidP="00883EAF">
      <w:pPr>
        <w:pStyle w:val="BodyText"/>
        <w:jc w:val="both"/>
      </w:pPr>
      <w:r w:rsidRPr="00DA4F95">
        <w:t>On the other hand, production cost increases in the majority of U.S. coal basins are putting upward pressure on m</w:t>
      </w:r>
      <w:r w:rsidR="00456AF5" w:rsidRPr="00DA4F95">
        <w:t>ine mouth coal p</w:t>
      </w:r>
      <w:r w:rsidRPr="00DA4F95">
        <w:t xml:space="preserve">rices. Thus, </w:t>
      </w:r>
      <w:r w:rsidR="006950E5">
        <w:t>CRA</w:t>
      </w:r>
      <w:r w:rsidR="006950E5" w:rsidRPr="00DA4F95">
        <w:t xml:space="preserve"> </w:t>
      </w:r>
      <w:r w:rsidRPr="00DA4F95">
        <w:t>see</w:t>
      </w:r>
      <w:r w:rsidR="006950E5">
        <w:t>s</w:t>
      </w:r>
      <w:r w:rsidRPr="00DA4F95">
        <w:t xml:space="preserve"> some growth in long-term coal prices</w:t>
      </w:r>
      <w:r w:rsidR="000A7E74" w:rsidRPr="00DA4F95">
        <w:t xml:space="preserve"> </w:t>
      </w:r>
      <w:r w:rsidRPr="00DA4F95">
        <w:t>even in the</w:t>
      </w:r>
      <w:r w:rsidR="00456AF5" w:rsidRPr="00DA4F95">
        <w:t xml:space="preserve"> scenario</w:t>
      </w:r>
      <w:r w:rsidRPr="00DA4F95">
        <w:t>s with the most pessimistic views on</w:t>
      </w:r>
      <w:r w:rsidR="00456AF5" w:rsidRPr="00DA4F95">
        <w:t xml:space="preserve"> el</w:t>
      </w:r>
      <w:r w:rsidRPr="00DA4F95">
        <w:t>ectric-sector coal demand</w:t>
      </w:r>
      <w:r w:rsidR="00757C56" w:rsidRPr="00DA4F95">
        <w:t xml:space="preserve">. </w:t>
      </w:r>
    </w:p>
    <w:p w14:paraId="7AA1D49A" w14:textId="30EAC94D" w:rsidR="00883EAF" w:rsidRDefault="00456AF5" w:rsidP="00883EAF">
      <w:pPr>
        <w:pStyle w:val="BodyText"/>
        <w:jc w:val="both"/>
      </w:pPr>
      <w:r w:rsidRPr="00DA4F95">
        <w:t>In turn, coal prices</w:t>
      </w:r>
      <w:r w:rsidR="002951D1" w:rsidRPr="00DA4F95">
        <w:t xml:space="preserve"> generally</w:t>
      </w:r>
      <w:r w:rsidR="003460E7" w:rsidRPr="00DA4F95">
        <w:t xml:space="preserve"> </w:t>
      </w:r>
      <w:r w:rsidRPr="00DA4F95">
        <w:t>increase slightly over time in the</w:t>
      </w:r>
      <w:r w:rsidR="003460E7" w:rsidRPr="00DA4F95">
        <w:t xml:space="preserve"> </w:t>
      </w:r>
      <w:r w:rsidR="00F85E3D" w:rsidRPr="00DA4F95">
        <w:t>view</w:t>
      </w:r>
      <w:r w:rsidR="003460E7" w:rsidRPr="00DA4F95">
        <w:t>s</w:t>
      </w:r>
      <w:r w:rsidRPr="00DA4F95">
        <w:t xml:space="preserve"> lacking a </w:t>
      </w:r>
      <w:r w:rsidR="003460E7" w:rsidRPr="00DA4F95">
        <w:t>CO</w:t>
      </w:r>
      <w:r w:rsidR="003460E7" w:rsidRPr="00DA4F95">
        <w:rPr>
          <w:vertAlign w:val="subscript"/>
        </w:rPr>
        <w:t>2</w:t>
      </w:r>
      <w:r w:rsidR="003460E7" w:rsidRPr="00DA4F95">
        <w:t xml:space="preserve"> price, while, in the CO</w:t>
      </w:r>
      <w:r w:rsidR="003460E7" w:rsidRPr="00DA4F95">
        <w:rPr>
          <w:vertAlign w:val="subscript"/>
        </w:rPr>
        <w:t>2</w:t>
      </w:r>
      <w:r w:rsidR="003460E7" w:rsidRPr="00DA4F95">
        <w:t xml:space="preserve"> price </w:t>
      </w:r>
      <w:r w:rsidR="00F85E3D" w:rsidRPr="00DA4F95">
        <w:t>view</w:t>
      </w:r>
      <w:r w:rsidR="003460E7" w:rsidRPr="00DA4F95">
        <w:t xml:space="preserve">s, prices initially decline and then either flatten out or slowly </w:t>
      </w:r>
      <w:r w:rsidR="002951D1" w:rsidRPr="00DA4F95">
        <w:t>recover to levels</w:t>
      </w:r>
      <w:r w:rsidR="00B10640" w:rsidRPr="00DA4F95">
        <w:t xml:space="preserve"> near or slightly above</w:t>
      </w:r>
      <w:r w:rsidR="00F6564D" w:rsidRPr="00DA4F95">
        <w:t xml:space="preserve"> current</w:t>
      </w:r>
      <w:r w:rsidR="00B10640" w:rsidRPr="00DA4F95">
        <w:t xml:space="preserve"> prices</w:t>
      </w:r>
      <w:r w:rsidR="003460E7" w:rsidRPr="00DA4F95">
        <w:t>.</w:t>
      </w:r>
    </w:p>
    <w:p w14:paraId="56E0C155" w14:textId="14968CC2" w:rsidR="00D72926" w:rsidRDefault="00D72926" w:rsidP="00883EAF">
      <w:pPr>
        <w:pStyle w:val="BodyText"/>
        <w:jc w:val="both"/>
      </w:pPr>
      <w:r>
        <w:t xml:space="preserve">Section 5 discusses the key market drivers and outlooks for the major coal basins in greater detail. </w:t>
      </w:r>
    </w:p>
    <w:p w14:paraId="2D661CB8" w14:textId="77777777" w:rsidR="00DE1363" w:rsidRDefault="00DE1363" w:rsidP="00DE1363">
      <w:pPr>
        <w:pStyle w:val="Heading2"/>
        <w:numPr>
          <w:ilvl w:val="1"/>
          <w:numId w:val="2"/>
        </w:numPr>
        <w:ind w:left="0" w:hanging="720"/>
        <w:rPr>
          <w:smallCaps w:val="0"/>
        </w:rPr>
      </w:pPr>
      <w:bookmarkStart w:id="18" w:name="_Toc528761244"/>
      <w:r>
        <w:rPr>
          <w:smallCaps w:val="0"/>
        </w:rPr>
        <w:t xml:space="preserve">Environmental </w:t>
      </w:r>
      <w:r w:rsidR="00C56993">
        <w:rPr>
          <w:smallCaps w:val="0"/>
        </w:rPr>
        <w:t>Regulations</w:t>
      </w:r>
      <w:bookmarkEnd w:id="18"/>
    </w:p>
    <w:p w14:paraId="78FFB7AE" w14:textId="52B649E0" w:rsidR="00007C52" w:rsidRDefault="00007C52" w:rsidP="003169EF">
      <w:pPr>
        <w:pStyle w:val="BodyText"/>
        <w:jc w:val="both"/>
      </w:pPr>
      <w:r>
        <w:t>CRA includes a range of environmental regulations covering greenhouse gases and other airbo</w:t>
      </w:r>
      <w:r w:rsidR="000D6FE1">
        <w:t>r</w:t>
      </w:r>
      <w:r>
        <w:t xml:space="preserve">ne pollutants, renewable energy standards, treatment and disposal of coal ash, </w:t>
      </w:r>
      <w:r w:rsidR="00D72926">
        <w:t xml:space="preserve">scrubber wastewater, </w:t>
      </w:r>
      <w:r>
        <w:t>and water used for power plant cooling in the B</w:t>
      </w:r>
      <w:r w:rsidR="000D6FE1">
        <w:t xml:space="preserve">udget </w:t>
      </w:r>
      <w:r>
        <w:t>2019 scenarios. These policies require fossil-fired generating units to install control technologies based on their location, size, and generation type. A detailed discussion of CRA’s outlook on environmental policies is included below in Section</w:t>
      </w:r>
      <w:r w:rsidR="00FD5777">
        <w:t xml:space="preserve"> 6.</w:t>
      </w:r>
    </w:p>
    <w:p w14:paraId="4E1ACB92" w14:textId="3039D49A" w:rsidR="00007C52" w:rsidRDefault="00007C52" w:rsidP="00007C52">
      <w:pPr>
        <w:pStyle w:val="BodyText"/>
        <w:jc w:val="both"/>
      </w:pPr>
      <w:r>
        <w:t>CRA believes the greatest uncertainty surrounds the regulation of GHGs, and includes varying degrees of CO</w:t>
      </w:r>
      <w:r w:rsidRPr="0012426F">
        <w:rPr>
          <w:vertAlign w:val="subscript"/>
        </w:rPr>
        <w:t>2</w:t>
      </w:r>
      <w:r>
        <w:t xml:space="preserve"> pressure as a scenario variable in </w:t>
      </w:r>
      <w:r w:rsidR="006F2450">
        <w:t>Budget 2019</w:t>
      </w:r>
      <w:r>
        <w:t>. GHG and other environmental</w:t>
      </w:r>
      <w:r w:rsidRPr="00FE5133">
        <w:t xml:space="preserve"> regulations have several impacts on the </w:t>
      </w:r>
      <w:r>
        <w:t xml:space="preserve">expected </w:t>
      </w:r>
      <w:r w:rsidRPr="00FE5133">
        <w:t xml:space="preserve">operations of </w:t>
      </w:r>
      <w:r>
        <w:t xml:space="preserve">electric generators and the model’s </w:t>
      </w:r>
      <w:r w:rsidRPr="00FE5133">
        <w:t>selection of</w:t>
      </w:r>
      <w:r>
        <w:t xml:space="preserve"> what type of</w:t>
      </w:r>
      <w:r w:rsidRPr="00FE5133">
        <w:t xml:space="preserve"> new generating capacity</w:t>
      </w:r>
      <w:r>
        <w:t xml:space="preserve"> will be</w:t>
      </w:r>
      <w:r w:rsidRPr="00FE5133">
        <w:t xml:space="preserve"> built</w:t>
      </w:r>
      <w:r>
        <w:t xml:space="preserve"> to meet energy and load requirements, a</w:t>
      </w:r>
      <w:r w:rsidRPr="00FE5133">
        <w:t>s many of these regulations place a significantly higher burden on existing coal-fired generators</w:t>
      </w:r>
      <w:r>
        <w:t xml:space="preserve"> compared to other forms of generation. Subsequently,</w:t>
      </w:r>
      <w:r w:rsidRPr="00FE5133">
        <w:t xml:space="preserve"> these units face greater risks of retirement or lower dispatch. Coal retirements and/or lower dispatch have implications for the demand and pricing of coal and natural gas, the latter of which can substitute for coal in the electric sector, especially in the near term.</w:t>
      </w:r>
    </w:p>
    <w:p w14:paraId="34D75025" w14:textId="3EEEF0E6" w:rsidR="0012426F" w:rsidRDefault="0012426F" w:rsidP="00E771D0">
      <w:pPr>
        <w:pStyle w:val="BodyText"/>
        <w:keepNext/>
        <w:jc w:val="both"/>
      </w:pPr>
      <w:r w:rsidRPr="00624446">
        <w:t>The CO</w:t>
      </w:r>
      <w:r w:rsidRPr="00624446">
        <w:rPr>
          <w:vertAlign w:val="subscript"/>
        </w:rPr>
        <w:t>2</w:t>
      </w:r>
      <w:r w:rsidRPr="00624446">
        <w:t xml:space="preserve"> scenarios considered in this year’s forecasts include “cost” scenarios based on CO</w:t>
      </w:r>
      <w:r w:rsidRPr="006C110C">
        <w:rPr>
          <w:vertAlign w:val="subscript"/>
        </w:rPr>
        <w:t>2</w:t>
      </w:r>
      <w:r>
        <w:t xml:space="preserve"> prices ranging</w:t>
      </w:r>
      <w:r w:rsidRPr="00624446">
        <w:t xml:space="preserve"> from $0 to $20 per metric ton of CO</w:t>
      </w:r>
      <w:r w:rsidRPr="00624446">
        <w:rPr>
          <w:vertAlign w:val="subscript"/>
        </w:rPr>
        <w:t>2</w:t>
      </w:r>
      <w:r w:rsidRPr="00624446">
        <w:t xml:space="preserve"> (in</w:t>
      </w:r>
      <w:r w:rsidRPr="00E771D0">
        <w:rPr>
          <w:sz w:val="18"/>
        </w:rPr>
        <w:t xml:space="preserve"> </w:t>
      </w:r>
      <w:r w:rsidR="00850B32" w:rsidRPr="00E771D0">
        <w:rPr>
          <w:b/>
          <w:sz w:val="10"/>
        </w:rPr>
        <w:t>REDACTED</w:t>
      </w:r>
      <w:r w:rsidRPr="00E771D0">
        <w:rPr>
          <w:sz w:val="18"/>
        </w:rPr>
        <w:t xml:space="preserve"> </w:t>
      </w:r>
      <w:r w:rsidRPr="00624446">
        <w:t>dollars) starting in 202</w:t>
      </w:r>
      <w:r>
        <w:t>6</w:t>
      </w:r>
      <w:r w:rsidRPr="00624446">
        <w:t xml:space="preserve">, and then rising at </w:t>
      </w:r>
      <w:r w:rsidR="00850B32" w:rsidRPr="00E771D0">
        <w:rPr>
          <w:b/>
          <w:sz w:val="8"/>
        </w:rPr>
        <w:t>REDACTED</w:t>
      </w:r>
      <w:r w:rsidRPr="00624446">
        <w:t>% annually plus inflatio</w:t>
      </w:r>
      <w:r w:rsidRPr="00D91CD0">
        <w:t>n</w:t>
      </w:r>
      <w:r>
        <w:t xml:space="preserve">. </w:t>
      </w:r>
      <w:r w:rsidR="00E50B72">
        <w:t xml:space="preserve">The </w:t>
      </w:r>
      <w:r>
        <w:t xml:space="preserve">analysis does not include explicit cases which conform to </w:t>
      </w:r>
      <w:r w:rsidR="00D72926">
        <w:t>a specific carbon rule but use a price on carbon as a proxy for any potential future regulation. B</w:t>
      </w:r>
      <w:r w:rsidRPr="00D91CD0">
        <w:t>y analyzing a wide range of CO</w:t>
      </w:r>
      <w:r w:rsidRPr="00D91CD0">
        <w:rPr>
          <w:vertAlign w:val="subscript"/>
        </w:rPr>
        <w:t>2</w:t>
      </w:r>
      <w:r w:rsidRPr="00D91CD0">
        <w:t xml:space="preserve"> prices, including a view with no additional price on CO</w:t>
      </w:r>
      <w:r w:rsidRPr="00D91CD0">
        <w:rPr>
          <w:vertAlign w:val="subscript"/>
        </w:rPr>
        <w:t>2</w:t>
      </w:r>
      <w:r w:rsidRPr="00D91CD0">
        <w:t>,</w:t>
      </w:r>
      <w:r>
        <w:t xml:space="preserve"> and other types of environmental requirements on the power sector,</w:t>
      </w:r>
      <w:r w:rsidRPr="00D91CD0">
        <w:t xml:space="preserve"> the</w:t>
      </w:r>
      <w:r>
        <w:t xml:space="preserve"> Budget 2019 analysis considers the</w:t>
      </w:r>
      <w:r w:rsidRPr="00D91CD0">
        <w:t xml:space="preserve"> </w:t>
      </w:r>
      <w:r>
        <w:t>principal</w:t>
      </w:r>
      <w:r w:rsidRPr="00D91CD0">
        <w:t xml:space="preserve"> impacts of var</w:t>
      </w:r>
      <w:r>
        <w:t>ious levels of GHG policy stringency on the electric sector, fuel prices, and the overall economy.</w:t>
      </w:r>
    </w:p>
    <w:p w14:paraId="74EA9638" w14:textId="371CE9CF" w:rsidR="0012426F" w:rsidRPr="00FF7AB8" w:rsidRDefault="0012426F" w:rsidP="0012426F">
      <w:pPr>
        <w:pStyle w:val="BodyText"/>
        <w:jc w:val="both"/>
      </w:pPr>
      <w:r w:rsidRPr="00FF7AB8">
        <w:t>The B</w:t>
      </w:r>
      <w:r w:rsidR="000D6FE1">
        <w:t xml:space="preserve">udget </w:t>
      </w:r>
      <w:r w:rsidRPr="00FF7AB8">
        <w:t>201</w:t>
      </w:r>
      <w:r>
        <w:t>9</w:t>
      </w:r>
      <w:r w:rsidRPr="00FF7AB8">
        <w:t xml:space="preserve"> analysis has considered </w:t>
      </w:r>
      <w:r>
        <w:t>three</w:t>
      </w:r>
      <w:r w:rsidRPr="00FF7AB8">
        <w:t xml:space="preserve"> different carbon views that span a wide range of possible future GHG policies:</w:t>
      </w:r>
      <w:r>
        <w:t xml:space="preserve"> </w:t>
      </w:r>
    </w:p>
    <w:p w14:paraId="6691CC84" w14:textId="77777777" w:rsidR="0012426F" w:rsidRPr="00FF7AB8" w:rsidRDefault="0012426F" w:rsidP="0012426F">
      <w:pPr>
        <w:pStyle w:val="BodyText"/>
        <w:numPr>
          <w:ilvl w:val="0"/>
          <w:numId w:val="7"/>
        </w:numPr>
        <w:jc w:val="both"/>
      </w:pPr>
      <w:r w:rsidRPr="00FF7AB8">
        <w:t xml:space="preserve">The </w:t>
      </w:r>
      <w:r>
        <w:t>$0 C</w:t>
      </w:r>
      <w:r w:rsidRPr="00FF7AB8">
        <w:t>O</w:t>
      </w:r>
      <w:r w:rsidRPr="00FF7AB8">
        <w:rPr>
          <w:vertAlign w:val="subscript"/>
        </w:rPr>
        <w:t>2</w:t>
      </w:r>
      <w:r w:rsidRPr="00FF7AB8">
        <w:t xml:space="preserve"> view is the least stringent of the Budget 201</w:t>
      </w:r>
      <w:r>
        <w:t>9</w:t>
      </w:r>
      <w:r w:rsidRPr="00FF7AB8">
        <w:t xml:space="preserve"> scenarios, and</w:t>
      </w:r>
      <w:r>
        <w:t xml:space="preserve"> assumes that there will be no new price-base regulations on GHG emissions.</w:t>
      </w:r>
    </w:p>
    <w:p w14:paraId="025FCCA2" w14:textId="5200E399" w:rsidR="0012426F" w:rsidRPr="00FF7AB8" w:rsidRDefault="0012426F" w:rsidP="0012426F">
      <w:pPr>
        <w:pStyle w:val="BodyText"/>
        <w:numPr>
          <w:ilvl w:val="0"/>
          <w:numId w:val="7"/>
        </w:numPr>
        <w:jc w:val="both"/>
      </w:pPr>
      <w:r w:rsidRPr="00FF7AB8">
        <w:t>The $10 CO</w:t>
      </w:r>
      <w:r w:rsidRPr="00FF7AB8">
        <w:rPr>
          <w:vertAlign w:val="subscript"/>
        </w:rPr>
        <w:t>2</w:t>
      </w:r>
      <w:r w:rsidRPr="00FF7AB8">
        <w:t xml:space="preserve"> view adds an economy-wide price on CO</w:t>
      </w:r>
      <w:r w:rsidRPr="00FF7AB8">
        <w:rPr>
          <w:vertAlign w:val="subscript"/>
        </w:rPr>
        <w:t>2</w:t>
      </w:r>
      <w:r w:rsidRPr="00FF7AB8">
        <w:t xml:space="preserve"> emissions that begins at $10 per metric ton (</w:t>
      </w:r>
      <w:r w:rsidR="00850B32" w:rsidRPr="00B86FA1">
        <w:rPr>
          <w:b/>
          <w:sz w:val="8"/>
          <w:szCs w:val="8"/>
        </w:rPr>
        <w:t>REDACTED</w:t>
      </w:r>
      <w:r w:rsidRPr="00FF7AB8">
        <w:t>$) in 202</w:t>
      </w:r>
      <w:r>
        <w:t>6</w:t>
      </w:r>
      <w:r w:rsidRPr="00FF7AB8">
        <w:t xml:space="preserve"> and rises at </w:t>
      </w:r>
      <w:r w:rsidR="00850B32" w:rsidRPr="00B86FA1">
        <w:rPr>
          <w:b/>
          <w:sz w:val="8"/>
          <w:szCs w:val="8"/>
        </w:rPr>
        <w:t>REDACTED</w:t>
      </w:r>
      <w:r w:rsidRPr="00FF7AB8">
        <w:t>% above inflation; and</w:t>
      </w:r>
    </w:p>
    <w:p w14:paraId="303A0CD0" w14:textId="24322FE0" w:rsidR="0012426F" w:rsidRPr="00FF7AB8" w:rsidRDefault="0012426F" w:rsidP="0012426F">
      <w:pPr>
        <w:pStyle w:val="BodyText"/>
        <w:numPr>
          <w:ilvl w:val="0"/>
          <w:numId w:val="7"/>
        </w:numPr>
        <w:jc w:val="both"/>
      </w:pPr>
      <w:r w:rsidRPr="00FF7AB8">
        <w:lastRenderedPageBreak/>
        <w:t>The $20 CO</w:t>
      </w:r>
      <w:r w:rsidRPr="00FF7AB8">
        <w:rPr>
          <w:vertAlign w:val="subscript"/>
        </w:rPr>
        <w:t>2</w:t>
      </w:r>
      <w:r w:rsidRPr="00FF7AB8">
        <w:t xml:space="preserve"> view has an economy-wide price on CO</w:t>
      </w:r>
      <w:r w:rsidRPr="00FF7AB8">
        <w:rPr>
          <w:vertAlign w:val="subscript"/>
        </w:rPr>
        <w:t>2</w:t>
      </w:r>
      <w:r w:rsidRPr="00FF7AB8">
        <w:t xml:space="preserve"> emissions that begins at $20 per metric ton (</w:t>
      </w:r>
      <w:r w:rsidR="00850B32" w:rsidRPr="00B86FA1">
        <w:rPr>
          <w:b/>
          <w:sz w:val="8"/>
          <w:szCs w:val="8"/>
        </w:rPr>
        <w:t>REDACTED</w:t>
      </w:r>
      <w:r w:rsidRPr="00FF7AB8">
        <w:t>$) in 202</w:t>
      </w:r>
      <w:r>
        <w:t>6</w:t>
      </w:r>
      <w:r w:rsidRPr="00FF7AB8">
        <w:t xml:space="preserve"> and rises at </w:t>
      </w:r>
      <w:r w:rsidR="00850B32" w:rsidRPr="00B86FA1">
        <w:rPr>
          <w:b/>
          <w:sz w:val="8"/>
          <w:szCs w:val="8"/>
        </w:rPr>
        <w:t>REDACTED</w:t>
      </w:r>
      <w:r w:rsidRPr="00FF7AB8">
        <w:t>% above inflation.</w:t>
      </w:r>
    </w:p>
    <w:p w14:paraId="6EC8E9BF" w14:textId="7BB6EDF8" w:rsidR="0012426F" w:rsidRDefault="0012426F" w:rsidP="00FA29D2">
      <w:pPr>
        <w:pStyle w:val="BodyText"/>
        <w:jc w:val="both"/>
      </w:pPr>
      <w:r w:rsidRPr="000C422D">
        <w:t>With regards to new source performance standards</w:t>
      </w:r>
      <w:r>
        <w:t xml:space="preserve"> on CO</w:t>
      </w:r>
      <w:r w:rsidRPr="0012426F">
        <w:rPr>
          <w:vertAlign w:val="subscript"/>
        </w:rPr>
        <w:t>2</w:t>
      </w:r>
      <w:r>
        <w:t xml:space="preserve"> emissions</w:t>
      </w:r>
      <w:r w:rsidRPr="000C422D">
        <w:t>, all Budget 201</w:t>
      </w:r>
      <w:r>
        <w:t>9</w:t>
      </w:r>
      <w:r w:rsidRPr="000C422D">
        <w:t xml:space="preserve"> scenarios prohibit new coal not already under construction without CCS.</w:t>
      </w:r>
      <w:r>
        <w:rPr>
          <w:rStyle w:val="FootnoteReference"/>
        </w:rPr>
        <w:t xml:space="preserve"> </w:t>
      </w:r>
      <w:r w:rsidRPr="0026335E">
        <w:t>In addition, both the $10 and $20 CO</w:t>
      </w:r>
      <w:r w:rsidRPr="0026335E">
        <w:rPr>
          <w:vertAlign w:val="subscript"/>
        </w:rPr>
        <w:t>2</w:t>
      </w:r>
      <w:r w:rsidRPr="0026335E">
        <w:t xml:space="preserve"> price views are coupled with the assumption that new natural gas combined-cycle power generators will be required to have full (90% capture) CCS beginning </w:t>
      </w:r>
      <w:r w:rsidRPr="00040F0B">
        <w:t>in 2035 in</w:t>
      </w:r>
      <w:r>
        <w:t xml:space="preserve"> the $20 case, and </w:t>
      </w:r>
      <w:r w:rsidRPr="00040F0B">
        <w:t>2045 in</w:t>
      </w:r>
      <w:r>
        <w:t xml:space="preserve"> the $10 case</w:t>
      </w:r>
      <w:r w:rsidRPr="0026335E">
        <w:t xml:space="preserve">. </w:t>
      </w:r>
      <w:r w:rsidR="006950E5">
        <w:t xml:space="preserve">CRA </w:t>
      </w:r>
      <w:r w:rsidRPr="0026335E">
        <w:t>believe</w:t>
      </w:r>
      <w:r w:rsidR="006950E5">
        <w:t>s</w:t>
      </w:r>
      <w:r w:rsidRPr="0026335E">
        <w:t xml:space="preserve"> that the combination of these CO</w:t>
      </w:r>
      <w:r w:rsidRPr="0026335E">
        <w:rPr>
          <w:vertAlign w:val="subscript"/>
        </w:rPr>
        <w:t>2</w:t>
      </w:r>
      <w:r w:rsidRPr="0026335E">
        <w:t xml:space="preserve"> NSPS provisions and the $20 CO</w:t>
      </w:r>
      <w:r w:rsidRPr="0026335E">
        <w:rPr>
          <w:vertAlign w:val="subscript"/>
        </w:rPr>
        <w:t>2</w:t>
      </w:r>
      <w:r w:rsidRPr="0026335E">
        <w:t xml:space="preserve"> price path represents a reasonable high bound, and that a higher price is not necessary to model. </w:t>
      </w:r>
    </w:p>
    <w:p w14:paraId="64052415" w14:textId="77777777" w:rsidR="00C5174D" w:rsidRPr="00E02122" w:rsidRDefault="00C5174D" w:rsidP="00A73DEC">
      <w:pPr>
        <w:pStyle w:val="Heading2"/>
        <w:numPr>
          <w:ilvl w:val="1"/>
          <w:numId w:val="2"/>
        </w:numPr>
        <w:ind w:left="0" w:hanging="720"/>
        <w:rPr>
          <w:smallCaps w:val="0"/>
        </w:rPr>
      </w:pPr>
      <w:bookmarkStart w:id="19" w:name="_Ref422301608"/>
      <w:bookmarkStart w:id="20" w:name="_Toc528761245"/>
      <w:r w:rsidRPr="00E02122">
        <w:rPr>
          <w:smallCaps w:val="0"/>
        </w:rPr>
        <w:t>Limitations on Electric Generation Baseload Capacity Additions</w:t>
      </w:r>
      <w:bookmarkEnd w:id="11"/>
      <w:bookmarkEnd w:id="12"/>
      <w:bookmarkEnd w:id="19"/>
      <w:bookmarkEnd w:id="20"/>
    </w:p>
    <w:p w14:paraId="3446186A" w14:textId="75F0CEEC" w:rsidR="00C5174D" w:rsidRPr="00A73DEC" w:rsidRDefault="00C5174D" w:rsidP="00964CA6">
      <w:pPr>
        <w:pStyle w:val="BodyText"/>
        <w:jc w:val="both"/>
      </w:pPr>
      <w:r w:rsidRPr="00A73DEC">
        <w:t xml:space="preserve">While there are many </w:t>
      </w:r>
      <w:r w:rsidR="00304CAB" w:rsidRPr="00A73DEC">
        <w:t>different generating technologies available to the electric sector</w:t>
      </w:r>
      <w:r w:rsidRPr="00A73DEC">
        <w:t xml:space="preserve">, </w:t>
      </w:r>
      <w:r w:rsidR="007729DF" w:rsidRPr="00A73DEC">
        <w:t xml:space="preserve">political and </w:t>
      </w:r>
      <w:r w:rsidRPr="00A73DEC">
        <w:t xml:space="preserve">economic realities suggest that there are limitations on the quantity and timing of </w:t>
      </w:r>
      <w:r w:rsidR="00304CAB" w:rsidRPr="00A73DEC">
        <w:t>certain</w:t>
      </w:r>
      <w:r w:rsidRPr="00A73DEC">
        <w:t xml:space="preserve"> new generating </w:t>
      </w:r>
      <w:r w:rsidR="00304CAB" w:rsidRPr="00A73DEC">
        <w:t xml:space="preserve">capacity </w:t>
      </w:r>
      <w:r w:rsidRPr="00A73DEC">
        <w:t>additions</w:t>
      </w:r>
      <w:r w:rsidR="00757C56" w:rsidRPr="00A73DEC">
        <w:t xml:space="preserve">. </w:t>
      </w:r>
      <w:r w:rsidRPr="00A73DEC">
        <w:t xml:space="preserve">To reflect these realities, limits on several </w:t>
      </w:r>
      <w:r w:rsidR="00304CAB" w:rsidRPr="00A73DEC">
        <w:t>new build types</w:t>
      </w:r>
      <w:r w:rsidRPr="00A73DEC">
        <w:t xml:space="preserve"> have been applied</w:t>
      </w:r>
      <w:r w:rsidR="00227EF4" w:rsidRPr="00A73DEC">
        <w:t xml:space="preserve"> uniformly across all scenarios</w:t>
      </w:r>
      <w:r w:rsidRPr="00A73DEC">
        <w:t>:</w:t>
      </w:r>
      <w:r w:rsidR="00264CDC">
        <w:t xml:space="preserve"> </w:t>
      </w:r>
    </w:p>
    <w:p w14:paraId="00236BBC" w14:textId="14041B65" w:rsidR="00C5174D" w:rsidRPr="007E7653" w:rsidRDefault="00C5174D" w:rsidP="00964CA6">
      <w:pPr>
        <w:pStyle w:val="ListBullet"/>
        <w:jc w:val="both"/>
      </w:pPr>
      <w:r w:rsidRPr="007E7653">
        <w:t>New coal units without CCS are limited to those projects that are currently under construction</w:t>
      </w:r>
      <w:r w:rsidR="00757C56" w:rsidRPr="007E7653">
        <w:t>.</w:t>
      </w:r>
      <w:r w:rsidR="00836CE8">
        <w:t xml:space="preserve"> CRA did not assume any under construction coal units com</w:t>
      </w:r>
      <w:r w:rsidR="000034AE">
        <w:t>e online for</w:t>
      </w:r>
      <w:r w:rsidR="00836CE8">
        <w:t xml:space="preserve"> the Budget 2019 analysis.</w:t>
      </w:r>
      <w:r w:rsidR="00757C56" w:rsidRPr="007E7653">
        <w:t xml:space="preserve"> </w:t>
      </w:r>
    </w:p>
    <w:p w14:paraId="69E8BAE0" w14:textId="251A0244" w:rsidR="004D002B" w:rsidRPr="00D85BD0" w:rsidRDefault="006976AD" w:rsidP="00964CA6">
      <w:pPr>
        <w:pStyle w:val="ListBullet"/>
        <w:jc w:val="both"/>
      </w:pPr>
      <w:r w:rsidRPr="007E7653">
        <w:t xml:space="preserve">New </w:t>
      </w:r>
      <w:r w:rsidR="00F65A51">
        <w:t>pulverized coal</w:t>
      </w:r>
      <w:r w:rsidR="004D002B" w:rsidRPr="007E7653">
        <w:t>, IGCC,</w:t>
      </w:r>
      <w:r w:rsidR="004B5FEA">
        <w:t xml:space="preserve"> nuclear</w:t>
      </w:r>
      <w:r w:rsidR="004D002B" w:rsidRPr="007E7653">
        <w:t xml:space="preserve"> and NGCC </w:t>
      </w:r>
      <w:r w:rsidR="006E7873" w:rsidRPr="007E7653">
        <w:t xml:space="preserve">units </w:t>
      </w:r>
      <w:r w:rsidR="004D002B" w:rsidRPr="007E7653">
        <w:t xml:space="preserve">equipped with CCS </w:t>
      </w:r>
      <w:r w:rsidR="006E7873" w:rsidRPr="007E7653">
        <w:t>are</w:t>
      </w:r>
      <w:r w:rsidR="00E8250C" w:rsidRPr="007E7653">
        <w:t xml:space="preserve"> assumed unavailable until</w:t>
      </w:r>
      <w:r w:rsidR="00E8250C" w:rsidRPr="007459F5">
        <w:rPr>
          <w:sz w:val="10"/>
          <w:szCs w:val="10"/>
        </w:rPr>
        <w:t xml:space="preserve"> </w:t>
      </w:r>
      <w:r w:rsidR="00850B32" w:rsidRPr="007459F5">
        <w:rPr>
          <w:b/>
          <w:sz w:val="10"/>
        </w:rPr>
        <w:t>REDACTED</w:t>
      </w:r>
      <w:r w:rsidR="004B5FEA">
        <w:t>.</w:t>
      </w:r>
      <w:r w:rsidR="000136FE" w:rsidRPr="007E7653">
        <w:rPr>
          <w:rStyle w:val="FootnoteReference"/>
        </w:rPr>
        <w:footnoteReference w:id="2"/>
      </w:r>
      <w:r w:rsidR="0091570E" w:rsidRPr="007E7653">
        <w:t xml:space="preserve"> </w:t>
      </w:r>
      <w:r w:rsidR="004C6B8F" w:rsidRPr="007E7653">
        <w:t xml:space="preserve">Nuclear limits are discussed in greater detail in </w:t>
      </w:r>
      <w:r w:rsidR="00810B7E" w:rsidRPr="007E7653">
        <w:t xml:space="preserve">Section </w:t>
      </w:r>
      <w:r w:rsidR="00323D41" w:rsidRPr="007E7653">
        <w:fldChar w:fldCharType="begin"/>
      </w:r>
      <w:r w:rsidR="00323D41" w:rsidRPr="007E7653">
        <w:instrText xml:space="preserve"> REF _Ref394412183 \r \h </w:instrText>
      </w:r>
      <w:r w:rsidR="006B0CAA" w:rsidRPr="007E7653">
        <w:instrText xml:space="preserve"> \* MERGEFORMAT </w:instrText>
      </w:r>
      <w:r w:rsidR="00323D41" w:rsidRPr="007E7653">
        <w:fldChar w:fldCharType="separate"/>
      </w:r>
      <w:r w:rsidR="006B6B17">
        <w:t>2.3.1</w:t>
      </w:r>
      <w:r w:rsidR="00323D41" w:rsidRPr="007E7653">
        <w:fldChar w:fldCharType="end"/>
      </w:r>
      <w:r w:rsidR="00757C56" w:rsidRPr="007E7653">
        <w:t xml:space="preserve">. </w:t>
      </w:r>
      <w:r w:rsidR="0009314D" w:rsidRPr="007E7653">
        <w:t xml:space="preserve">Budget </w:t>
      </w:r>
      <w:r w:rsidR="001D5633" w:rsidRPr="007E7653">
        <w:t>201</w:t>
      </w:r>
      <w:r w:rsidR="00EF7FD9">
        <w:t>9</w:t>
      </w:r>
      <w:r w:rsidR="001D5633" w:rsidRPr="007E7653">
        <w:t xml:space="preserve"> </w:t>
      </w:r>
      <w:r w:rsidR="0009314D" w:rsidRPr="007E7653">
        <w:t xml:space="preserve">sets no limits on CCS-equipped technologies and allows the model to build as much CCS-equipped capacity as </w:t>
      </w:r>
      <w:r w:rsidR="00C1526F" w:rsidRPr="007E7653">
        <w:t xml:space="preserve">is </w:t>
      </w:r>
      <w:r w:rsidR="0009314D" w:rsidRPr="007E7653">
        <w:t>economic</w:t>
      </w:r>
      <w:r w:rsidR="00757C56" w:rsidRPr="007E7653">
        <w:t xml:space="preserve">. </w:t>
      </w:r>
      <w:r w:rsidR="0009314D" w:rsidRPr="00D85BD0">
        <w:t>The highest an</w:t>
      </w:r>
      <w:r w:rsidR="007E7653" w:rsidRPr="00D85BD0">
        <w:t xml:space="preserve">nual build rate across the </w:t>
      </w:r>
      <w:r w:rsidR="006F2450">
        <w:t>Budget 2019</w:t>
      </w:r>
      <w:r w:rsidR="0009314D" w:rsidRPr="00D85BD0">
        <w:t xml:space="preserve"> scenarios was roughly </w:t>
      </w:r>
      <w:r w:rsidR="00DA4F95">
        <w:t>1</w:t>
      </w:r>
      <w:r w:rsidR="00D85BD0" w:rsidRPr="00D85BD0">
        <w:t>.</w:t>
      </w:r>
      <w:r w:rsidR="00DA4F95">
        <w:t>4</w:t>
      </w:r>
      <w:r w:rsidR="00235E86" w:rsidRPr="00D85BD0">
        <w:t xml:space="preserve"> GW per </w:t>
      </w:r>
      <w:r w:rsidR="00235E86" w:rsidRPr="00040F0B">
        <w:t>year (from 20</w:t>
      </w:r>
      <w:r w:rsidR="0041706F" w:rsidRPr="00040F0B">
        <w:t>5</w:t>
      </w:r>
      <w:r w:rsidR="00DA4F95" w:rsidRPr="00040F0B">
        <w:t>3</w:t>
      </w:r>
      <w:r w:rsidR="00235E86" w:rsidRPr="00040F0B">
        <w:t xml:space="preserve"> through 205</w:t>
      </w:r>
      <w:r w:rsidR="00DA4F95" w:rsidRPr="00040F0B">
        <w:t>8</w:t>
      </w:r>
      <w:r w:rsidR="00235E86" w:rsidRPr="00040F0B">
        <w:t>) of</w:t>
      </w:r>
      <w:r w:rsidR="00235E86" w:rsidRPr="00D85BD0">
        <w:t xml:space="preserve"> Coal with CCS in the High Gas, $20 CO</w:t>
      </w:r>
      <w:r w:rsidR="00235E86" w:rsidRPr="00D85BD0">
        <w:rPr>
          <w:vertAlign w:val="subscript"/>
        </w:rPr>
        <w:t>2</w:t>
      </w:r>
      <w:r w:rsidR="00235E86" w:rsidRPr="00D85BD0">
        <w:t xml:space="preserve"> scenario.</w:t>
      </w:r>
    </w:p>
    <w:p w14:paraId="20560A55" w14:textId="70AAF1D7" w:rsidR="00F9693E" w:rsidRPr="007E7653" w:rsidRDefault="007542D1" w:rsidP="00F9693E">
      <w:pPr>
        <w:pStyle w:val="ListBullet"/>
        <w:jc w:val="both"/>
      </w:pPr>
      <w:r w:rsidRPr="007E7653">
        <w:t>Total new NGCC</w:t>
      </w:r>
      <w:r w:rsidR="00F002F1" w:rsidRPr="007E7653">
        <w:t xml:space="preserve"> build</w:t>
      </w:r>
      <w:r w:rsidRPr="007E7653">
        <w:t>s</w:t>
      </w:r>
      <w:r w:rsidR="00384BF9" w:rsidRPr="007E7653">
        <w:t xml:space="preserve"> (with and without CCS) face the same limits assu</w:t>
      </w:r>
      <w:r w:rsidR="006F1B8D" w:rsidRPr="007E7653">
        <w:t xml:space="preserve">med in the Budget </w:t>
      </w:r>
      <w:r w:rsidR="001D5633" w:rsidRPr="007E7653">
        <w:t>201</w:t>
      </w:r>
      <w:r w:rsidR="00EF7FD9">
        <w:t>8</w:t>
      </w:r>
      <w:r w:rsidR="001D5633" w:rsidRPr="007E7653">
        <w:t xml:space="preserve"> </w:t>
      </w:r>
      <w:r w:rsidR="006F1B8D" w:rsidRPr="007E7653">
        <w:t>analysis and were developed as follows</w:t>
      </w:r>
      <w:r w:rsidR="00757C56" w:rsidRPr="007E7653">
        <w:t xml:space="preserve">. </w:t>
      </w:r>
      <w:r w:rsidR="00384BF9" w:rsidRPr="007E7653">
        <w:t xml:space="preserve">At the height of the </w:t>
      </w:r>
      <w:r w:rsidR="004C6B8F" w:rsidRPr="007E7653">
        <w:t>NG</w:t>
      </w:r>
      <w:r w:rsidR="00384BF9" w:rsidRPr="007E7653">
        <w:t>CC boom in the early 2000s, there were up to 45 GW of NGCCs built nationally per year</w:t>
      </w:r>
      <w:r w:rsidR="00757C56" w:rsidRPr="007E7653">
        <w:t xml:space="preserve">. </w:t>
      </w:r>
      <w:r w:rsidR="00384BF9" w:rsidRPr="007E7653">
        <w:t>Since then, the NGCC build rate has slowed to the point where annual NGCC</w:t>
      </w:r>
      <w:r w:rsidR="00E90129" w:rsidRPr="007E7653">
        <w:t xml:space="preserve"> new builds averaged roughly 15 GW from 2000 through 2012</w:t>
      </w:r>
      <w:r w:rsidR="00757C56" w:rsidRPr="007E7653">
        <w:t xml:space="preserve">. </w:t>
      </w:r>
      <w:r w:rsidR="00E90129" w:rsidRPr="007E7653">
        <w:t xml:space="preserve">In light of </w:t>
      </w:r>
      <w:r w:rsidR="00F65A51">
        <w:t>history</w:t>
      </w:r>
      <w:r w:rsidR="00E90129" w:rsidRPr="007E7653">
        <w:t xml:space="preserve">, and to allow adequate replacement of coal forced to retire by </w:t>
      </w:r>
      <w:r w:rsidR="00D72926">
        <w:t>various</w:t>
      </w:r>
      <w:r w:rsidR="00E90129" w:rsidRPr="007E7653">
        <w:t xml:space="preserve"> environmental regulations, NGCCs</w:t>
      </w:r>
      <w:r w:rsidRPr="007E7653">
        <w:t xml:space="preserve"> are limited to </w:t>
      </w:r>
      <w:r w:rsidR="00F002F1" w:rsidRPr="007E7653">
        <w:t>20 GW per year in the first model year for B</w:t>
      </w:r>
      <w:r w:rsidR="000D6FE1">
        <w:t xml:space="preserve">udget </w:t>
      </w:r>
      <w:r w:rsidR="00F002F1" w:rsidRPr="007E7653">
        <w:t>201</w:t>
      </w:r>
      <w:r w:rsidR="00EF7FD9">
        <w:t>9</w:t>
      </w:r>
      <w:r w:rsidR="00757C56" w:rsidRPr="007E7653">
        <w:t xml:space="preserve">. </w:t>
      </w:r>
      <w:r w:rsidRPr="007E7653">
        <w:t>T</w:t>
      </w:r>
      <w:r w:rsidR="00F002F1" w:rsidRPr="007E7653">
        <w:t xml:space="preserve">his limit </w:t>
      </w:r>
      <w:r w:rsidRPr="007E7653">
        <w:t xml:space="preserve">then </w:t>
      </w:r>
      <w:r w:rsidR="00E90129" w:rsidRPr="007E7653">
        <w:t>moves with the</w:t>
      </w:r>
      <w:r w:rsidR="00F002F1" w:rsidRPr="007E7653">
        <w:t xml:space="preserve"> GDP growth </w:t>
      </w:r>
      <w:r w:rsidR="00E90129" w:rsidRPr="007E7653">
        <w:t xml:space="preserve">rate </w:t>
      </w:r>
      <w:r w:rsidR="00F002F1" w:rsidRPr="007E7653">
        <w:t>to reflect</w:t>
      </w:r>
      <w:r w:rsidR="00E90129" w:rsidRPr="007E7653">
        <w:t xml:space="preserve"> the fact</w:t>
      </w:r>
      <w:r w:rsidR="00F002F1" w:rsidRPr="007E7653">
        <w:t xml:space="preserve"> that a large</w:t>
      </w:r>
      <w:r w:rsidR="007E54FD" w:rsidRPr="007E7653">
        <w:t>r</w:t>
      </w:r>
      <w:r w:rsidR="00F002F1" w:rsidRPr="007E7653">
        <w:t xml:space="preserve"> economy could </w:t>
      </w:r>
      <w:r w:rsidR="00E90129" w:rsidRPr="007E7653">
        <w:t>accom</w:t>
      </w:r>
      <w:r w:rsidR="00D87236" w:rsidRPr="007E7653">
        <w:t>m</w:t>
      </w:r>
      <w:r w:rsidR="00E90129" w:rsidRPr="007E7653">
        <w:t xml:space="preserve">odate </w:t>
      </w:r>
      <w:r w:rsidR="00F002F1" w:rsidRPr="007E7653">
        <w:t xml:space="preserve">a higher build </w:t>
      </w:r>
      <w:r w:rsidR="007E54FD" w:rsidRPr="007E7653">
        <w:t>rate</w:t>
      </w:r>
      <w:r w:rsidR="00F002F1" w:rsidRPr="007E7653">
        <w:t>.</w:t>
      </w:r>
      <w:r w:rsidR="00E90129" w:rsidRPr="007E7653">
        <w:t xml:space="preserve"> </w:t>
      </w:r>
    </w:p>
    <w:p w14:paraId="1FD71069" w14:textId="7A7B1006" w:rsidR="00C5174D" w:rsidRPr="007E7653" w:rsidRDefault="00C5174D" w:rsidP="00964CA6">
      <w:pPr>
        <w:pStyle w:val="ListBullet"/>
        <w:jc w:val="both"/>
      </w:pPr>
      <w:r w:rsidRPr="007E7653">
        <w:t>New additions of intermittent resources</w:t>
      </w:r>
      <w:r w:rsidR="00F65A51">
        <w:t>,</w:t>
      </w:r>
      <w:r w:rsidRPr="007E7653">
        <w:t xml:space="preserve"> such as wind and solar are limited </w:t>
      </w:r>
      <w:r w:rsidR="0045002A" w:rsidRPr="00040F0B">
        <w:t xml:space="preserve">to </w:t>
      </w:r>
      <w:r w:rsidR="001F2982" w:rsidRPr="00040F0B">
        <w:t>20%</w:t>
      </w:r>
      <w:r w:rsidR="001F2982" w:rsidRPr="007E7653">
        <w:t xml:space="preserve"> of </w:t>
      </w:r>
      <w:r w:rsidR="00A86A93" w:rsidRPr="007E7653">
        <w:t xml:space="preserve">total </w:t>
      </w:r>
      <w:r w:rsidR="001D5633" w:rsidRPr="007E7653">
        <w:t xml:space="preserve">demand </w:t>
      </w:r>
      <w:r w:rsidRPr="007E7653">
        <w:t xml:space="preserve">to ensure a </w:t>
      </w:r>
      <w:r w:rsidR="00186C86" w:rsidRPr="007E7653">
        <w:t xml:space="preserve">reliable </w:t>
      </w:r>
      <w:r w:rsidR="00304CAB" w:rsidRPr="007E7653">
        <w:t>electric system</w:t>
      </w:r>
      <w:r w:rsidR="00665631" w:rsidRPr="007E7653">
        <w:t>.</w:t>
      </w:r>
      <w:r w:rsidR="001F2982" w:rsidRPr="007E7653">
        <w:rPr>
          <w:rStyle w:val="FootnoteReference"/>
        </w:rPr>
        <w:footnoteReference w:id="3"/>
      </w:r>
      <w:r w:rsidRPr="007E7653">
        <w:t xml:space="preserve"> Other renewables</w:t>
      </w:r>
      <w:r w:rsidR="00D72926">
        <w:t>,</w:t>
      </w:r>
      <w:r w:rsidRPr="007E7653">
        <w:t xml:space="preserve"> such as biomass, landfill </w:t>
      </w:r>
      <w:r w:rsidRPr="007E7653">
        <w:lastRenderedPageBreak/>
        <w:t>gas</w:t>
      </w:r>
      <w:r w:rsidR="00D26343" w:rsidRPr="007E7653">
        <w:t>,</w:t>
      </w:r>
      <w:r w:rsidRPr="007E7653">
        <w:t xml:space="preserve"> and geothermal</w:t>
      </w:r>
      <w:r w:rsidR="00D72926">
        <w:t>,</w:t>
      </w:r>
      <w:r w:rsidRPr="007E7653">
        <w:t xml:space="preserve"> have regional limits based on available resources such as feedstocks and geologic suitability.</w:t>
      </w:r>
    </w:p>
    <w:p w14:paraId="189D4218" w14:textId="77777777" w:rsidR="004C6B8F" w:rsidRDefault="004C6B8F" w:rsidP="00A73DEC">
      <w:pPr>
        <w:pStyle w:val="Heading3"/>
        <w:numPr>
          <w:ilvl w:val="2"/>
          <w:numId w:val="2"/>
        </w:numPr>
        <w:ind w:left="0" w:hanging="720"/>
      </w:pPr>
      <w:bookmarkStart w:id="21" w:name="_Ref394412183"/>
      <w:bookmarkStart w:id="22" w:name="_Toc528761246"/>
      <w:r w:rsidRPr="004C6B8F">
        <w:t>Treatment of Existing and New Nuclear Capacity</w:t>
      </w:r>
      <w:bookmarkEnd w:id="21"/>
      <w:bookmarkEnd w:id="22"/>
    </w:p>
    <w:p w14:paraId="65D24594" w14:textId="1CF49882" w:rsidR="00A73DEC" w:rsidRDefault="00A73DEC" w:rsidP="00A06761">
      <w:pPr>
        <w:pStyle w:val="BodyText"/>
        <w:jc w:val="both"/>
      </w:pPr>
      <w:r w:rsidRPr="00A73DEC">
        <w:t xml:space="preserve">On a levelized cost basis, nuclear capacity </w:t>
      </w:r>
      <w:r w:rsidR="00F65A51">
        <w:t>c</w:t>
      </w:r>
      <w:r w:rsidR="008E751E">
        <w:t>an</w:t>
      </w:r>
      <w:r w:rsidR="00F65A51">
        <w:t xml:space="preserve"> be an</w:t>
      </w:r>
      <w:r w:rsidRPr="00A73DEC">
        <w:t xml:space="preserve"> attractive</w:t>
      </w:r>
      <w:r w:rsidR="00740CC1">
        <w:t xml:space="preserve"> baseload</w:t>
      </w:r>
      <w:r w:rsidRPr="00A73DEC">
        <w:t xml:space="preserve"> generating technology to repla</w:t>
      </w:r>
      <w:r w:rsidR="00F65A51">
        <w:t>ce retiring coal capacity and</w:t>
      </w:r>
      <w:r w:rsidRPr="00A73DEC">
        <w:t xml:space="preserve"> to meet growing demand requirements</w:t>
      </w:r>
      <w:r w:rsidR="00F65A51">
        <w:t>, particularly under CO</w:t>
      </w:r>
      <w:r w:rsidR="00F65A51" w:rsidRPr="00F65A51">
        <w:rPr>
          <w:vertAlign w:val="subscript"/>
        </w:rPr>
        <w:t>2</w:t>
      </w:r>
      <w:r w:rsidR="00F65A51">
        <w:t xml:space="preserve"> pricing scenarios</w:t>
      </w:r>
      <w:r w:rsidRPr="00A73DEC">
        <w:t>. This is especially true as new low-cost renewable capacity</w:t>
      </w:r>
      <w:r w:rsidR="00F65A51">
        <w:t xml:space="preserve"> like solar PV and onshore wind reach regional </w:t>
      </w:r>
      <w:r w:rsidRPr="00A73DEC">
        <w:t>intermittency limits</w:t>
      </w:r>
      <w:r w:rsidR="00B7400F">
        <w:t>.</w:t>
      </w:r>
      <w:r w:rsidR="000034AE">
        <w:rPr>
          <w:rStyle w:val="FootnoteReference"/>
        </w:rPr>
        <w:footnoteReference w:id="4"/>
      </w:r>
      <w:r w:rsidRPr="00A73DEC">
        <w:t xml:space="preserve"> In reality, nuclear capacity is limited by several factors not necessarily accounted for in a levelized cost calculation, including manufacturing capacity shortages, the ability to finance, and delays or objections to operating or obtaining environmental permits due to public perceptions regarding nuclear technology.</w:t>
      </w:r>
      <w:r w:rsidR="00C93174">
        <w:t xml:space="preserve"> Further, observed cost decreases for new NGCC generation technologies coupled with lower expected gas prices can put pressure on economics of new nuclear</w:t>
      </w:r>
      <w:r w:rsidR="00733FE0">
        <w:t>.</w:t>
      </w:r>
    </w:p>
    <w:p w14:paraId="0AF88A1C" w14:textId="6242002A" w:rsidR="00334C95" w:rsidRPr="00A73DEC" w:rsidRDefault="00612978" w:rsidP="00A06761">
      <w:pPr>
        <w:pStyle w:val="BodyText"/>
        <w:jc w:val="both"/>
      </w:pPr>
      <w:r w:rsidRPr="00A73DEC">
        <w:t>The o</w:t>
      </w:r>
      <w:r w:rsidR="00334C95" w:rsidRPr="00A73DEC">
        <w:t xml:space="preserve">verall </w:t>
      </w:r>
      <w:r w:rsidR="00F65A51">
        <w:t xml:space="preserve">maximum </w:t>
      </w:r>
      <w:r w:rsidR="007231A4" w:rsidRPr="00A73DEC">
        <w:t>U.S.</w:t>
      </w:r>
      <w:r w:rsidR="00334C95" w:rsidRPr="00A73DEC">
        <w:t xml:space="preserve"> nuclear capacity levels </w:t>
      </w:r>
      <w:r w:rsidRPr="00A73DEC">
        <w:t xml:space="preserve">assumed in Budget </w:t>
      </w:r>
      <w:r w:rsidR="001D5633" w:rsidRPr="00A73DEC">
        <w:t>201</w:t>
      </w:r>
      <w:r w:rsidR="00EF7FD9">
        <w:t>9</w:t>
      </w:r>
      <w:r w:rsidR="001D5633" w:rsidRPr="00A73DEC">
        <w:t xml:space="preserve"> </w:t>
      </w:r>
      <w:r w:rsidR="00E009E5">
        <w:t xml:space="preserve">are </w:t>
      </w:r>
      <w:r w:rsidRPr="00A73DEC">
        <w:t>derive</w:t>
      </w:r>
      <w:r w:rsidR="00E009E5">
        <w:t>d</w:t>
      </w:r>
      <w:r w:rsidRPr="00A73DEC">
        <w:t xml:space="preserve"> from the</w:t>
      </w:r>
      <w:r w:rsidR="00334C95" w:rsidRPr="00A73DEC">
        <w:t xml:space="preserve"> following three assumptions:</w:t>
      </w:r>
      <w:r w:rsidR="00264CDC">
        <w:t xml:space="preserve"> </w:t>
      </w:r>
      <w:r w:rsidRPr="00A73DEC">
        <w:t xml:space="preserve">(1) </w:t>
      </w:r>
      <w:r w:rsidR="00515CFB" w:rsidRPr="00A73DEC">
        <w:t>power</w:t>
      </w:r>
      <w:r w:rsidR="00334C95" w:rsidRPr="00A73DEC">
        <w:t xml:space="preserve"> uprates</w:t>
      </w:r>
      <w:r w:rsidR="00515CFB" w:rsidRPr="00A73DEC">
        <w:t xml:space="preserve"> and planned capacity additions</w:t>
      </w:r>
      <w:r w:rsidRPr="00A73DEC">
        <w:t>, (2) the</w:t>
      </w:r>
      <w:r w:rsidR="00334C95" w:rsidRPr="00A73DEC">
        <w:t xml:space="preserve"> timing and extent of license extensions granted to existing nuclear units as current licenses expire</w:t>
      </w:r>
      <w:r w:rsidRPr="00A73DEC">
        <w:t>, and (3) n</w:t>
      </w:r>
      <w:r w:rsidR="00334C95" w:rsidRPr="00A73DEC">
        <w:t>ew greenfield nuclear capacity limits over time</w:t>
      </w:r>
      <w:r w:rsidRPr="00A73DEC">
        <w:t>.</w:t>
      </w:r>
    </w:p>
    <w:p w14:paraId="7BD70865" w14:textId="55BE6CCA" w:rsidR="00BD14EC" w:rsidRPr="00A73DEC" w:rsidRDefault="00235A0A" w:rsidP="00A06761">
      <w:pPr>
        <w:pStyle w:val="BodyText"/>
        <w:jc w:val="both"/>
        <w:rPr>
          <w:highlight w:val="green"/>
        </w:rPr>
      </w:pPr>
      <w:r w:rsidRPr="00A73DEC">
        <w:t xml:space="preserve">In terms of </w:t>
      </w:r>
      <w:r w:rsidR="00515CFB" w:rsidRPr="00A73DEC">
        <w:t>nuclear expansion activity in the near term</w:t>
      </w:r>
      <w:r w:rsidRPr="00A73DEC">
        <w:t xml:space="preserve">, Budget </w:t>
      </w:r>
      <w:r w:rsidR="001D5633" w:rsidRPr="00A73DEC">
        <w:t>201</w:t>
      </w:r>
      <w:r w:rsidR="00EF7FD9">
        <w:t>9</w:t>
      </w:r>
      <w:r w:rsidRPr="00A73DEC">
        <w:t xml:space="preserve"> </w:t>
      </w:r>
      <w:r w:rsidR="00515CFB" w:rsidRPr="00A73DEC">
        <w:t>incorporates</w:t>
      </w:r>
      <w:r w:rsidR="00BD14EC" w:rsidRPr="00A73DEC">
        <w:t xml:space="preserve"> </w:t>
      </w:r>
      <w:r w:rsidR="00F94C9D" w:rsidRPr="00135757">
        <w:t>5</w:t>
      </w:r>
      <w:r w:rsidR="00AC6784" w:rsidRPr="00135757">
        <w:t>37</w:t>
      </w:r>
      <w:r w:rsidR="00F94C9D" w:rsidRPr="00A73DEC">
        <w:t xml:space="preserve"> MW</w:t>
      </w:r>
      <w:r w:rsidRPr="00A73DEC">
        <w:t xml:space="preserve"> of nuclear uprates</w:t>
      </w:r>
      <w:r w:rsidR="009676C6">
        <w:t xml:space="preserve"> completed in 2017</w:t>
      </w:r>
      <w:r w:rsidR="00AC6784">
        <w:t xml:space="preserve">, </w:t>
      </w:r>
      <w:r w:rsidR="009676C6">
        <w:t>the same as in</w:t>
      </w:r>
      <w:r w:rsidR="00142EAA">
        <w:t xml:space="preserve"> B</w:t>
      </w:r>
      <w:r w:rsidR="000D6FE1">
        <w:t xml:space="preserve">udget </w:t>
      </w:r>
      <w:r w:rsidR="00142EAA">
        <w:t>201</w:t>
      </w:r>
      <w:r w:rsidR="00EF7FD9">
        <w:t>8</w:t>
      </w:r>
      <w:r w:rsidR="00060827" w:rsidRPr="00A73DEC">
        <w:t>.</w:t>
      </w:r>
      <w:r w:rsidR="00264CDC">
        <w:t xml:space="preserve"> </w:t>
      </w:r>
      <w:r w:rsidR="00060827" w:rsidRPr="00A73DEC">
        <w:t>This</w:t>
      </w:r>
      <w:r w:rsidR="00434F6B">
        <w:t xml:space="preserve"> figure</w:t>
      </w:r>
      <w:r w:rsidR="00060827" w:rsidRPr="00A73DEC">
        <w:t xml:space="preserve"> </w:t>
      </w:r>
      <w:r w:rsidR="00F94C9D" w:rsidRPr="00A73DEC">
        <w:t>includes</w:t>
      </w:r>
      <w:r w:rsidR="009676C6">
        <w:t xml:space="preserve"> 44MW of</w:t>
      </w:r>
      <w:r w:rsidR="00F94C9D" w:rsidRPr="00A73DEC">
        <w:t xml:space="preserve"> uprates</w:t>
      </w:r>
      <w:r w:rsidR="009676C6">
        <w:t xml:space="preserve"> at the Peach Bottom plant</w:t>
      </w:r>
      <w:r w:rsidR="00F94C9D" w:rsidRPr="00A73DEC">
        <w:t xml:space="preserve"> as published by the Nuclear Regulatory Commission</w:t>
      </w:r>
      <w:r w:rsidR="00060827" w:rsidRPr="00A73DEC">
        <w:t xml:space="preserve"> (NRC)</w:t>
      </w:r>
      <w:r w:rsidR="009676C6">
        <w:t xml:space="preserve"> that were not reflected in the Energy Velocity dataset</w:t>
      </w:r>
      <w:r w:rsidRPr="00A73DEC">
        <w:t>.</w:t>
      </w:r>
      <w:r w:rsidRPr="00A73DEC">
        <w:rPr>
          <w:rStyle w:val="FootnoteReference"/>
        </w:rPr>
        <w:footnoteReference w:id="5"/>
      </w:r>
      <w:r w:rsidRPr="00A73DEC">
        <w:t xml:space="preserve"> </w:t>
      </w:r>
      <w:r w:rsidR="00BD14EC" w:rsidRPr="00A73DEC">
        <w:t xml:space="preserve">Budget </w:t>
      </w:r>
      <w:r w:rsidR="00806779" w:rsidRPr="00A73DEC">
        <w:t>201</w:t>
      </w:r>
      <w:r w:rsidR="00EF7FD9">
        <w:t>9</w:t>
      </w:r>
      <w:r w:rsidR="00806779" w:rsidRPr="00A73DEC">
        <w:t xml:space="preserve"> </w:t>
      </w:r>
      <w:r w:rsidR="00BD14EC" w:rsidRPr="00A73DEC">
        <w:t xml:space="preserve">also </w:t>
      </w:r>
      <w:r w:rsidR="00733FE0">
        <w:t>incorporates</w:t>
      </w:r>
      <w:r w:rsidR="00BD14EC" w:rsidRPr="00A73DEC">
        <w:t xml:space="preserve"> new nuclear capacity additions for those facilities that have already received advanced regulatory approvals and begun construction</w:t>
      </w:r>
      <w:r w:rsidR="00135757">
        <w:t>.</w:t>
      </w:r>
      <w:r w:rsidR="00135757">
        <w:rPr>
          <w:rStyle w:val="FootnoteReference"/>
        </w:rPr>
        <w:footnoteReference w:id="6"/>
      </w:r>
    </w:p>
    <w:p w14:paraId="5C72DC78" w14:textId="690CB63F" w:rsidR="00320199" w:rsidRDefault="00F65A51" w:rsidP="00320199">
      <w:pPr>
        <w:pStyle w:val="BodyText"/>
        <w:jc w:val="both"/>
      </w:pPr>
      <w:r>
        <w:t xml:space="preserve">Assumptions around operating license extensions and </w:t>
      </w:r>
      <w:r w:rsidR="007643F5" w:rsidRPr="00320199">
        <w:t xml:space="preserve">retirement </w:t>
      </w:r>
      <w:r>
        <w:t>date for</w:t>
      </w:r>
      <w:r w:rsidR="007643F5" w:rsidRPr="00320199">
        <w:t xml:space="preserve"> the</w:t>
      </w:r>
      <w:r w:rsidR="00B344DB" w:rsidRPr="00320199">
        <w:t xml:space="preserve"> nearl</w:t>
      </w:r>
      <w:r w:rsidR="0094001C" w:rsidRPr="00320199">
        <w:t>y 99</w:t>
      </w:r>
      <w:r w:rsidR="00B344DB" w:rsidRPr="00320199">
        <w:t xml:space="preserve"> GW of existing </w:t>
      </w:r>
      <w:r>
        <w:t xml:space="preserve">U.S. </w:t>
      </w:r>
      <w:r w:rsidR="00B344DB" w:rsidRPr="00320199">
        <w:t xml:space="preserve">nuclear capacity </w:t>
      </w:r>
      <w:r w:rsidR="00D87236" w:rsidRPr="00320199">
        <w:t>can significantly sway natural gas and coal demand forecasts</w:t>
      </w:r>
      <w:r w:rsidR="00757C56" w:rsidRPr="00320199">
        <w:t>.</w:t>
      </w:r>
      <w:r>
        <w:t xml:space="preserve"> </w:t>
      </w:r>
      <w:r w:rsidR="00093C2A" w:rsidRPr="00320199">
        <w:t xml:space="preserve">In Budget </w:t>
      </w:r>
      <w:r w:rsidR="00093C2A" w:rsidRPr="00235E86">
        <w:t>201</w:t>
      </w:r>
      <w:r w:rsidR="00EF7FD9">
        <w:t>9</w:t>
      </w:r>
      <w:r>
        <w:t>,</w:t>
      </w:r>
      <w:r w:rsidR="00847507">
        <w:t xml:space="preserve"> as</w:t>
      </w:r>
      <w:r w:rsidR="00093C2A" w:rsidRPr="00235E86">
        <w:t xml:space="preserve"> </w:t>
      </w:r>
      <w:r w:rsidR="00135757">
        <w:t xml:space="preserve">in </w:t>
      </w:r>
      <w:r w:rsidR="00135757" w:rsidRPr="001672D9">
        <w:t>Budget 201</w:t>
      </w:r>
      <w:r w:rsidR="00EF7FD9">
        <w:t>8</w:t>
      </w:r>
      <w:r w:rsidR="00320199">
        <w:t xml:space="preserve">, </w:t>
      </w:r>
      <w:r w:rsidR="00D72926">
        <w:t xml:space="preserve">CRA </w:t>
      </w:r>
      <w:r w:rsidR="00320199">
        <w:t>allowed approximately 11.</w:t>
      </w:r>
      <w:r w:rsidR="001672D9">
        <w:t>6</w:t>
      </w:r>
      <w:r w:rsidR="00320199">
        <w:t xml:space="preserve"> GW of existing nuclear to receive a</w:t>
      </w:r>
      <w:r w:rsidR="00124D4C">
        <w:t xml:space="preserve"> Subsequent License Renewal</w:t>
      </w:r>
      <w:r w:rsidR="00320199">
        <w:t xml:space="preserve"> </w:t>
      </w:r>
      <w:r w:rsidR="00124D4C">
        <w:t>(</w:t>
      </w:r>
      <w:r w:rsidR="00320199">
        <w:t>SLR</w:t>
      </w:r>
      <w:r w:rsidR="00124D4C">
        <w:t>)</w:t>
      </w:r>
      <w:r w:rsidR="00320199">
        <w:t>, extending the lifetime of these plants to 80 years. The units that can receive this second ext</w:t>
      </w:r>
      <w:r w:rsidR="001E64C2">
        <w:t>ension me</w:t>
      </w:r>
      <w:r w:rsidR="00C81EAF">
        <w:t>e</w:t>
      </w:r>
      <w:r w:rsidR="001E64C2">
        <w:t>t a number of criteria:</w:t>
      </w:r>
      <w:r w:rsidR="00320199">
        <w:t xml:space="preserve"> (1) they came online after 1980, (2) they would reach their 60</w:t>
      </w:r>
      <w:r w:rsidR="00320199" w:rsidRPr="00E33463">
        <w:rPr>
          <w:vertAlign w:val="superscript"/>
        </w:rPr>
        <w:t>th</w:t>
      </w:r>
      <w:r w:rsidR="00320199">
        <w:t xml:space="preserve"> birthday before the end of the modeling horizon, (3) they are multi-reactor facilities, </w:t>
      </w:r>
      <w:r w:rsidR="00D72926">
        <w:t xml:space="preserve">and </w:t>
      </w:r>
      <w:r w:rsidR="00320199">
        <w:t>(4) they are not located in “competitive-unlikely” regions.</w:t>
      </w:r>
    </w:p>
    <w:p w14:paraId="013FDF44" w14:textId="72007E2C" w:rsidR="00320199" w:rsidRDefault="00DA6C23" w:rsidP="00A06761">
      <w:pPr>
        <w:pStyle w:val="BodyText"/>
        <w:jc w:val="both"/>
      </w:pPr>
      <w:r>
        <w:t>CRA has classified certain markets as</w:t>
      </w:r>
      <w:r w:rsidR="00320199" w:rsidRPr="00235E86">
        <w:t xml:space="preserve"> “competitive-unlikely” regions</w:t>
      </w:r>
      <w:r>
        <w:t xml:space="preserve">. </w:t>
      </w:r>
      <w:r w:rsidR="00E009E5">
        <w:t>These</w:t>
      </w:r>
      <w:r>
        <w:t xml:space="preserve"> are regions that</w:t>
      </w:r>
      <w:r w:rsidR="003169EF">
        <w:t xml:space="preserve"> </w:t>
      </w:r>
      <w:r>
        <w:t>are (1) “competitive”, in other words are</w:t>
      </w:r>
      <w:r w:rsidR="00320199" w:rsidRPr="00235E86">
        <w:t xml:space="preserve"> not characterized by a vertically integrated utility construct, whereby investors have greater assurances that nuclear construction costs can be passed through to customers, and (2) were </w:t>
      </w:r>
      <w:r>
        <w:t>“</w:t>
      </w:r>
      <w:r w:rsidR="00320199" w:rsidRPr="00235E86">
        <w:t>unlikely</w:t>
      </w:r>
      <w:r>
        <w:t>”</w:t>
      </w:r>
      <w:r w:rsidR="00320199" w:rsidRPr="00235E86">
        <w:t xml:space="preserve"> to support new nuclear power in the </w:t>
      </w:r>
      <w:r w:rsidR="00320199" w:rsidRPr="00235E86">
        <w:lastRenderedPageBreak/>
        <w:t>future, given</w:t>
      </w:r>
      <w:r>
        <w:t xml:space="preserve"> treatment of proposed nuclear capacity and retired</w:t>
      </w:r>
      <w:r w:rsidR="00320199" w:rsidRPr="00235E86">
        <w:t xml:space="preserve"> nuclear plants in their regions. These competitive-unlikely regions include ISO-NE, NYISO, California, Eastern PJM (New Jersey, Delaware, Maryland’s Eastern Shore, and Eastern Pennsylvania), and Northern Illinois (Commonwealth Edison’s service territory), and encompass over 31 GW of nuclear capacity built between 1969 and 1990.</w:t>
      </w:r>
    </w:p>
    <w:p w14:paraId="1A7B6DD6" w14:textId="05606B09" w:rsidR="00320199" w:rsidRDefault="00320199" w:rsidP="00320199">
      <w:pPr>
        <w:pStyle w:val="BodyText"/>
        <w:jc w:val="both"/>
      </w:pPr>
      <w:r>
        <w:t>In addition, CRA</w:t>
      </w:r>
      <w:r w:rsidR="00094C31">
        <w:t xml:space="preserve"> has</w:t>
      </w:r>
      <w:r>
        <w:t xml:space="preserve"> </w:t>
      </w:r>
      <w:r w:rsidRPr="00E33463">
        <w:t>identified seven nuclear units in Southern Illinois, Texas, Oh</w:t>
      </w:r>
      <w:r w:rsidR="00DA6C23">
        <w:t>io, Pennsylvania, and Michigan</w:t>
      </w:r>
      <w:r w:rsidRPr="00E33463">
        <w:t>, whose unfavorable economic and regulatory conditions warrant reassignment to the “Competitive-</w:t>
      </w:r>
      <w:r w:rsidR="00AD0DE0">
        <w:t>Unl</w:t>
      </w:r>
      <w:r w:rsidR="00AD0DE0" w:rsidRPr="00E33463">
        <w:t>ikely</w:t>
      </w:r>
      <w:r w:rsidR="00DA6C23">
        <w:t>”</w:t>
      </w:r>
      <w:r w:rsidR="000D6FE1">
        <w:t xml:space="preserve"> category</w:t>
      </w:r>
      <w:r w:rsidRPr="00E33463">
        <w:t>.</w:t>
      </w:r>
    </w:p>
    <w:p w14:paraId="561EE6EE" w14:textId="724720E0" w:rsidR="00320199" w:rsidRDefault="00DA6C23" w:rsidP="00320199">
      <w:pPr>
        <w:pStyle w:val="BodyText"/>
        <w:jc w:val="both"/>
      </w:pPr>
      <w:bookmarkStart w:id="23" w:name="_Ref394483626"/>
      <w:r w:rsidRPr="006620E4">
        <w:t xml:space="preserve">In </w:t>
      </w:r>
      <w:r w:rsidR="006F2450">
        <w:t>Budget 2019</w:t>
      </w:r>
      <w:r w:rsidR="00320199" w:rsidRPr="006620E4">
        <w:t xml:space="preserve"> </w:t>
      </w:r>
      <w:r w:rsidR="00BF0530">
        <w:t>CRA</w:t>
      </w:r>
      <w:r w:rsidR="00320199" w:rsidRPr="006620E4">
        <w:t xml:space="preserve"> assumed that these </w:t>
      </w:r>
      <w:r w:rsidR="00371759" w:rsidRPr="006620E4">
        <w:t>50</w:t>
      </w:r>
      <w:r w:rsidR="00320199" w:rsidRPr="006620E4">
        <w:t xml:space="preserve"> GW</w:t>
      </w:r>
      <w:r w:rsidRPr="006620E4">
        <w:t xml:space="preserve"> of capacity in the</w:t>
      </w:r>
      <w:r w:rsidR="00320199" w:rsidRPr="006620E4">
        <w:t xml:space="preserve"> “competitive-unlikely” regions could be replaced by new brownfield capacity</w:t>
      </w:r>
      <w:r w:rsidR="002763AC" w:rsidRPr="006620E4">
        <w:t xml:space="preserve"> in all cases (i.e</w:t>
      </w:r>
      <w:r w:rsidR="0051734D" w:rsidRPr="006620E4">
        <w:t>.</w:t>
      </w:r>
      <w:r w:rsidR="00320199" w:rsidRPr="006620E4">
        <w:t xml:space="preserve"> </w:t>
      </w:r>
      <w:r w:rsidR="0051734D" w:rsidRPr="006620E4">
        <w:t>i</w:t>
      </w:r>
      <w:r w:rsidR="00320199" w:rsidRPr="006620E4">
        <w:t>n the</w:t>
      </w:r>
      <w:r w:rsidR="002763AC" w:rsidRPr="006620E4">
        <w:t xml:space="preserve"> </w:t>
      </w:r>
      <w:r w:rsidR="00E27453" w:rsidRPr="006620E4">
        <w:t>$</w:t>
      </w:r>
      <w:r w:rsidR="002763AC" w:rsidRPr="006620E4">
        <w:t>0 scenarios as well as the</w:t>
      </w:r>
      <w:r w:rsidR="00320199" w:rsidRPr="006620E4">
        <w:t xml:space="preserve"> $10 CO</w:t>
      </w:r>
      <w:r w:rsidR="00320199" w:rsidRPr="000D6FE1">
        <w:rPr>
          <w:vertAlign w:val="subscript"/>
        </w:rPr>
        <w:t>2</w:t>
      </w:r>
      <w:r w:rsidR="00320199" w:rsidRPr="006620E4">
        <w:t xml:space="preserve"> and $20 CO</w:t>
      </w:r>
      <w:r w:rsidR="00320199" w:rsidRPr="000D6FE1">
        <w:rPr>
          <w:vertAlign w:val="subscript"/>
        </w:rPr>
        <w:t>2</w:t>
      </w:r>
      <w:r w:rsidR="00320199" w:rsidRPr="006620E4">
        <w:t xml:space="preserve"> views</w:t>
      </w:r>
      <w:r w:rsidR="0051734D" w:rsidRPr="006620E4">
        <w:t>).</w:t>
      </w:r>
      <w:r w:rsidR="00320199" w:rsidRPr="006620E4">
        <w:t xml:space="preserve"> </w:t>
      </w:r>
      <w:r w:rsidR="001E64C2" w:rsidRPr="006620E4">
        <w:t xml:space="preserve">In other words, </w:t>
      </w:r>
      <w:r w:rsidR="0051734D" w:rsidRPr="006620E4">
        <w:t>CRA</w:t>
      </w:r>
      <w:r w:rsidR="00320199" w:rsidRPr="006620E4">
        <w:t xml:space="preserve"> assumed that</w:t>
      </w:r>
      <w:r w:rsidR="001E64C2" w:rsidRPr="006620E4">
        <w:t xml:space="preserve"> these regions’ regulatory bodies would allow new nuclear, such that all existing capacity could be immediately replaced upon retirement in the event nuclear generation was the most cost effective resource due to high natural gas or CO</w:t>
      </w:r>
      <w:r w:rsidR="001E64C2" w:rsidRPr="00094C31">
        <w:rPr>
          <w:vertAlign w:val="subscript"/>
        </w:rPr>
        <w:t>2</w:t>
      </w:r>
      <w:r w:rsidR="001E64C2" w:rsidRPr="006620E4">
        <w:t xml:space="preserve"> prices.</w:t>
      </w:r>
      <w:r w:rsidR="002763AC" w:rsidRPr="006620E4">
        <w:t xml:space="preserve"> </w:t>
      </w:r>
      <w:r w:rsidR="00320199" w:rsidRPr="006620E4">
        <w:fldChar w:fldCharType="begin"/>
      </w:r>
      <w:r w:rsidR="00320199" w:rsidRPr="006620E4">
        <w:instrText xml:space="preserve"> REF _Ref428266058 \h </w:instrText>
      </w:r>
      <w:r w:rsidR="006620E4" w:rsidRPr="006620E4">
        <w:instrText xml:space="preserve"> \* MERGEFORMAT </w:instrText>
      </w:r>
      <w:r w:rsidR="00320199" w:rsidRPr="006620E4">
        <w:fldChar w:fldCharType="separate"/>
      </w:r>
      <w:r w:rsidR="006B6B17">
        <w:t xml:space="preserve">Figure </w:t>
      </w:r>
      <w:r w:rsidR="006B6B17">
        <w:rPr>
          <w:noProof/>
        </w:rPr>
        <w:t>2</w:t>
      </w:r>
      <w:r w:rsidR="00320199" w:rsidRPr="006620E4">
        <w:rPr>
          <w:rFonts w:cs="Arial"/>
        </w:rPr>
        <w:fldChar w:fldCharType="end"/>
      </w:r>
      <w:r w:rsidR="00320199">
        <w:t xml:space="preserve"> </w:t>
      </w:r>
      <w:r w:rsidR="00320199" w:rsidRPr="00BC03D8">
        <w:t xml:space="preserve">charts the new nuclear replacement allowances by year </w:t>
      </w:r>
      <w:r w:rsidR="0051734D" w:rsidRPr="00BC03D8">
        <w:t>(solid + dashed)</w:t>
      </w:r>
      <w:r w:rsidR="0051734D">
        <w:t xml:space="preserve"> </w:t>
      </w:r>
      <w:r w:rsidR="00320199" w:rsidRPr="00BC03D8">
        <w:t xml:space="preserve">in the </w:t>
      </w:r>
      <w:r w:rsidR="0066768F">
        <w:t>$0</w:t>
      </w:r>
      <w:r w:rsidR="0051734D">
        <w:t>, $10, and $20</w:t>
      </w:r>
      <w:r w:rsidR="0066768F">
        <w:t xml:space="preserve"> </w:t>
      </w:r>
      <w:r w:rsidR="00320199" w:rsidRPr="00BC03D8">
        <w:t>CO</w:t>
      </w:r>
      <w:r w:rsidR="00320199" w:rsidRPr="00BC03D8">
        <w:rPr>
          <w:vertAlign w:val="subscript"/>
        </w:rPr>
        <w:t>2</w:t>
      </w:r>
      <w:r w:rsidR="00320199" w:rsidRPr="00BC03D8">
        <w:t xml:space="preserve"> price views.</w:t>
      </w:r>
    </w:p>
    <w:p w14:paraId="762733DE" w14:textId="0EA123B8" w:rsidR="00CA1086" w:rsidRDefault="00CA1086" w:rsidP="00D23078">
      <w:pPr>
        <w:pStyle w:val="Caption"/>
        <w:spacing w:line="360" w:lineRule="auto"/>
      </w:pPr>
      <w:bookmarkStart w:id="24" w:name="_Ref428266058"/>
      <w:bookmarkStart w:id="25" w:name="_Toc528761295"/>
      <w:r>
        <w:t xml:space="preserve">Figure </w:t>
      </w:r>
      <w:r w:rsidR="00E663EE">
        <w:rPr>
          <w:noProof/>
        </w:rPr>
        <w:fldChar w:fldCharType="begin"/>
      </w:r>
      <w:r w:rsidR="00E663EE">
        <w:rPr>
          <w:noProof/>
        </w:rPr>
        <w:instrText xml:space="preserve"> SEQ Figure \* ARABIC </w:instrText>
      </w:r>
      <w:r w:rsidR="00E663EE">
        <w:rPr>
          <w:noProof/>
        </w:rPr>
        <w:fldChar w:fldCharType="separate"/>
      </w:r>
      <w:r w:rsidR="006B6B17">
        <w:rPr>
          <w:noProof/>
        </w:rPr>
        <w:t>2</w:t>
      </w:r>
      <w:r w:rsidR="00E663EE">
        <w:rPr>
          <w:noProof/>
        </w:rPr>
        <w:fldChar w:fldCharType="end"/>
      </w:r>
      <w:bookmarkEnd w:id="23"/>
      <w:bookmarkEnd w:id="24"/>
      <w:r>
        <w:t>:</w:t>
      </w:r>
      <w:r w:rsidR="00264CDC">
        <w:t xml:space="preserve"> </w:t>
      </w:r>
      <w:r>
        <w:t>Allowances for New Brownfield Nuclear Capacity to Replace Retiring Plants</w:t>
      </w:r>
      <w:bookmarkEnd w:id="25"/>
    </w:p>
    <w:p w14:paraId="1E6B5655" w14:textId="2054BA8E" w:rsidR="004F0EB6" w:rsidRDefault="00FF7E45" w:rsidP="00D23078">
      <w:pPr>
        <w:pStyle w:val="BodyText"/>
        <w:spacing w:line="360" w:lineRule="auto"/>
      </w:pPr>
      <w:r w:rsidRPr="00FF7E45">
        <w:rPr>
          <w:noProof/>
        </w:rPr>
        <w:t xml:space="preserve"> </w:t>
      </w:r>
      <w:r>
        <w:rPr>
          <w:noProof/>
        </w:rPr>
        <w:drawing>
          <wp:inline distT="0" distB="0" distL="0" distR="0" wp14:anchorId="006D4DAB" wp14:editId="35B33A84">
            <wp:extent cx="5138739" cy="3543300"/>
            <wp:effectExtent l="0" t="0" r="508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A1A08E0" w14:textId="44FF03A7" w:rsidR="00D34D75" w:rsidRPr="007309DF" w:rsidRDefault="00DF2DDC" w:rsidP="00D23078">
      <w:pPr>
        <w:pStyle w:val="BodyText"/>
        <w:jc w:val="both"/>
      </w:pPr>
      <w:r>
        <w:t>As described above</w:t>
      </w:r>
      <w:r w:rsidR="00DC5258" w:rsidRPr="007309DF">
        <w:t>,</w:t>
      </w:r>
      <w:r>
        <w:t xml:space="preserve"> </w:t>
      </w:r>
      <w:r w:rsidR="00BF0530">
        <w:t>CRA</w:t>
      </w:r>
      <w:r w:rsidR="00625396" w:rsidRPr="00371759">
        <w:t xml:space="preserve"> do</w:t>
      </w:r>
      <w:r w:rsidR="00BF0530">
        <w:t>es</w:t>
      </w:r>
      <w:r w:rsidR="00625396" w:rsidRPr="00371759">
        <w:t xml:space="preserve"> not allow new greenfield additions unt</w:t>
      </w:r>
      <w:r w:rsidR="004B5FEA">
        <w:t>il</w:t>
      </w:r>
      <w:r w:rsidR="004B5FEA" w:rsidRPr="0047520E">
        <w:t xml:space="preserve"> </w:t>
      </w:r>
      <w:r w:rsidR="00850B32" w:rsidRPr="00B86FA1">
        <w:rPr>
          <w:b/>
          <w:sz w:val="10"/>
        </w:rPr>
        <w:t>REDACTED</w:t>
      </w:r>
      <w:r w:rsidRPr="0047520E">
        <w:t xml:space="preserve"> </w:t>
      </w:r>
      <w:r>
        <w:t xml:space="preserve">due to </w:t>
      </w:r>
      <w:r w:rsidRPr="007309DF">
        <w:t>regulatory aver</w:t>
      </w:r>
      <w:r>
        <w:t xml:space="preserve">sion and </w:t>
      </w:r>
      <w:r w:rsidR="004B5FEA">
        <w:t>long lead times in construction</w:t>
      </w:r>
      <w:r w:rsidR="00757C56" w:rsidRPr="00371759">
        <w:t>.</w:t>
      </w:r>
      <w:r w:rsidR="00757C56" w:rsidRPr="007309DF">
        <w:t xml:space="preserve"> </w:t>
      </w:r>
      <w:r w:rsidR="004B5FEA">
        <w:t xml:space="preserve">From </w:t>
      </w:r>
      <w:r w:rsidR="00850B32" w:rsidRPr="0047520E">
        <w:rPr>
          <w:b/>
          <w:sz w:val="10"/>
        </w:rPr>
        <w:t>REDACTED</w:t>
      </w:r>
      <w:r w:rsidR="004B5FEA">
        <w:t>, 2.2 GW (the equivalent of two</w:t>
      </w:r>
      <w:r w:rsidR="00D34D75" w:rsidRPr="00371759">
        <w:t xml:space="preserve"> standard-sized nuclear unit</w:t>
      </w:r>
      <w:r w:rsidR="004B5FEA">
        <w:t>s</w:t>
      </w:r>
      <w:r w:rsidR="00D34D75" w:rsidRPr="00371759">
        <w:t>) of new greenfield nuclear capacity are allowed per year</w:t>
      </w:r>
      <w:r w:rsidR="004B5FEA">
        <w:t>, in addition to the replacement brownfield capacity</w:t>
      </w:r>
      <w:r w:rsidR="00757C56" w:rsidRPr="00371759">
        <w:t>.</w:t>
      </w:r>
    </w:p>
    <w:p w14:paraId="76CA880C" w14:textId="1E8D3E6E" w:rsidR="009F5B81" w:rsidRDefault="00D34D75" w:rsidP="002F1395">
      <w:pPr>
        <w:pStyle w:val="BodyText"/>
        <w:jc w:val="both"/>
      </w:pPr>
      <w:r w:rsidRPr="004A6E9B">
        <w:t xml:space="preserve">In </w:t>
      </w:r>
      <w:r w:rsidR="00DC5258" w:rsidRPr="004A6E9B">
        <w:fldChar w:fldCharType="begin"/>
      </w:r>
      <w:r w:rsidR="00DC5258" w:rsidRPr="004A6E9B">
        <w:instrText xml:space="preserve"> REF _Ref394492801 \h </w:instrText>
      </w:r>
      <w:r w:rsidR="009F5B81" w:rsidRPr="004A6E9B">
        <w:instrText xml:space="preserve"> \* MERGEFORMAT </w:instrText>
      </w:r>
      <w:r w:rsidR="00DC5258" w:rsidRPr="004A6E9B">
        <w:fldChar w:fldCharType="separate"/>
      </w:r>
      <w:r w:rsidR="006B6B17" w:rsidRPr="00040F0B">
        <w:t xml:space="preserve">Figure </w:t>
      </w:r>
      <w:r w:rsidR="006B6B17">
        <w:rPr>
          <w:noProof/>
        </w:rPr>
        <w:t>3</w:t>
      </w:r>
      <w:r w:rsidR="00DC5258" w:rsidRPr="004A6E9B">
        <w:fldChar w:fldCharType="end"/>
      </w:r>
      <w:r w:rsidRPr="004A6E9B">
        <w:t xml:space="preserve"> below, </w:t>
      </w:r>
      <w:r w:rsidR="009F5B81" w:rsidRPr="004A6E9B">
        <w:t>the solid</w:t>
      </w:r>
      <w:r w:rsidR="007D60AD" w:rsidRPr="004A6E9B">
        <w:t xml:space="preserve"> lines represent the B</w:t>
      </w:r>
      <w:r w:rsidR="008A48B1" w:rsidRPr="004A6E9B">
        <w:t xml:space="preserve">udget </w:t>
      </w:r>
      <w:r w:rsidR="007D60AD" w:rsidRPr="004A6E9B">
        <w:t>201</w:t>
      </w:r>
      <w:r w:rsidR="00EF7FD9" w:rsidRPr="004A6E9B">
        <w:t>9</w:t>
      </w:r>
      <w:r w:rsidR="007D60AD" w:rsidRPr="009C264F">
        <w:t xml:space="preserve"> views, while B</w:t>
      </w:r>
      <w:r w:rsidR="008A48B1" w:rsidRPr="009C264F">
        <w:t xml:space="preserve">udget </w:t>
      </w:r>
      <w:r w:rsidR="007D60AD" w:rsidRPr="00A67391">
        <w:t>201</w:t>
      </w:r>
      <w:r w:rsidR="00EF7FD9" w:rsidRPr="00A67391">
        <w:t>8</w:t>
      </w:r>
      <w:r w:rsidR="007D60AD" w:rsidRPr="00A67391">
        <w:t xml:space="preserve"> </w:t>
      </w:r>
      <w:r w:rsidR="00C1637F" w:rsidRPr="00A67391">
        <w:t>is</w:t>
      </w:r>
      <w:r w:rsidR="007D60AD" w:rsidRPr="00E30543">
        <w:t xml:space="preserve"> represented by dashed lines.</w:t>
      </w:r>
      <w:r w:rsidR="00DB4FF0" w:rsidRPr="00C04531">
        <w:t xml:space="preserve"> The </w:t>
      </w:r>
      <w:r w:rsidR="006F2450">
        <w:t>Budget 2019</w:t>
      </w:r>
      <w:r w:rsidR="00DB4FF0" w:rsidRPr="00C04531">
        <w:t xml:space="preserve"> maximum </w:t>
      </w:r>
      <w:r w:rsidR="00046627" w:rsidRPr="00C04531">
        <w:t xml:space="preserve">potential </w:t>
      </w:r>
      <w:r w:rsidR="00DB4FF0" w:rsidRPr="00C04531">
        <w:t xml:space="preserve">nuclear capacity is slightly </w:t>
      </w:r>
      <w:r w:rsidR="004A6E9B" w:rsidRPr="004A6E9B">
        <w:lastRenderedPageBreak/>
        <w:t xml:space="preserve">lower </w:t>
      </w:r>
      <w:r w:rsidR="00DB4FF0" w:rsidRPr="004A6E9B">
        <w:t xml:space="preserve">than </w:t>
      </w:r>
      <w:r w:rsidR="006F2450">
        <w:t>Budget 2018</w:t>
      </w:r>
      <w:r w:rsidR="00DB4FF0" w:rsidRPr="004A6E9B">
        <w:t xml:space="preserve"> </w:t>
      </w:r>
      <w:r w:rsidR="00046627" w:rsidRPr="004A6E9B">
        <w:t>after 202</w:t>
      </w:r>
      <w:r w:rsidR="004A6E9B" w:rsidRPr="004A6E9B">
        <w:t>0</w:t>
      </w:r>
      <w:r w:rsidR="00046627" w:rsidRPr="004A6E9B">
        <w:t xml:space="preserve"> </w:t>
      </w:r>
      <w:r w:rsidR="00DB4FF0" w:rsidRPr="004A6E9B">
        <w:t xml:space="preserve">due to the </w:t>
      </w:r>
      <w:r w:rsidR="004A6E9B">
        <w:t>cancellation of the</w:t>
      </w:r>
      <w:r w:rsidR="004A6E9B" w:rsidRPr="004A6E9B">
        <w:t xml:space="preserve"> VC Summer units, recently announced accelerated retirements, and later </w:t>
      </w:r>
      <w:r w:rsidR="00DB4FF0" w:rsidRPr="004A6E9B">
        <w:t>availability of greenfield capacity</w:t>
      </w:r>
      <w:r w:rsidR="00774418" w:rsidRPr="004A6E9B">
        <w:t>.</w:t>
      </w:r>
    </w:p>
    <w:p w14:paraId="72832C00" w14:textId="24D8539D" w:rsidR="0012426F" w:rsidRDefault="0012426F" w:rsidP="0012426F">
      <w:pPr>
        <w:pStyle w:val="Caption"/>
        <w:spacing w:line="240" w:lineRule="auto"/>
      </w:pPr>
      <w:bookmarkStart w:id="26" w:name="_Ref394492801"/>
      <w:bookmarkStart w:id="27" w:name="_Toc528761296"/>
      <w:r w:rsidRPr="00040F0B">
        <w:t xml:space="preserve">Figure </w:t>
      </w:r>
      <w:r w:rsidRPr="00040F0B">
        <w:rPr>
          <w:noProof/>
        </w:rPr>
        <w:fldChar w:fldCharType="begin"/>
      </w:r>
      <w:r w:rsidRPr="00040F0B">
        <w:rPr>
          <w:noProof/>
        </w:rPr>
        <w:instrText xml:space="preserve"> SEQ Figure \* ARABIC </w:instrText>
      </w:r>
      <w:r w:rsidRPr="00040F0B">
        <w:rPr>
          <w:noProof/>
        </w:rPr>
        <w:fldChar w:fldCharType="separate"/>
      </w:r>
      <w:r w:rsidR="006B6B17">
        <w:rPr>
          <w:noProof/>
        </w:rPr>
        <w:t>3</w:t>
      </w:r>
      <w:r w:rsidRPr="00040F0B">
        <w:rPr>
          <w:noProof/>
        </w:rPr>
        <w:fldChar w:fldCharType="end"/>
      </w:r>
      <w:bookmarkEnd w:id="26"/>
      <w:r w:rsidRPr="00040F0B">
        <w:t>: North American Maximum Available Nuclear Capacity Summary</w:t>
      </w:r>
      <w:bookmarkEnd w:id="27"/>
    </w:p>
    <w:p w14:paraId="68EBCF1D" w14:textId="6DA34501" w:rsidR="00850B32" w:rsidRDefault="0012426F" w:rsidP="00ED2C2F">
      <w:pPr>
        <w:pStyle w:val="Caption"/>
        <w:spacing w:line="240" w:lineRule="auto"/>
      </w:pPr>
      <w:r>
        <w:rPr>
          <w:noProof/>
        </w:rPr>
        <w:drawing>
          <wp:inline distT="0" distB="0" distL="0" distR="0" wp14:anchorId="6DBAD180" wp14:editId="1CE69A8B">
            <wp:extent cx="5259070" cy="3079115"/>
            <wp:effectExtent l="0" t="0" r="0" b="698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B9B1DA4" w14:textId="726CAA4B" w:rsidR="00850B32" w:rsidRDefault="00850B32" w:rsidP="00850B32">
      <w:pPr>
        <w:tabs>
          <w:tab w:val="left" w:pos="6540"/>
        </w:tabs>
      </w:pPr>
      <w:r>
        <w:tab/>
      </w:r>
    </w:p>
    <w:p w14:paraId="6B95E9B7" w14:textId="77777777" w:rsidR="0047520E" w:rsidRDefault="0047520E">
      <w:pPr>
        <w:spacing w:before="0" w:after="0"/>
        <w:ind w:left="0"/>
        <w:jc w:val="left"/>
        <w:rPr>
          <w:rFonts w:ascii="Arial" w:hAnsi="Arial" w:cs="Arial"/>
          <w:b/>
          <w:sz w:val="28"/>
        </w:rPr>
      </w:pPr>
      <w:r>
        <w:rPr>
          <w:rFonts w:ascii="Arial" w:hAnsi="Arial" w:cs="Arial"/>
          <w:b/>
          <w:sz w:val="28"/>
        </w:rPr>
        <w:br w:type="page"/>
      </w:r>
    </w:p>
    <w:p w14:paraId="4939204B" w14:textId="114051FC" w:rsidR="00C5174D" w:rsidRPr="00FF73F1" w:rsidRDefault="00850B32" w:rsidP="00850B32">
      <w:pPr>
        <w:tabs>
          <w:tab w:val="left" w:pos="6540"/>
        </w:tabs>
        <w:jc w:val="center"/>
        <w:rPr>
          <w:i/>
        </w:rPr>
      </w:pPr>
      <w:r w:rsidRPr="00850B32">
        <w:rPr>
          <w:rFonts w:ascii="Arial" w:hAnsi="Arial" w:cs="Arial"/>
          <w:b/>
          <w:sz w:val="28"/>
        </w:rPr>
        <w:lastRenderedPageBreak/>
        <w:t>REMAINDER OF REPORT IS REDACTED IN ITS ENTIRETY</w:t>
      </w:r>
      <w:bookmarkStart w:id="28" w:name="_Toc369012001"/>
      <w:bookmarkEnd w:id="28"/>
    </w:p>
    <w:sectPr w:rsidR="00C5174D" w:rsidRPr="00FF73F1" w:rsidSect="00D75806">
      <w:pgSz w:w="12242" w:h="15842" w:code="1"/>
      <w:pgMar w:top="1440" w:right="1440" w:bottom="1440" w:left="1440" w:header="576" w:footer="432" w:gutter="1080"/>
      <w:paperSrc w:first="15" w:other="15"/>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39643" w14:textId="77777777" w:rsidR="00040F0B" w:rsidRDefault="00040F0B">
      <w:r>
        <w:separator/>
      </w:r>
    </w:p>
  </w:endnote>
  <w:endnote w:type="continuationSeparator" w:id="0">
    <w:p w14:paraId="3523F626" w14:textId="77777777" w:rsidR="00040F0B" w:rsidRDefault="00040F0B">
      <w:r>
        <w:continuationSeparator/>
      </w:r>
    </w:p>
  </w:endnote>
  <w:endnote w:type="continuationNotice" w:id="1">
    <w:p w14:paraId="7DA99B4A" w14:textId="77777777" w:rsidR="00040F0B" w:rsidRDefault="00040F0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20D6A" w14:textId="77777777" w:rsidR="00040F0B" w:rsidRDefault="00040F0B">
    <w:pPr>
      <w:pStyle w:val="Footer"/>
      <w:framePr w:wrap="around" w:vAnchor="text" w:hAnchor="margin" w:xAlign="right" w:y="1"/>
    </w:pPr>
    <w:r>
      <w:fldChar w:fldCharType="begin"/>
    </w:r>
    <w:r>
      <w:instrText xml:space="preserve">PAGE  </w:instrText>
    </w:r>
    <w:r>
      <w:fldChar w:fldCharType="separate"/>
    </w:r>
    <w:r>
      <w:t>3</w:t>
    </w:r>
    <w:r>
      <w:fldChar w:fldCharType="end"/>
    </w:r>
  </w:p>
  <w:p w14:paraId="41A99B69" w14:textId="77777777" w:rsidR="00040F0B" w:rsidRDefault="00040F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86515" w14:textId="77777777" w:rsidR="00040F0B" w:rsidRDefault="00040F0B">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85F4F" w14:textId="77777777" w:rsidR="00040F0B" w:rsidRDefault="00040F0B" w:rsidP="00413281">
    <w:pPr>
      <w:pStyle w:val="Footer"/>
      <w:pBdr>
        <w:top w:val="none" w:sz="0" w:space="0" w:color="auto"/>
      </w:pBdr>
      <w:tabs>
        <w:tab w:val="center" w:pos="4320"/>
        <w:tab w:val="right" w:pos="8190"/>
      </w:tabs>
      <w:ind w:left="0" w:right="-764"/>
      <w:jc w:val="left"/>
      <w:rPr>
        <w: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856BC" w14:textId="21CEE566" w:rsidR="00040F0B" w:rsidRPr="00413023" w:rsidRDefault="00040F0B" w:rsidP="00394A44">
    <w:pPr>
      <w:pStyle w:val="Footer"/>
    </w:pPr>
    <w:r w:rsidRPr="00413023">
      <w:tab/>
    </w:r>
    <w:r>
      <w:tab/>
    </w:r>
    <w:r w:rsidRPr="00413023">
      <w:t xml:space="preserve">Page </w:t>
    </w:r>
    <w:r>
      <w:fldChar w:fldCharType="begin"/>
    </w:r>
    <w:r>
      <w:instrText xml:space="preserve"> PAGE </w:instrText>
    </w:r>
    <w:r>
      <w:fldChar w:fldCharType="separate"/>
    </w:r>
    <w:r>
      <w:rPr>
        <w:noProof/>
      </w:rPr>
      <w:t>v</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640AC" w14:textId="75B93985" w:rsidR="00040F0B" w:rsidRDefault="00040F0B">
    <w:pPr>
      <w:pStyle w:val="Footer"/>
      <w:pBdr>
        <w:top w:val="single" w:sz="6" w:space="1" w:color="568A9E"/>
      </w:pBdr>
    </w:pPr>
    <w:r>
      <w:rPr>
        <w:noProof/>
      </w:rPr>
      <mc:AlternateContent>
        <mc:Choice Requires="wps">
          <w:drawing>
            <wp:anchor distT="0" distB="0" distL="114300" distR="114300" simplePos="0" relativeHeight="251657728" behindDoc="0" locked="0" layoutInCell="1" allowOverlap="1" wp14:anchorId="3BB88B0E" wp14:editId="31BB5933">
              <wp:simplePos x="0" y="0"/>
              <wp:positionH relativeFrom="column">
                <wp:posOffset>-618490</wp:posOffset>
              </wp:positionH>
              <wp:positionV relativeFrom="paragraph">
                <wp:posOffset>69850</wp:posOffset>
              </wp:positionV>
              <wp:extent cx="605155" cy="452755"/>
              <wp:effectExtent l="0" t="0" r="0" b="4445"/>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155" cy="452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85671" w14:textId="77777777" w:rsidR="00040F0B" w:rsidRDefault="00040F0B">
                          <w:pPr>
                            <w:spacing w:before="0" w:after="0"/>
                            <w:jc w:val="right"/>
                          </w:pPr>
                          <w:r>
                            <w:rPr>
                              <w:noProof/>
                            </w:rPr>
                            <w:drawing>
                              <wp:inline distT="0" distB="0" distL="0" distR="0" wp14:anchorId="695AC221" wp14:editId="59D6685E">
                                <wp:extent cx="318135" cy="349885"/>
                                <wp:effectExtent l="0" t="0" r="5715" b="0"/>
                                <wp:docPr id="239"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 cy="34988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88B0E" id="_x0000_t202" coordsize="21600,21600" o:spt="202" path="m,l,21600r21600,l21600,xe">
              <v:stroke joinstyle="miter"/>
              <v:path gradientshapeok="t" o:connecttype="rect"/>
            </v:shapetype>
            <v:shape id="Text Box 1" o:spid="_x0000_s1026" type="#_x0000_t202" style="position:absolute;left:0;text-align:left;margin-left:-48.7pt;margin-top:5.5pt;width:47.65pt;height:3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m+PsgIAALk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" filled="f" stroked="f">
              <v:textbox>
                <w:txbxContent>
                  <w:p w14:paraId="3E385671" w14:textId="77777777" w:rsidR="00040F0B" w:rsidRDefault="00040F0B">
                    <w:pPr>
                      <w:spacing w:before="0" w:after="0"/>
                      <w:jc w:val="right"/>
                    </w:pPr>
                    <w:r>
                      <w:rPr>
                        <w:noProof/>
                      </w:rPr>
                      <w:drawing>
                        <wp:inline distT="0" distB="0" distL="0" distR="0" wp14:anchorId="695AC221" wp14:editId="59D6685E">
                          <wp:extent cx="318135" cy="349885"/>
                          <wp:effectExtent l="0" t="0" r="5715" b="0"/>
                          <wp:docPr id="239"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 cy="349885"/>
                                  </a:xfrm>
                                  <a:prstGeom prst="rect">
                                    <a:avLst/>
                                  </a:prstGeom>
                                  <a:noFill/>
                                  <a:ln>
                                    <a:noFill/>
                                  </a:ln>
                                </pic:spPr>
                              </pic:pic>
                            </a:graphicData>
                          </a:graphic>
                        </wp:inline>
                      </w:drawing>
                    </w:r>
                  </w:p>
                </w:txbxContent>
              </v:textbox>
            </v:shape>
          </w:pict>
        </mc:Fallback>
      </mc:AlternateContent>
    </w:r>
    <w:r>
      <w:tab/>
    </w:r>
    <w:r w:rsidR="001E7519">
      <w:fldChar w:fldCharType="begin"/>
    </w:r>
    <w:r w:rsidR="001E7519">
      <w:instrText xml:space="preserve"> DOCPROPERTY "Status"  \* MERGEFORMAT </w:instrText>
    </w:r>
    <w:r w:rsidR="001E7519">
      <w:fldChar w:fldCharType="separate"/>
    </w:r>
    <w:r w:rsidR="006B6B17">
      <w:rPr>
        <w:b/>
        <w:bCs/>
      </w:rPr>
      <w:t>Error! Unknown document property name.</w:t>
    </w:r>
    <w:r w:rsidR="001E7519">
      <w:fldChar w:fldCharType="end"/>
    </w:r>
    <w:r>
      <w:tab/>
      <w:t xml:space="preserve">Page </w:t>
    </w:r>
    <w:r>
      <w:fldChar w:fldCharType="begin"/>
    </w:r>
    <w:r>
      <w:instrText xml:space="preserve"> PAGE </w:instrText>
    </w:r>
    <w:r>
      <w:fldChar w:fldCharType="separate"/>
    </w:r>
    <w:r>
      <w:rPr>
        <w:noProof/>
      </w:rPr>
      <w:t>i</w:t>
    </w:r>
    <w:r>
      <w:rPr>
        <w:noProof/>
      </w:rPr>
      <w:fldChar w:fldCharType="end"/>
    </w:r>
  </w:p>
  <w:p w14:paraId="6ACBCD24" w14:textId="77777777" w:rsidR="00040F0B" w:rsidRDefault="00040F0B">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CED38" w14:textId="77777777" w:rsidR="00040F0B" w:rsidRDefault="00040F0B">
      <w:r>
        <w:separator/>
      </w:r>
    </w:p>
  </w:footnote>
  <w:footnote w:type="continuationSeparator" w:id="0">
    <w:p w14:paraId="41CB1118" w14:textId="77777777" w:rsidR="00040F0B" w:rsidRDefault="00040F0B">
      <w:r>
        <w:continuationSeparator/>
      </w:r>
    </w:p>
  </w:footnote>
  <w:footnote w:type="continuationNotice" w:id="1">
    <w:p w14:paraId="2449FF85" w14:textId="77777777" w:rsidR="00040F0B" w:rsidRDefault="00040F0B">
      <w:pPr>
        <w:spacing w:before="0" w:after="0"/>
      </w:pPr>
    </w:p>
  </w:footnote>
  <w:footnote w:id="2">
    <w:p w14:paraId="01396EEF" w14:textId="2A7F8132" w:rsidR="00040F0B" w:rsidRPr="009A3B9F" w:rsidRDefault="00040F0B" w:rsidP="00C24C72">
      <w:pPr>
        <w:pStyle w:val="FootnoteText"/>
      </w:pPr>
      <w:r w:rsidRPr="00EE0E80">
        <w:rPr>
          <w:rStyle w:val="FootnoteReference"/>
        </w:rPr>
        <w:footnoteRef/>
      </w:r>
      <w:r>
        <w:t xml:space="preserve"> </w:t>
      </w:r>
      <w:r>
        <w:tab/>
        <w:t xml:space="preserve">An </w:t>
      </w:r>
      <w:r w:rsidRPr="00EE0E80">
        <w:t>exception</w:t>
      </w:r>
      <w:r>
        <w:t xml:space="preserve"> is made for</w:t>
      </w:r>
      <w:r w:rsidRPr="00EE0E80">
        <w:t xml:space="preserve"> </w:t>
      </w:r>
      <w:r>
        <w:t xml:space="preserve">Georgia Power’s </w:t>
      </w:r>
      <w:r w:rsidRPr="00EE0E80">
        <w:t xml:space="preserve">Vogtle </w:t>
      </w:r>
      <w:r>
        <w:t xml:space="preserve">Units </w:t>
      </w:r>
      <w:r w:rsidRPr="00EE0E80">
        <w:t>3 and 4</w:t>
      </w:r>
      <w:r>
        <w:t>.</w:t>
      </w:r>
    </w:p>
  </w:footnote>
  <w:footnote w:id="3">
    <w:p w14:paraId="13616792" w14:textId="5A2D9F0F" w:rsidR="00040F0B" w:rsidRPr="001F2982" w:rsidRDefault="00040F0B" w:rsidP="008F4A8B">
      <w:pPr>
        <w:pStyle w:val="FootnoteText"/>
        <w:jc w:val="left"/>
      </w:pPr>
      <w:r>
        <w:rPr>
          <w:rStyle w:val="FootnoteReference"/>
        </w:rPr>
        <w:footnoteRef/>
      </w:r>
      <w:r>
        <w:t xml:space="preserve"> </w:t>
      </w:r>
      <w:r>
        <w:tab/>
        <w:t>This figure is based on CRA’s “</w:t>
      </w:r>
      <w:r w:rsidRPr="001F2982">
        <w:t>SPP WITF Wind Integration Study</w:t>
      </w:r>
      <w:r>
        <w:t xml:space="preserve">” performed on behalf of Southwest Power Pool in 2010. See </w:t>
      </w:r>
      <w:hyperlink r:id="rId1" w:history="1">
        <w:r w:rsidRPr="002E1020">
          <w:rPr>
            <w:rStyle w:val="Hyperlink"/>
            <w:sz w:val="16"/>
          </w:rPr>
          <w:t>http://www.uwig.org/CRA_SPP_WITF_Wind_Integration_Study_Final_Report.pdf</w:t>
        </w:r>
      </w:hyperlink>
      <w:r>
        <w:t xml:space="preserve"> for the full report. Where needed to meet RPS requirements, CRA allows greater penetration of intermittent technologies.</w:t>
      </w:r>
    </w:p>
  </w:footnote>
  <w:footnote w:id="4">
    <w:p w14:paraId="718B4413" w14:textId="0051EFF9" w:rsidR="00040F0B" w:rsidRDefault="00040F0B">
      <w:pPr>
        <w:pStyle w:val="FootnoteText"/>
      </w:pPr>
      <w:r>
        <w:rPr>
          <w:rStyle w:val="FootnoteReference"/>
        </w:rPr>
        <w:footnoteRef/>
      </w:r>
      <w:r>
        <w:t xml:space="preserve"> </w:t>
      </w:r>
      <w:r>
        <w:tab/>
        <w:t xml:space="preserve">CRA assumes a 20% limit on intermittent generation in most regions of the US, states with more aggressive RPS programs, such as CA and NY, have this constraint relaxed. </w:t>
      </w:r>
    </w:p>
  </w:footnote>
  <w:footnote w:id="5">
    <w:p w14:paraId="1ACF0DFB" w14:textId="2C3B40E0" w:rsidR="00040F0B" w:rsidRDefault="00040F0B" w:rsidP="00515CFB">
      <w:pPr>
        <w:pStyle w:val="FootnoteText"/>
        <w:jc w:val="left"/>
      </w:pPr>
      <w:r>
        <w:rPr>
          <w:rStyle w:val="FootnoteReference"/>
        </w:rPr>
        <w:footnoteRef/>
      </w:r>
      <w:r>
        <w:t xml:space="preserve"> </w:t>
      </w:r>
      <w:r>
        <w:tab/>
        <w:t xml:space="preserve">Pending power uprates: </w:t>
      </w:r>
      <w:hyperlink r:id="rId2" w:history="1">
        <w:r w:rsidRPr="004373ED">
          <w:rPr>
            <w:rStyle w:val="Hyperlink"/>
            <w:sz w:val="16"/>
          </w:rPr>
          <w:t>http://www.nrc.gov/reactors/operating/licensing/power-uprates/status-power-apps/pending-applications.html</w:t>
        </w:r>
      </w:hyperlink>
      <w:r>
        <w:rPr>
          <w:u w:color="808080"/>
        </w:rPr>
        <w:t xml:space="preserve"> </w:t>
      </w:r>
      <w:r>
        <w:t xml:space="preserve">and Expected power uprates: </w:t>
      </w:r>
      <w:hyperlink r:id="rId3" w:history="1">
        <w:r w:rsidRPr="004373ED">
          <w:rPr>
            <w:rStyle w:val="Hyperlink"/>
            <w:sz w:val="16"/>
          </w:rPr>
          <w:t>http://www.nrc.gov/reactors/operating/licensing/power-uprates/status-power-apps/expected-applications.html</w:t>
        </w:r>
      </w:hyperlink>
      <w:r>
        <w:rPr>
          <w:u w:color="808080"/>
        </w:rPr>
        <w:t xml:space="preserve"> as of April 2, 2018</w:t>
      </w:r>
      <w:r>
        <w:t>.</w:t>
      </w:r>
    </w:p>
  </w:footnote>
  <w:footnote w:id="6">
    <w:p w14:paraId="7F5170F0" w14:textId="32CCD578" w:rsidR="00040F0B" w:rsidRDefault="00040F0B">
      <w:pPr>
        <w:pStyle w:val="FootnoteText"/>
      </w:pPr>
      <w:r>
        <w:rPr>
          <w:rStyle w:val="FootnoteReference"/>
        </w:rPr>
        <w:footnoteRef/>
      </w:r>
      <w:r>
        <w:t xml:space="preserve"> </w:t>
      </w:r>
      <w:r>
        <w:tab/>
        <w:t>This includes Georgia Power’s Vog</w:t>
      </w:r>
      <w:r w:rsidRPr="00C947C8">
        <w:t>t</w:t>
      </w:r>
      <w:r>
        <w:t>l</w:t>
      </w:r>
      <w:r w:rsidRPr="00C947C8">
        <w:t xml:space="preserve">e </w:t>
      </w:r>
      <w:r>
        <w:t>U</w:t>
      </w:r>
      <w:r w:rsidRPr="00C947C8">
        <w:t>nits 3 &amp;</w:t>
      </w:r>
      <w:r>
        <w:t xml:space="preserve"> </w:t>
      </w:r>
      <w:r w:rsidRPr="00C947C8">
        <w:t>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B9B03" w14:textId="243063D6" w:rsidR="00040F0B" w:rsidRPr="004B75EB" w:rsidRDefault="00040F0B" w:rsidP="004B75EB">
    <w:pPr>
      <w:pStyle w:val="Header"/>
      <w:ind w:left="0"/>
      <w:jc w:val="right"/>
    </w:pPr>
    <w:r w:rsidRPr="004B75EB">
      <w:rPr>
        <w:noProof/>
      </w:rPr>
      <w:drawing>
        <wp:anchor distT="0" distB="0" distL="114300" distR="114300" simplePos="0" relativeHeight="251657216" behindDoc="0" locked="1" layoutInCell="1" allowOverlap="1" wp14:anchorId="3DB3D7EB" wp14:editId="376F1655">
          <wp:simplePos x="0" y="0"/>
          <wp:positionH relativeFrom="column">
            <wp:posOffset>-18415</wp:posOffset>
          </wp:positionH>
          <wp:positionV relativeFrom="paragraph">
            <wp:posOffset>457200</wp:posOffset>
          </wp:positionV>
          <wp:extent cx="1771650" cy="32385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323850"/>
                  </a:xfrm>
                  <a:prstGeom prst="rect">
                    <a:avLst/>
                  </a:prstGeom>
                  <a:noFill/>
                </pic:spPr>
              </pic:pic>
            </a:graphicData>
          </a:graphic>
        </wp:anchor>
      </w:drawing>
    </w:r>
    <w:r w:rsidR="004B75EB">
      <w:rPr>
        <w:b/>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9579D" w14:textId="11F1F55A" w:rsidR="00040F0B" w:rsidRPr="00FE7FEA" w:rsidRDefault="00040F0B" w:rsidP="00AE33F1">
    <w:pPr>
      <w:pStyle w:val="Header"/>
      <w:tabs>
        <w:tab w:val="clear" w:pos="7938"/>
      </w:tabs>
    </w:pPr>
    <w:r>
      <w:t>Scenario Fuel Forecast Documentation – Budget 2019</w:t>
    </w:r>
    <w:r>
      <w:tab/>
    </w:r>
    <w:r w:rsidR="00E865A1" w:rsidRPr="00E865A1">
      <w:rPr>
        <w:b/>
      </w:rPr>
      <w:t>PUBLIC DISCLOSURE</w:t>
    </w:r>
  </w:p>
  <w:p w14:paraId="7AA32070" w14:textId="62819EF5" w:rsidR="00040F0B" w:rsidRDefault="00040F0B">
    <w:pPr>
      <w:pStyle w:val="Header"/>
      <w:pBdr>
        <w:bottom w:val="single" w:sz="6" w:space="1" w:color="808080"/>
      </w:pBdr>
      <w:tabs>
        <w:tab w:val="clear" w:pos="7938"/>
        <w:tab w:val="right" w:pos="8222"/>
      </w:tabs>
    </w:pPr>
    <w:r w:rsidRPr="00191E1B">
      <w:rPr>
        <w:color w:val="FF0000"/>
      </w:rPr>
      <w:t>Confidential</w:t>
    </w:r>
    <w:r>
      <w:t xml:space="preserve"> – October 2018</w:t>
    </w:r>
    <w:r>
      <w:tab/>
      <w:t>Charles River Associates</w:t>
    </w:r>
  </w:p>
  <w:p w14:paraId="5F205302" w14:textId="77777777" w:rsidR="00040F0B" w:rsidRDefault="00040F0B">
    <w:pPr>
      <w:pStyle w:val="Header"/>
    </w:pPr>
  </w:p>
  <w:p w14:paraId="761D6A56" w14:textId="77777777" w:rsidR="00040F0B" w:rsidRDefault="00040F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906C5" w14:textId="005C672D" w:rsidR="00040F0B" w:rsidRDefault="001E7519">
    <w:pPr>
      <w:pStyle w:val="Header"/>
    </w:pPr>
    <w:r>
      <w:fldChar w:fldCharType="begin"/>
    </w:r>
    <w:r>
      <w:instrText xml:space="preserve"> DOCPROPERTY "Project"  \* MERGEFORMAT </w:instrText>
    </w:r>
    <w:r>
      <w:fldChar w:fldCharType="separate"/>
    </w:r>
    <w:r w:rsidR="006B6B17">
      <w:rPr>
        <w:b/>
        <w:bCs/>
      </w:rPr>
      <w:t>Error! Unknown document property name.</w:t>
    </w:r>
    <w:r>
      <w:fldChar w:fldCharType="end"/>
    </w:r>
    <w:r w:rsidR="00040F0B">
      <w:tab/>
      <w:t>Charles</w:t>
    </w:r>
  </w:p>
  <w:p w14:paraId="5E659C51" w14:textId="77777777" w:rsidR="00040F0B" w:rsidRDefault="00040F0B">
    <w:pPr>
      <w:pStyle w:val="Header"/>
    </w:pPr>
    <w:r>
      <w:tab/>
      <w:t>River</w:t>
    </w:r>
  </w:p>
  <w:p w14:paraId="7B2AA6B7" w14:textId="3F3AD68D" w:rsidR="00040F0B" w:rsidRDefault="001E7519">
    <w:pPr>
      <w:pStyle w:val="Header"/>
    </w:pPr>
    <w:r>
      <w:fldChar w:fldCharType="begin"/>
    </w:r>
    <w:r>
      <w:instrText xml:space="preserve"> DOCPROPERTY "Date"  \* MERGEFORMAT </w:instrText>
    </w:r>
    <w:r>
      <w:fldChar w:fldCharType="separate"/>
    </w:r>
    <w:r w:rsidR="006B6B17">
      <w:rPr>
        <w:b/>
        <w:bCs/>
      </w:rPr>
      <w:t>Error! Unknown document property name.</w:t>
    </w:r>
    <w:r>
      <w:fldChar w:fldCharType="end"/>
    </w:r>
    <w:r w:rsidR="00040F0B">
      <w:tab/>
      <w:t>Associates</w:t>
    </w:r>
  </w:p>
  <w:p w14:paraId="2E4AABC6" w14:textId="77777777" w:rsidR="00040F0B" w:rsidRDefault="00040F0B">
    <w:pPr>
      <w:pStyle w:val="Header"/>
      <w:pBdr>
        <w:top w:val="single" w:sz="6" w:space="1" w:color="568A9E"/>
      </w:pBdr>
    </w:pPr>
  </w:p>
  <w:p w14:paraId="01AC96FC" w14:textId="77777777" w:rsidR="00040F0B" w:rsidRDefault="00040F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F866A60"/>
    <w:lvl w:ilvl="0">
      <w:start w:val="1"/>
      <w:numFmt w:val="decimal"/>
      <w:lvlText w:val="%1."/>
      <w:legacy w:legacy="1" w:legacySpace="0" w:legacyIndent="708"/>
      <w:lvlJc w:val="left"/>
      <w:pPr>
        <w:ind w:left="720" w:hanging="708"/>
      </w:pPr>
      <w:rPr>
        <w:rFonts w:cs="Times New Roman"/>
      </w:rPr>
    </w:lvl>
    <w:lvl w:ilvl="1">
      <w:start w:val="1"/>
      <w:numFmt w:val="decimal"/>
      <w:lvlText w:val="%1.%2."/>
      <w:legacy w:legacy="1" w:legacySpace="0" w:legacyIndent="708"/>
      <w:lvlJc w:val="left"/>
      <w:pPr>
        <w:ind w:left="720"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none"/>
      <w:suff w:val="nothing"/>
      <w:lvlText w:val=""/>
      <w:lvlJc w:val="left"/>
      <w:pPr>
        <w:ind w:left="1440"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decimal"/>
      <w:lvlText w:val="%5.%6."/>
      <w:legacy w:legacy="1" w:legacySpace="0" w:legacyIndent="708"/>
      <w:lvlJc w:val="left"/>
      <w:pPr>
        <w:ind w:left="4248" w:hanging="708"/>
      </w:pPr>
      <w:rPr>
        <w:rFonts w:cs="Times New Roman"/>
      </w:rPr>
    </w:lvl>
    <w:lvl w:ilvl="6">
      <w:start w:val="1"/>
      <w:numFmt w:val="decimal"/>
      <w:lvlText w:val="%5.%6.%7."/>
      <w:legacy w:legacy="1" w:legacySpace="0" w:legacyIndent="708"/>
      <w:lvlJc w:val="left"/>
      <w:pPr>
        <w:ind w:left="4956" w:hanging="708"/>
      </w:pPr>
      <w:rPr>
        <w:rFonts w:cs="Times New Roman"/>
      </w:rPr>
    </w:lvl>
    <w:lvl w:ilvl="7">
      <w:start w:val="1"/>
      <w:numFmt w:val="decimal"/>
      <w:lvlText w:val="%5.%6.%7.%8."/>
      <w:legacy w:legacy="1" w:legacySpace="0" w:legacyIndent="708"/>
      <w:lvlJc w:val="left"/>
      <w:pPr>
        <w:ind w:left="5664" w:hanging="708"/>
      </w:pPr>
      <w:rPr>
        <w:rFonts w:cs="Times New Roman"/>
      </w:rPr>
    </w:lvl>
    <w:lvl w:ilvl="8">
      <w:start w:val="1"/>
      <w:numFmt w:val="decimal"/>
      <w:lvlText w:val="%5.%6.%7.%8.%9."/>
      <w:legacy w:legacy="1" w:legacySpace="0" w:legacyIndent="708"/>
      <w:lvlJc w:val="left"/>
      <w:pPr>
        <w:ind w:left="6372" w:hanging="708"/>
      </w:pPr>
      <w:rPr>
        <w:rFonts w:cs="Times New Roman"/>
      </w:rPr>
    </w:lvl>
  </w:abstractNum>
  <w:abstractNum w:abstractNumId="1" w15:restartNumberingAfterBreak="0">
    <w:nsid w:val="09971853"/>
    <w:multiLevelType w:val="hybridMultilevel"/>
    <w:tmpl w:val="CCFEBD20"/>
    <w:lvl w:ilvl="0" w:tplc="10A85274">
      <w:start w:val="1"/>
      <w:numFmt w:val="bullet"/>
      <w:lvlText w:val="•"/>
      <w:lvlJc w:val="left"/>
      <w:pPr>
        <w:tabs>
          <w:tab w:val="num" w:pos="720"/>
        </w:tabs>
        <w:ind w:left="720" w:hanging="360"/>
      </w:pPr>
      <w:rPr>
        <w:rFonts w:ascii="Arial" w:hAnsi="Arial" w:hint="default"/>
      </w:rPr>
    </w:lvl>
    <w:lvl w:ilvl="1" w:tplc="99A8396C" w:tentative="1">
      <w:start w:val="1"/>
      <w:numFmt w:val="bullet"/>
      <w:lvlText w:val="•"/>
      <w:lvlJc w:val="left"/>
      <w:pPr>
        <w:tabs>
          <w:tab w:val="num" w:pos="1440"/>
        </w:tabs>
        <w:ind w:left="1440" w:hanging="360"/>
      </w:pPr>
      <w:rPr>
        <w:rFonts w:ascii="Arial" w:hAnsi="Arial" w:hint="default"/>
      </w:rPr>
    </w:lvl>
    <w:lvl w:ilvl="2" w:tplc="30268FDA" w:tentative="1">
      <w:start w:val="1"/>
      <w:numFmt w:val="bullet"/>
      <w:lvlText w:val="•"/>
      <w:lvlJc w:val="left"/>
      <w:pPr>
        <w:tabs>
          <w:tab w:val="num" w:pos="2160"/>
        </w:tabs>
        <w:ind w:left="2160" w:hanging="360"/>
      </w:pPr>
      <w:rPr>
        <w:rFonts w:ascii="Arial" w:hAnsi="Arial" w:hint="default"/>
      </w:rPr>
    </w:lvl>
    <w:lvl w:ilvl="3" w:tplc="0DDC3116" w:tentative="1">
      <w:start w:val="1"/>
      <w:numFmt w:val="bullet"/>
      <w:lvlText w:val="•"/>
      <w:lvlJc w:val="left"/>
      <w:pPr>
        <w:tabs>
          <w:tab w:val="num" w:pos="2880"/>
        </w:tabs>
        <w:ind w:left="2880" w:hanging="360"/>
      </w:pPr>
      <w:rPr>
        <w:rFonts w:ascii="Arial" w:hAnsi="Arial" w:hint="default"/>
      </w:rPr>
    </w:lvl>
    <w:lvl w:ilvl="4" w:tplc="971201A2" w:tentative="1">
      <w:start w:val="1"/>
      <w:numFmt w:val="bullet"/>
      <w:lvlText w:val="•"/>
      <w:lvlJc w:val="left"/>
      <w:pPr>
        <w:tabs>
          <w:tab w:val="num" w:pos="3600"/>
        </w:tabs>
        <w:ind w:left="3600" w:hanging="360"/>
      </w:pPr>
      <w:rPr>
        <w:rFonts w:ascii="Arial" w:hAnsi="Arial" w:hint="default"/>
      </w:rPr>
    </w:lvl>
    <w:lvl w:ilvl="5" w:tplc="0030B2B4" w:tentative="1">
      <w:start w:val="1"/>
      <w:numFmt w:val="bullet"/>
      <w:lvlText w:val="•"/>
      <w:lvlJc w:val="left"/>
      <w:pPr>
        <w:tabs>
          <w:tab w:val="num" w:pos="4320"/>
        </w:tabs>
        <w:ind w:left="4320" w:hanging="360"/>
      </w:pPr>
      <w:rPr>
        <w:rFonts w:ascii="Arial" w:hAnsi="Arial" w:hint="default"/>
      </w:rPr>
    </w:lvl>
    <w:lvl w:ilvl="6" w:tplc="4E8CD1A6" w:tentative="1">
      <w:start w:val="1"/>
      <w:numFmt w:val="bullet"/>
      <w:lvlText w:val="•"/>
      <w:lvlJc w:val="left"/>
      <w:pPr>
        <w:tabs>
          <w:tab w:val="num" w:pos="5040"/>
        </w:tabs>
        <w:ind w:left="5040" w:hanging="360"/>
      </w:pPr>
      <w:rPr>
        <w:rFonts w:ascii="Arial" w:hAnsi="Arial" w:hint="default"/>
      </w:rPr>
    </w:lvl>
    <w:lvl w:ilvl="7" w:tplc="4C5A683E" w:tentative="1">
      <w:start w:val="1"/>
      <w:numFmt w:val="bullet"/>
      <w:lvlText w:val="•"/>
      <w:lvlJc w:val="left"/>
      <w:pPr>
        <w:tabs>
          <w:tab w:val="num" w:pos="5760"/>
        </w:tabs>
        <w:ind w:left="5760" w:hanging="360"/>
      </w:pPr>
      <w:rPr>
        <w:rFonts w:ascii="Arial" w:hAnsi="Arial" w:hint="default"/>
      </w:rPr>
    </w:lvl>
    <w:lvl w:ilvl="8" w:tplc="6902F02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F0166E"/>
    <w:multiLevelType w:val="hybridMultilevel"/>
    <w:tmpl w:val="395A9B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9E63B7"/>
    <w:multiLevelType w:val="hybridMultilevel"/>
    <w:tmpl w:val="542C9C62"/>
    <w:lvl w:ilvl="0" w:tplc="04090001">
      <w:start w:val="1"/>
      <w:numFmt w:val="bullet"/>
      <w:lvlText w:val=""/>
      <w:lvlJc w:val="left"/>
      <w:pPr>
        <w:ind w:left="432" w:hanging="360"/>
      </w:pPr>
      <w:rPr>
        <w:rFonts w:ascii="Symbol" w:hAnsi="Symbol" w:hint="default"/>
      </w:rPr>
    </w:lvl>
    <w:lvl w:ilvl="1" w:tplc="04090003">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15:restartNumberingAfterBreak="0">
    <w:nsid w:val="12A86B9F"/>
    <w:multiLevelType w:val="hybridMultilevel"/>
    <w:tmpl w:val="E69217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986A22"/>
    <w:multiLevelType w:val="hybridMultilevel"/>
    <w:tmpl w:val="BF90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523DC"/>
    <w:multiLevelType w:val="hybridMultilevel"/>
    <w:tmpl w:val="338E3A72"/>
    <w:lvl w:ilvl="0" w:tplc="391C5E96">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 w15:restartNumberingAfterBreak="0">
    <w:nsid w:val="228C0511"/>
    <w:multiLevelType w:val="hybridMultilevel"/>
    <w:tmpl w:val="175EF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0B2FFC"/>
    <w:multiLevelType w:val="hybridMultilevel"/>
    <w:tmpl w:val="2438BC72"/>
    <w:lvl w:ilvl="0" w:tplc="11680D00">
      <w:start w:val="1"/>
      <w:numFmt w:val="bullet"/>
      <w:lvlText w:val="•"/>
      <w:lvlJc w:val="left"/>
      <w:pPr>
        <w:tabs>
          <w:tab w:val="num" w:pos="720"/>
        </w:tabs>
        <w:ind w:left="720" w:hanging="360"/>
      </w:pPr>
      <w:rPr>
        <w:rFonts w:ascii="Arial" w:hAnsi="Arial" w:hint="default"/>
      </w:rPr>
    </w:lvl>
    <w:lvl w:ilvl="1" w:tplc="235E597C" w:tentative="1">
      <w:start w:val="1"/>
      <w:numFmt w:val="bullet"/>
      <w:lvlText w:val="•"/>
      <w:lvlJc w:val="left"/>
      <w:pPr>
        <w:tabs>
          <w:tab w:val="num" w:pos="1440"/>
        </w:tabs>
        <w:ind w:left="1440" w:hanging="360"/>
      </w:pPr>
      <w:rPr>
        <w:rFonts w:ascii="Arial" w:hAnsi="Arial" w:hint="default"/>
      </w:rPr>
    </w:lvl>
    <w:lvl w:ilvl="2" w:tplc="6DF4BBE4" w:tentative="1">
      <w:start w:val="1"/>
      <w:numFmt w:val="bullet"/>
      <w:lvlText w:val="•"/>
      <w:lvlJc w:val="left"/>
      <w:pPr>
        <w:tabs>
          <w:tab w:val="num" w:pos="2160"/>
        </w:tabs>
        <w:ind w:left="2160" w:hanging="360"/>
      </w:pPr>
      <w:rPr>
        <w:rFonts w:ascii="Arial" w:hAnsi="Arial" w:hint="default"/>
      </w:rPr>
    </w:lvl>
    <w:lvl w:ilvl="3" w:tplc="B7B04D90" w:tentative="1">
      <w:start w:val="1"/>
      <w:numFmt w:val="bullet"/>
      <w:lvlText w:val="•"/>
      <w:lvlJc w:val="left"/>
      <w:pPr>
        <w:tabs>
          <w:tab w:val="num" w:pos="2880"/>
        </w:tabs>
        <w:ind w:left="2880" w:hanging="360"/>
      </w:pPr>
      <w:rPr>
        <w:rFonts w:ascii="Arial" w:hAnsi="Arial" w:hint="default"/>
      </w:rPr>
    </w:lvl>
    <w:lvl w:ilvl="4" w:tplc="148A6B86" w:tentative="1">
      <w:start w:val="1"/>
      <w:numFmt w:val="bullet"/>
      <w:lvlText w:val="•"/>
      <w:lvlJc w:val="left"/>
      <w:pPr>
        <w:tabs>
          <w:tab w:val="num" w:pos="3600"/>
        </w:tabs>
        <w:ind w:left="3600" w:hanging="360"/>
      </w:pPr>
      <w:rPr>
        <w:rFonts w:ascii="Arial" w:hAnsi="Arial" w:hint="default"/>
      </w:rPr>
    </w:lvl>
    <w:lvl w:ilvl="5" w:tplc="6C0A519A" w:tentative="1">
      <w:start w:val="1"/>
      <w:numFmt w:val="bullet"/>
      <w:lvlText w:val="•"/>
      <w:lvlJc w:val="left"/>
      <w:pPr>
        <w:tabs>
          <w:tab w:val="num" w:pos="4320"/>
        </w:tabs>
        <w:ind w:left="4320" w:hanging="360"/>
      </w:pPr>
      <w:rPr>
        <w:rFonts w:ascii="Arial" w:hAnsi="Arial" w:hint="default"/>
      </w:rPr>
    </w:lvl>
    <w:lvl w:ilvl="6" w:tplc="E076D43E" w:tentative="1">
      <w:start w:val="1"/>
      <w:numFmt w:val="bullet"/>
      <w:lvlText w:val="•"/>
      <w:lvlJc w:val="left"/>
      <w:pPr>
        <w:tabs>
          <w:tab w:val="num" w:pos="5040"/>
        </w:tabs>
        <w:ind w:left="5040" w:hanging="360"/>
      </w:pPr>
      <w:rPr>
        <w:rFonts w:ascii="Arial" w:hAnsi="Arial" w:hint="default"/>
      </w:rPr>
    </w:lvl>
    <w:lvl w:ilvl="7" w:tplc="C8CAA414" w:tentative="1">
      <w:start w:val="1"/>
      <w:numFmt w:val="bullet"/>
      <w:lvlText w:val="•"/>
      <w:lvlJc w:val="left"/>
      <w:pPr>
        <w:tabs>
          <w:tab w:val="num" w:pos="5760"/>
        </w:tabs>
        <w:ind w:left="5760" w:hanging="360"/>
      </w:pPr>
      <w:rPr>
        <w:rFonts w:ascii="Arial" w:hAnsi="Arial" w:hint="default"/>
      </w:rPr>
    </w:lvl>
    <w:lvl w:ilvl="8" w:tplc="226C13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906734E"/>
    <w:multiLevelType w:val="hybridMultilevel"/>
    <w:tmpl w:val="75DE57DE"/>
    <w:lvl w:ilvl="0" w:tplc="5B44DC76">
      <w:start w:val="1"/>
      <w:numFmt w:val="bullet"/>
      <w:pStyle w:val="ListBullet2"/>
      <w:lvlText w:val="-"/>
      <w:lvlJc w:val="left"/>
      <w:pPr>
        <w:tabs>
          <w:tab w:val="num" w:pos="360"/>
        </w:tabs>
        <w:ind w:left="360" w:hanging="360"/>
      </w:pPr>
      <w:rPr>
        <w:rFonts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F25163"/>
    <w:multiLevelType w:val="hybridMultilevel"/>
    <w:tmpl w:val="EE2A4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AF734E"/>
    <w:multiLevelType w:val="multilevel"/>
    <w:tmpl w:val="9F866A60"/>
    <w:lvl w:ilvl="0">
      <w:start w:val="1"/>
      <w:numFmt w:val="decimal"/>
      <w:lvlText w:val="%1."/>
      <w:legacy w:legacy="1" w:legacySpace="0" w:legacyIndent="708"/>
      <w:lvlJc w:val="left"/>
      <w:pPr>
        <w:ind w:left="720" w:hanging="708"/>
      </w:pPr>
      <w:rPr>
        <w:rFonts w:cs="Times New Roman"/>
      </w:rPr>
    </w:lvl>
    <w:lvl w:ilvl="1">
      <w:start w:val="1"/>
      <w:numFmt w:val="decimal"/>
      <w:lvlText w:val="%1.%2."/>
      <w:legacy w:legacy="1" w:legacySpace="0" w:legacyIndent="708"/>
      <w:lvlJc w:val="left"/>
      <w:pPr>
        <w:ind w:left="720"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none"/>
      <w:suff w:val="nothing"/>
      <w:lvlText w:val=""/>
      <w:lvlJc w:val="left"/>
      <w:pPr>
        <w:ind w:left="1440"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decimal"/>
      <w:lvlText w:val="%5.%6."/>
      <w:legacy w:legacy="1" w:legacySpace="0" w:legacyIndent="708"/>
      <w:lvlJc w:val="left"/>
      <w:pPr>
        <w:ind w:left="4248" w:hanging="708"/>
      </w:pPr>
      <w:rPr>
        <w:rFonts w:cs="Times New Roman"/>
      </w:rPr>
    </w:lvl>
    <w:lvl w:ilvl="6">
      <w:start w:val="1"/>
      <w:numFmt w:val="decimal"/>
      <w:lvlText w:val="%5.%6.%7."/>
      <w:legacy w:legacy="1" w:legacySpace="0" w:legacyIndent="708"/>
      <w:lvlJc w:val="left"/>
      <w:pPr>
        <w:ind w:left="4956" w:hanging="708"/>
      </w:pPr>
      <w:rPr>
        <w:rFonts w:cs="Times New Roman"/>
      </w:rPr>
    </w:lvl>
    <w:lvl w:ilvl="7">
      <w:start w:val="1"/>
      <w:numFmt w:val="decimal"/>
      <w:lvlText w:val="%5.%6.%7.%8."/>
      <w:legacy w:legacy="1" w:legacySpace="0" w:legacyIndent="708"/>
      <w:lvlJc w:val="left"/>
      <w:pPr>
        <w:ind w:left="5664" w:hanging="708"/>
      </w:pPr>
      <w:rPr>
        <w:rFonts w:cs="Times New Roman"/>
      </w:rPr>
    </w:lvl>
    <w:lvl w:ilvl="8">
      <w:start w:val="1"/>
      <w:numFmt w:val="decimal"/>
      <w:lvlText w:val="%5.%6.%7.%8.%9."/>
      <w:legacy w:legacy="1" w:legacySpace="0" w:legacyIndent="708"/>
      <w:lvlJc w:val="left"/>
      <w:pPr>
        <w:ind w:left="6372" w:hanging="708"/>
      </w:pPr>
      <w:rPr>
        <w:rFonts w:cs="Times New Roman"/>
      </w:rPr>
    </w:lvl>
  </w:abstractNum>
  <w:abstractNum w:abstractNumId="12" w15:restartNumberingAfterBreak="0">
    <w:nsid w:val="2FA50B24"/>
    <w:multiLevelType w:val="multilevel"/>
    <w:tmpl w:val="9F866A60"/>
    <w:lvl w:ilvl="0">
      <w:start w:val="1"/>
      <w:numFmt w:val="decimal"/>
      <w:lvlText w:val="%1."/>
      <w:legacy w:legacy="1" w:legacySpace="0" w:legacyIndent="708"/>
      <w:lvlJc w:val="left"/>
      <w:pPr>
        <w:ind w:left="720" w:hanging="708"/>
      </w:pPr>
      <w:rPr>
        <w:rFonts w:cs="Times New Roman"/>
      </w:rPr>
    </w:lvl>
    <w:lvl w:ilvl="1">
      <w:start w:val="1"/>
      <w:numFmt w:val="decimal"/>
      <w:lvlText w:val="%1.%2."/>
      <w:legacy w:legacy="1" w:legacySpace="0" w:legacyIndent="708"/>
      <w:lvlJc w:val="left"/>
      <w:pPr>
        <w:ind w:left="720"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none"/>
      <w:suff w:val="nothing"/>
      <w:lvlText w:val=""/>
      <w:lvlJc w:val="left"/>
      <w:pPr>
        <w:ind w:left="1440"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decimal"/>
      <w:lvlText w:val="%5.%6."/>
      <w:legacy w:legacy="1" w:legacySpace="0" w:legacyIndent="708"/>
      <w:lvlJc w:val="left"/>
      <w:pPr>
        <w:ind w:left="4248" w:hanging="708"/>
      </w:pPr>
      <w:rPr>
        <w:rFonts w:cs="Times New Roman"/>
      </w:rPr>
    </w:lvl>
    <w:lvl w:ilvl="6">
      <w:start w:val="1"/>
      <w:numFmt w:val="decimal"/>
      <w:lvlText w:val="%5.%6.%7."/>
      <w:legacy w:legacy="1" w:legacySpace="0" w:legacyIndent="708"/>
      <w:lvlJc w:val="left"/>
      <w:pPr>
        <w:ind w:left="4956" w:hanging="708"/>
      </w:pPr>
      <w:rPr>
        <w:rFonts w:cs="Times New Roman"/>
      </w:rPr>
    </w:lvl>
    <w:lvl w:ilvl="7">
      <w:start w:val="1"/>
      <w:numFmt w:val="decimal"/>
      <w:lvlText w:val="%5.%6.%7.%8."/>
      <w:legacy w:legacy="1" w:legacySpace="0" w:legacyIndent="708"/>
      <w:lvlJc w:val="left"/>
      <w:pPr>
        <w:ind w:left="5664" w:hanging="708"/>
      </w:pPr>
      <w:rPr>
        <w:rFonts w:cs="Times New Roman"/>
      </w:rPr>
    </w:lvl>
    <w:lvl w:ilvl="8">
      <w:start w:val="1"/>
      <w:numFmt w:val="decimal"/>
      <w:lvlText w:val="%5.%6.%7.%8.%9."/>
      <w:legacy w:legacy="1" w:legacySpace="0" w:legacyIndent="708"/>
      <w:lvlJc w:val="left"/>
      <w:pPr>
        <w:ind w:left="6372" w:hanging="708"/>
      </w:pPr>
      <w:rPr>
        <w:rFonts w:cs="Times New Roman"/>
      </w:rPr>
    </w:lvl>
  </w:abstractNum>
  <w:abstractNum w:abstractNumId="13" w15:restartNumberingAfterBreak="0">
    <w:nsid w:val="30E923D8"/>
    <w:multiLevelType w:val="multilevel"/>
    <w:tmpl w:val="0FE8BE94"/>
    <w:lvl w:ilvl="0">
      <w:start w:val="1"/>
      <w:numFmt w:val="upperLetter"/>
      <w:suff w:val="nothing"/>
      <w:lvlText w:val="Appendix %1"/>
      <w:lvlJc w:val="left"/>
      <w:pPr>
        <w:ind w:left="1008" w:hanging="432"/>
      </w:pPr>
      <w:rPr>
        <w:rFonts w:cs="Times New Roman" w:hint="default"/>
      </w:rPr>
    </w:lvl>
    <w:lvl w:ilvl="1">
      <w:start w:val="1"/>
      <w:numFmt w:val="decimal"/>
      <w:lvlText w:val="%1.%2"/>
      <w:lvlJc w:val="left"/>
      <w:pPr>
        <w:tabs>
          <w:tab w:val="num" w:pos="432"/>
        </w:tabs>
        <w:ind w:left="432" w:hanging="576"/>
      </w:pPr>
      <w:rPr>
        <w:rFonts w:cs="Times New Roman" w:hint="default"/>
      </w:rPr>
    </w:lvl>
    <w:lvl w:ilvl="2">
      <w:start w:val="1"/>
      <w:numFmt w:val="decimal"/>
      <w:lvlText w:val="%1.%2.%3"/>
      <w:lvlJc w:val="left"/>
      <w:pPr>
        <w:tabs>
          <w:tab w:val="num" w:pos="576"/>
        </w:tabs>
        <w:ind w:hanging="720"/>
      </w:pPr>
      <w:rPr>
        <w:rFonts w:cs="Times New Roman" w:hint="default"/>
      </w:rPr>
    </w:lvl>
    <w:lvl w:ilvl="3">
      <w:start w:val="1"/>
      <w:numFmt w:val="none"/>
      <w:suff w:val="nothing"/>
      <w:lvlText w:val=""/>
      <w:lvlJc w:val="left"/>
      <w:pPr>
        <w:ind w:left="720" w:hanging="864"/>
      </w:pPr>
      <w:rPr>
        <w:rFonts w:cs="Times New Roman" w:hint="default"/>
      </w:rPr>
    </w:lvl>
    <w:lvl w:ilvl="4">
      <w:start w:val="1"/>
      <w:numFmt w:val="decimal"/>
      <w:lvlText w:val="%1.%2.%3.%4.%5"/>
      <w:lvlJc w:val="left"/>
      <w:pPr>
        <w:tabs>
          <w:tab w:val="num" w:pos="864"/>
        </w:tabs>
        <w:ind w:left="864" w:hanging="1008"/>
      </w:pPr>
      <w:rPr>
        <w:rFonts w:cs="Times New Roman" w:hint="default"/>
      </w:rPr>
    </w:lvl>
    <w:lvl w:ilvl="5">
      <w:start w:val="1"/>
      <w:numFmt w:val="decimal"/>
      <w:lvlText w:val="%1.%2.%3.%4.%5.%6"/>
      <w:lvlJc w:val="left"/>
      <w:pPr>
        <w:tabs>
          <w:tab w:val="num" w:pos="1008"/>
        </w:tabs>
        <w:ind w:left="1008" w:hanging="1152"/>
      </w:pPr>
      <w:rPr>
        <w:rFonts w:cs="Times New Roman" w:hint="default"/>
      </w:rPr>
    </w:lvl>
    <w:lvl w:ilvl="6">
      <w:start w:val="1"/>
      <w:numFmt w:val="decimal"/>
      <w:lvlText w:val="%1.%2.%3.%4.%5.%6.%7"/>
      <w:lvlJc w:val="left"/>
      <w:pPr>
        <w:tabs>
          <w:tab w:val="num" w:pos="1152"/>
        </w:tabs>
        <w:ind w:left="1152" w:hanging="1296"/>
      </w:pPr>
      <w:rPr>
        <w:rFonts w:cs="Times New Roman" w:hint="default"/>
      </w:rPr>
    </w:lvl>
    <w:lvl w:ilvl="7">
      <w:start w:val="1"/>
      <w:numFmt w:val="decimal"/>
      <w:lvlText w:val="%1.%2.%3.%4.%5.%6.%7.%8"/>
      <w:lvlJc w:val="left"/>
      <w:pPr>
        <w:tabs>
          <w:tab w:val="num" w:pos="1296"/>
        </w:tabs>
        <w:ind w:left="1296" w:hanging="1440"/>
      </w:pPr>
      <w:rPr>
        <w:rFonts w:cs="Times New Roman" w:hint="default"/>
      </w:rPr>
    </w:lvl>
    <w:lvl w:ilvl="8">
      <w:start w:val="1"/>
      <w:numFmt w:val="decimal"/>
      <w:lvlText w:val="%1.%2.%3.%4.%5.%6.%7.%8.%9"/>
      <w:lvlJc w:val="left"/>
      <w:pPr>
        <w:tabs>
          <w:tab w:val="num" w:pos="1440"/>
        </w:tabs>
        <w:ind w:left="1440" w:hanging="1584"/>
      </w:pPr>
      <w:rPr>
        <w:rFonts w:cs="Times New Roman" w:hint="default"/>
      </w:rPr>
    </w:lvl>
  </w:abstractNum>
  <w:abstractNum w:abstractNumId="14" w15:restartNumberingAfterBreak="0">
    <w:nsid w:val="3116544B"/>
    <w:multiLevelType w:val="hybridMultilevel"/>
    <w:tmpl w:val="D21C2E10"/>
    <w:lvl w:ilvl="0" w:tplc="C0FE6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484CCE"/>
    <w:multiLevelType w:val="hybridMultilevel"/>
    <w:tmpl w:val="A1A25250"/>
    <w:lvl w:ilvl="0" w:tplc="2DDCD488">
      <w:start w:val="1"/>
      <w:numFmt w:val="bullet"/>
      <w:lvlText w:val="•"/>
      <w:lvlJc w:val="left"/>
      <w:pPr>
        <w:tabs>
          <w:tab w:val="num" w:pos="720"/>
        </w:tabs>
        <w:ind w:left="720" w:hanging="360"/>
      </w:pPr>
      <w:rPr>
        <w:rFonts w:ascii="Arial" w:hAnsi="Arial" w:hint="default"/>
      </w:rPr>
    </w:lvl>
    <w:lvl w:ilvl="1" w:tplc="DDE431B6" w:tentative="1">
      <w:start w:val="1"/>
      <w:numFmt w:val="bullet"/>
      <w:lvlText w:val="•"/>
      <w:lvlJc w:val="left"/>
      <w:pPr>
        <w:tabs>
          <w:tab w:val="num" w:pos="1440"/>
        </w:tabs>
        <w:ind w:left="1440" w:hanging="360"/>
      </w:pPr>
      <w:rPr>
        <w:rFonts w:ascii="Arial" w:hAnsi="Arial" w:hint="default"/>
      </w:rPr>
    </w:lvl>
    <w:lvl w:ilvl="2" w:tplc="7B2CB214" w:tentative="1">
      <w:start w:val="1"/>
      <w:numFmt w:val="bullet"/>
      <w:lvlText w:val="•"/>
      <w:lvlJc w:val="left"/>
      <w:pPr>
        <w:tabs>
          <w:tab w:val="num" w:pos="2160"/>
        </w:tabs>
        <w:ind w:left="2160" w:hanging="360"/>
      </w:pPr>
      <w:rPr>
        <w:rFonts w:ascii="Arial" w:hAnsi="Arial" w:hint="default"/>
      </w:rPr>
    </w:lvl>
    <w:lvl w:ilvl="3" w:tplc="24ECE122" w:tentative="1">
      <w:start w:val="1"/>
      <w:numFmt w:val="bullet"/>
      <w:lvlText w:val="•"/>
      <w:lvlJc w:val="left"/>
      <w:pPr>
        <w:tabs>
          <w:tab w:val="num" w:pos="2880"/>
        </w:tabs>
        <w:ind w:left="2880" w:hanging="360"/>
      </w:pPr>
      <w:rPr>
        <w:rFonts w:ascii="Arial" w:hAnsi="Arial" w:hint="default"/>
      </w:rPr>
    </w:lvl>
    <w:lvl w:ilvl="4" w:tplc="5B0C712C" w:tentative="1">
      <w:start w:val="1"/>
      <w:numFmt w:val="bullet"/>
      <w:lvlText w:val="•"/>
      <w:lvlJc w:val="left"/>
      <w:pPr>
        <w:tabs>
          <w:tab w:val="num" w:pos="3600"/>
        </w:tabs>
        <w:ind w:left="3600" w:hanging="360"/>
      </w:pPr>
      <w:rPr>
        <w:rFonts w:ascii="Arial" w:hAnsi="Arial" w:hint="default"/>
      </w:rPr>
    </w:lvl>
    <w:lvl w:ilvl="5" w:tplc="29527306" w:tentative="1">
      <w:start w:val="1"/>
      <w:numFmt w:val="bullet"/>
      <w:lvlText w:val="•"/>
      <w:lvlJc w:val="left"/>
      <w:pPr>
        <w:tabs>
          <w:tab w:val="num" w:pos="4320"/>
        </w:tabs>
        <w:ind w:left="4320" w:hanging="360"/>
      </w:pPr>
      <w:rPr>
        <w:rFonts w:ascii="Arial" w:hAnsi="Arial" w:hint="default"/>
      </w:rPr>
    </w:lvl>
    <w:lvl w:ilvl="6" w:tplc="473AC856" w:tentative="1">
      <w:start w:val="1"/>
      <w:numFmt w:val="bullet"/>
      <w:lvlText w:val="•"/>
      <w:lvlJc w:val="left"/>
      <w:pPr>
        <w:tabs>
          <w:tab w:val="num" w:pos="5040"/>
        </w:tabs>
        <w:ind w:left="5040" w:hanging="360"/>
      </w:pPr>
      <w:rPr>
        <w:rFonts w:ascii="Arial" w:hAnsi="Arial" w:hint="default"/>
      </w:rPr>
    </w:lvl>
    <w:lvl w:ilvl="7" w:tplc="27764322" w:tentative="1">
      <w:start w:val="1"/>
      <w:numFmt w:val="bullet"/>
      <w:lvlText w:val="•"/>
      <w:lvlJc w:val="left"/>
      <w:pPr>
        <w:tabs>
          <w:tab w:val="num" w:pos="5760"/>
        </w:tabs>
        <w:ind w:left="5760" w:hanging="360"/>
      </w:pPr>
      <w:rPr>
        <w:rFonts w:ascii="Arial" w:hAnsi="Arial" w:hint="default"/>
      </w:rPr>
    </w:lvl>
    <w:lvl w:ilvl="8" w:tplc="D3A2AC8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89F7B35"/>
    <w:multiLevelType w:val="hybridMultilevel"/>
    <w:tmpl w:val="D3F02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367771"/>
    <w:multiLevelType w:val="hybridMultilevel"/>
    <w:tmpl w:val="D63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173EC"/>
    <w:multiLevelType w:val="hybridMultilevel"/>
    <w:tmpl w:val="F9A6D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0E08F8"/>
    <w:multiLevelType w:val="hybridMultilevel"/>
    <w:tmpl w:val="6B0877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176098"/>
    <w:multiLevelType w:val="hybridMultilevel"/>
    <w:tmpl w:val="E8A47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D05E64"/>
    <w:multiLevelType w:val="hybridMultilevel"/>
    <w:tmpl w:val="F4E6E158"/>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22" w15:restartNumberingAfterBreak="0">
    <w:nsid w:val="5316331C"/>
    <w:multiLevelType w:val="singleLevel"/>
    <w:tmpl w:val="BBEE1768"/>
    <w:lvl w:ilvl="0">
      <w:start w:val="1"/>
      <w:numFmt w:val="decimal"/>
      <w:pStyle w:val="ListNumber"/>
      <w:lvlText w:val="%1."/>
      <w:lvlJc w:val="left"/>
      <w:pPr>
        <w:tabs>
          <w:tab w:val="num" w:pos="562"/>
        </w:tabs>
        <w:ind w:left="562" w:hanging="562"/>
      </w:pPr>
      <w:rPr>
        <w:rFonts w:cs="Times New Roman"/>
      </w:rPr>
    </w:lvl>
  </w:abstractNum>
  <w:abstractNum w:abstractNumId="23" w15:restartNumberingAfterBreak="0">
    <w:nsid w:val="55F13382"/>
    <w:multiLevelType w:val="hybridMultilevel"/>
    <w:tmpl w:val="5DDA0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790D06"/>
    <w:multiLevelType w:val="multilevel"/>
    <w:tmpl w:val="B9DE2964"/>
    <w:lvl w:ilvl="0">
      <w:start w:val="1"/>
      <w:numFmt w:val="decimal"/>
      <w:lvlText w:val="(%1)"/>
      <w:lvlJc w:val="left"/>
      <w:pPr>
        <w:ind w:left="1428" w:hanging="708"/>
      </w:pPr>
      <w:rPr>
        <w:rFonts w:hint="default"/>
        <w:strike w:val="0"/>
      </w:rPr>
    </w:lvl>
    <w:lvl w:ilvl="1">
      <w:start w:val="1"/>
      <w:numFmt w:val="decimal"/>
      <w:lvlText w:val="%1.%2."/>
      <w:legacy w:legacy="1" w:legacySpace="0" w:legacyIndent="708"/>
      <w:lvlJc w:val="left"/>
      <w:pPr>
        <w:ind w:left="1428" w:hanging="708"/>
      </w:pPr>
      <w:rPr>
        <w:rFonts w:cs="Times New Roman"/>
      </w:rPr>
    </w:lvl>
    <w:lvl w:ilvl="2">
      <w:start w:val="1"/>
      <w:numFmt w:val="decimal"/>
      <w:lvlText w:val="%1.%2.%3."/>
      <w:legacy w:legacy="1" w:legacySpace="0" w:legacyIndent="708"/>
      <w:lvlJc w:val="left"/>
      <w:pPr>
        <w:ind w:left="1416" w:hanging="708"/>
      </w:pPr>
      <w:rPr>
        <w:rFonts w:cs="Times New Roman"/>
      </w:rPr>
    </w:lvl>
    <w:lvl w:ilvl="3">
      <w:start w:val="1"/>
      <w:numFmt w:val="none"/>
      <w:suff w:val="nothing"/>
      <w:lvlText w:val=""/>
      <w:lvlJc w:val="left"/>
      <w:pPr>
        <w:ind w:left="2148" w:hanging="708"/>
      </w:pPr>
      <w:rPr>
        <w:rFonts w:cs="Times New Roman"/>
      </w:rPr>
    </w:lvl>
    <w:lvl w:ilvl="4">
      <w:start w:val="1"/>
      <w:numFmt w:val="decimal"/>
      <w:lvlText w:val="%5."/>
      <w:legacy w:legacy="1" w:legacySpace="0" w:legacyIndent="708"/>
      <w:lvlJc w:val="left"/>
      <w:pPr>
        <w:ind w:left="4248" w:hanging="708"/>
      </w:pPr>
      <w:rPr>
        <w:rFonts w:cs="Times New Roman"/>
      </w:rPr>
    </w:lvl>
    <w:lvl w:ilvl="5">
      <w:start w:val="1"/>
      <w:numFmt w:val="decimal"/>
      <w:lvlText w:val="%5.%6."/>
      <w:legacy w:legacy="1" w:legacySpace="0" w:legacyIndent="708"/>
      <w:lvlJc w:val="left"/>
      <w:pPr>
        <w:ind w:left="4956" w:hanging="708"/>
      </w:pPr>
      <w:rPr>
        <w:rFonts w:cs="Times New Roman"/>
      </w:rPr>
    </w:lvl>
    <w:lvl w:ilvl="6">
      <w:start w:val="1"/>
      <w:numFmt w:val="decimal"/>
      <w:lvlText w:val="%5.%6.%7."/>
      <w:legacy w:legacy="1" w:legacySpace="0" w:legacyIndent="708"/>
      <w:lvlJc w:val="left"/>
      <w:pPr>
        <w:ind w:left="5664" w:hanging="708"/>
      </w:pPr>
      <w:rPr>
        <w:rFonts w:cs="Times New Roman"/>
      </w:rPr>
    </w:lvl>
    <w:lvl w:ilvl="7">
      <w:start w:val="1"/>
      <w:numFmt w:val="decimal"/>
      <w:lvlText w:val="%5.%6.%7.%8."/>
      <w:legacy w:legacy="1" w:legacySpace="0" w:legacyIndent="708"/>
      <w:lvlJc w:val="left"/>
      <w:pPr>
        <w:ind w:left="6372" w:hanging="708"/>
      </w:pPr>
      <w:rPr>
        <w:rFonts w:cs="Times New Roman"/>
      </w:rPr>
    </w:lvl>
    <w:lvl w:ilvl="8">
      <w:start w:val="1"/>
      <w:numFmt w:val="decimal"/>
      <w:lvlText w:val="%5.%6.%7.%8.%9."/>
      <w:legacy w:legacy="1" w:legacySpace="0" w:legacyIndent="708"/>
      <w:lvlJc w:val="left"/>
      <w:pPr>
        <w:ind w:left="7080" w:hanging="708"/>
      </w:pPr>
      <w:rPr>
        <w:rFonts w:cs="Times New Roman"/>
      </w:rPr>
    </w:lvl>
  </w:abstractNum>
  <w:abstractNum w:abstractNumId="25" w15:restartNumberingAfterBreak="0">
    <w:nsid w:val="5C2842DA"/>
    <w:multiLevelType w:val="hybridMultilevel"/>
    <w:tmpl w:val="E56E5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612839"/>
    <w:multiLevelType w:val="hybridMultilevel"/>
    <w:tmpl w:val="1ED8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53D93"/>
    <w:multiLevelType w:val="hybridMultilevel"/>
    <w:tmpl w:val="06C64A6C"/>
    <w:lvl w:ilvl="0" w:tplc="2DDCD488">
      <w:start w:val="1"/>
      <w:numFmt w:val="bullet"/>
      <w:lvlText w:val="•"/>
      <w:lvlJc w:val="left"/>
      <w:pPr>
        <w:tabs>
          <w:tab w:val="num" w:pos="698"/>
        </w:tabs>
        <w:ind w:left="698" w:hanging="360"/>
      </w:pPr>
      <w:rPr>
        <w:rFonts w:ascii="Arial" w:hAnsi="Arial" w:hint="default"/>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28" w15:restartNumberingAfterBreak="0">
    <w:nsid w:val="66EB1756"/>
    <w:multiLevelType w:val="multilevel"/>
    <w:tmpl w:val="9F866A60"/>
    <w:lvl w:ilvl="0">
      <w:start w:val="1"/>
      <w:numFmt w:val="decimal"/>
      <w:lvlText w:val="%1."/>
      <w:legacy w:legacy="1" w:legacySpace="0" w:legacyIndent="708"/>
      <w:lvlJc w:val="left"/>
      <w:pPr>
        <w:ind w:left="720" w:hanging="708"/>
      </w:pPr>
      <w:rPr>
        <w:rFonts w:cs="Times New Roman"/>
      </w:rPr>
    </w:lvl>
    <w:lvl w:ilvl="1">
      <w:start w:val="1"/>
      <w:numFmt w:val="decimal"/>
      <w:lvlText w:val="%1.%2."/>
      <w:legacy w:legacy="1" w:legacySpace="0" w:legacyIndent="708"/>
      <w:lvlJc w:val="left"/>
      <w:pPr>
        <w:ind w:left="720"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none"/>
      <w:suff w:val="nothing"/>
      <w:lvlText w:val=""/>
      <w:lvlJc w:val="left"/>
      <w:pPr>
        <w:ind w:left="1440"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decimal"/>
      <w:lvlText w:val="%5.%6."/>
      <w:legacy w:legacy="1" w:legacySpace="0" w:legacyIndent="708"/>
      <w:lvlJc w:val="left"/>
      <w:pPr>
        <w:ind w:left="4248" w:hanging="708"/>
      </w:pPr>
      <w:rPr>
        <w:rFonts w:cs="Times New Roman"/>
      </w:rPr>
    </w:lvl>
    <w:lvl w:ilvl="6">
      <w:start w:val="1"/>
      <w:numFmt w:val="decimal"/>
      <w:lvlText w:val="%5.%6.%7."/>
      <w:legacy w:legacy="1" w:legacySpace="0" w:legacyIndent="708"/>
      <w:lvlJc w:val="left"/>
      <w:pPr>
        <w:ind w:left="4956" w:hanging="708"/>
      </w:pPr>
      <w:rPr>
        <w:rFonts w:cs="Times New Roman"/>
      </w:rPr>
    </w:lvl>
    <w:lvl w:ilvl="7">
      <w:start w:val="1"/>
      <w:numFmt w:val="decimal"/>
      <w:lvlText w:val="%5.%6.%7.%8."/>
      <w:legacy w:legacy="1" w:legacySpace="0" w:legacyIndent="708"/>
      <w:lvlJc w:val="left"/>
      <w:pPr>
        <w:ind w:left="5664" w:hanging="708"/>
      </w:pPr>
      <w:rPr>
        <w:rFonts w:cs="Times New Roman"/>
      </w:rPr>
    </w:lvl>
    <w:lvl w:ilvl="8">
      <w:start w:val="1"/>
      <w:numFmt w:val="decimal"/>
      <w:lvlText w:val="%5.%6.%7.%8.%9."/>
      <w:legacy w:legacy="1" w:legacySpace="0" w:legacyIndent="708"/>
      <w:lvlJc w:val="left"/>
      <w:pPr>
        <w:ind w:left="6372" w:hanging="708"/>
      </w:pPr>
      <w:rPr>
        <w:rFonts w:cs="Times New Roman"/>
      </w:rPr>
    </w:lvl>
  </w:abstractNum>
  <w:abstractNum w:abstractNumId="29" w15:restartNumberingAfterBreak="0">
    <w:nsid w:val="6ACA24C5"/>
    <w:multiLevelType w:val="hybridMultilevel"/>
    <w:tmpl w:val="C486EE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E3C4179"/>
    <w:multiLevelType w:val="hybridMultilevel"/>
    <w:tmpl w:val="05E4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A73C03"/>
    <w:multiLevelType w:val="singleLevel"/>
    <w:tmpl w:val="FB1C136E"/>
    <w:lvl w:ilvl="0">
      <w:start w:val="1"/>
      <w:numFmt w:val="bullet"/>
      <w:pStyle w:val="ListBullet"/>
      <w:lvlText w:val=""/>
      <w:lvlJc w:val="left"/>
      <w:pPr>
        <w:tabs>
          <w:tab w:val="num" w:pos="360"/>
        </w:tabs>
        <w:ind w:left="360" w:hanging="360"/>
      </w:pPr>
      <w:rPr>
        <w:rFonts w:ascii="Symbol" w:hAnsi="Symbol" w:hint="default"/>
      </w:rPr>
    </w:lvl>
  </w:abstractNum>
  <w:abstractNum w:abstractNumId="32" w15:restartNumberingAfterBreak="0">
    <w:nsid w:val="71995C01"/>
    <w:multiLevelType w:val="hybridMultilevel"/>
    <w:tmpl w:val="5C186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F317E4"/>
    <w:multiLevelType w:val="hybridMultilevel"/>
    <w:tmpl w:val="95D6C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31"/>
  </w:num>
  <w:num w:numId="4">
    <w:abstractNumId w:val="22"/>
  </w:num>
  <w:num w:numId="5">
    <w:abstractNumId w:val="9"/>
  </w:num>
  <w:num w:numId="6">
    <w:abstractNumId w:val="2"/>
  </w:num>
  <w:num w:numId="7">
    <w:abstractNumId w:val="21"/>
  </w:num>
  <w:num w:numId="8">
    <w:abstractNumId w:val="14"/>
  </w:num>
  <w:num w:numId="9">
    <w:abstractNumId w:val="26"/>
  </w:num>
  <w:num w:numId="10">
    <w:abstractNumId w:val="7"/>
  </w:num>
  <w:num w:numId="11">
    <w:abstractNumId w:val="25"/>
  </w:num>
  <w:num w:numId="12">
    <w:abstractNumId w:val="16"/>
  </w:num>
  <w:num w:numId="13">
    <w:abstractNumId w:val="32"/>
  </w:num>
  <w:num w:numId="14">
    <w:abstractNumId w:val="30"/>
  </w:num>
  <w:num w:numId="15">
    <w:abstractNumId w:val="1"/>
  </w:num>
  <w:num w:numId="16">
    <w:abstractNumId w:val="8"/>
  </w:num>
  <w:num w:numId="17">
    <w:abstractNumId w:val="15"/>
  </w:num>
  <w:num w:numId="18">
    <w:abstractNumId w:val="4"/>
  </w:num>
  <w:num w:numId="19">
    <w:abstractNumId w:val="29"/>
  </w:num>
  <w:num w:numId="20">
    <w:abstractNumId w:val="17"/>
  </w:num>
  <w:num w:numId="21">
    <w:abstractNumId w:val="27"/>
  </w:num>
  <w:num w:numId="22">
    <w:abstractNumId w:val="11"/>
  </w:num>
  <w:num w:numId="23">
    <w:abstractNumId w:val="24"/>
  </w:num>
  <w:num w:numId="24">
    <w:abstractNumId w:val="19"/>
  </w:num>
  <w:num w:numId="25">
    <w:abstractNumId w:val="6"/>
  </w:num>
  <w:num w:numId="26">
    <w:abstractNumId w:val="10"/>
  </w:num>
  <w:num w:numId="27">
    <w:abstractNumId w:val="20"/>
  </w:num>
  <w:num w:numId="28">
    <w:abstractNumId w:val="18"/>
  </w:num>
  <w:num w:numId="29">
    <w:abstractNumId w:val="3"/>
  </w:num>
  <w:num w:numId="30">
    <w:abstractNumId w:val="23"/>
  </w:num>
  <w:num w:numId="31">
    <w:abstractNumId w:val="33"/>
  </w:num>
  <w:num w:numId="32">
    <w:abstractNumId w:val="5"/>
  </w:num>
  <w:num w:numId="33">
    <w:abstractNumId w:val="28"/>
  </w:num>
  <w:num w:numId="34">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DD7"/>
    <w:rsid w:val="0000010C"/>
    <w:rsid w:val="00000376"/>
    <w:rsid w:val="00001228"/>
    <w:rsid w:val="00001269"/>
    <w:rsid w:val="00001B9E"/>
    <w:rsid w:val="00002182"/>
    <w:rsid w:val="00002539"/>
    <w:rsid w:val="00002B81"/>
    <w:rsid w:val="000034AE"/>
    <w:rsid w:val="00003BE2"/>
    <w:rsid w:val="00004D8B"/>
    <w:rsid w:val="00004EDC"/>
    <w:rsid w:val="00005134"/>
    <w:rsid w:val="00005556"/>
    <w:rsid w:val="00005715"/>
    <w:rsid w:val="00005AC0"/>
    <w:rsid w:val="00005C27"/>
    <w:rsid w:val="00006058"/>
    <w:rsid w:val="00006410"/>
    <w:rsid w:val="0000694D"/>
    <w:rsid w:val="00006D59"/>
    <w:rsid w:val="0000710F"/>
    <w:rsid w:val="00007453"/>
    <w:rsid w:val="00007C52"/>
    <w:rsid w:val="000101E3"/>
    <w:rsid w:val="00010EBB"/>
    <w:rsid w:val="00011263"/>
    <w:rsid w:val="000135C6"/>
    <w:rsid w:val="00013637"/>
    <w:rsid w:val="000136FE"/>
    <w:rsid w:val="000137B8"/>
    <w:rsid w:val="000138F9"/>
    <w:rsid w:val="00013D95"/>
    <w:rsid w:val="000145BE"/>
    <w:rsid w:val="00014CE2"/>
    <w:rsid w:val="00014FA5"/>
    <w:rsid w:val="00015363"/>
    <w:rsid w:val="00015EC4"/>
    <w:rsid w:val="00015F8E"/>
    <w:rsid w:val="00016E2B"/>
    <w:rsid w:val="00016F3C"/>
    <w:rsid w:val="00016F55"/>
    <w:rsid w:val="00017030"/>
    <w:rsid w:val="00017164"/>
    <w:rsid w:val="0001733F"/>
    <w:rsid w:val="0001752A"/>
    <w:rsid w:val="000177ED"/>
    <w:rsid w:val="00020337"/>
    <w:rsid w:val="00020BB4"/>
    <w:rsid w:val="00020C42"/>
    <w:rsid w:val="000218CC"/>
    <w:rsid w:val="00021938"/>
    <w:rsid w:val="00021D26"/>
    <w:rsid w:val="0002218C"/>
    <w:rsid w:val="000221A6"/>
    <w:rsid w:val="00022A6E"/>
    <w:rsid w:val="000235CE"/>
    <w:rsid w:val="00023939"/>
    <w:rsid w:val="00023D94"/>
    <w:rsid w:val="00024685"/>
    <w:rsid w:val="00025384"/>
    <w:rsid w:val="000262A9"/>
    <w:rsid w:val="00026438"/>
    <w:rsid w:val="0003006D"/>
    <w:rsid w:val="000303C9"/>
    <w:rsid w:val="000308E1"/>
    <w:rsid w:val="00030E45"/>
    <w:rsid w:val="00030F8E"/>
    <w:rsid w:val="00031919"/>
    <w:rsid w:val="000323D3"/>
    <w:rsid w:val="00032983"/>
    <w:rsid w:val="00032AC1"/>
    <w:rsid w:val="00032D5E"/>
    <w:rsid w:val="000334ED"/>
    <w:rsid w:val="00033EC3"/>
    <w:rsid w:val="00035793"/>
    <w:rsid w:val="000359C9"/>
    <w:rsid w:val="00035B48"/>
    <w:rsid w:val="00035D13"/>
    <w:rsid w:val="00037859"/>
    <w:rsid w:val="00037AA2"/>
    <w:rsid w:val="000400B3"/>
    <w:rsid w:val="000404EE"/>
    <w:rsid w:val="000405F6"/>
    <w:rsid w:val="00040F0B"/>
    <w:rsid w:val="00042390"/>
    <w:rsid w:val="00043241"/>
    <w:rsid w:val="000434F0"/>
    <w:rsid w:val="00043E2A"/>
    <w:rsid w:val="0004441D"/>
    <w:rsid w:val="00044458"/>
    <w:rsid w:val="00044CBF"/>
    <w:rsid w:val="00045101"/>
    <w:rsid w:val="0004537A"/>
    <w:rsid w:val="00045569"/>
    <w:rsid w:val="00046627"/>
    <w:rsid w:val="0004678B"/>
    <w:rsid w:val="000470EE"/>
    <w:rsid w:val="00047901"/>
    <w:rsid w:val="00047F4A"/>
    <w:rsid w:val="0005012A"/>
    <w:rsid w:val="000502EA"/>
    <w:rsid w:val="00050646"/>
    <w:rsid w:val="00050875"/>
    <w:rsid w:val="000508CE"/>
    <w:rsid w:val="000515DC"/>
    <w:rsid w:val="00051A6A"/>
    <w:rsid w:val="00051FB8"/>
    <w:rsid w:val="0005202E"/>
    <w:rsid w:val="00052CC1"/>
    <w:rsid w:val="0005305C"/>
    <w:rsid w:val="0005306A"/>
    <w:rsid w:val="000534C6"/>
    <w:rsid w:val="00053622"/>
    <w:rsid w:val="00053E4E"/>
    <w:rsid w:val="000542EB"/>
    <w:rsid w:val="000543C7"/>
    <w:rsid w:val="000547AF"/>
    <w:rsid w:val="00054C75"/>
    <w:rsid w:val="00054CE4"/>
    <w:rsid w:val="00054E5F"/>
    <w:rsid w:val="00055393"/>
    <w:rsid w:val="000556A4"/>
    <w:rsid w:val="00055760"/>
    <w:rsid w:val="0005581D"/>
    <w:rsid w:val="00055847"/>
    <w:rsid w:val="00056437"/>
    <w:rsid w:val="000564A7"/>
    <w:rsid w:val="00056ABA"/>
    <w:rsid w:val="00056B2C"/>
    <w:rsid w:val="00057004"/>
    <w:rsid w:val="0005714D"/>
    <w:rsid w:val="00057265"/>
    <w:rsid w:val="000578D5"/>
    <w:rsid w:val="00057B93"/>
    <w:rsid w:val="00057D36"/>
    <w:rsid w:val="000601A0"/>
    <w:rsid w:val="00060772"/>
    <w:rsid w:val="00060827"/>
    <w:rsid w:val="00060A6C"/>
    <w:rsid w:val="000614F9"/>
    <w:rsid w:val="0006197C"/>
    <w:rsid w:val="000619F5"/>
    <w:rsid w:val="00061E65"/>
    <w:rsid w:val="000620C0"/>
    <w:rsid w:val="000632D2"/>
    <w:rsid w:val="00063CDE"/>
    <w:rsid w:val="00063CFF"/>
    <w:rsid w:val="00063EB6"/>
    <w:rsid w:val="00064F56"/>
    <w:rsid w:val="00065A1E"/>
    <w:rsid w:val="00065C29"/>
    <w:rsid w:val="000661D1"/>
    <w:rsid w:val="000676FC"/>
    <w:rsid w:val="00070987"/>
    <w:rsid w:val="00070D4C"/>
    <w:rsid w:val="000716E0"/>
    <w:rsid w:val="00072797"/>
    <w:rsid w:val="00072CC9"/>
    <w:rsid w:val="0007306E"/>
    <w:rsid w:val="00073ACC"/>
    <w:rsid w:val="00073FEF"/>
    <w:rsid w:val="00074032"/>
    <w:rsid w:val="000741E7"/>
    <w:rsid w:val="00074217"/>
    <w:rsid w:val="00074C16"/>
    <w:rsid w:val="00075615"/>
    <w:rsid w:val="00075F9B"/>
    <w:rsid w:val="000760D5"/>
    <w:rsid w:val="0007634F"/>
    <w:rsid w:val="000766A6"/>
    <w:rsid w:val="00076EE7"/>
    <w:rsid w:val="00076F6C"/>
    <w:rsid w:val="000772AA"/>
    <w:rsid w:val="00077666"/>
    <w:rsid w:val="00077704"/>
    <w:rsid w:val="000778A1"/>
    <w:rsid w:val="00077CB8"/>
    <w:rsid w:val="00080102"/>
    <w:rsid w:val="00080B88"/>
    <w:rsid w:val="00080FAB"/>
    <w:rsid w:val="00081667"/>
    <w:rsid w:val="00081904"/>
    <w:rsid w:val="00081A56"/>
    <w:rsid w:val="00081F44"/>
    <w:rsid w:val="0008217B"/>
    <w:rsid w:val="0008230C"/>
    <w:rsid w:val="000825C3"/>
    <w:rsid w:val="000825ED"/>
    <w:rsid w:val="0008298A"/>
    <w:rsid w:val="00083161"/>
    <w:rsid w:val="00083258"/>
    <w:rsid w:val="00083CCC"/>
    <w:rsid w:val="000840EF"/>
    <w:rsid w:val="0008429C"/>
    <w:rsid w:val="000849B9"/>
    <w:rsid w:val="000851AF"/>
    <w:rsid w:val="00085728"/>
    <w:rsid w:val="00085C8E"/>
    <w:rsid w:val="00086229"/>
    <w:rsid w:val="00086328"/>
    <w:rsid w:val="00086892"/>
    <w:rsid w:val="00087BE8"/>
    <w:rsid w:val="00090044"/>
    <w:rsid w:val="00090090"/>
    <w:rsid w:val="00090667"/>
    <w:rsid w:val="00090C72"/>
    <w:rsid w:val="00091122"/>
    <w:rsid w:val="000912F8"/>
    <w:rsid w:val="000913DC"/>
    <w:rsid w:val="000915AB"/>
    <w:rsid w:val="0009167E"/>
    <w:rsid w:val="000916EA"/>
    <w:rsid w:val="000917D0"/>
    <w:rsid w:val="000919A2"/>
    <w:rsid w:val="00091AB4"/>
    <w:rsid w:val="00093120"/>
    <w:rsid w:val="0009314D"/>
    <w:rsid w:val="000931FD"/>
    <w:rsid w:val="0009385F"/>
    <w:rsid w:val="00093C2A"/>
    <w:rsid w:val="00093C79"/>
    <w:rsid w:val="00094125"/>
    <w:rsid w:val="00094C31"/>
    <w:rsid w:val="00095275"/>
    <w:rsid w:val="00095735"/>
    <w:rsid w:val="00095993"/>
    <w:rsid w:val="0009612C"/>
    <w:rsid w:val="0009656F"/>
    <w:rsid w:val="00097B54"/>
    <w:rsid w:val="000A14E1"/>
    <w:rsid w:val="000A14F8"/>
    <w:rsid w:val="000A1F9E"/>
    <w:rsid w:val="000A2134"/>
    <w:rsid w:val="000A296F"/>
    <w:rsid w:val="000A29F3"/>
    <w:rsid w:val="000A2BC9"/>
    <w:rsid w:val="000A2CE4"/>
    <w:rsid w:val="000A33A3"/>
    <w:rsid w:val="000A3472"/>
    <w:rsid w:val="000A3F8B"/>
    <w:rsid w:val="000A444E"/>
    <w:rsid w:val="000A4643"/>
    <w:rsid w:val="000A4D75"/>
    <w:rsid w:val="000A513B"/>
    <w:rsid w:val="000A522A"/>
    <w:rsid w:val="000A5416"/>
    <w:rsid w:val="000A62F3"/>
    <w:rsid w:val="000A6875"/>
    <w:rsid w:val="000A6ECA"/>
    <w:rsid w:val="000A6F87"/>
    <w:rsid w:val="000A73F2"/>
    <w:rsid w:val="000A7E74"/>
    <w:rsid w:val="000B0238"/>
    <w:rsid w:val="000B0344"/>
    <w:rsid w:val="000B0B33"/>
    <w:rsid w:val="000B1786"/>
    <w:rsid w:val="000B19E5"/>
    <w:rsid w:val="000B220B"/>
    <w:rsid w:val="000B2475"/>
    <w:rsid w:val="000B2503"/>
    <w:rsid w:val="000B26B2"/>
    <w:rsid w:val="000B3197"/>
    <w:rsid w:val="000B3237"/>
    <w:rsid w:val="000B37A0"/>
    <w:rsid w:val="000B37BF"/>
    <w:rsid w:val="000B3FA1"/>
    <w:rsid w:val="000B4422"/>
    <w:rsid w:val="000B537D"/>
    <w:rsid w:val="000B5548"/>
    <w:rsid w:val="000B55F9"/>
    <w:rsid w:val="000B5F0A"/>
    <w:rsid w:val="000B63A4"/>
    <w:rsid w:val="000B6673"/>
    <w:rsid w:val="000B723A"/>
    <w:rsid w:val="000B7922"/>
    <w:rsid w:val="000B79C0"/>
    <w:rsid w:val="000B7C24"/>
    <w:rsid w:val="000B7CB4"/>
    <w:rsid w:val="000C0020"/>
    <w:rsid w:val="000C059B"/>
    <w:rsid w:val="000C07E3"/>
    <w:rsid w:val="000C0BCE"/>
    <w:rsid w:val="000C11CD"/>
    <w:rsid w:val="000C15FD"/>
    <w:rsid w:val="000C1962"/>
    <w:rsid w:val="000C201F"/>
    <w:rsid w:val="000C2B0F"/>
    <w:rsid w:val="000C2D6D"/>
    <w:rsid w:val="000C30DF"/>
    <w:rsid w:val="000C3179"/>
    <w:rsid w:val="000C37E5"/>
    <w:rsid w:val="000C3DBF"/>
    <w:rsid w:val="000C3F69"/>
    <w:rsid w:val="000C4036"/>
    <w:rsid w:val="000C422D"/>
    <w:rsid w:val="000C4AC3"/>
    <w:rsid w:val="000C5A05"/>
    <w:rsid w:val="000C5EC1"/>
    <w:rsid w:val="000C62A8"/>
    <w:rsid w:val="000C630B"/>
    <w:rsid w:val="000C6EE6"/>
    <w:rsid w:val="000C73A9"/>
    <w:rsid w:val="000C77D2"/>
    <w:rsid w:val="000C7F6F"/>
    <w:rsid w:val="000D0007"/>
    <w:rsid w:val="000D0157"/>
    <w:rsid w:val="000D0764"/>
    <w:rsid w:val="000D08E1"/>
    <w:rsid w:val="000D0B50"/>
    <w:rsid w:val="000D11B9"/>
    <w:rsid w:val="000D12DB"/>
    <w:rsid w:val="000D15B2"/>
    <w:rsid w:val="000D1743"/>
    <w:rsid w:val="000D17F2"/>
    <w:rsid w:val="000D23EE"/>
    <w:rsid w:val="000D2574"/>
    <w:rsid w:val="000D3026"/>
    <w:rsid w:val="000D311F"/>
    <w:rsid w:val="000D34D6"/>
    <w:rsid w:val="000D351B"/>
    <w:rsid w:val="000D36D1"/>
    <w:rsid w:val="000D375C"/>
    <w:rsid w:val="000D3968"/>
    <w:rsid w:val="000D3D50"/>
    <w:rsid w:val="000D3F1F"/>
    <w:rsid w:val="000D4634"/>
    <w:rsid w:val="000D468E"/>
    <w:rsid w:val="000D54F2"/>
    <w:rsid w:val="000D5588"/>
    <w:rsid w:val="000D55CF"/>
    <w:rsid w:val="000D6152"/>
    <w:rsid w:val="000D6676"/>
    <w:rsid w:val="000D667B"/>
    <w:rsid w:val="000D6C5B"/>
    <w:rsid w:val="000D6FE1"/>
    <w:rsid w:val="000D7057"/>
    <w:rsid w:val="000D774B"/>
    <w:rsid w:val="000D7D5B"/>
    <w:rsid w:val="000D7E4A"/>
    <w:rsid w:val="000D7EBB"/>
    <w:rsid w:val="000D7EC0"/>
    <w:rsid w:val="000E04EA"/>
    <w:rsid w:val="000E0DD2"/>
    <w:rsid w:val="000E1181"/>
    <w:rsid w:val="000E1A94"/>
    <w:rsid w:val="000E1E97"/>
    <w:rsid w:val="000E2388"/>
    <w:rsid w:val="000E23D5"/>
    <w:rsid w:val="000E240C"/>
    <w:rsid w:val="000E2A52"/>
    <w:rsid w:val="000E30B4"/>
    <w:rsid w:val="000E315B"/>
    <w:rsid w:val="000E329B"/>
    <w:rsid w:val="000E3859"/>
    <w:rsid w:val="000E445E"/>
    <w:rsid w:val="000E4598"/>
    <w:rsid w:val="000E4768"/>
    <w:rsid w:val="000E47CD"/>
    <w:rsid w:val="000E496D"/>
    <w:rsid w:val="000E49AA"/>
    <w:rsid w:val="000E4BF5"/>
    <w:rsid w:val="000E53BE"/>
    <w:rsid w:val="000E57E5"/>
    <w:rsid w:val="000E5EB0"/>
    <w:rsid w:val="000E778B"/>
    <w:rsid w:val="000E7CB8"/>
    <w:rsid w:val="000F097F"/>
    <w:rsid w:val="000F0ABC"/>
    <w:rsid w:val="000F0FDC"/>
    <w:rsid w:val="000F111A"/>
    <w:rsid w:val="000F140A"/>
    <w:rsid w:val="000F18AF"/>
    <w:rsid w:val="000F1D01"/>
    <w:rsid w:val="000F1F25"/>
    <w:rsid w:val="000F29D8"/>
    <w:rsid w:val="000F34CC"/>
    <w:rsid w:val="000F379B"/>
    <w:rsid w:val="000F43D2"/>
    <w:rsid w:val="000F46F2"/>
    <w:rsid w:val="000F49F1"/>
    <w:rsid w:val="000F4C18"/>
    <w:rsid w:val="000F4D6B"/>
    <w:rsid w:val="000F4E4D"/>
    <w:rsid w:val="000F5851"/>
    <w:rsid w:val="000F5B77"/>
    <w:rsid w:val="000F5CD0"/>
    <w:rsid w:val="000F65C7"/>
    <w:rsid w:val="000F6682"/>
    <w:rsid w:val="000F695D"/>
    <w:rsid w:val="000F6B90"/>
    <w:rsid w:val="000F6E95"/>
    <w:rsid w:val="000F77C1"/>
    <w:rsid w:val="00100267"/>
    <w:rsid w:val="001005CF"/>
    <w:rsid w:val="001009BF"/>
    <w:rsid w:val="001010CE"/>
    <w:rsid w:val="0010171F"/>
    <w:rsid w:val="0010197E"/>
    <w:rsid w:val="00101A53"/>
    <w:rsid w:val="00101DBE"/>
    <w:rsid w:val="001023E5"/>
    <w:rsid w:val="001033C7"/>
    <w:rsid w:val="0010417B"/>
    <w:rsid w:val="00104736"/>
    <w:rsid w:val="00104BFE"/>
    <w:rsid w:val="00104F60"/>
    <w:rsid w:val="00105B7A"/>
    <w:rsid w:val="001069E5"/>
    <w:rsid w:val="00106FD8"/>
    <w:rsid w:val="0010781E"/>
    <w:rsid w:val="00107BC5"/>
    <w:rsid w:val="00107E51"/>
    <w:rsid w:val="00110575"/>
    <w:rsid w:val="00110656"/>
    <w:rsid w:val="00111146"/>
    <w:rsid w:val="00111A2E"/>
    <w:rsid w:val="00111EC1"/>
    <w:rsid w:val="001124BB"/>
    <w:rsid w:val="0011258A"/>
    <w:rsid w:val="0011289A"/>
    <w:rsid w:val="00113FF6"/>
    <w:rsid w:val="0011469C"/>
    <w:rsid w:val="001153AC"/>
    <w:rsid w:val="0011569E"/>
    <w:rsid w:val="00115708"/>
    <w:rsid w:val="0011583A"/>
    <w:rsid w:val="00115DC9"/>
    <w:rsid w:val="0011609D"/>
    <w:rsid w:val="001166BE"/>
    <w:rsid w:val="00116E75"/>
    <w:rsid w:val="0011771F"/>
    <w:rsid w:val="00117A6E"/>
    <w:rsid w:val="00117ED4"/>
    <w:rsid w:val="001212C0"/>
    <w:rsid w:val="00121B71"/>
    <w:rsid w:val="001223A5"/>
    <w:rsid w:val="00122561"/>
    <w:rsid w:val="00122897"/>
    <w:rsid w:val="001237E4"/>
    <w:rsid w:val="001238D1"/>
    <w:rsid w:val="0012426F"/>
    <w:rsid w:val="00124739"/>
    <w:rsid w:val="0012491E"/>
    <w:rsid w:val="00124D4C"/>
    <w:rsid w:val="0012550C"/>
    <w:rsid w:val="001257D4"/>
    <w:rsid w:val="001261FB"/>
    <w:rsid w:val="00126495"/>
    <w:rsid w:val="001270BD"/>
    <w:rsid w:val="0012748C"/>
    <w:rsid w:val="0012758F"/>
    <w:rsid w:val="001275BD"/>
    <w:rsid w:val="00127668"/>
    <w:rsid w:val="001277D8"/>
    <w:rsid w:val="00127A69"/>
    <w:rsid w:val="00130897"/>
    <w:rsid w:val="00130CC4"/>
    <w:rsid w:val="00130EBC"/>
    <w:rsid w:val="001313C6"/>
    <w:rsid w:val="0013158F"/>
    <w:rsid w:val="001317B8"/>
    <w:rsid w:val="0013220F"/>
    <w:rsid w:val="00132912"/>
    <w:rsid w:val="001329B9"/>
    <w:rsid w:val="00132A82"/>
    <w:rsid w:val="00133378"/>
    <w:rsid w:val="001346B7"/>
    <w:rsid w:val="00134849"/>
    <w:rsid w:val="00134E75"/>
    <w:rsid w:val="00135396"/>
    <w:rsid w:val="00135519"/>
    <w:rsid w:val="00135629"/>
    <w:rsid w:val="00135757"/>
    <w:rsid w:val="00135784"/>
    <w:rsid w:val="00135AAA"/>
    <w:rsid w:val="00135C7F"/>
    <w:rsid w:val="001362EB"/>
    <w:rsid w:val="001368C8"/>
    <w:rsid w:val="00136EFD"/>
    <w:rsid w:val="00140562"/>
    <w:rsid w:val="001407A7"/>
    <w:rsid w:val="00141312"/>
    <w:rsid w:val="00141C8D"/>
    <w:rsid w:val="00141EFA"/>
    <w:rsid w:val="00141FF9"/>
    <w:rsid w:val="001422AF"/>
    <w:rsid w:val="001427F5"/>
    <w:rsid w:val="00142800"/>
    <w:rsid w:val="00142D2A"/>
    <w:rsid w:val="00142DC4"/>
    <w:rsid w:val="00142EAA"/>
    <w:rsid w:val="00143606"/>
    <w:rsid w:val="00143C5D"/>
    <w:rsid w:val="0014426D"/>
    <w:rsid w:val="001446DB"/>
    <w:rsid w:val="001448F1"/>
    <w:rsid w:val="001451B6"/>
    <w:rsid w:val="00145AAF"/>
    <w:rsid w:val="00145C55"/>
    <w:rsid w:val="00145CF9"/>
    <w:rsid w:val="00145F48"/>
    <w:rsid w:val="001465F6"/>
    <w:rsid w:val="0014668D"/>
    <w:rsid w:val="00146D70"/>
    <w:rsid w:val="001470FD"/>
    <w:rsid w:val="00147C5B"/>
    <w:rsid w:val="00147C7F"/>
    <w:rsid w:val="00147D8C"/>
    <w:rsid w:val="00150178"/>
    <w:rsid w:val="001502B2"/>
    <w:rsid w:val="00150A0A"/>
    <w:rsid w:val="00151378"/>
    <w:rsid w:val="0015144B"/>
    <w:rsid w:val="001514B2"/>
    <w:rsid w:val="00151DFB"/>
    <w:rsid w:val="001523D1"/>
    <w:rsid w:val="00152543"/>
    <w:rsid w:val="00152693"/>
    <w:rsid w:val="00152897"/>
    <w:rsid w:val="001533CE"/>
    <w:rsid w:val="001536E3"/>
    <w:rsid w:val="00153855"/>
    <w:rsid w:val="001539DF"/>
    <w:rsid w:val="001539E6"/>
    <w:rsid w:val="00153A3E"/>
    <w:rsid w:val="00153BB1"/>
    <w:rsid w:val="00153E0F"/>
    <w:rsid w:val="0015548B"/>
    <w:rsid w:val="0015569F"/>
    <w:rsid w:val="00155BD4"/>
    <w:rsid w:val="00155DE2"/>
    <w:rsid w:val="0015637F"/>
    <w:rsid w:val="00156BF5"/>
    <w:rsid w:val="00157429"/>
    <w:rsid w:val="001574A1"/>
    <w:rsid w:val="00160000"/>
    <w:rsid w:val="0016037C"/>
    <w:rsid w:val="001609C0"/>
    <w:rsid w:val="0016103F"/>
    <w:rsid w:val="001610F9"/>
    <w:rsid w:val="001616BF"/>
    <w:rsid w:val="00162320"/>
    <w:rsid w:val="001629C6"/>
    <w:rsid w:val="00162EA5"/>
    <w:rsid w:val="0016333A"/>
    <w:rsid w:val="001636E1"/>
    <w:rsid w:val="0016394A"/>
    <w:rsid w:val="00164A6B"/>
    <w:rsid w:val="00164C2C"/>
    <w:rsid w:val="00164F09"/>
    <w:rsid w:val="00164F66"/>
    <w:rsid w:val="00165911"/>
    <w:rsid w:val="00165BD5"/>
    <w:rsid w:val="0016635F"/>
    <w:rsid w:val="00166676"/>
    <w:rsid w:val="001666EF"/>
    <w:rsid w:val="00166EFE"/>
    <w:rsid w:val="0016725A"/>
    <w:rsid w:val="001672D9"/>
    <w:rsid w:val="001676CE"/>
    <w:rsid w:val="00167704"/>
    <w:rsid w:val="001704AF"/>
    <w:rsid w:val="0017072F"/>
    <w:rsid w:val="00170961"/>
    <w:rsid w:val="00170A76"/>
    <w:rsid w:val="001724D0"/>
    <w:rsid w:val="0017394A"/>
    <w:rsid w:val="00173A60"/>
    <w:rsid w:val="00173C45"/>
    <w:rsid w:val="00174051"/>
    <w:rsid w:val="00174127"/>
    <w:rsid w:val="001741AB"/>
    <w:rsid w:val="00174446"/>
    <w:rsid w:val="001744DA"/>
    <w:rsid w:val="001750BC"/>
    <w:rsid w:val="00175478"/>
    <w:rsid w:val="00176404"/>
    <w:rsid w:val="001766DE"/>
    <w:rsid w:val="00176AD6"/>
    <w:rsid w:val="0017732A"/>
    <w:rsid w:val="00177C7E"/>
    <w:rsid w:val="00177D71"/>
    <w:rsid w:val="00177E96"/>
    <w:rsid w:val="00180D45"/>
    <w:rsid w:val="001811D6"/>
    <w:rsid w:val="0018128B"/>
    <w:rsid w:val="001826B3"/>
    <w:rsid w:val="00182D03"/>
    <w:rsid w:val="001830EA"/>
    <w:rsid w:val="001833D5"/>
    <w:rsid w:val="00183E28"/>
    <w:rsid w:val="001843E3"/>
    <w:rsid w:val="00184A68"/>
    <w:rsid w:val="00184BF6"/>
    <w:rsid w:val="00185474"/>
    <w:rsid w:val="00185D31"/>
    <w:rsid w:val="00186C86"/>
    <w:rsid w:val="001870F0"/>
    <w:rsid w:val="00187436"/>
    <w:rsid w:val="001914DA"/>
    <w:rsid w:val="00191916"/>
    <w:rsid w:val="00191D2D"/>
    <w:rsid w:val="00191DA7"/>
    <w:rsid w:val="00191E1B"/>
    <w:rsid w:val="001921DC"/>
    <w:rsid w:val="00192E21"/>
    <w:rsid w:val="001935DE"/>
    <w:rsid w:val="00193FD0"/>
    <w:rsid w:val="00194A95"/>
    <w:rsid w:val="001952EB"/>
    <w:rsid w:val="00195BA9"/>
    <w:rsid w:val="00195E9F"/>
    <w:rsid w:val="00196123"/>
    <w:rsid w:val="0019658F"/>
    <w:rsid w:val="001967F1"/>
    <w:rsid w:val="00196D04"/>
    <w:rsid w:val="00196E9D"/>
    <w:rsid w:val="001972F9"/>
    <w:rsid w:val="00197886"/>
    <w:rsid w:val="00197CC0"/>
    <w:rsid w:val="00197F2E"/>
    <w:rsid w:val="001A0790"/>
    <w:rsid w:val="001A1115"/>
    <w:rsid w:val="001A1E45"/>
    <w:rsid w:val="001A210B"/>
    <w:rsid w:val="001A22D3"/>
    <w:rsid w:val="001A22DE"/>
    <w:rsid w:val="001A2716"/>
    <w:rsid w:val="001A2C94"/>
    <w:rsid w:val="001A2E9B"/>
    <w:rsid w:val="001A30B7"/>
    <w:rsid w:val="001A35C2"/>
    <w:rsid w:val="001A3611"/>
    <w:rsid w:val="001A3C71"/>
    <w:rsid w:val="001A438E"/>
    <w:rsid w:val="001A4B50"/>
    <w:rsid w:val="001A52F2"/>
    <w:rsid w:val="001A5DEC"/>
    <w:rsid w:val="001A5E84"/>
    <w:rsid w:val="001A6EF7"/>
    <w:rsid w:val="001A6F5C"/>
    <w:rsid w:val="001A7134"/>
    <w:rsid w:val="001A78EB"/>
    <w:rsid w:val="001B0681"/>
    <w:rsid w:val="001B13C3"/>
    <w:rsid w:val="001B1D10"/>
    <w:rsid w:val="001B2C4E"/>
    <w:rsid w:val="001B2F42"/>
    <w:rsid w:val="001B2FC3"/>
    <w:rsid w:val="001B347B"/>
    <w:rsid w:val="001B37E1"/>
    <w:rsid w:val="001B3ED4"/>
    <w:rsid w:val="001B451A"/>
    <w:rsid w:val="001B518B"/>
    <w:rsid w:val="001B5B6F"/>
    <w:rsid w:val="001B731E"/>
    <w:rsid w:val="001C07BB"/>
    <w:rsid w:val="001C105C"/>
    <w:rsid w:val="001C11D0"/>
    <w:rsid w:val="001C1529"/>
    <w:rsid w:val="001C2023"/>
    <w:rsid w:val="001C282B"/>
    <w:rsid w:val="001C2858"/>
    <w:rsid w:val="001C2C12"/>
    <w:rsid w:val="001C2D45"/>
    <w:rsid w:val="001C2DF0"/>
    <w:rsid w:val="001C2DFA"/>
    <w:rsid w:val="001C2FE7"/>
    <w:rsid w:val="001C3F2D"/>
    <w:rsid w:val="001C3F5A"/>
    <w:rsid w:val="001C4BDD"/>
    <w:rsid w:val="001C4C65"/>
    <w:rsid w:val="001C5089"/>
    <w:rsid w:val="001C51C9"/>
    <w:rsid w:val="001C5CB5"/>
    <w:rsid w:val="001C6A1A"/>
    <w:rsid w:val="001C6EB7"/>
    <w:rsid w:val="001C7AAC"/>
    <w:rsid w:val="001C7B90"/>
    <w:rsid w:val="001C7D08"/>
    <w:rsid w:val="001D0453"/>
    <w:rsid w:val="001D0457"/>
    <w:rsid w:val="001D056D"/>
    <w:rsid w:val="001D070E"/>
    <w:rsid w:val="001D0F9B"/>
    <w:rsid w:val="001D134B"/>
    <w:rsid w:val="001D149A"/>
    <w:rsid w:val="001D14B4"/>
    <w:rsid w:val="001D14F5"/>
    <w:rsid w:val="001D19B0"/>
    <w:rsid w:val="001D19DC"/>
    <w:rsid w:val="001D2027"/>
    <w:rsid w:val="001D4725"/>
    <w:rsid w:val="001D49FF"/>
    <w:rsid w:val="001D4B11"/>
    <w:rsid w:val="001D4C26"/>
    <w:rsid w:val="001D51E1"/>
    <w:rsid w:val="001D5633"/>
    <w:rsid w:val="001D609C"/>
    <w:rsid w:val="001D65E6"/>
    <w:rsid w:val="001D6A98"/>
    <w:rsid w:val="001D6B7F"/>
    <w:rsid w:val="001D7AC1"/>
    <w:rsid w:val="001D7F52"/>
    <w:rsid w:val="001E038F"/>
    <w:rsid w:val="001E06EE"/>
    <w:rsid w:val="001E1619"/>
    <w:rsid w:val="001E1B89"/>
    <w:rsid w:val="001E1F9B"/>
    <w:rsid w:val="001E2243"/>
    <w:rsid w:val="001E25FD"/>
    <w:rsid w:val="001E2A47"/>
    <w:rsid w:val="001E35F4"/>
    <w:rsid w:val="001E37FD"/>
    <w:rsid w:val="001E3CAD"/>
    <w:rsid w:val="001E4317"/>
    <w:rsid w:val="001E4372"/>
    <w:rsid w:val="001E45FA"/>
    <w:rsid w:val="001E50AE"/>
    <w:rsid w:val="001E50B6"/>
    <w:rsid w:val="001E5621"/>
    <w:rsid w:val="001E64C2"/>
    <w:rsid w:val="001E666A"/>
    <w:rsid w:val="001E731A"/>
    <w:rsid w:val="001E7519"/>
    <w:rsid w:val="001E79F4"/>
    <w:rsid w:val="001E7B71"/>
    <w:rsid w:val="001F039E"/>
    <w:rsid w:val="001F0B1D"/>
    <w:rsid w:val="001F1ADF"/>
    <w:rsid w:val="001F1C87"/>
    <w:rsid w:val="001F2094"/>
    <w:rsid w:val="001F232E"/>
    <w:rsid w:val="001F2982"/>
    <w:rsid w:val="001F2B16"/>
    <w:rsid w:val="001F368A"/>
    <w:rsid w:val="001F3930"/>
    <w:rsid w:val="001F3BE0"/>
    <w:rsid w:val="001F3F64"/>
    <w:rsid w:val="001F414D"/>
    <w:rsid w:val="001F437B"/>
    <w:rsid w:val="001F49C1"/>
    <w:rsid w:val="001F547B"/>
    <w:rsid w:val="001F5862"/>
    <w:rsid w:val="001F6329"/>
    <w:rsid w:val="001F639A"/>
    <w:rsid w:val="001F76D4"/>
    <w:rsid w:val="001F77AD"/>
    <w:rsid w:val="001F7973"/>
    <w:rsid w:val="0020002E"/>
    <w:rsid w:val="002005F2"/>
    <w:rsid w:val="0020123F"/>
    <w:rsid w:val="00201CB0"/>
    <w:rsid w:val="00201FE6"/>
    <w:rsid w:val="00203630"/>
    <w:rsid w:val="00203E77"/>
    <w:rsid w:val="002040E9"/>
    <w:rsid w:val="002045CA"/>
    <w:rsid w:val="0020636D"/>
    <w:rsid w:val="00206560"/>
    <w:rsid w:val="0020674B"/>
    <w:rsid w:val="00206847"/>
    <w:rsid w:val="002068BF"/>
    <w:rsid w:val="002070F7"/>
    <w:rsid w:val="002078B1"/>
    <w:rsid w:val="00207915"/>
    <w:rsid w:val="00207BBD"/>
    <w:rsid w:val="002104AA"/>
    <w:rsid w:val="0021062F"/>
    <w:rsid w:val="00210BA5"/>
    <w:rsid w:val="00210CC3"/>
    <w:rsid w:val="0021105A"/>
    <w:rsid w:val="00211155"/>
    <w:rsid w:val="002111F0"/>
    <w:rsid w:val="002112F9"/>
    <w:rsid w:val="002120FD"/>
    <w:rsid w:val="002124B6"/>
    <w:rsid w:val="00212534"/>
    <w:rsid w:val="00212662"/>
    <w:rsid w:val="00212839"/>
    <w:rsid w:val="0021301B"/>
    <w:rsid w:val="0021308A"/>
    <w:rsid w:val="0021409A"/>
    <w:rsid w:val="00214440"/>
    <w:rsid w:val="00214561"/>
    <w:rsid w:val="00214595"/>
    <w:rsid w:val="0021482D"/>
    <w:rsid w:val="0021495F"/>
    <w:rsid w:val="00214B10"/>
    <w:rsid w:val="00214B73"/>
    <w:rsid w:val="00214D94"/>
    <w:rsid w:val="00215D56"/>
    <w:rsid w:val="00215F6B"/>
    <w:rsid w:val="00216036"/>
    <w:rsid w:val="002165C4"/>
    <w:rsid w:val="00216760"/>
    <w:rsid w:val="0021685D"/>
    <w:rsid w:val="00216EF7"/>
    <w:rsid w:val="00216EF9"/>
    <w:rsid w:val="00216FDC"/>
    <w:rsid w:val="00217686"/>
    <w:rsid w:val="00217CA4"/>
    <w:rsid w:val="00217F94"/>
    <w:rsid w:val="002200DC"/>
    <w:rsid w:val="0022050C"/>
    <w:rsid w:val="002205DF"/>
    <w:rsid w:val="0022093D"/>
    <w:rsid w:val="00220E70"/>
    <w:rsid w:val="0022138F"/>
    <w:rsid w:val="00221DC6"/>
    <w:rsid w:val="00222445"/>
    <w:rsid w:val="00222615"/>
    <w:rsid w:val="0022341C"/>
    <w:rsid w:val="0022361B"/>
    <w:rsid w:val="00223AC6"/>
    <w:rsid w:val="00223B70"/>
    <w:rsid w:val="00223E1C"/>
    <w:rsid w:val="002247D6"/>
    <w:rsid w:val="00224F2A"/>
    <w:rsid w:val="00225038"/>
    <w:rsid w:val="00225219"/>
    <w:rsid w:val="00225702"/>
    <w:rsid w:val="0022575B"/>
    <w:rsid w:val="00225AF3"/>
    <w:rsid w:val="00225BF9"/>
    <w:rsid w:val="00226252"/>
    <w:rsid w:val="002270C9"/>
    <w:rsid w:val="00227512"/>
    <w:rsid w:val="00227977"/>
    <w:rsid w:val="00227EF4"/>
    <w:rsid w:val="00227FCF"/>
    <w:rsid w:val="002300EB"/>
    <w:rsid w:val="00230456"/>
    <w:rsid w:val="00230693"/>
    <w:rsid w:val="00230879"/>
    <w:rsid w:val="00230E30"/>
    <w:rsid w:val="002318E1"/>
    <w:rsid w:val="00231DCA"/>
    <w:rsid w:val="00232295"/>
    <w:rsid w:val="00232427"/>
    <w:rsid w:val="00232630"/>
    <w:rsid w:val="00233646"/>
    <w:rsid w:val="00233BC4"/>
    <w:rsid w:val="0023469C"/>
    <w:rsid w:val="002348B2"/>
    <w:rsid w:val="00234A6C"/>
    <w:rsid w:val="00234AC7"/>
    <w:rsid w:val="00234D80"/>
    <w:rsid w:val="00234E9A"/>
    <w:rsid w:val="0023550F"/>
    <w:rsid w:val="002359F8"/>
    <w:rsid w:val="00235A0A"/>
    <w:rsid w:val="00235E86"/>
    <w:rsid w:val="002363AE"/>
    <w:rsid w:val="0023662C"/>
    <w:rsid w:val="0023682C"/>
    <w:rsid w:val="002368D6"/>
    <w:rsid w:val="00237008"/>
    <w:rsid w:val="00240221"/>
    <w:rsid w:val="0024022C"/>
    <w:rsid w:val="00240A15"/>
    <w:rsid w:val="00240E2A"/>
    <w:rsid w:val="0024180B"/>
    <w:rsid w:val="00241B02"/>
    <w:rsid w:val="002420FF"/>
    <w:rsid w:val="0024228A"/>
    <w:rsid w:val="00242659"/>
    <w:rsid w:val="00242B98"/>
    <w:rsid w:val="00243339"/>
    <w:rsid w:val="0024337F"/>
    <w:rsid w:val="00243597"/>
    <w:rsid w:val="002436C4"/>
    <w:rsid w:val="00244040"/>
    <w:rsid w:val="002442FF"/>
    <w:rsid w:val="0024467B"/>
    <w:rsid w:val="00244A0C"/>
    <w:rsid w:val="00244E51"/>
    <w:rsid w:val="00244EC8"/>
    <w:rsid w:val="0024558A"/>
    <w:rsid w:val="00245CB8"/>
    <w:rsid w:val="00245F98"/>
    <w:rsid w:val="00246220"/>
    <w:rsid w:val="002466D4"/>
    <w:rsid w:val="0024671E"/>
    <w:rsid w:val="0024672E"/>
    <w:rsid w:val="00246B9C"/>
    <w:rsid w:val="00246FFC"/>
    <w:rsid w:val="00247594"/>
    <w:rsid w:val="00247ABF"/>
    <w:rsid w:val="00250186"/>
    <w:rsid w:val="00250760"/>
    <w:rsid w:val="00251001"/>
    <w:rsid w:val="0025142A"/>
    <w:rsid w:val="00251E2B"/>
    <w:rsid w:val="00251FB4"/>
    <w:rsid w:val="0025235A"/>
    <w:rsid w:val="00252549"/>
    <w:rsid w:val="00252C42"/>
    <w:rsid w:val="00253E6D"/>
    <w:rsid w:val="00254178"/>
    <w:rsid w:val="002543C6"/>
    <w:rsid w:val="0025445F"/>
    <w:rsid w:val="00254494"/>
    <w:rsid w:val="00254706"/>
    <w:rsid w:val="00254FD6"/>
    <w:rsid w:val="00255018"/>
    <w:rsid w:val="002550CA"/>
    <w:rsid w:val="00255111"/>
    <w:rsid w:val="00255448"/>
    <w:rsid w:val="002555AB"/>
    <w:rsid w:val="00255715"/>
    <w:rsid w:val="00255A2D"/>
    <w:rsid w:val="00256091"/>
    <w:rsid w:val="00256A95"/>
    <w:rsid w:val="00256AB3"/>
    <w:rsid w:val="00256D7B"/>
    <w:rsid w:val="00257593"/>
    <w:rsid w:val="00257A56"/>
    <w:rsid w:val="00257CF3"/>
    <w:rsid w:val="0026031F"/>
    <w:rsid w:val="002607FC"/>
    <w:rsid w:val="00260F00"/>
    <w:rsid w:val="00261243"/>
    <w:rsid w:val="002618F0"/>
    <w:rsid w:val="00261A29"/>
    <w:rsid w:val="00261A3D"/>
    <w:rsid w:val="00262AD4"/>
    <w:rsid w:val="0026335E"/>
    <w:rsid w:val="00263D80"/>
    <w:rsid w:val="00264CDC"/>
    <w:rsid w:val="0026553D"/>
    <w:rsid w:val="002658F8"/>
    <w:rsid w:val="0026599F"/>
    <w:rsid w:val="00266057"/>
    <w:rsid w:val="002663DA"/>
    <w:rsid w:val="002665B4"/>
    <w:rsid w:val="002668CB"/>
    <w:rsid w:val="002673B0"/>
    <w:rsid w:val="002676AD"/>
    <w:rsid w:val="0026771F"/>
    <w:rsid w:val="002677A3"/>
    <w:rsid w:val="00267B46"/>
    <w:rsid w:val="00267EE8"/>
    <w:rsid w:val="00267F29"/>
    <w:rsid w:val="0027092F"/>
    <w:rsid w:val="00270C82"/>
    <w:rsid w:val="00270E28"/>
    <w:rsid w:val="00271107"/>
    <w:rsid w:val="0027262D"/>
    <w:rsid w:val="00272A82"/>
    <w:rsid w:val="0027303F"/>
    <w:rsid w:val="002730D3"/>
    <w:rsid w:val="002735CC"/>
    <w:rsid w:val="00274254"/>
    <w:rsid w:val="0027429D"/>
    <w:rsid w:val="002744A8"/>
    <w:rsid w:val="00274AF1"/>
    <w:rsid w:val="00274E2E"/>
    <w:rsid w:val="00275094"/>
    <w:rsid w:val="00275239"/>
    <w:rsid w:val="002753F0"/>
    <w:rsid w:val="00275554"/>
    <w:rsid w:val="00275633"/>
    <w:rsid w:val="00275B00"/>
    <w:rsid w:val="00275D51"/>
    <w:rsid w:val="002763AC"/>
    <w:rsid w:val="002766DB"/>
    <w:rsid w:val="0027711F"/>
    <w:rsid w:val="002773F8"/>
    <w:rsid w:val="00280461"/>
    <w:rsid w:val="00280743"/>
    <w:rsid w:val="002808AC"/>
    <w:rsid w:val="002809BA"/>
    <w:rsid w:val="00280A98"/>
    <w:rsid w:val="00280B56"/>
    <w:rsid w:val="00280D83"/>
    <w:rsid w:val="0028145F"/>
    <w:rsid w:val="002814F4"/>
    <w:rsid w:val="00281ECF"/>
    <w:rsid w:val="00282195"/>
    <w:rsid w:val="00282361"/>
    <w:rsid w:val="00282462"/>
    <w:rsid w:val="0028292F"/>
    <w:rsid w:val="00282EE2"/>
    <w:rsid w:val="0028303A"/>
    <w:rsid w:val="00283791"/>
    <w:rsid w:val="002837D6"/>
    <w:rsid w:val="00283DEF"/>
    <w:rsid w:val="0028405C"/>
    <w:rsid w:val="00284EBC"/>
    <w:rsid w:val="00285EDC"/>
    <w:rsid w:val="0028618E"/>
    <w:rsid w:val="00286842"/>
    <w:rsid w:val="0028695F"/>
    <w:rsid w:val="00286960"/>
    <w:rsid w:val="002869A9"/>
    <w:rsid w:val="00286F16"/>
    <w:rsid w:val="0028735F"/>
    <w:rsid w:val="00287F01"/>
    <w:rsid w:val="00290269"/>
    <w:rsid w:val="002902DB"/>
    <w:rsid w:val="00290443"/>
    <w:rsid w:val="00290635"/>
    <w:rsid w:val="00290713"/>
    <w:rsid w:val="00290807"/>
    <w:rsid w:val="00290AB2"/>
    <w:rsid w:val="00290F4F"/>
    <w:rsid w:val="002915B3"/>
    <w:rsid w:val="00291600"/>
    <w:rsid w:val="002916FB"/>
    <w:rsid w:val="00291A39"/>
    <w:rsid w:val="00291E1F"/>
    <w:rsid w:val="00291F62"/>
    <w:rsid w:val="00292016"/>
    <w:rsid w:val="00292B44"/>
    <w:rsid w:val="00292D19"/>
    <w:rsid w:val="0029342A"/>
    <w:rsid w:val="00294222"/>
    <w:rsid w:val="0029453C"/>
    <w:rsid w:val="00294B9D"/>
    <w:rsid w:val="00294E7C"/>
    <w:rsid w:val="002951D1"/>
    <w:rsid w:val="00295742"/>
    <w:rsid w:val="00295F6C"/>
    <w:rsid w:val="002961ED"/>
    <w:rsid w:val="002964F7"/>
    <w:rsid w:val="00296642"/>
    <w:rsid w:val="002969DF"/>
    <w:rsid w:val="00296B1C"/>
    <w:rsid w:val="00296E73"/>
    <w:rsid w:val="00297166"/>
    <w:rsid w:val="00297288"/>
    <w:rsid w:val="00297510"/>
    <w:rsid w:val="002975C1"/>
    <w:rsid w:val="00297D4D"/>
    <w:rsid w:val="002A001D"/>
    <w:rsid w:val="002A0861"/>
    <w:rsid w:val="002A08DB"/>
    <w:rsid w:val="002A0B88"/>
    <w:rsid w:val="002A176B"/>
    <w:rsid w:val="002A18F9"/>
    <w:rsid w:val="002A2575"/>
    <w:rsid w:val="002A2897"/>
    <w:rsid w:val="002A33CB"/>
    <w:rsid w:val="002A4539"/>
    <w:rsid w:val="002A4E10"/>
    <w:rsid w:val="002A504D"/>
    <w:rsid w:val="002A50A6"/>
    <w:rsid w:val="002A661A"/>
    <w:rsid w:val="002A6656"/>
    <w:rsid w:val="002A6C19"/>
    <w:rsid w:val="002A6F4E"/>
    <w:rsid w:val="002A7DA6"/>
    <w:rsid w:val="002B0149"/>
    <w:rsid w:val="002B0182"/>
    <w:rsid w:val="002B07E0"/>
    <w:rsid w:val="002B0C1E"/>
    <w:rsid w:val="002B0F95"/>
    <w:rsid w:val="002B1079"/>
    <w:rsid w:val="002B10A8"/>
    <w:rsid w:val="002B10B6"/>
    <w:rsid w:val="002B1119"/>
    <w:rsid w:val="002B1389"/>
    <w:rsid w:val="002B1639"/>
    <w:rsid w:val="002B185F"/>
    <w:rsid w:val="002B1EC7"/>
    <w:rsid w:val="002B2348"/>
    <w:rsid w:val="002B28DB"/>
    <w:rsid w:val="002B30B2"/>
    <w:rsid w:val="002B3135"/>
    <w:rsid w:val="002B330B"/>
    <w:rsid w:val="002B3581"/>
    <w:rsid w:val="002B37A3"/>
    <w:rsid w:val="002B384B"/>
    <w:rsid w:val="002B3E40"/>
    <w:rsid w:val="002B402B"/>
    <w:rsid w:val="002B4405"/>
    <w:rsid w:val="002B4E7C"/>
    <w:rsid w:val="002B51E6"/>
    <w:rsid w:val="002B6D41"/>
    <w:rsid w:val="002B78F2"/>
    <w:rsid w:val="002B7F63"/>
    <w:rsid w:val="002C00E2"/>
    <w:rsid w:val="002C04D0"/>
    <w:rsid w:val="002C0546"/>
    <w:rsid w:val="002C0829"/>
    <w:rsid w:val="002C0F2F"/>
    <w:rsid w:val="002C17F9"/>
    <w:rsid w:val="002C18D6"/>
    <w:rsid w:val="002C1D96"/>
    <w:rsid w:val="002C1F7F"/>
    <w:rsid w:val="002C2928"/>
    <w:rsid w:val="002C2983"/>
    <w:rsid w:val="002C35D1"/>
    <w:rsid w:val="002C36C5"/>
    <w:rsid w:val="002C36F8"/>
    <w:rsid w:val="002C3C4A"/>
    <w:rsid w:val="002C47F6"/>
    <w:rsid w:val="002C621F"/>
    <w:rsid w:val="002C6B67"/>
    <w:rsid w:val="002C7308"/>
    <w:rsid w:val="002C7485"/>
    <w:rsid w:val="002C7721"/>
    <w:rsid w:val="002C7982"/>
    <w:rsid w:val="002C7C9D"/>
    <w:rsid w:val="002C7F8F"/>
    <w:rsid w:val="002D0A08"/>
    <w:rsid w:val="002D1331"/>
    <w:rsid w:val="002D1AFE"/>
    <w:rsid w:val="002D1EB1"/>
    <w:rsid w:val="002D2464"/>
    <w:rsid w:val="002D24E1"/>
    <w:rsid w:val="002D29CD"/>
    <w:rsid w:val="002D29DE"/>
    <w:rsid w:val="002D2AC7"/>
    <w:rsid w:val="002D3631"/>
    <w:rsid w:val="002D37F2"/>
    <w:rsid w:val="002D4BB0"/>
    <w:rsid w:val="002D5F1E"/>
    <w:rsid w:val="002D670B"/>
    <w:rsid w:val="002D730B"/>
    <w:rsid w:val="002D73B3"/>
    <w:rsid w:val="002D76EF"/>
    <w:rsid w:val="002D7AF6"/>
    <w:rsid w:val="002E01EE"/>
    <w:rsid w:val="002E08B8"/>
    <w:rsid w:val="002E1053"/>
    <w:rsid w:val="002E1563"/>
    <w:rsid w:val="002E17EB"/>
    <w:rsid w:val="002E1A99"/>
    <w:rsid w:val="002E1A9D"/>
    <w:rsid w:val="002E1D43"/>
    <w:rsid w:val="002E2008"/>
    <w:rsid w:val="002E2A78"/>
    <w:rsid w:val="002E2BE8"/>
    <w:rsid w:val="002E3214"/>
    <w:rsid w:val="002E3D10"/>
    <w:rsid w:val="002E3DB2"/>
    <w:rsid w:val="002E3E94"/>
    <w:rsid w:val="002E47F3"/>
    <w:rsid w:val="002E5A07"/>
    <w:rsid w:val="002E60AB"/>
    <w:rsid w:val="002E651D"/>
    <w:rsid w:val="002E69D6"/>
    <w:rsid w:val="002E6B40"/>
    <w:rsid w:val="002E7F86"/>
    <w:rsid w:val="002E7FC1"/>
    <w:rsid w:val="002F05E3"/>
    <w:rsid w:val="002F129E"/>
    <w:rsid w:val="002F12C9"/>
    <w:rsid w:val="002F1395"/>
    <w:rsid w:val="002F15DE"/>
    <w:rsid w:val="002F1D14"/>
    <w:rsid w:val="002F1D18"/>
    <w:rsid w:val="002F1DFE"/>
    <w:rsid w:val="002F247D"/>
    <w:rsid w:val="002F3EAF"/>
    <w:rsid w:val="002F4DA8"/>
    <w:rsid w:val="002F589F"/>
    <w:rsid w:val="002F58E8"/>
    <w:rsid w:val="002F5EB7"/>
    <w:rsid w:val="002F69B9"/>
    <w:rsid w:val="002F6B34"/>
    <w:rsid w:val="002F6F24"/>
    <w:rsid w:val="002F7258"/>
    <w:rsid w:val="002F7647"/>
    <w:rsid w:val="002F7AAD"/>
    <w:rsid w:val="003002B0"/>
    <w:rsid w:val="003002D4"/>
    <w:rsid w:val="003002FA"/>
    <w:rsid w:val="003005A5"/>
    <w:rsid w:val="003009F5"/>
    <w:rsid w:val="003016C6"/>
    <w:rsid w:val="00301A8E"/>
    <w:rsid w:val="00301CBD"/>
    <w:rsid w:val="00301D52"/>
    <w:rsid w:val="0030314D"/>
    <w:rsid w:val="003031BD"/>
    <w:rsid w:val="00303625"/>
    <w:rsid w:val="00303E8B"/>
    <w:rsid w:val="00304089"/>
    <w:rsid w:val="00304C06"/>
    <w:rsid w:val="00304CAB"/>
    <w:rsid w:val="00305226"/>
    <w:rsid w:val="003054CA"/>
    <w:rsid w:val="00305506"/>
    <w:rsid w:val="00305599"/>
    <w:rsid w:val="00305D70"/>
    <w:rsid w:val="00305F73"/>
    <w:rsid w:val="00305F98"/>
    <w:rsid w:val="00307AEB"/>
    <w:rsid w:val="00310145"/>
    <w:rsid w:val="00310168"/>
    <w:rsid w:val="00310AF4"/>
    <w:rsid w:val="0031171B"/>
    <w:rsid w:val="00311EC5"/>
    <w:rsid w:val="00312309"/>
    <w:rsid w:val="00312F8A"/>
    <w:rsid w:val="00313021"/>
    <w:rsid w:val="00313223"/>
    <w:rsid w:val="00313390"/>
    <w:rsid w:val="003137AA"/>
    <w:rsid w:val="00313BB3"/>
    <w:rsid w:val="00313CAC"/>
    <w:rsid w:val="00313DE8"/>
    <w:rsid w:val="003150AD"/>
    <w:rsid w:val="00315621"/>
    <w:rsid w:val="00315E85"/>
    <w:rsid w:val="00316821"/>
    <w:rsid w:val="003169EF"/>
    <w:rsid w:val="00316D46"/>
    <w:rsid w:val="0031754D"/>
    <w:rsid w:val="00317DA1"/>
    <w:rsid w:val="00317EF4"/>
    <w:rsid w:val="00320080"/>
    <w:rsid w:val="00320199"/>
    <w:rsid w:val="003203A4"/>
    <w:rsid w:val="0032043E"/>
    <w:rsid w:val="003204F6"/>
    <w:rsid w:val="003207F5"/>
    <w:rsid w:val="00320C60"/>
    <w:rsid w:val="00320E8A"/>
    <w:rsid w:val="0032121A"/>
    <w:rsid w:val="003213A8"/>
    <w:rsid w:val="003216AB"/>
    <w:rsid w:val="003216DA"/>
    <w:rsid w:val="003217D3"/>
    <w:rsid w:val="00321AD6"/>
    <w:rsid w:val="00321AED"/>
    <w:rsid w:val="00321E9B"/>
    <w:rsid w:val="00322255"/>
    <w:rsid w:val="003222AA"/>
    <w:rsid w:val="003223A9"/>
    <w:rsid w:val="003223CC"/>
    <w:rsid w:val="003225B1"/>
    <w:rsid w:val="0032303F"/>
    <w:rsid w:val="003233FA"/>
    <w:rsid w:val="00323655"/>
    <w:rsid w:val="00323C30"/>
    <w:rsid w:val="00323D41"/>
    <w:rsid w:val="00323E73"/>
    <w:rsid w:val="00324706"/>
    <w:rsid w:val="003247B0"/>
    <w:rsid w:val="00324B37"/>
    <w:rsid w:val="00324F28"/>
    <w:rsid w:val="0032541B"/>
    <w:rsid w:val="00325E67"/>
    <w:rsid w:val="00325FEA"/>
    <w:rsid w:val="00326127"/>
    <w:rsid w:val="00326139"/>
    <w:rsid w:val="0032666A"/>
    <w:rsid w:val="003276ED"/>
    <w:rsid w:val="00327BDF"/>
    <w:rsid w:val="00327DD7"/>
    <w:rsid w:val="003304BC"/>
    <w:rsid w:val="003304D0"/>
    <w:rsid w:val="0033103F"/>
    <w:rsid w:val="0033182B"/>
    <w:rsid w:val="003319E2"/>
    <w:rsid w:val="00331A1D"/>
    <w:rsid w:val="00331B99"/>
    <w:rsid w:val="00331BCD"/>
    <w:rsid w:val="0033214C"/>
    <w:rsid w:val="0033235B"/>
    <w:rsid w:val="003324E9"/>
    <w:rsid w:val="00332606"/>
    <w:rsid w:val="00332A3A"/>
    <w:rsid w:val="00332C20"/>
    <w:rsid w:val="00332CDE"/>
    <w:rsid w:val="003334D9"/>
    <w:rsid w:val="00333CB9"/>
    <w:rsid w:val="00334C95"/>
    <w:rsid w:val="003357AC"/>
    <w:rsid w:val="00335B70"/>
    <w:rsid w:val="00335ED8"/>
    <w:rsid w:val="00335F80"/>
    <w:rsid w:val="00336E3A"/>
    <w:rsid w:val="00336FDF"/>
    <w:rsid w:val="0033725B"/>
    <w:rsid w:val="0033735B"/>
    <w:rsid w:val="003373E8"/>
    <w:rsid w:val="0034027C"/>
    <w:rsid w:val="00340CBB"/>
    <w:rsid w:val="003416F6"/>
    <w:rsid w:val="00341BB7"/>
    <w:rsid w:val="003422B4"/>
    <w:rsid w:val="0034282B"/>
    <w:rsid w:val="00342BB0"/>
    <w:rsid w:val="00343403"/>
    <w:rsid w:val="00343432"/>
    <w:rsid w:val="0034356F"/>
    <w:rsid w:val="00343D50"/>
    <w:rsid w:val="00343E11"/>
    <w:rsid w:val="0034425E"/>
    <w:rsid w:val="003443EF"/>
    <w:rsid w:val="003444E1"/>
    <w:rsid w:val="00344596"/>
    <w:rsid w:val="003449E4"/>
    <w:rsid w:val="00344B80"/>
    <w:rsid w:val="0034532A"/>
    <w:rsid w:val="003458AD"/>
    <w:rsid w:val="00345A9E"/>
    <w:rsid w:val="00345BB4"/>
    <w:rsid w:val="003460E7"/>
    <w:rsid w:val="00346DC2"/>
    <w:rsid w:val="00346F51"/>
    <w:rsid w:val="0034710D"/>
    <w:rsid w:val="00347581"/>
    <w:rsid w:val="003507FF"/>
    <w:rsid w:val="00350BEF"/>
    <w:rsid w:val="00350CBC"/>
    <w:rsid w:val="00350F36"/>
    <w:rsid w:val="00351150"/>
    <w:rsid w:val="00351162"/>
    <w:rsid w:val="00351536"/>
    <w:rsid w:val="00351591"/>
    <w:rsid w:val="003517E8"/>
    <w:rsid w:val="00352A5E"/>
    <w:rsid w:val="0035300E"/>
    <w:rsid w:val="00353274"/>
    <w:rsid w:val="003533FC"/>
    <w:rsid w:val="003537C0"/>
    <w:rsid w:val="00353ADC"/>
    <w:rsid w:val="00354576"/>
    <w:rsid w:val="0035481C"/>
    <w:rsid w:val="00354FFF"/>
    <w:rsid w:val="003560D0"/>
    <w:rsid w:val="0035650D"/>
    <w:rsid w:val="00356C8E"/>
    <w:rsid w:val="00356F37"/>
    <w:rsid w:val="0035757B"/>
    <w:rsid w:val="003578A6"/>
    <w:rsid w:val="003578BF"/>
    <w:rsid w:val="00357F2A"/>
    <w:rsid w:val="00360B56"/>
    <w:rsid w:val="0036346D"/>
    <w:rsid w:val="003634A5"/>
    <w:rsid w:val="00363E72"/>
    <w:rsid w:val="00363F37"/>
    <w:rsid w:val="00363FFF"/>
    <w:rsid w:val="00364327"/>
    <w:rsid w:val="003644BC"/>
    <w:rsid w:val="00364826"/>
    <w:rsid w:val="003648BC"/>
    <w:rsid w:val="0036493C"/>
    <w:rsid w:val="003664D1"/>
    <w:rsid w:val="003664E8"/>
    <w:rsid w:val="00366661"/>
    <w:rsid w:val="003667C5"/>
    <w:rsid w:val="00366824"/>
    <w:rsid w:val="00366BD9"/>
    <w:rsid w:val="0037032B"/>
    <w:rsid w:val="0037078D"/>
    <w:rsid w:val="00370CB2"/>
    <w:rsid w:val="0037145F"/>
    <w:rsid w:val="00371759"/>
    <w:rsid w:val="0037179A"/>
    <w:rsid w:val="00372353"/>
    <w:rsid w:val="00372C9D"/>
    <w:rsid w:val="0037331B"/>
    <w:rsid w:val="00373393"/>
    <w:rsid w:val="0037387A"/>
    <w:rsid w:val="00373A49"/>
    <w:rsid w:val="00373F4D"/>
    <w:rsid w:val="00374D19"/>
    <w:rsid w:val="00374DFF"/>
    <w:rsid w:val="0037564D"/>
    <w:rsid w:val="00375DE7"/>
    <w:rsid w:val="00376A32"/>
    <w:rsid w:val="00376B69"/>
    <w:rsid w:val="00376D16"/>
    <w:rsid w:val="003800D2"/>
    <w:rsid w:val="003807F7"/>
    <w:rsid w:val="00380BFA"/>
    <w:rsid w:val="00380DA3"/>
    <w:rsid w:val="00381B37"/>
    <w:rsid w:val="00382CF0"/>
    <w:rsid w:val="00382DF3"/>
    <w:rsid w:val="00382F44"/>
    <w:rsid w:val="003832BD"/>
    <w:rsid w:val="003834F4"/>
    <w:rsid w:val="00383A4F"/>
    <w:rsid w:val="00383B1E"/>
    <w:rsid w:val="00383DCB"/>
    <w:rsid w:val="0038407D"/>
    <w:rsid w:val="00384774"/>
    <w:rsid w:val="00384BF9"/>
    <w:rsid w:val="003858FC"/>
    <w:rsid w:val="00385C7E"/>
    <w:rsid w:val="00385D15"/>
    <w:rsid w:val="00385D80"/>
    <w:rsid w:val="0038666B"/>
    <w:rsid w:val="003866B4"/>
    <w:rsid w:val="003871C1"/>
    <w:rsid w:val="003874BD"/>
    <w:rsid w:val="00387C90"/>
    <w:rsid w:val="00387F34"/>
    <w:rsid w:val="00391322"/>
    <w:rsid w:val="003913C3"/>
    <w:rsid w:val="0039175B"/>
    <w:rsid w:val="00391D2A"/>
    <w:rsid w:val="00392534"/>
    <w:rsid w:val="00392633"/>
    <w:rsid w:val="00392C27"/>
    <w:rsid w:val="00393084"/>
    <w:rsid w:val="00393289"/>
    <w:rsid w:val="003945BD"/>
    <w:rsid w:val="00394A2E"/>
    <w:rsid w:val="00394A44"/>
    <w:rsid w:val="00395817"/>
    <w:rsid w:val="003959E1"/>
    <w:rsid w:val="00396558"/>
    <w:rsid w:val="00396752"/>
    <w:rsid w:val="00396CFE"/>
    <w:rsid w:val="0039748C"/>
    <w:rsid w:val="00397A9E"/>
    <w:rsid w:val="00397CC8"/>
    <w:rsid w:val="00397D46"/>
    <w:rsid w:val="003A03B5"/>
    <w:rsid w:val="003A1056"/>
    <w:rsid w:val="003A1279"/>
    <w:rsid w:val="003A17FB"/>
    <w:rsid w:val="003A2568"/>
    <w:rsid w:val="003A2AE5"/>
    <w:rsid w:val="003A2DA0"/>
    <w:rsid w:val="003A3008"/>
    <w:rsid w:val="003A30C1"/>
    <w:rsid w:val="003A366A"/>
    <w:rsid w:val="003A3DE2"/>
    <w:rsid w:val="003A4370"/>
    <w:rsid w:val="003A4885"/>
    <w:rsid w:val="003A4942"/>
    <w:rsid w:val="003A4950"/>
    <w:rsid w:val="003A50BC"/>
    <w:rsid w:val="003A5AD2"/>
    <w:rsid w:val="003A61FB"/>
    <w:rsid w:val="003A6837"/>
    <w:rsid w:val="003A7306"/>
    <w:rsid w:val="003A7881"/>
    <w:rsid w:val="003A7E39"/>
    <w:rsid w:val="003A7EE0"/>
    <w:rsid w:val="003B048A"/>
    <w:rsid w:val="003B05D2"/>
    <w:rsid w:val="003B0DB0"/>
    <w:rsid w:val="003B11AD"/>
    <w:rsid w:val="003B1437"/>
    <w:rsid w:val="003B1A83"/>
    <w:rsid w:val="003B1ACB"/>
    <w:rsid w:val="003B283A"/>
    <w:rsid w:val="003B2A30"/>
    <w:rsid w:val="003B2E04"/>
    <w:rsid w:val="003B2F38"/>
    <w:rsid w:val="003B30F3"/>
    <w:rsid w:val="003B3579"/>
    <w:rsid w:val="003B475C"/>
    <w:rsid w:val="003B481E"/>
    <w:rsid w:val="003B5083"/>
    <w:rsid w:val="003B52A1"/>
    <w:rsid w:val="003B62AD"/>
    <w:rsid w:val="003B62E5"/>
    <w:rsid w:val="003B6531"/>
    <w:rsid w:val="003B773B"/>
    <w:rsid w:val="003B7C0A"/>
    <w:rsid w:val="003B7CB1"/>
    <w:rsid w:val="003C198B"/>
    <w:rsid w:val="003C1EF1"/>
    <w:rsid w:val="003C30FA"/>
    <w:rsid w:val="003C330E"/>
    <w:rsid w:val="003C3D22"/>
    <w:rsid w:val="003C3DF5"/>
    <w:rsid w:val="003C42E9"/>
    <w:rsid w:val="003C446B"/>
    <w:rsid w:val="003C4B5D"/>
    <w:rsid w:val="003C5541"/>
    <w:rsid w:val="003C6356"/>
    <w:rsid w:val="003C67D3"/>
    <w:rsid w:val="003C6AB9"/>
    <w:rsid w:val="003C6C62"/>
    <w:rsid w:val="003C6F4F"/>
    <w:rsid w:val="003C7AE9"/>
    <w:rsid w:val="003C7C45"/>
    <w:rsid w:val="003D056A"/>
    <w:rsid w:val="003D0B4F"/>
    <w:rsid w:val="003D0EA0"/>
    <w:rsid w:val="003D1805"/>
    <w:rsid w:val="003D1D0F"/>
    <w:rsid w:val="003D2317"/>
    <w:rsid w:val="003D2328"/>
    <w:rsid w:val="003D2407"/>
    <w:rsid w:val="003D2610"/>
    <w:rsid w:val="003D2A46"/>
    <w:rsid w:val="003D2B7F"/>
    <w:rsid w:val="003D41DE"/>
    <w:rsid w:val="003D4233"/>
    <w:rsid w:val="003D479F"/>
    <w:rsid w:val="003D4DF3"/>
    <w:rsid w:val="003D4DF6"/>
    <w:rsid w:val="003D4E4D"/>
    <w:rsid w:val="003D5ABA"/>
    <w:rsid w:val="003D6823"/>
    <w:rsid w:val="003D7C4B"/>
    <w:rsid w:val="003D7DD1"/>
    <w:rsid w:val="003E0234"/>
    <w:rsid w:val="003E04B7"/>
    <w:rsid w:val="003E0762"/>
    <w:rsid w:val="003E0B31"/>
    <w:rsid w:val="003E0C3A"/>
    <w:rsid w:val="003E0C7A"/>
    <w:rsid w:val="003E0CA0"/>
    <w:rsid w:val="003E157B"/>
    <w:rsid w:val="003E1831"/>
    <w:rsid w:val="003E19AA"/>
    <w:rsid w:val="003E1C30"/>
    <w:rsid w:val="003E1CFA"/>
    <w:rsid w:val="003E1D6B"/>
    <w:rsid w:val="003E22DC"/>
    <w:rsid w:val="003E2F12"/>
    <w:rsid w:val="003E2F71"/>
    <w:rsid w:val="003E3289"/>
    <w:rsid w:val="003E3B9E"/>
    <w:rsid w:val="003E3D33"/>
    <w:rsid w:val="003E41E2"/>
    <w:rsid w:val="003E4448"/>
    <w:rsid w:val="003E47D0"/>
    <w:rsid w:val="003E52D1"/>
    <w:rsid w:val="003E545F"/>
    <w:rsid w:val="003E56D8"/>
    <w:rsid w:val="003E5F67"/>
    <w:rsid w:val="003E602E"/>
    <w:rsid w:val="003E6612"/>
    <w:rsid w:val="003E6A22"/>
    <w:rsid w:val="003E702A"/>
    <w:rsid w:val="003E7788"/>
    <w:rsid w:val="003E7810"/>
    <w:rsid w:val="003E7F99"/>
    <w:rsid w:val="003F049A"/>
    <w:rsid w:val="003F0F34"/>
    <w:rsid w:val="003F10B7"/>
    <w:rsid w:val="003F1B3D"/>
    <w:rsid w:val="003F2263"/>
    <w:rsid w:val="003F2977"/>
    <w:rsid w:val="003F2FD6"/>
    <w:rsid w:val="003F3A8D"/>
    <w:rsid w:val="003F40A3"/>
    <w:rsid w:val="003F41FB"/>
    <w:rsid w:val="003F43E2"/>
    <w:rsid w:val="003F49C7"/>
    <w:rsid w:val="003F5182"/>
    <w:rsid w:val="003F5D2A"/>
    <w:rsid w:val="003F6026"/>
    <w:rsid w:val="003F682C"/>
    <w:rsid w:val="003F6C66"/>
    <w:rsid w:val="003F75E3"/>
    <w:rsid w:val="0040027A"/>
    <w:rsid w:val="00400C0A"/>
    <w:rsid w:val="00401051"/>
    <w:rsid w:val="004010E1"/>
    <w:rsid w:val="004011AA"/>
    <w:rsid w:val="0040129B"/>
    <w:rsid w:val="004013E3"/>
    <w:rsid w:val="00401970"/>
    <w:rsid w:val="0040262D"/>
    <w:rsid w:val="004030C4"/>
    <w:rsid w:val="00403805"/>
    <w:rsid w:val="0040395D"/>
    <w:rsid w:val="00403E9C"/>
    <w:rsid w:val="00405010"/>
    <w:rsid w:val="00405DB7"/>
    <w:rsid w:val="004060BC"/>
    <w:rsid w:val="00406301"/>
    <w:rsid w:val="004064DC"/>
    <w:rsid w:val="004065C1"/>
    <w:rsid w:val="00406C9D"/>
    <w:rsid w:val="00407024"/>
    <w:rsid w:val="004070AD"/>
    <w:rsid w:val="0040753C"/>
    <w:rsid w:val="00407A9E"/>
    <w:rsid w:val="00407E25"/>
    <w:rsid w:val="0041030A"/>
    <w:rsid w:val="004104D9"/>
    <w:rsid w:val="004107C6"/>
    <w:rsid w:val="00411F40"/>
    <w:rsid w:val="00412901"/>
    <w:rsid w:val="004129D5"/>
    <w:rsid w:val="00413023"/>
    <w:rsid w:val="00413281"/>
    <w:rsid w:val="00413300"/>
    <w:rsid w:val="004134B7"/>
    <w:rsid w:val="00413892"/>
    <w:rsid w:val="00413B96"/>
    <w:rsid w:val="00413BE4"/>
    <w:rsid w:val="00414181"/>
    <w:rsid w:val="00414685"/>
    <w:rsid w:val="004146DC"/>
    <w:rsid w:val="00414706"/>
    <w:rsid w:val="0041482A"/>
    <w:rsid w:val="00415B92"/>
    <w:rsid w:val="00415DE0"/>
    <w:rsid w:val="00416755"/>
    <w:rsid w:val="00416BBA"/>
    <w:rsid w:val="0041706F"/>
    <w:rsid w:val="004171B9"/>
    <w:rsid w:val="0041736F"/>
    <w:rsid w:val="00417B35"/>
    <w:rsid w:val="00420095"/>
    <w:rsid w:val="00420219"/>
    <w:rsid w:val="00420F29"/>
    <w:rsid w:val="0042151F"/>
    <w:rsid w:val="00421730"/>
    <w:rsid w:val="00421941"/>
    <w:rsid w:val="00421A72"/>
    <w:rsid w:val="00421C17"/>
    <w:rsid w:val="00422220"/>
    <w:rsid w:val="00422C57"/>
    <w:rsid w:val="00422EB8"/>
    <w:rsid w:val="0042310A"/>
    <w:rsid w:val="004236EE"/>
    <w:rsid w:val="004239A9"/>
    <w:rsid w:val="00423C97"/>
    <w:rsid w:val="00423FF4"/>
    <w:rsid w:val="0042404D"/>
    <w:rsid w:val="004242E7"/>
    <w:rsid w:val="0042438F"/>
    <w:rsid w:val="00424BB8"/>
    <w:rsid w:val="004251B6"/>
    <w:rsid w:val="004261F2"/>
    <w:rsid w:val="00426495"/>
    <w:rsid w:val="0042672D"/>
    <w:rsid w:val="00426B34"/>
    <w:rsid w:val="0042714E"/>
    <w:rsid w:val="00427320"/>
    <w:rsid w:val="00427416"/>
    <w:rsid w:val="00427A78"/>
    <w:rsid w:val="00427E0D"/>
    <w:rsid w:val="004302B3"/>
    <w:rsid w:val="0043083A"/>
    <w:rsid w:val="004310BB"/>
    <w:rsid w:val="00431CE0"/>
    <w:rsid w:val="00432A3A"/>
    <w:rsid w:val="00432FB2"/>
    <w:rsid w:val="00433266"/>
    <w:rsid w:val="004335ED"/>
    <w:rsid w:val="00433604"/>
    <w:rsid w:val="00434887"/>
    <w:rsid w:val="004348CB"/>
    <w:rsid w:val="00434F41"/>
    <w:rsid w:val="00434F6B"/>
    <w:rsid w:val="004357C6"/>
    <w:rsid w:val="00435840"/>
    <w:rsid w:val="00435EC9"/>
    <w:rsid w:val="00435EF1"/>
    <w:rsid w:val="00436357"/>
    <w:rsid w:val="0043652C"/>
    <w:rsid w:val="0043659C"/>
    <w:rsid w:val="004374E2"/>
    <w:rsid w:val="004376B5"/>
    <w:rsid w:val="00437DCC"/>
    <w:rsid w:val="00437F31"/>
    <w:rsid w:val="00440611"/>
    <w:rsid w:val="00440AE1"/>
    <w:rsid w:val="00441277"/>
    <w:rsid w:val="00442395"/>
    <w:rsid w:val="00442E8F"/>
    <w:rsid w:val="004435EA"/>
    <w:rsid w:val="004437BA"/>
    <w:rsid w:val="00443BCD"/>
    <w:rsid w:val="00443E06"/>
    <w:rsid w:val="00444240"/>
    <w:rsid w:val="00444A65"/>
    <w:rsid w:val="00444B03"/>
    <w:rsid w:val="00444CEC"/>
    <w:rsid w:val="00444D3E"/>
    <w:rsid w:val="0044505D"/>
    <w:rsid w:val="00445141"/>
    <w:rsid w:val="0044517F"/>
    <w:rsid w:val="00445475"/>
    <w:rsid w:val="0044570E"/>
    <w:rsid w:val="00445C5A"/>
    <w:rsid w:val="00446D27"/>
    <w:rsid w:val="004473DD"/>
    <w:rsid w:val="00447735"/>
    <w:rsid w:val="004477F9"/>
    <w:rsid w:val="00447917"/>
    <w:rsid w:val="00447A7D"/>
    <w:rsid w:val="00447D2E"/>
    <w:rsid w:val="0045002A"/>
    <w:rsid w:val="0045003F"/>
    <w:rsid w:val="00450108"/>
    <w:rsid w:val="00450218"/>
    <w:rsid w:val="004503E1"/>
    <w:rsid w:val="00450931"/>
    <w:rsid w:val="00450A07"/>
    <w:rsid w:val="00450B1E"/>
    <w:rsid w:val="00450E8B"/>
    <w:rsid w:val="0045117B"/>
    <w:rsid w:val="00451917"/>
    <w:rsid w:val="00451B90"/>
    <w:rsid w:val="00451C83"/>
    <w:rsid w:val="00451EB0"/>
    <w:rsid w:val="0045219B"/>
    <w:rsid w:val="00452396"/>
    <w:rsid w:val="00452DCB"/>
    <w:rsid w:val="00453000"/>
    <w:rsid w:val="004534D1"/>
    <w:rsid w:val="00453E18"/>
    <w:rsid w:val="00453F2B"/>
    <w:rsid w:val="0045450C"/>
    <w:rsid w:val="00454898"/>
    <w:rsid w:val="0045583B"/>
    <w:rsid w:val="00455E61"/>
    <w:rsid w:val="004562D6"/>
    <w:rsid w:val="00456910"/>
    <w:rsid w:val="00456AF5"/>
    <w:rsid w:val="00456E0D"/>
    <w:rsid w:val="004571C6"/>
    <w:rsid w:val="00457259"/>
    <w:rsid w:val="0045756A"/>
    <w:rsid w:val="00457804"/>
    <w:rsid w:val="00457C78"/>
    <w:rsid w:val="00457E39"/>
    <w:rsid w:val="00460815"/>
    <w:rsid w:val="004610BD"/>
    <w:rsid w:val="00461256"/>
    <w:rsid w:val="004616BC"/>
    <w:rsid w:val="00461AB6"/>
    <w:rsid w:val="00461C01"/>
    <w:rsid w:val="00461FFC"/>
    <w:rsid w:val="004627D9"/>
    <w:rsid w:val="00462D3F"/>
    <w:rsid w:val="00462D5C"/>
    <w:rsid w:val="0046333B"/>
    <w:rsid w:val="00463657"/>
    <w:rsid w:val="00463C9A"/>
    <w:rsid w:val="004641D4"/>
    <w:rsid w:val="004644B9"/>
    <w:rsid w:val="0046487D"/>
    <w:rsid w:val="00464D7A"/>
    <w:rsid w:val="00464D8F"/>
    <w:rsid w:val="00465148"/>
    <w:rsid w:val="004652FC"/>
    <w:rsid w:val="0046556D"/>
    <w:rsid w:val="004655A0"/>
    <w:rsid w:val="004663AD"/>
    <w:rsid w:val="004663EA"/>
    <w:rsid w:val="00466949"/>
    <w:rsid w:val="00466B89"/>
    <w:rsid w:val="00466BE7"/>
    <w:rsid w:val="00466FE6"/>
    <w:rsid w:val="004677CB"/>
    <w:rsid w:val="0046783A"/>
    <w:rsid w:val="00470B44"/>
    <w:rsid w:val="00470DA6"/>
    <w:rsid w:val="00470EBD"/>
    <w:rsid w:val="00472063"/>
    <w:rsid w:val="00472122"/>
    <w:rsid w:val="00472179"/>
    <w:rsid w:val="004721EF"/>
    <w:rsid w:val="00472AF6"/>
    <w:rsid w:val="00472BDE"/>
    <w:rsid w:val="004738A8"/>
    <w:rsid w:val="004743DF"/>
    <w:rsid w:val="0047520E"/>
    <w:rsid w:val="00475C3B"/>
    <w:rsid w:val="00475C85"/>
    <w:rsid w:val="00475E11"/>
    <w:rsid w:val="00475EAA"/>
    <w:rsid w:val="004766E7"/>
    <w:rsid w:val="0047689A"/>
    <w:rsid w:val="00476D3F"/>
    <w:rsid w:val="00476EDC"/>
    <w:rsid w:val="0048048D"/>
    <w:rsid w:val="00480B22"/>
    <w:rsid w:val="00480D13"/>
    <w:rsid w:val="00480D2B"/>
    <w:rsid w:val="00480D64"/>
    <w:rsid w:val="00481282"/>
    <w:rsid w:val="00481A60"/>
    <w:rsid w:val="00483042"/>
    <w:rsid w:val="00483148"/>
    <w:rsid w:val="00483512"/>
    <w:rsid w:val="00484410"/>
    <w:rsid w:val="00484C63"/>
    <w:rsid w:val="00484DAF"/>
    <w:rsid w:val="00484E42"/>
    <w:rsid w:val="00485A9E"/>
    <w:rsid w:val="00485AA1"/>
    <w:rsid w:val="00485ECD"/>
    <w:rsid w:val="004861A6"/>
    <w:rsid w:val="004868A0"/>
    <w:rsid w:val="00486B0C"/>
    <w:rsid w:val="00486B69"/>
    <w:rsid w:val="00487384"/>
    <w:rsid w:val="004903B2"/>
    <w:rsid w:val="004905EE"/>
    <w:rsid w:val="00490DB9"/>
    <w:rsid w:val="00490F5C"/>
    <w:rsid w:val="004911EF"/>
    <w:rsid w:val="004919BE"/>
    <w:rsid w:val="00491B72"/>
    <w:rsid w:val="004927EF"/>
    <w:rsid w:val="00493ECD"/>
    <w:rsid w:val="00493FB9"/>
    <w:rsid w:val="00494425"/>
    <w:rsid w:val="00494E68"/>
    <w:rsid w:val="0049517A"/>
    <w:rsid w:val="00496327"/>
    <w:rsid w:val="004965BC"/>
    <w:rsid w:val="00496D5A"/>
    <w:rsid w:val="00497158"/>
    <w:rsid w:val="004A0BFC"/>
    <w:rsid w:val="004A0CB7"/>
    <w:rsid w:val="004A0FEC"/>
    <w:rsid w:val="004A1FB5"/>
    <w:rsid w:val="004A20D5"/>
    <w:rsid w:val="004A3293"/>
    <w:rsid w:val="004A3492"/>
    <w:rsid w:val="004A39AC"/>
    <w:rsid w:val="004A3CD6"/>
    <w:rsid w:val="004A40D1"/>
    <w:rsid w:val="004A4839"/>
    <w:rsid w:val="004A4F4E"/>
    <w:rsid w:val="004A59F7"/>
    <w:rsid w:val="004A63F9"/>
    <w:rsid w:val="004A65B8"/>
    <w:rsid w:val="004A673D"/>
    <w:rsid w:val="004A6E9B"/>
    <w:rsid w:val="004A7203"/>
    <w:rsid w:val="004A7703"/>
    <w:rsid w:val="004A7C65"/>
    <w:rsid w:val="004B00C8"/>
    <w:rsid w:val="004B1301"/>
    <w:rsid w:val="004B164B"/>
    <w:rsid w:val="004B1713"/>
    <w:rsid w:val="004B1FEC"/>
    <w:rsid w:val="004B36AE"/>
    <w:rsid w:val="004B473D"/>
    <w:rsid w:val="004B4837"/>
    <w:rsid w:val="004B4BE5"/>
    <w:rsid w:val="004B5C98"/>
    <w:rsid w:val="004B5FEA"/>
    <w:rsid w:val="004B6A4D"/>
    <w:rsid w:val="004B6C35"/>
    <w:rsid w:val="004B75EB"/>
    <w:rsid w:val="004C020C"/>
    <w:rsid w:val="004C0700"/>
    <w:rsid w:val="004C08DF"/>
    <w:rsid w:val="004C0C7C"/>
    <w:rsid w:val="004C1559"/>
    <w:rsid w:val="004C2011"/>
    <w:rsid w:val="004C2171"/>
    <w:rsid w:val="004C31D2"/>
    <w:rsid w:val="004C3253"/>
    <w:rsid w:val="004C33CF"/>
    <w:rsid w:val="004C3476"/>
    <w:rsid w:val="004C3B5B"/>
    <w:rsid w:val="004C3C02"/>
    <w:rsid w:val="004C3FFF"/>
    <w:rsid w:val="004C4300"/>
    <w:rsid w:val="004C4870"/>
    <w:rsid w:val="004C55A3"/>
    <w:rsid w:val="004C652E"/>
    <w:rsid w:val="004C67CC"/>
    <w:rsid w:val="004C6B8F"/>
    <w:rsid w:val="004C6CDC"/>
    <w:rsid w:val="004C6ED4"/>
    <w:rsid w:val="004C709D"/>
    <w:rsid w:val="004C722C"/>
    <w:rsid w:val="004C784E"/>
    <w:rsid w:val="004D002B"/>
    <w:rsid w:val="004D026D"/>
    <w:rsid w:val="004D052D"/>
    <w:rsid w:val="004D0E72"/>
    <w:rsid w:val="004D187F"/>
    <w:rsid w:val="004D1D4E"/>
    <w:rsid w:val="004D22DB"/>
    <w:rsid w:val="004D25CA"/>
    <w:rsid w:val="004D2DBA"/>
    <w:rsid w:val="004D38C0"/>
    <w:rsid w:val="004D3934"/>
    <w:rsid w:val="004D393B"/>
    <w:rsid w:val="004D4174"/>
    <w:rsid w:val="004D496A"/>
    <w:rsid w:val="004D4E57"/>
    <w:rsid w:val="004D53B3"/>
    <w:rsid w:val="004D5730"/>
    <w:rsid w:val="004D5899"/>
    <w:rsid w:val="004D61BB"/>
    <w:rsid w:val="004D647D"/>
    <w:rsid w:val="004D6C10"/>
    <w:rsid w:val="004D6F0B"/>
    <w:rsid w:val="004D722C"/>
    <w:rsid w:val="004E042F"/>
    <w:rsid w:val="004E0BBE"/>
    <w:rsid w:val="004E13ED"/>
    <w:rsid w:val="004E1BFC"/>
    <w:rsid w:val="004E1C4C"/>
    <w:rsid w:val="004E1D04"/>
    <w:rsid w:val="004E2025"/>
    <w:rsid w:val="004E286B"/>
    <w:rsid w:val="004E2D27"/>
    <w:rsid w:val="004E350A"/>
    <w:rsid w:val="004E374E"/>
    <w:rsid w:val="004E3AD7"/>
    <w:rsid w:val="004E40DE"/>
    <w:rsid w:val="004E4235"/>
    <w:rsid w:val="004E4797"/>
    <w:rsid w:val="004E4F86"/>
    <w:rsid w:val="004E530B"/>
    <w:rsid w:val="004E5517"/>
    <w:rsid w:val="004E5CF4"/>
    <w:rsid w:val="004E6436"/>
    <w:rsid w:val="004E6A67"/>
    <w:rsid w:val="004E744D"/>
    <w:rsid w:val="004E7813"/>
    <w:rsid w:val="004E7B35"/>
    <w:rsid w:val="004F0605"/>
    <w:rsid w:val="004F0D5A"/>
    <w:rsid w:val="004F0EB6"/>
    <w:rsid w:val="004F21A4"/>
    <w:rsid w:val="004F2911"/>
    <w:rsid w:val="004F39ED"/>
    <w:rsid w:val="004F4AF6"/>
    <w:rsid w:val="004F4B90"/>
    <w:rsid w:val="004F5326"/>
    <w:rsid w:val="004F5942"/>
    <w:rsid w:val="004F59D1"/>
    <w:rsid w:val="004F63BE"/>
    <w:rsid w:val="004F7556"/>
    <w:rsid w:val="004F7C70"/>
    <w:rsid w:val="004F7E75"/>
    <w:rsid w:val="00500487"/>
    <w:rsid w:val="0050115B"/>
    <w:rsid w:val="00501D57"/>
    <w:rsid w:val="005023B9"/>
    <w:rsid w:val="00502E1A"/>
    <w:rsid w:val="005031A9"/>
    <w:rsid w:val="00503465"/>
    <w:rsid w:val="00503892"/>
    <w:rsid w:val="00503D7C"/>
    <w:rsid w:val="00504D73"/>
    <w:rsid w:val="00504DE5"/>
    <w:rsid w:val="00504DEF"/>
    <w:rsid w:val="005050BF"/>
    <w:rsid w:val="00505AEC"/>
    <w:rsid w:val="00506A3A"/>
    <w:rsid w:val="00506AEE"/>
    <w:rsid w:val="005070B3"/>
    <w:rsid w:val="005119AD"/>
    <w:rsid w:val="0051266F"/>
    <w:rsid w:val="00512AF1"/>
    <w:rsid w:val="00513696"/>
    <w:rsid w:val="0051380C"/>
    <w:rsid w:val="00513D5A"/>
    <w:rsid w:val="00513D8C"/>
    <w:rsid w:val="005144E7"/>
    <w:rsid w:val="005149A4"/>
    <w:rsid w:val="00514B68"/>
    <w:rsid w:val="00514D65"/>
    <w:rsid w:val="00514F2C"/>
    <w:rsid w:val="00514F46"/>
    <w:rsid w:val="005152F9"/>
    <w:rsid w:val="0051537E"/>
    <w:rsid w:val="00515A7A"/>
    <w:rsid w:val="00515CFB"/>
    <w:rsid w:val="00515ED9"/>
    <w:rsid w:val="00515F06"/>
    <w:rsid w:val="00516109"/>
    <w:rsid w:val="005163CD"/>
    <w:rsid w:val="005166C8"/>
    <w:rsid w:val="0051692F"/>
    <w:rsid w:val="00516DC3"/>
    <w:rsid w:val="00516EAE"/>
    <w:rsid w:val="0051734D"/>
    <w:rsid w:val="005173BD"/>
    <w:rsid w:val="0051794B"/>
    <w:rsid w:val="005202E6"/>
    <w:rsid w:val="00520362"/>
    <w:rsid w:val="005208D8"/>
    <w:rsid w:val="00520DCB"/>
    <w:rsid w:val="005220A4"/>
    <w:rsid w:val="0052269C"/>
    <w:rsid w:val="00523071"/>
    <w:rsid w:val="005239B9"/>
    <w:rsid w:val="00523DFB"/>
    <w:rsid w:val="0052400E"/>
    <w:rsid w:val="00524D3C"/>
    <w:rsid w:val="00524ECC"/>
    <w:rsid w:val="00525DC2"/>
    <w:rsid w:val="00525DF1"/>
    <w:rsid w:val="0052630E"/>
    <w:rsid w:val="00526563"/>
    <w:rsid w:val="0052683E"/>
    <w:rsid w:val="00526955"/>
    <w:rsid w:val="00526B08"/>
    <w:rsid w:val="00527684"/>
    <w:rsid w:val="005301C6"/>
    <w:rsid w:val="00530810"/>
    <w:rsid w:val="005309CB"/>
    <w:rsid w:val="00530AFD"/>
    <w:rsid w:val="00530FA1"/>
    <w:rsid w:val="00531750"/>
    <w:rsid w:val="00531804"/>
    <w:rsid w:val="00531CA5"/>
    <w:rsid w:val="00531EF8"/>
    <w:rsid w:val="005323EE"/>
    <w:rsid w:val="00532495"/>
    <w:rsid w:val="00532D8B"/>
    <w:rsid w:val="00533238"/>
    <w:rsid w:val="00533658"/>
    <w:rsid w:val="005336BD"/>
    <w:rsid w:val="00533880"/>
    <w:rsid w:val="005338ED"/>
    <w:rsid w:val="00533B34"/>
    <w:rsid w:val="00534439"/>
    <w:rsid w:val="0053478F"/>
    <w:rsid w:val="00534A07"/>
    <w:rsid w:val="00534AB1"/>
    <w:rsid w:val="00535566"/>
    <w:rsid w:val="0053585A"/>
    <w:rsid w:val="005360E3"/>
    <w:rsid w:val="00536E96"/>
    <w:rsid w:val="005371C1"/>
    <w:rsid w:val="005377B4"/>
    <w:rsid w:val="00537B06"/>
    <w:rsid w:val="00537EE7"/>
    <w:rsid w:val="00537F01"/>
    <w:rsid w:val="00540274"/>
    <w:rsid w:val="00540EA3"/>
    <w:rsid w:val="00541557"/>
    <w:rsid w:val="00541599"/>
    <w:rsid w:val="005417C1"/>
    <w:rsid w:val="00541AA9"/>
    <w:rsid w:val="00541B2F"/>
    <w:rsid w:val="00541FE8"/>
    <w:rsid w:val="00542D15"/>
    <w:rsid w:val="00543038"/>
    <w:rsid w:val="005431C3"/>
    <w:rsid w:val="00543919"/>
    <w:rsid w:val="005449BD"/>
    <w:rsid w:val="00544F2C"/>
    <w:rsid w:val="00544FD4"/>
    <w:rsid w:val="00546337"/>
    <w:rsid w:val="005467FD"/>
    <w:rsid w:val="00546BB0"/>
    <w:rsid w:val="005475A2"/>
    <w:rsid w:val="00547921"/>
    <w:rsid w:val="00547BA4"/>
    <w:rsid w:val="00547D92"/>
    <w:rsid w:val="00550453"/>
    <w:rsid w:val="00550C74"/>
    <w:rsid w:val="00550FC0"/>
    <w:rsid w:val="005514A8"/>
    <w:rsid w:val="00551EDC"/>
    <w:rsid w:val="005520C2"/>
    <w:rsid w:val="005521D9"/>
    <w:rsid w:val="005526D5"/>
    <w:rsid w:val="00552839"/>
    <w:rsid w:val="00552B52"/>
    <w:rsid w:val="005533E2"/>
    <w:rsid w:val="0055348D"/>
    <w:rsid w:val="005542E4"/>
    <w:rsid w:val="00554715"/>
    <w:rsid w:val="005551DF"/>
    <w:rsid w:val="00555327"/>
    <w:rsid w:val="00555589"/>
    <w:rsid w:val="00555D7D"/>
    <w:rsid w:val="00556041"/>
    <w:rsid w:val="005567D1"/>
    <w:rsid w:val="00556899"/>
    <w:rsid w:val="005568B4"/>
    <w:rsid w:val="00556E91"/>
    <w:rsid w:val="005570EE"/>
    <w:rsid w:val="00557A4F"/>
    <w:rsid w:val="0056004D"/>
    <w:rsid w:val="0056032C"/>
    <w:rsid w:val="00560366"/>
    <w:rsid w:val="005610A6"/>
    <w:rsid w:val="0056111C"/>
    <w:rsid w:val="0056133A"/>
    <w:rsid w:val="00561438"/>
    <w:rsid w:val="00561491"/>
    <w:rsid w:val="00561C16"/>
    <w:rsid w:val="005623E9"/>
    <w:rsid w:val="00562403"/>
    <w:rsid w:val="005626D3"/>
    <w:rsid w:val="00562759"/>
    <w:rsid w:val="00562CA7"/>
    <w:rsid w:val="00562ED2"/>
    <w:rsid w:val="005632F5"/>
    <w:rsid w:val="005638FD"/>
    <w:rsid w:val="00563911"/>
    <w:rsid w:val="00563FA4"/>
    <w:rsid w:val="005643F7"/>
    <w:rsid w:val="00564564"/>
    <w:rsid w:val="00564E97"/>
    <w:rsid w:val="00565ED4"/>
    <w:rsid w:val="00566ADA"/>
    <w:rsid w:val="00566DA6"/>
    <w:rsid w:val="0056756C"/>
    <w:rsid w:val="00567671"/>
    <w:rsid w:val="00567692"/>
    <w:rsid w:val="00567ED2"/>
    <w:rsid w:val="00570018"/>
    <w:rsid w:val="00570433"/>
    <w:rsid w:val="00570634"/>
    <w:rsid w:val="005708F6"/>
    <w:rsid w:val="00571215"/>
    <w:rsid w:val="0057170B"/>
    <w:rsid w:val="005718EC"/>
    <w:rsid w:val="00571DB3"/>
    <w:rsid w:val="00571DD0"/>
    <w:rsid w:val="00572538"/>
    <w:rsid w:val="0057256E"/>
    <w:rsid w:val="00572862"/>
    <w:rsid w:val="0057348A"/>
    <w:rsid w:val="0057369A"/>
    <w:rsid w:val="00573AEF"/>
    <w:rsid w:val="00574BA4"/>
    <w:rsid w:val="0057598F"/>
    <w:rsid w:val="00575BF4"/>
    <w:rsid w:val="005760A7"/>
    <w:rsid w:val="005760BE"/>
    <w:rsid w:val="00576C49"/>
    <w:rsid w:val="005803B4"/>
    <w:rsid w:val="0058041B"/>
    <w:rsid w:val="00580469"/>
    <w:rsid w:val="005807B2"/>
    <w:rsid w:val="00581747"/>
    <w:rsid w:val="0058190B"/>
    <w:rsid w:val="0058195E"/>
    <w:rsid w:val="00582054"/>
    <w:rsid w:val="00582909"/>
    <w:rsid w:val="00582A4A"/>
    <w:rsid w:val="00582BCE"/>
    <w:rsid w:val="00582C4D"/>
    <w:rsid w:val="00583037"/>
    <w:rsid w:val="0058334E"/>
    <w:rsid w:val="00583786"/>
    <w:rsid w:val="0058404D"/>
    <w:rsid w:val="005842C9"/>
    <w:rsid w:val="00585173"/>
    <w:rsid w:val="005858B2"/>
    <w:rsid w:val="0058605F"/>
    <w:rsid w:val="00586466"/>
    <w:rsid w:val="0058667D"/>
    <w:rsid w:val="00586CBA"/>
    <w:rsid w:val="005870D5"/>
    <w:rsid w:val="0058722F"/>
    <w:rsid w:val="00587722"/>
    <w:rsid w:val="005879B4"/>
    <w:rsid w:val="005879FF"/>
    <w:rsid w:val="00587AF9"/>
    <w:rsid w:val="00587B0D"/>
    <w:rsid w:val="005913C5"/>
    <w:rsid w:val="005915F5"/>
    <w:rsid w:val="00591FE5"/>
    <w:rsid w:val="00592131"/>
    <w:rsid w:val="005926F3"/>
    <w:rsid w:val="00592B89"/>
    <w:rsid w:val="00592D84"/>
    <w:rsid w:val="0059330B"/>
    <w:rsid w:val="005938AF"/>
    <w:rsid w:val="0059391A"/>
    <w:rsid w:val="00593CC9"/>
    <w:rsid w:val="00594008"/>
    <w:rsid w:val="005957E2"/>
    <w:rsid w:val="00595B4A"/>
    <w:rsid w:val="00596600"/>
    <w:rsid w:val="00596B3B"/>
    <w:rsid w:val="005A0204"/>
    <w:rsid w:val="005A027E"/>
    <w:rsid w:val="005A0544"/>
    <w:rsid w:val="005A0572"/>
    <w:rsid w:val="005A0AC1"/>
    <w:rsid w:val="005A12B5"/>
    <w:rsid w:val="005A147E"/>
    <w:rsid w:val="005A1600"/>
    <w:rsid w:val="005A1968"/>
    <w:rsid w:val="005A1D40"/>
    <w:rsid w:val="005A1FF6"/>
    <w:rsid w:val="005A20BF"/>
    <w:rsid w:val="005A29F2"/>
    <w:rsid w:val="005A2A32"/>
    <w:rsid w:val="005A2C1B"/>
    <w:rsid w:val="005A2CEC"/>
    <w:rsid w:val="005A3617"/>
    <w:rsid w:val="005A3758"/>
    <w:rsid w:val="005A3B98"/>
    <w:rsid w:val="005A46BB"/>
    <w:rsid w:val="005A5BE2"/>
    <w:rsid w:val="005A679A"/>
    <w:rsid w:val="005A7651"/>
    <w:rsid w:val="005A7965"/>
    <w:rsid w:val="005A7F68"/>
    <w:rsid w:val="005B0B42"/>
    <w:rsid w:val="005B110F"/>
    <w:rsid w:val="005B15EE"/>
    <w:rsid w:val="005B232A"/>
    <w:rsid w:val="005B25EA"/>
    <w:rsid w:val="005B2644"/>
    <w:rsid w:val="005B26CF"/>
    <w:rsid w:val="005B294F"/>
    <w:rsid w:val="005B29FD"/>
    <w:rsid w:val="005B35E8"/>
    <w:rsid w:val="005B35F2"/>
    <w:rsid w:val="005B378C"/>
    <w:rsid w:val="005B3D66"/>
    <w:rsid w:val="005B3FC7"/>
    <w:rsid w:val="005B41B6"/>
    <w:rsid w:val="005B43CD"/>
    <w:rsid w:val="005B4B9D"/>
    <w:rsid w:val="005B548E"/>
    <w:rsid w:val="005B5C71"/>
    <w:rsid w:val="005B5ED9"/>
    <w:rsid w:val="005B6A19"/>
    <w:rsid w:val="005B6F59"/>
    <w:rsid w:val="005B7B5B"/>
    <w:rsid w:val="005C008C"/>
    <w:rsid w:val="005C0CFA"/>
    <w:rsid w:val="005C0FB8"/>
    <w:rsid w:val="005C11B0"/>
    <w:rsid w:val="005C28D3"/>
    <w:rsid w:val="005C3769"/>
    <w:rsid w:val="005C3B06"/>
    <w:rsid w:val="005C3CCA"/>
    <w:rsid w:val="005C4002"/>
    <w:rsid w:val="005C4095"/>
    <w:rsid w:val="005C4C16"/>
    <w:rsid w:val="005C4D9D"/>
    <w:rsid w:val="005C4DEB"/>
    <w:rsid w:val="005C4EE8"/>
    <w:rsid w:val="005C53E5"/>
    <w:rsid w:val="005C566C"/>
    <w:rsid w:val="005C5E33"/>
    <w:rsid w:val="005C5F46"/>
    <w:rsid w:val="005C619C"/>
    <w:rsid w:val="005C64C1"/>
    <w:rsid w:val="005C67C6"/>
    <w:rsid w:val="005C73B8"/>
    <w:rsid w:val="005C7707"/>
    <w:rsid w:val="005C79B1"/>
    <w:rsid w:val="005C7C25"/>
    <w:rsid w:val="005C7CB0"/>
    <w:rsid w:val="005C7E2A"/>
    <w:rsid w:val="005D0105"/>
    <w:rsid w:val="005D01B0"/>
    <w:rsid w:val="005D05B3"/>
    <w:rsid w:val="005D0ED4"/>
    <w:rsid w:val="005D1221"/>
    <w:rsid w:val="005D20D6"/>
    <w:rsid w:val="005D2509"/>
    <w:rsid w:val="005D2888"/>
    <w:rsid w:val="005D3112"/>
    <w:rsid w:val="005D3143"/>
    <w:rsid w:val="005D356B"/>
    <w:rsid w:val="005D3EC2"/>
    <w:rsid w:val="005D4D48"/>
    <w:rsid w:val="005D5631"/>
    <w:rsid w:val="005D5F81"/>
    <w:rsid w:val="005D61D4"/>
    <w:rsid w:val="005D69B6"/>
    <w:rsid w:val="005D6CED"/>
    <w:rsid w:val="005D74E4"/>
    <w:rsid w:val="005D7A46"/>
    <w:rsid w:val="005D7AD6"/>
    <w:rsid w:val="005D7FC6"/>
    <w:rsid w:val="005E0235"/>
    <w:rsid w:val="005E07E9"/>
    <w:rsid w:val="005E1D31"/>
    <w:rsid w:val="005E1FB0"/>
    <w:rsid w:val="005E2531"/>
    <w:rsid w:val="005E258B"/>
    <w:rsid w:val="005E2A68"/>
    <w:rsid w:val="005E3232"/>
    <w:rsid w:val="005E3493"/>
    <w:rsid w:val="005E3655"/>
    <w:rsid w:val="005E3A7F"/>
    <w:rsid w:val="005E3B7D"/>
    <w:rsid w:val="005E3F9F"/>
    <w:rsid w:val="005E40F7"/>
    <w:rsid w:val="005E55D0"/>
    <w:rsid w:val="005E56A6"/>
    <w:rsid w:val="005E5AD4"/>
    <w:rsid w:val="005E716A"/>
    <w:rsid w:val="005E7A1F"/>
    <w:rsid w:val="005F0200"/>
    <w:rsid w:val="005F068B"/>
    <w:rsid w:val="005F0927"/>
    <w:rsid w:val="005F0AAA"/>
    <w:rsid w:val="005F0AD5"/>
    <w:rsid w:val="005F0E52"/>
    <w:rsid w:val="005F0F3C"/>
    <w:rsid w:val="005F0F4E"/>
    <w:rsid w:val="005F1011"/>
    <w:rsid w:val="005F1B0A"/>
    <w:rsid w:val="005F25A9"/>
    <w:rsid w:val="005F2987"/>
    <w:rsid w:val="005F2B83"/>
    <w:rsid w:val="005F32BD"/>
    <w:rsid w:val="005F3B37"/>
    <w:rsid w:val="005F3E66"/>
    <w:rsid w:val="005F426A"/>
    <w:rsid w:val="005F4912"/>
    <w:rsid w:val="005F59D5"/>
    <w:rsid w:val="005F6345"/>
    <w:rsid w:val="005F6C2D"/>
    <w:rsid w:val="005F6CDE"/>
    <w:rsid w:val="005F7308"/>
    <w:rsid w:val="005F7E2A"/>
    <w:rsid w:val="006005D2"/>
    <w:rsid w:val="00600785"/>
    <w:rsid w:val="00600B32"/>
    <w:rsid w:val="00600DFA"/>
    <w:rsid w:val="00601913"/>
    <w:rsid w:val="00601C8D"/>
    <w:rsid w:val="006021CF"/>
    <w:rsid w:val="00602616"/>
    <w:rsid w:val="00602C90"/>
    <w:rsid w:val="00602EFA"/>
    <w:rsid w:val="0060334D"/>
    <w:rsid w:val="00603F46"/>
    <w:rsid w:val="006043D2"/>
    <w:rsid w:val="00604DD1"/>
    <w:rsid w:val="00605582"/>
    <w:rsid w:val="006059CC"/>
    <w:rsid w:val="00605C0A"/>
    <w:rsid w:val="00605DB8"/>
    <w:rsid w:val="0060651F"/>
    <w:rsid w:val="00606574"/>
    <w:rsid w:val="00606918"/>
    <w:rsid w:val="00606DF4"/>
    <w:rsid w:val="00606E50"/>
    <w:rsid w:val="0060711F"/>
    <w:rsid w:val="006073D4"/>
    <w:rsid w:val="00607A71"/>
    <w:rsid w:val="00607B42"/>
    <w:rsid w:val="00607C50"/>
    <w:rsid w:val="00607CE3"/>
    <w:rsid w:val="00610459"/>
    <w:rsid w:val="0061099F"/>
    <w:rsid w:val="00610B65"/>
    <w:rsid w:val="00610B98"/>
    <w:rsid w:val="00611246"/>
    <w:rsid w:val="0061149D"/>
    <w:rsid w:val="006120A5"/>
    <w:rsid w:val="00612978"/>
    <w:rsid w:val="00612BC6"/>
    <w:rsid w:val="00613333"/>
    <w:rsid w:val="006133E5"/>
    <w:rsid w:val="00613482"/>
    <w:rsid w:val="00613AE9"/>
    <w:rsid w:val="00614175"/>
    <w:rsid w:val="00615745"/>
    <w:rsid w:val="0061585F"/>
    <w:rsid w:val="006161D7"/>
    <w:rsid w:val="006165CA"/>
    <w:rsid w:val="00616845"/>
    <w:rsid w:val="00616D0A"/>
    <w:rsid w:val="00617BF2"/>
    <w:rsid w:val="00617CD0"/>
    <w:rsid w:val="006200BC"/>
    <w:rsid w:val="0062031E"/>
    <w:rsid w:val="00621609"/>
    <w:rsid w:val="0062160E"/>
    <w:rsid w:val="00621A2B"/>
    <w:rsid w:val="00623989"/>
    <w:rsid w:val="00624087"/>
    <w:rsid w:val="006240DF"/>
    <w:rsid w:val="006241B4"/>
    <w:rsid w:val="00624446"/>
    <w:rsid w:val="006244FD"/>
    <w:rsid w:val="0062457B"/>
    <w:rsid w:val="00624761"/>
    <w:rsid w:val="00624795"/>
    <w:rsid w:val="00624CF4"/>
    <w:rsid w:val="00624E74"/>
    <w:rsid w:val="00625024"/>
    <w:rsid w:val="00625396"/>
    <w:rsid w:val="006254E8"/>
    <w:rsid w:val="006257EB"/>
    <w:rsid w:val="00625B73"/>
    <w:rsid w:val="00626157"/>
    <w:rsid w:val="00626A6D"/>
    <w:rsid w:val="00626C28"/>
    <w:rsid w:val="00630231"/>
    <w:rsid w:val="00630F80"/>
    <w:rsid w:val="006313C1"/>
    <w:rsid w:val="006319D6"/>
    <w:rsid w:val="00631DD0"/>
    <w:rsid w:val="00631E68"/>
    <w:rsid w:val="00632F2D"/>
    <w:rsid w:val="0063331D"/>
    <w:rsid w:val="006334DC"/>
    <w:rsid w:val="0063354E"/>
    <w:rsid w:val="0063454C"/>
    <w:rsid w:val="00634759"/>
    <w:rsid w:val="00634B67"/>
    <w:rsid w:val="00635EB4"/>
    <w:rsid w:val="0063695B"/>
    <w:rsid w:val="006369B8"/>
    <w:rsid w:val="00636AFA"/>
    <w:rsid w:val="006370D4"/>
    <w:rsid w:val="006372C4"/>
    <w:rsid w:val="0063789B"/>
    <w:rsid w:val="00637BCD"/>
    <w:rsid w:val="00637C16"/>
    <w:rsid w:val="00640026"/>
    <w:rsid w:val="006403A4"/>
    <w:rsid w:val="00640BE4"/>
    <w:rsid w:val="00640C08"/>
    <w:rsid w:val="00640EF6"/>
    <w:rsid w:val="00641129"/>
    <w:rsid w:val="006418A9"/>
    <w:rsid w:val="00641AD6"/>
    <w:rsid w:val="006422EF"/>
    <w:rsid w:val="00642A60"/>
    <w:rsid w:val="00642E8A"/>
    <w:rsid w:val="00643AB4"/>
    <w:rsid w:val="00643B27"/>
    <w:rsid w:val="00643B98"/>
    <w:rsid w:val="006441A9"/>
    <w:rsid w:val="006444CD"/>
    <w:rsid w:val="0064470F"/>
    <w:rsid w:val="00645414"/>
    <w:rsid w:val="006457B7"/>
    <w:rsid w:val="00645DFB"/>
    <w:rsid w:val="0064691E"/>
    <w:rsid w:val="006476DC"/>
    <w:rsid w:val="00647F1A"/>
    <w:rsid w:val="006502E4"/>
    <w:rsid w:val="00650B04"/>
    <w:rsid w:val="0065123B"/>
    <w:rsid w:val="006515B7"/>
    <w:rsid w:val="00651A09"/>
    <w:rsid w:val="00652177"/>
    <w:rsid w:val="00652365"/>
    <w:rsid w:val="0065256F"/>
    <w:rsid w:val="00652619"/>
    <w:rsid w:val="006529D7"/>
    <w:rsid w:val="00652BA1"/>
    <w:rsid w:val="00652F69"/>
    <w:rsid w:val="00653211"/>
    <w:rsid w:val="006533D2"/>
    <w:rsid w:val="00654483"/>
    <w:rsid w:val="00654785"/>
    <w:rsid w:val="00654CD0"/>
    <w:rsid w:val="0065512C"/>
    <w:rsid w:val="006559EB"/>
    <w:rsid w:val="006561A4"/>
    <w:rsid w:val="00656A61"/>
    <w:rsid w:val="00656D24"/>
    <w:rsid w:val="00656D3A"/>
    <w:rsid w:val="0065782E"/>
    <w:rsid w:val="00657897"/>
    <w:rsid w:val="00657BDA"/>
    <w:rsid w:val="00657DA4"/>
    <w:rsid w:val="0066075A"/>
    <w:rsid w:val="00660BE8"/>
    <w:rsid w:val="0066151D"/>
    <w:rsid w:val="00661A65"/>
    <w:rsid w:val="00661FCB"/>
    <w:rsid w:val="006620E4"/>
    <w:rsid w:val="006622EC"/>
    <w:rsid w:val="0066317B"/>
    <w:rsid w:val="0066337A"/>
    <w:rsid w:val="00663F50"/>
    <w:rsid w:val="006641C6"/>
    <w:rsid w:val="00664A6C"/>
    <w:rsid w:val="00664FCF"/>
    <w:rsid w:val="0066518D"/>
    <w:rsid w:val="00665291"/>
    <w:rsid w:val="006652B9"/>
    <w:rsid w:val="00665553"/>
    <w:rsid w:val="00665631"/>
    <w:rsid w:val="00665C99"/>
    <w:rsid w:val="00666627"/>
    <w:rsid w:val="00666CF1"/>
    <w:rsid w:val="0066768F"/>
    <w:rsid w:val="00670300"/>
    <w:rsid w:val="00670859"/>
    <w:rsid w:val="00671494"/>
    <w:rsid w:val="006717FA"/>
    <w:rsid w:val="00671F4C"/>
    <w:rsid w:val="006728E4"/>
    <w:rsid w:val="00672DA8"/>
    <w:rsid w:val="00673197"/>
    <w:rsid w:val="00673344"/>
    <w:rsid w:val="00674619"/>
    <w:rsid w:val="00674D19"/>
    <w:rsid w:val="00676627"/>
    <w:rsid w:val="0067723D"/>
    <w:rsid w:val="006773D9"/>
    <w:rsid w:val="00677402"/>
    <w:rsid w:val="006779A4"/>
    <w:rsid w:val="00677D1E"/>
    <w:rsid w:val="006800A6"/>
    <w:rsid w:val="006810F8"/>
    <w:rsid w:val="006815E7"/>
    <w:rsid w:val="0068228E"/>
    <w:rsid w:val="0068239F"/>
    <w:rsid w:val="0068279D"/>
    <w:rsid w:val="006833A4"/>
    <w:rsid w:val="00683414"/>
    <w:rsid w:val="0068365C"/>
    <w:rsid w:val="006836CC"/>
    <w:rsid w:val="00683923"/>
    <w:rsid w:val="006839EC"/>
    <w:rsid w:val="006849FC"/>
    <w:rsid w:val="00684C73"/>
    <w:rsid w:val="006851F1"/>
    <w:rsid w:val="00685BF7"/>
    <w:rsid w:val="00685FD7"/>
    <w:rsid w:val="00686060"/>
    <w:rsid w:val="00686CE1"/>
    <w:rsid w:val="00686F07"/>
    <w:rsid w:val="006873F9"/>
    <w:rsid w:val="0068756B"/>
    <w:rsid w:val="00687DB9"/>
    <w:rsid w:val="00687EC9"/>
    <w:rsid w:val="00687F1A"/>
    <w:rsid w:val="006903C5"/>
    <w:rsid w:val="006906AE"/>
    <w:rsid w:val="00690DD1"/>
    <w:rsid w:val="00692165"/>
    <w:rsid w:val="0069290B"/>
    <w:rsid w:val="00692E27"/>
    <w:rsid w:val="00693754"/>
    <w:rsid w:val="00693F17"/>
    <w:rsid w:val="006943B6"/>
    <w:rsid w:val="006944EC"/>
    <w:rsid w:val="00694F82"/>
    <w:rsid w:val="006950E5"/>
    <w:rsid w:val="006958FF"/>
    <w:rsid w:val="00695931"/>
    <w:rsid w:val="0069631B"/>
    <w:rsid w:val="0069636B"/>
    <w:rsid w:val="006969DD"/>
    <w:rsid w:val="006975E4"/>
    <w:rsid w:val="006976AD"/>
    <w:rsid w:val="00697DDD"/>
    <w:rsid w:val="00697DFF"/>
    <w:rsid w:val="006A02CC"/>
    <w:rsid w:val="006A0888"/>
    <w:rsid w:val="006A0F5C"/>
    <w:rsid w:val="006A15A7"/>
    <w:rsid w:val="006A1602"/>
    <w:rsid w:val="006A1715"/>
    <w:rsid w:val="006A18C0"/>
    <w:rsid w:val="006A19EB"/>
    <w:rsid w:val="006A1C9D"/>
    <w:rsid w:val="006A1E7D"/>
    <w:rsid w:val="006A26FB"/>
    <w:rsid w:val="006A3B8E"/>
    <w:rsid w:val="006A3E16"/>
    <w:rsid w:val="006A4830"/>
    <w:rsid w:val="006A4D83"/>
    <w:rsid w:val="006A5AB5"/>
    <w:rsid w:val="006A5C87"/>
    <w:rsid w:val="006A696A"/>
    <w:rsid w:val="006A700B"/>
    <w:rsid w:val="006A71DF"/>
    <w:rsid w:val="006A768C"/>
    <w:rsid w:val="006A78FA"/>
    <w:rsid w:val="006A7958"/>
    <w:rsid w:val="006A797D"/>
    <w:rsid w:val="006B0718"/>
    <w:rsid w:val="006B09EB"/>
    <w:rsid w:val="006B0CAA"/>
    <w:rsid w:val="006B1332"/>
    <w:rsid w:val="006B18C5"/>
    <w:rsid w:val="006B1F72"/>
    <w:rsid w:val="006B2330"/>
    <w:rsid w:val="006B2EF5"/>
    <w:rsid w:val="006B3297"/>
    <w:rsid w:val="006B335C"/>
    <w:rsid w:val="006B37F1"/>
    <w:rsid w:val="006B3FA6"/>
    <w:rsid w:val="006B4339"/>
    <w:rsid w:val="006B4378"/>
    <w:rsid w:val="006B4CAA"/>
    <w:rsid w:val="006B5403"/>
    <w:rsid w:val="006B5418"/>
    <w:rsid w:val="006B5AC3"/>
    <w:rsid w:val="006B6491"/>
    <w:rsid w:val="006B6492"/>
    <w:rsid w:val="006B657B"/>
    <w:rsid w:val="006B67BA"/>
    <w:rsid w:val="006B6ADD"/>
    <w:rsid w:val="006B6B17"/>
    <w:rsid w:val="006B6BBE"/>
    <w:rsid w:val="006B6D3E"/>
    <w:rsid w:val="006B72D1"/>
    <w:rsid w:val="006B730D"/>
    <w:rsid w:val="006B7D33"/>
    <w:rsid w:val="006C0132"/>
    <w:rsid w:val="006C02F7"/>
    <w:rsid w:val="006C07E7"/>
    <w:rsid w:val="006C0E3B"/>
    <w:rsid w:val="006C110C"/>
    <w:rsid w:val="006C1230"/>
    <w:rsid w:val="006C1348"/>
    <w:rsid w:val="006C145C"/>
    <w:rsid w:val="006C178A"/>
    <w:rsid w:val="006C1FE5"/>
    <w:rsid w:val="006C23F0"/>
    <w:rsid w:val="006C2770"/>
    <w:rsid w:val="006C371E"/>
    <w:rsid w:val="006C3DE2"/>
    <w:rsid w:val="006C4101"/>
    <w:rsid w:val="006C4962"/>
    <w:rsid w:val="006C4DBE"/>
    <w:rsid w:val="006C4E64"/>
    <w:rsid w:val="006C5552"/>
    <w:rsid w:val="006C5BED"/>
    <w:rsid w:val="006C5BEF"/>
    <w:rsid w:val="006C67C7"/>
    <w:rsid w:val="006C6D32"/>
    <w:rsid w:val="006C6E1C"/>
    <w:rsid w:val="006C73A0"/>
    <w:rsid w:val="006C7525"/>
    <w:rsid w:val="006C7801"/>
    <w:rsid w:val="006C7DDB"/>
    <w:rsid w:val="006C7F27"/>
    <w:rsid w:val="006C7FD4"/>
    <w:rsid w:val="006D0026"/>
    <w:rsid w:val="006D0228"/>
    <w:rsid w:val="006D0848"/>
    <w:rsid w:val="006D134E"/>
    <w:rsid w:val="006D2203"/>
    <w:rsid w:val="006D2349"/>
    <w:rsid w:val="006D234A"/>
    <w:rsid w:val="006D29B7"/>
    <w:rsid w:val="006D3193"/>
    <w:rsid w:val="006D3371"/>
    <w:rsid w:val="006D377D"/>
    <w:rsid w:val="006D47B0"/>
    <w:rsid w:val="006D555A"/>
    <w:rsid w:val="006D583A"/>
    <w:rsid w:val="006D5A62"/>
    <w:rsid w:val="006D5A9E"/>
    <w:rsid w:val="006D5B3D"/>
    <w:rsid w:val="006D678B"/>
    <w:rsid w:val="006D6C5B"/>
    <w:rsid w:val="006D773F"/>
    <w:rsid w:val="006D782E"/>
    <w:rsid w:val="006D7DF5"/>
    <w:rsid w:val="006E0161"/>
    <w:rsid w:val="006E0947"/>
    <w:rsid w:val="006E1081"/>
    <w:rsid w:val="006E1252"/>
    <w:rsid w:val="006E1B08"/>
    <w:rsid w:val="006E1BC8"/>
    <w:rsid w:val="006E2351"/>
    <w:rsid w:val="006E2842"/>
    <w:rsid w:val="006E2887"/>
    <w:rsid w:val="006E308F"/>
    <w:rsid w:val="006E359E"/>
    <w:rsid w:val="006E3F78"/>
    <w:rsid w:val="006E458C"/>
    <w:rsid w:val="006E4AF3"/>
    <w:rsid w:val="006E4C90"/>
    <w:rsid w:val="006E4DB1"/>
    <w:rsid w:val="006E5051"/>
    <w:rsid w:val="006E5644"/>
    <w:rsid w:val="006E56A5"/>
    <w:rsid w:val="006E5F59"/>
    <w:rsid w:val="006E6066"/>
    <w:rsid w:val="006E60BD"/>
    <w:rsid w:val="006E64D7"/>
    <w:rsid w:val="006E65E9"/>
    <w:rsid w:val="006E689D"/>
    <w:rsid w:val="006E69C9"/>
    <w:rsid w:val="006E6CA7"/>
    <w:rsid w:val="006E6CD1"/>
    <w:rsid w:val="006E6F8B"/>
    <w:rsid w:val="006E7873"/>
    <w:rsid w:val="006E7939"/>
    <w:rsid w:val="006E7A37"/>
    <w:rsid w:val="006F00D4"/>
    <w:rsid w:val="006F010C"/>
    <w:rsid w:val="006F0F00"/>
    <w:rsid w:val="006F1026"/>
    <w:rsid w:val="006F15AD"/>
    <w:rsid w:val="006F1901"/>
    <w:rsid w:val="006F19FF"/>
    <w:rsid w:val="006F1B0B"/>
    <w:rsid w:val="006F1B8D"/>
    <w:rsid w:val="006F2450"/>
    <w:rsid w:val="006F2760"/>
    <w:rsid w:val="006F3259"/>
    <w:rsid w:val="006F3667"/>
    <w:rsid w:val="006F404F"/>
    <w:rsid w:val="006F416D"/>
    <w:rsid w:val="006F4B64"/>
    <w:rsid w:val="006F4C59"/>
    <w:rsid w:val="006F5278"/>
    <w:rsid w:val="006F5C3D"/>
    <w:rsid w:val="006F5F0C"/>
    <w:rsid w:val="006F63E7"/>
    <w:rsid w:val="006F720C"/>
    <w:rsid w:val="006F796F"/>
    <w:rsid w:val="00700D05"/>
    <w:rsid w:val="00700DD7"/>
    <w:rsid w:val="007012A8"/>
    <w:rsid w:val="00702016"/>
    <w:rsid w:val="00703153"/>
    <w:rsid w:val="00703DEA"/>
    <w:rsid w:val="00703E29"/>
    <w:rsid w:val="00704790"/>
    <w:rsid w:val="00704CD3"/>
    <w:rsid w:val="00704D4D"/>
    <w:rsid w:val="00704D5D"/>
    <w:rsid w:val="00704E3F"/>
    <w:rsid w:val="00705477"/>
    <w:rsid w:val="00705C28"/>
    <w:rsid w:val="0070679B"/>
    <w:rsid w:val="007068BD"/>
    <w:rsid w:val="007068C8"/>
    <w:rsid w:val="0070732E"/>
    <w:rsid w:val="00707B4F"/>
    <w:rsid w:val="0071056B"/>
    <w:rsid w:val="007106E7"/>
    <w:rsid w:val="00710992"/>
    <w:rsid w:val="00710C3D"/>
    <w:rsid w:val="00710F7A"/>
    <w:rsid w:val="00710FB6"/>
    <w:rsid w:val="00711165"/>
    <w:rsid w:val="00711739"/>
    <w:rsid w:val="0071178D"/>
    <w:rsid w:val="007119D5"/>
    <w:rsid w:val="007124AE"/>
    <w:rsid w:val="007125E3"/>
    <w:rsid w:val="0071272D"/>
    <w:rsid w:val="0071288F"/>
    <w:rsid w:val="007128F1"/>
    <w:rsid w:val="00712BA3"/>
    <w:rsid w:val="00712BAD"/>
    <w:rsid w:val="00712ED3"/>
    <w:rsid w:val="00713CA6"/>
    <w:rsid w:val="0071411C"/>
    <w:rsid w:val="007142A0"/>
    <w:rsid w:val="00714635"/>
    <w:rsid w:val="00714D47"/>
    <w:rsid w:val="00715038"/>
    <w:rsid w:val="00715259"/>
    <w:rsid w:val="00715FD5"/>
    <w:rsid w:val="00716C50"/>
    <w:rsid w:val="00716C55"/>
    <w:rsid w:val="007174BB"/>
    <w:rsid w:val="007179B9"/>
    <w:rsid w:val="007179E0"/>
    <w:rsid w:val="00717FE1"/>
    <w:rsid w:val="00720402"/>
    <w:rsid w:val="007205B7"/>
    <w:rsid w:val="00720FFF"/>
    <w:rsid w:val="00721180"/>
    <w:rsid w:val="00721D0D"/>
    <w:rsid w:val="00721E65"/>
    <w:rsid w:val="00721FC2"/>
    <w:rsid w:val="0072220C"/>
    <w:rsid w:val="00722D37"/>
    <w:rsid w:val="0072301E"/>
    <w:rsid w:val="007230CD"/>
    <w:rsid w:val="007231A4"/>
    <w:rsid w:val="00723A73"/>
    <w:rsid w:val="00723B6A"/>
    <w:rsid w:val="0072469B"/>
    <w:rsid w:val="00724E45"/>
    <w:rsid w:val="00725135"/>
    <w:rsid w:val="00725496"/>
    <w:rsid w:val="00725AFD"/>
    <w:rsid w:val="00725D6D"/>
    <w:rsid w:val="00726946"/>
    <w:rsid w:val="00726B75"/>
    <w:rsid w:val="00727C6F"/>
    <w:rsid w:val="007302D2"/>
    <w:rsid w:val="007309DF"/>
    <w:rsid w:val="00730C60"/>
    <w:rsid w:val="00730E14"/>
    <w:rsid w:val="007314E5"/>
    <w:rsid w:val="00731AB8"/>
    <w:rsid w:val="00731DB7"/>
    <w:rsid w:val="00731E42"/>
    <w:rsid w:val="00732669"/>
    <w:rsid w:val="00733050"/>
    <w:rsid w:val="00733931"/>
    <w:rsid w:val="00733FE0"/>
    <w:rsid w:val="0073417B"/>
    <w:rsid w:val="007341DA"/>
    <w:rsid w:val="00734C13"/>
    <w:rsid w:val="00735321"/>
    <w:rsid w:val="0073570D"/>
    <w:rsid w:val="00735D22"/>
    <w:rsid w:val="00735E4F"/>
    <w:rsid w:val="00735EF2"/>
    <w:rsid w:val="00736126"/>
    <w:rsid w:val="00736406"/>
    <w:rsid w:val="0073666B"/>
    <w:rsid w:val="00736C06"/>
    <w:rsid w:val="00736D9F"/>
    <w:rsid w:val="00736EC5"/>
    <w:rsid w:val="00737EC2"/>
    <w:rsid w:val="00740232"/>
    <w:rsid w:val="007404D8"/>
    <w:rsid w:val="00740CC1"/>
    <w:rsid w:val="00742522"/>
    <w:rsid w:val="00742D8E"/>
    <w:rsid w:val="00743288"/>
    <w:rsid w:val="00743E20"/>
    <w:rsid w:val="007447E6"/>
    <w:rsid w:val="00744916"/>
    <w:rsid w:val="0074503B"/>
    <w:rsid w:val="00745592"/>
    <w:rsid w:val="00745806"/>
    <w:rsid w:val="007458BE"/>
    <w:rsid w:val="00745986"/>
    <w:rsid w:val="007459F5"/>
    <w:rsid w:val="00745AC8"/>
    <w:rsid w:val="00745FA8"/>
    <w:rsid w:val="0074603A"/>
    <w:rsid w:val="00746586"/>
    <w:rsid w:val="00747F47"/>
    <w:rsid w:val="00750467"/>
    <w:rsid w:val="00750AB1"/>
    <w:rsid w:val="007511DA"/>
    <w:rsid w:val="00751881"/>
    <w:rsid w:val="007518A4"/>
    <w:rsid w:val="00751979"/>
    <w:rsid w:val="00751FC7"/>
    <w:rsid w:val="00752013"/>
    <w:rsid w:val="00752E27"/>
    <w:rsid w:val="00753330"/>
    <w:rsid w:val="007535E3"/>
    <w:rsid w:val="0075371C"/>
    <w:rsid w:val="007541F5"/>
    <w:rsid w:val="007542D1"/>
    <w:rsid w:val="00754588"/>
    <w:rsid w:val="00755106"/>
    <w:rsid w:val="00755670"/>
    <w:rsid w:val="007556C6"/>
    <w:rsid w:val="00755917"/>
    <w:rsid w:val="00757263"/>
    <w:rsid w:val="00757438"/>
    <w:rsid w:val="00757C56"/>
    <w:rsid w:val="00757FED"/>
    <w:rsid w:val="00760135"/>
    <w:rsid w:val="00760161"/>
    <w:rsid w:val="007607B3"/>
    <w:rsid w:val="0076086B"/>
    <w:rsid w:val="00760FA5"/>
    <w:rsid w:val="00761693"/>
    <w:rsid w:val="00761953"/>
    <w:rsid w:val="00762124"/>
    <w:rsid w:val="007626D6"/>
    <w:rsid w:val="00762EAC"/>
    <w:rsid w:val="00763312"/>
    <w:rsid w:val="00763408"/>
    <w:rsid w:val="007636FA"/>
    <w:rsid w:val="00763D5A"/>
    <w:rsid w:val="007643F5"/>
    <w:rsid w:val="007644D5"/>
    <w:rsid w:val="00764589"/>
    <w:rsid w:val="00764833"/>
    <w:rsid w:val="00765F17"/>
    <w:rsid w:val="00767F05"/>
    <w:rsid w:val="00770067"/>
    <w:rsid w:val="00770237"/>
    <w:rsid w:val="007702E7"/>
    <w:rsid w:val="007702FA"/>
    <w:rsid w:val="00770479"/>
    <w:rsid w:val="00770F22"/>
    <w:rsid w:val="00771133"/>
    <w:rsid w:val="00771243"/>
    <w:rsid w:val="00771492"/>
    <w:rsid w:val="00771573"/>
    <w:rsid w:val="0077167C"/>
    <w:rsid w:val="007717BE"/>
    <w:rsid w:val="0077276E"/>
    <w:rsid w:val="007729DF"/>
    <w:rsid w:val="00772C77"/>
    <w:rsid w:val="00773824"/>
    <w:rsid w:val="00773964"/>
    <w:rsid w:val="00773EE6"/>
    <w:rsid w:val="00773F5A"/>
    <w:rsid w:val="00774418"/>
    <w:rsid w:val="0077463F"/>
    <w:rsid w:val="00774A7C"/>
    <w:rsid w:val="00774C58"/>
    <w:rsid w:val="00774F0F"/>
    <w:rsid w:val="00775485"/>
    <w:rsid w:val="007760C9"/>
    <w:rsid w:val="007764F8"/>
    <w:rsid w:val="0077746A"/>
    <w:rsid w:val="007774E0"/>
    <w:rsid w:val="00777D33"/>
    <w:rsid w:val="00780126"/>
    <w:rsid w:val="00780285"/>
    <w:rsid w:val="007802FB"/>
    <w:rsid w:val="007809D0"/>
    <w:rsid w:val="00780B9E"/>
    <w:rsid w:val="00780DF8"/>
    <w:rsid w:val="00781A6D"/>
    <w:rsid w:val="00781D69"/>
    <w:rsid w:val="007820B8"/>
    <w:rsid w:val="0078240E"/>
    <w:rsid w:val="00782463"/>
    <w:rsid w:val="00782A6B"/>
    <w:rsid w:val="00782D2C"/>
    <w:rsid w:val="00784857"/>
    <w:rsid w:val="00784F4B"/>
    <w:rsid w:val="0078566D"/>
    <w:rsid w:val="007859FE"/>
    <w:rsid w:val="007865C7"/>
    <w:rsid w:val="00786A7D"/>
    <w:rsid w:val="0078757E"/>
    <w:rsid w:val="007875C8"/>
    <w:rsid w:val="00787A44"/>
    <w:rsid w:val="00790B40"/>
    <w:rsid w:val="00790CB5"/>
    <w:rsid w:val="007910EB"/>
    <w:rsid w:val="0079129F"/>
    <w:rsid w:val="007919C4"/>
    <w:rsid w:val="00792964"/>
    <w:rsid w:val="007931E9"/>
    <w:rsid w:val="00793325"/>
    <w:rsid w:val="0079380B"/>
    <w:rsid w:val="0079383C"/>
    <w:rsid w:val="00793C77"/>
    <w:rsid w:val="00793DC8"/>
    <w:rsid w:val="007948C2"/>
    <w:rsid w:val="00794C7C"/>
    <w:rsid w:val="00794D99"/>
    <w:rsid w:val="0079565A"/>
    <w:rsid w:val="00795B9F"/>
    <w:rsid w:val="007966BB"/>
    <w:rsid w:val="00796876"/>
    <w:rsid w:val="007976DD"/>
    <w:rsid w:val="00797BC0"/>
    <w:rsid w:val="00797DE5"/>
    <w:rsid w:val="00797F89"/>
    <w:rsid w:val="007A0BC7"/>
    <w:rsid w:val="007A0C06"/>
    <w:rsid w:val="007A0FE5"/>
    <w:rsid w:val="007A19D5"/>
    <w:rsid w:val="007A19EC"/>
    <w:rsid w:val="007A19F1"/>
    <w:rsid w:val="007A22F5"/>
    <w:rsid w:val="007A25A9"/>
    <w:rsid w:val="007A25D7"/>
    <w:rsid w:val="007A28CE"/>
    <w:rsid w:val="007A2D38"/>
    <w:rsid w:val="007A322F"/>
    <w:rsid w:val="007A3352"/>
    <w:rsid w:val="007A38FD"/>
    <w:rsid w:val="007A3A6D"/>
    <w:rsid w:val="007A3AFC"/>
    <w:rsid w:val="007A4898"/>
    <w:rsid w:val="007A49DF"/>
    <w:rsid w:val="007A5356"/>
    <w:rsid w:val="007A5BAB"/>
    <w:rsid w:val="007A72DE"/>
    <w:rsid w:val="007A752A"/>
    <w:rsid w:val="007B0233"/>
    <w:rsid w:val="007B0538"/>
    <w:rsid w:val="007B16E1"/>
    <w:rsid w:val="007B1A06"/>
    <w:rsid w:val="007B1D85"/>
    <w:rsid w:val="007B21CC"/>
    <w:rsid w:val="007B3417"/>
    <w:rsid w:val="007B346E"/>
    <w:rsid w:val="007B3A2D"/>
    <w:rsid w:val="007B42F9"/>
    <w:rsid w:val="007B4596"/>
    <w:rsid w:val="007B474B"/>
    <w:rsid w:val="007B53AE"/>
    <w:rsid w:val="007B62E4"/>
    <w:rsid w:val="007B66ED"/>
    <w:rsid w:val="007B69E5"/>
    <w:rsid w:val="007B6DA3"/>
    <w:rsid w:val="007B7073"/>
    <w:rsid w:val="007B73CB"/>
    <w:rsid w:val="007B7717"/>
    <w:rsid w:val="007B7DDF"/>
    <w:rsid w:val="007C115D"/>
    <w:rsid w:val="007C1442"/>
    <w:rsid w:val="007C1721"/>
    <w:rsid w:val="007C2384"/>
    <w:rsid w:val="007C252C"/>
    <w:rsid w:val="007C2729"/>
    <w:rsid w:val="007C288D"/>
    <w:rsid w:val="007C2D4F"/>
    <w:rsid w:val="007C300C"/>
    <w:rsid w:val="007C32A9"/>
    <w:rsid w:val="007C32FF"/>
    <w:rsid w:val="007C34BA"/>
    <w:rsid w:val="007C3742"/>
    <w:rsid w:val="007C3BCC"/>
    <w:rsid w:val="007C3D4F"/>
    <w:rsid w:val="007C3F1E"/>
    <w:rsid w:val="007C4A97"/>
    <w:rsid w:val="007C4E07"/>
    <w:rsid w:val="007C56D8"/>
    <w:rsid w:val="007C59CF"/>
    <w:rsid w:val="007C5ABA"/>
    <w:rsid w:val="007C6492"/>
    <w:rsid w:val="007C70A0"/>
    <w:rsid w:val="007C7DFC"/>
    <w:rsid w:val="007D0298"/>
    <w:rsid w:val="007D02D6"/>
    <w:rsid w:val="007D0461"/>
    <w:rsid w:val="007D14A2"/>
    <w:rsid w:val="007D22E3"/>
    <w:rsid w:val="007D2C03"/>
    <w:rsid w:val="007D3108"/>
    <w:rsid w:val="007D3640"/>
    <w:rsid w:val="007D36AF"/>
    <w:rsid w:val="007D3997"/>
    <w:rsid w:val="007D44CE"/>
    <w:rsid w:val="007D4AD0"/>
    <w:rsid w:val="007D4BA6"/>
    <w:rsid w:val="007D4C0B"/>
    <w:rsid w:val="007D4E53"/>
    <w:rsid w:val="007D4EF7"/>
    <w:rsid w:val="007D5BF6"/>
    <w:rsid w:val="007D5CAA"/>
    <w:rsid w:val="007D60AD"/>
    <w:rsid w:val="007D615D"/>
    <w:rsid w:val="007D65E6"/>
    <w:rsid w:val="007D69F8"/>
    <w:rsid w:val="007D6E4E"/>
    <w:rsid w:val="007D7017"/>
    <w:rsid w:val="007D7726"/>
    <w:rsid w:val="007D7746"/>
    <w:rsid w:val="007D79E4"/>
    <w:rsid w:val="007D7A00"/>
    <w:rsid w:val="007D7A3D"/>
    <w:rsid w:val="007D7AF2"/>
    <w:rsid w:val="007D7B23"/>
    <w:rsid w:val="007E0244"/>
    <w:rsid w:val="007E108F"/>
    <w:rsid w:val="007E14D0"/>
    <w:rsid w:val="007E2A77"/>
    <w:rsid w:val="007E3157"/>
    <w:rsid w:val="007E3530"/>
    <w:rsid w:val="007E3D40"/>
    <w:rsid w:val="007E4185"/>
    <w:rsid w:val="007E491D"/>
    <w:rsid w:val="007E4FD9"/>
    <w:rsid w:val="007E5339"/>
    <w:rsid w:val="007E54FD"/>
    <w:rsid w:val="007E573E"/>
    <w:rsid w:val="007E5A6D"/>
    <w:rsid w:val="007E5CF0"/>
    <w:rsid w:val="007E5DF8"/>
    <w:rsid w:val="007E6F16"/>
    <w:rsid w:val="007E70F2"/>
    <w:rsid w:val="007E71E4"/>
    <w:rsid w:val="007E751E"/>
    <w:rsid w:val="007E7653"/>
    <w:rsid w:val="007E76EE"/>
    <w:rsid w:val="007E786C"/>
    <w:rsid w:val="007E78D7"/>
    <w:rsid w:val="007E7963"/>
    <w:rsid w:val="007E7D99"/>
    <w:rsid w:val="007F118E"/>
    <w:rsid w:val="007F24E0"/>
    <w:rsid w:val="007F276E"/>
    <w:rsid w:val="007F2789"/>
    <w:rsid w:val="007F2790"/>
    <w:rsid w:val="007F2ABE"/>
    <w:rsid w:val="007F3BB8"/>
    <w:rsid w:val="007F3CF2"/>
    <w:rsid w:val="007F44B3"/>
    <w:rsid w:val="007F4654"/>
    <w:rsid w:val="007F4F2B"/>
    <w:rsid w:val="007F5237"/>
    <w:rsid w:val="007F5542"/>
    <w:rsid w:val="007F61D8"/>
    <w:rsid w:val="007F65A1"/>
    <w:rsid w:val="007F6636"/>
    <w:rsid w:val="007F6BA9"/>
    <w:rsid w:val="007F7289"/>
    <w:rsid w:val="007F7314"/>
    <w:rsid w:val="007F7AEC"/>
    <w:rsid w:val="008003A9"/>
    <w:rsid w:val="00800D7B"/>
    <w:rsid w:val="00801063"/>
    <w:rsid w:val="008016D1"/>
    <w:rsid w:val="00801856"/>
    <w:rsid w:val="00802A9D"/>
    <w:rsid w:val="008032D5"/>
    <w:rsid w:val="0080332D"/>
    <w:rsid w:val="00803C80"/>
    <w:rsid w:val="00804247"/>
    <w:rsid w:val="00804463"/>
    <w:rsid w:val="00804EE0"/>
    <w:rsid w:val="00805FF5"/>
    <w:rsid w:val="00806779"/>
    <w:rsid w:val="00806A5B"/>
    <w:rsid w:val="00807260"/>
    <w:rsid w:val="008079A5"/>
    <w:rsid w:val="00807B63"/>
    <w:rsid w:val="008103C3"/>
    <w:rsid w:val="00810508"/>
    <w:rsid w:val="00810B7E"/>
    <w:rsid w:val="00810C31"/>
    <w:rsid w:val="00810FF4"/>
    <w:rsid w:val="00811554"/>
    <w:rsid w:val="00811CF3"/>
    <w:rsid w:val="008122E6"/>
    <w:rsid w:val="008129B7"/>
    <w:rsid w:val="00812C08"/>
    <w:rsid w:val="00812CE8"/>
    <w:rsid w:val="00812D03"/>
    <w:rsid w:val="00813746"/>
    <w:rsid w:val="008141A6"/>
    <w:rsid w:val="008145B3"/>
    <w:rsid w:val="00814CA8"/>
    <w:rsid w:val="00814EEF"/>
    <w:rsid w:val="00815196"/>
    <w:rsid w:val="0081554E"/>
    <w:rsid w:val="00815726"/>
    <w:rsid w:val="00815EB3"/>
    <w:rsid w:val="008174A2"/>
    <w:rsid w:val="00817A2E"/>
    <w:rsid w:val="00817DBC"/>
    <w:rsid w:val="00820987"/>
    <w:rsid w:val="008227C9"/>
    <w:rsid w:val="008237DA"/>
    <w:rsid w:val="00823816"/>
    <w:rsid w:val="00823B33"/>
    <w:rsid w:val="00823F2D"/>
    <w:rsid w:val="00823F93"/>
    <w:rsid w:val="008245EB"/>
    <w:rsid w:val="008245FB"/>
    <w:rsid w:val="00825244"/>
    <w:rsid w:val="008255EA"/>
    <w:rsid w:val="008268A0"/>
    <w:rsid w:val="00826D3F"/>
    <w:rsid w:val="00826E7C"/>
    <w:rsid w:val="008274A1"/>
    <w:rsid w:val="00827859"/>
    <w:rsid w:val="00827E2F"/>
    <w:rsid w:val="00830B16"/>
    <w:rsid w:val="008311A7"/>
    <w:rsid w:val="00831285"/>
    <w:rsid w:val="008319C7"/>
    <w:rsid w:val="00831B85"/>
    <w:rsid w:val="0083205E"/>
    <w:rsid w:val="0083223D"/>
    <w:rsid w:val="008325A6"/>
    <w:rsid w:val="00833267"/>
    <w:rsid w:val="008335EA"/>
    <w:rsid w:val="00833A51"/>
    <w:rsid w:val="0083445B"/>
    <w:rsid w:val="00834A70"/>
    <w:rsid w:val="00834E4B"/>
    <w:rsid w:val="00834FAF"/>
    <w:rsid w:val="00835362"/>
    <w:rsid w:val="00835411"/>
    <w:rsid w:val="008359A8"/>
    <w:rsid w:val="00835A83"/>
    <w:rsid w:val="00836588"/>
    <w:rsid w:val="00836A0F"/>
    <w:rsid w:val="00836CE8"/>
    <w:rsid w:val="008371F1"/>
    <w:rsid w:val="00837C29"/>
    <w:rsid w:val="008401A1"/>
    <w:rsid w:val="00840611"/>
    <w:rsid w:val="00840DEC"/>
    <w:rsid w:val="008410DF"/>
    <w:rsid w:val="00841672"/>
    <w:rsid w:val="00841EE9"/>
    <w:rsid w:val="00842016"/>
    <w:rsid w:val="00842215"/>
    <w:rsid w:val="00843EED"/>
    <w:rsid w:val="0084408F"/>
    <w:rsid w:val="008440D0"/>
    <w:rsid w:val="00844C9D"/>
    <w:rsid w:val="00844DD0"/>
    <w:rsid w:val="00844DF1"/>
    <w:rsid w:val="0084632C"/>
    <w:rsid w:val="00846717"/>
    <w:rsid w:val="008467E6"/>
    <w:rsid w:val="008469A1"/>
    <w:rsid w:val="00846B6B"/>
    <w:rsid w:val="00846CAB"/>
    <w:rsid w:val="00847507"/>
    <w:rsid w:val="008475D1"/>
    <w:rsid w:val="00847CEC"/>
    <w:rsid w:val="00847EC9"/>
    <w:rsid w:val="00850A56"/>
    <w:rsid w:val="00850AEA"/>
    <w:rsid w:val="00850B32"/>
    <w:rsid w:val="00850F41"/>
    <w:rsid w:val="00850FA6"/>
    <w:rsid w:val="008516C1"/>
    <w:rsid w:val="00851A08"/>
    <w:rsid w:val="00851CDE"/>
    <w:rsid w:val="00851F6F"/>
    <w:rsid w:val="008520B3"/>
    <w:rsid w:val="0085237B"/>
    <w:rsid w:val="00852510"/>
    <w:rsid w:val="0085275A"/>
    <w:rsid w:val="008531D3"/>
    <w:rsid w:val="00853740"/>
    <w:rsid w:val="008539F4"/>
    <w:rsid w:val="00853DBF"/>
    <w:rsid w:val="00853EE1"/>
    <w:rsid w:val="0085499D"/>
    <w:rsid w:val="00855203"/>
    <w:rsid w:val="00855655"/>
    <w:rsid w:val="00855F55"/>
    <w:rsid w:val="0085605F"/>
    <w:rsid w:val="00856481"/>
    <w:rsid w:val="0085659C"/>
    <w:rsid w:val="008571AC"/>
    <w:rsid w:val="008579A7"/>
    <w:rsid w:val="00857A1A"/>
    <w:rsid w:val="00857BB0"/>
    <w:rsid w:val="00860F78"/>
    <w:rsid w:val="008610DF"/>
    <w:rsid w:val="0086169C"/>
    <w:rsid w:val="00861948"/>
    <w:rsid w:val="00862612"/>
    <w:rsid w:val="00862622"/>
    <w:rsid w:val="008626AE"/>
    <w:rsid w:val="008631DF"/>
    <w:rsid w:val="00864627"/>
    <w:rsid w:val="00865898"/>
    <w:rsid w:val="00866163"/>
    <w:rsid w:val="00866540"/>
    <w:rsid w:val="0086699E"/>
    <w:rsid w:val="00866C68"/>
    <w:rsid w:val="00866EF0"/>
    <w:rsid w:val="008670A2"/>
    <w:rsid w:val="0086793A"/>
    <w:rsid w:val="008679E3"/>
    <w:rsid w:val="00867DD2"/>
    <w:rsid w:val="008702E2"/>
    <w:rsid w:val="008703AE"/>
    <w:rsid w:val="00870927"/>
    <w:rsid w:val="00870E3F"/>
    <w:rsid w:val="00871E08"/>
    <w:rsid w:val="0087229D"/>
    <w:rsid w:val="0087229F"/>
    <w:rsid w:val="00872E4A"/>
    <w:rsid w:val="00872E9C"/>
    <w:rsid w:val="0087320C"/>
    <w:rsid w:val="008740C7"/>
    <w:rsid w:val="00875837"/>
    <w:rsid w:val="00875975"/>
    <w:rsid w:val="008759A1"/>
    <w:rsid w:val="00876009"/>
    <w:rsid w:val="0087694E"/>
    <w:rsid w:val="00876ACB"/>
    <w:rsid w:val="00876E37"/>
    <w:rsid w:val="00877109"/>
    <w:rsid w:val="00877172"/>
    <w:rsid w:val="008771A0"/>
    <w:rsid w:val="00880ADA"/>
    <w:rsid w:val="00880C8E"/>
    <w:rsid w:val="00880F84"/>
    <w:rsid w:val="00880FF0"/>
    <w:rsid w:val="0088121E"/>
    <w:rsid w:val="008814AB"/>
    <w:rsid w:val="0088188D"/>
    <w:rsid w:val="008822EF"/>
    <w:rsid w:val="0088293B"/>
    <w:rsid w:val="00883107"/>
    <w:rsid w:val="00883666"/>
    <w:rsid w:val="008839A7"/>
    <w:rsid w:val="00883EAF"/>
    <w:rsid w:val="00883EE6"/>
    <w:rsid w:val="00884853"/>
    <w:rsid w:val="00885EFF"/>
    <w:rsid w:val="008860F2"/>
    <w:rsid w:val="0088697D"/>
    <w:rsid w:val="0088704F"/>
    <w:rsid w:val="0088722B"/>
    <w:rsid w:val="008877AD"/>
    <w:rsid w:val="00887A64"/>
    <w:rsid w:val="00887EA8"/>
    <w:rsid w:val="0089088A"/>
    <w:rsid w:val="00890DCE"/>
    <w:rsid w:val="00890DDC"/>
    <w:rsid w:val="00890F93"/>
    <w:rsid w:val="0089115A"/>
    <w:rsid w:val="00891B4B"/>
    <w:rsid w:val="00891F15"/>
    <w:rsid w:val="00891F64"/>
    <w:rsid w:val="008927E6"/>
    <w:rsid w:val="008928E1"/>
    <w:rsid w:val="008933F7"/>
    <w:rsid w:val="008933F8"/>
    <w:rsid w:val="00893717"/>
    <w:rsid w:val="0089378A"/>
    <w:rsid w:val="00894799"/>
    <w:rsid w:val="00894808"/>
    <w:rsid w:val="00894D30"/>
    <w:rsid w:val="00895115"/>
    <w:rsid w:val="00895614"/>
    <w:rsid w:val="008958DD"/>
    <w:rsid w:val="00895B74"/>
    <w:rsid w:val="008964CD"/>
    <w:rsid w:val="00896EEE"/>
    <w:rsid w:val="008A1300"/>
    <w:rsid w:val="008A1C60"/>
    <w:rsid w:val="008A1CBD"/>
    <w:rsid w:val="008A2371"/>
    <w:rsid w:val="008A2636"/>
    <w:rsid w:val="008A2E52"/>
    <w:rsid w:val="008A3122"/>
    <w:rsid w:val="008A36A4"/>
    <w:rsid w:val="008A3781"/>
    <w:rsid w:val="008A391B"/>
    <w:rsid w:val="008A489C"/>
    <w:rsid w:val="008A48B1"/>
    <w:rsid w:val="008A4BC7"/>
    <w:rsid w:val="008A557E"/>
    <w:rsid w:val="008A59B4"/>
    <w:rsid w:val="008A6074"/>
    <w:rsid w:val="008A6129"/>
    <w:rsid w:val="008A6168"/>
    <w:rsid w:val="008A7321"/>
    <w:rsid w:val="008B011F"/>
    <w:rsid w:val="008B0326"/>
    <w:rsid w:val="008B0929"/>
    <w:rsid w:val="008B12D5"/>
    <w:rsid w:val="008B155A"/>
    <w:rsid w:val="008B161D"/>
    <w:rsid w:val="008B3111"/>
    <w:rsid w:val="008B39EA"/>
    <w:rsid w:val="008B4735"/>
    <w:rsid w:val="008B554E"/>
    <w:rsid w:val="008B593C"/>
    <w:rsid w:val="008B59D1"/>
    <w:rsid w:val="008B5EF6"/>
    <w:rsid w:val="008B6050"/>
    <w:rsid w:val="008B60CC"/>
    <w:rsid w:val="008B629A"/>
    <w:rsid w:val="008B64EB"/>
    <w:rsid w:val="008B6515"/>
    <w:rsid w:val="008B6DA9"/>
    <w:rsid w:val="008B73BB"/>
    <w:rsid w:val="008B77AF"/>
    <w:rsid w:val="008C078D"/>
    <w:rsid w:val="008C1755"/>
    <w:rsid w:val="008C30CF"/>
    <w:rsid w:val="008C32FB"/>
    <w:rsid w:val="008C34DE"/>
    <w:rsid w:val="008C3C9D"/>
    <w:rsid w:val="008C3EB6"/>
    <w:rsid w:val="008C4003"/>
    <w:rsid w:val="008C42C8"/>
    <w:rsid w:val="008C499B"/>
    <w:rsid w:val="008C5017"/>
    <w:rsid w:val="008C534B"/>
    <w:rsid w:val="008C53BE"/>
    <w:rsid w:val="008C5D15"/>
    <w:rsid w:val="008C63F3"/>
    <w:rsid w:val="008C6BB1"/>
    <w:rsid w:val="008C6E84"/>
    <w:rsid w:val="008C712E"/>
    <w:rsid w:val="008C7B81"/>
    <w:rsid w:val="008C7C3B"/>
    <w:rsid w:val="008C7F84"/>
    <w:rsid w:val="008C7F9D"/>
    <w:rsid w:val="008C7FC7"/>
    <w:rsid w:val="008D008A"/>
    <w:rsid w:val="008D0D11"/>
    <w:rsid w:val="008D1960"/>
    <w:rsid w:val="008D22AE"/>
    <w:rsid w:val="008D281B"/>
    <w:rsid w:val="008D3D7C"/>
    <w:rsid w:val="008D3E84"/>
    <w:rsid w:val="008D4733"/>
    <w:rsid w:val="008D4C91"/>
    <w:rsid w:val="008D4D81"/>
    <w:rsid w:val="008D5367"/>
    <w:rsid w:val="008D5ABC"/>
    <w:rsid w:val="008D68B9"/>
    <w:rsid w:val="008D6B2F"/>
    <w:rsid w:val="008D7B23"/>
    <w:rsid w:val="008D7E9A"/>
    <w:rsid w:val="008E04D9"/>
    <w:rsid w:val="008E0B7E"/>
    <w:rsid w:val="008E1922"/>
    <w:rsid w:val="008E1D9C"/>
    <w:rsid w:val="008E236B"/>
    <w:rsid w:val="008E24F3"/>
    <w:rsid w:val="008E2DE9"/>
    <w:rsid w:val="008E2EAC"/>
    <w:rsid w:val="008E31C9"/>
    <w:rsid w:val="008E31ED"/>
    <w:rsid w:val="008E3203"/>
    <w:rsid w:val="008E3277"/>
    <w:rsid w:val="008E392A"/>
    <w:rsid w:val="008E4130"/>
    <w:rsid w:val="008E4149"/>
    <w:rsid w:val="008E4899"/>
    <w:rsid w:val="008E4A2D"/>
    <w:rsid w:val="008E4A7D"/>
    <w:rsid w:val="008E4A96"/>
    <w:rsid w:val="008E4F45"/>
    <w:rsid w:val="008E578D"/>
    <w:rsid w:val="008E62E7"/>
    <w:rsid w:val="008E63C0"/>
    <w:rsid w:val="008E66DC"/>
    <w:rsid w:val="008E69F8"/>
    <w:rsid w:val="008E6F88"/>
    <w:rsid w:val="008E70E5"/>
    <w:rsid w:val="008E726F"/>
    <w:rsid w:val="008E751E"/>
    <w:rsid w:val="008E76D5"/>
    <w:rsid w:val="008E78B8"/>
    <w:rsid w:val="008F0162"/>
    <w:rsid w:val="008F021D"/>
    <w:rsid w:val="008F0268"/>
    <w:rsid w:val="008F0AE6"/>
    <w:rsid w:val="008F0EF3"/>
    <w:rsid w:val="008F19AB"/>
    <w:rsid w:val="008F20BE"/>
    <w:rsid w:val="008F2576"/>
    <w:rsid w:val="008F28E3"/>
    <w:rsid w:val="008F295A"/>
    <w:rsid w:val="008F346D"/>
    <w:rsid w:val="008F49BC"/>
    <w:rsid w:val="008F4A8B"/>
    <w:rsid w:val="008F543B"/>
    <w:rsid w:val="008F6563"/>
    <w:rsid w:val="008F7181"/>
    <w:rsid w:val="008F77AF"/>
    <w:rsid w:val="008F7809"/>
    <w:rsid w:val="0090013D"/>
    <w:rsid w:val="009002FF"/>
    <w:rsid w:val="00900DDE"/>
    <w:rsid w:val="00900FA5"/>
    <w:rsid w:val="0090106A"/>
    <w:rsid w:val="00901398"/>
    <w:rsid w:val="009013C4"/>
    <w:rsid w:val="00902115"/>
    <w:rsid w:val="00902435"/>
    <w:rsid w:val="00902556"/>
    <w:rsid w:val="00902573"/>
    <w:rsid w:val="00902959"/>
    <w:rsid w:val="00902FFA"/>
    <w:rsid w:val="00903542"/>
    <w:rsid w:val="0090355A"/>
    <w:rsid w:val="009037E6"/>
    <w:rsid w:val="00903B18"/>
    <w:rsid w:val="009047CF"/>
    <w:rsid w:val="00904D1B"/>
    <w:rsid w:val="00904DA7"/>
    <w:rsid w:val="00904E5F"/>
    <w:rsid w:val="00904E8E"/>
    <w:rsid w:val="00905186"/>
    <w:rsid w:val="00905A77"/>
    <w:rsid w:val="00905AEF"/>
    <w:rsid w:val="00905FC6"/>
    <w:rsid w:val="0090652F"/>
    <w:rsid w:val="009072C6"/>
    <w:rsid w:val="009079AA"/>
    <w:rsid w:val="0091103D"/>
    <w:rsid w:val="00912941"/>
    <w:rsid w:val="00913860"/>
    <w:rsid w:val="00913E09"/>
    <w:rsid w:val="009142C1"/>
    <w:rsid w:val="00914B0D"/>
    <w:rsid w:val="00914CD2"/>
    <w:rsid w:val="0091557E"/>
    <w:rsid w:val="0091570E"/>
    <w:rsid w:val="00916345"/>
    <w:rsid w:val="009165D3"/>
    <w:rsid w:val="00916637"/>
    <w:rsid w:val="00916C1B"/>
    <w:rsid w:val="0091784C"/>
    <w:rsid w:val="00917970"/>
    <w:rsid w:val="00917AD9"/>
    <w:rsid w:val="00917D0E"/>
    <w:rsid w:val="00917E32"/>
    <w:rsid w:val="009207F7"/>
    <w:rsid w:val="00921A6D"/>
    <w:rsid w:val="009221FD"/>
    <w:rsid w:val="009230E2"/>
    <w:rsid w:val="009242A2"/>
    <w:rsid w:val="009243E6"/>
    <w:rsid w:val="009245D5"/>
    <w:rsid w:val="0092514B"/>
    <w:rsid w:val="00925852"/>
    <w:rsid w:val="00925A52"/>
    <w:rsid w:val="00925C45"/>
    <w:rsid w:val="009264F2"/>
    <w:rsid w:val="00926625"/>
    <w:rsid w:val="009268B3"/>
    <w:rsid w:val="009273F9"/>
    <w:rsid w:val="00927B98"/>
    <w:rsid w:val="00927EC9"/>
    <w:rsid w:val="00930313"/>
    <w:rsid w:val="00930DEE"/>
    <w:rsid w:val="00930F0A"/>
    <w:rsid w:val="0093112D"/>
    <w:rsid w:val="00931C41"/>
    <w:rsid w:val="00933310"/>
    <w:rsid w:val="00933559"/>
    <w:rsid w:val="00933846"/>
    <w:rsid w:val="00933BC2"/>
    <w:rsid w:val="00933BF3"/>
    <w:rsid w:val="00933D6A"/>
    <w:rsid w:val="009343D4"/>
    <w:rsid w:val="00934E23"/>
    <w:rsid w:val="00936AC7"/>
    <w:rsid w:val="00936F31"/>
    <w:rsid w:val="009371EB"/>
    <w:rsid w:val="00937F39"/>
    <w:rsid w:val="0094001C"/>
    <w:rsid w:val="009400E8"/>
    <w:rsid w:val="009403F6"/>
    <w:rsid w:val="00940875"/>
    <w:rsid w:val="00940CFC"/>
    <w:rsid w:val="00941D7E"/>
    <w:rsid w:val="00941DBC"/>
    <w:rsid w:val="0094203A"/>
    <w:rsid w:val="00942960"/>
    <w:rsid w:val="0094298E"/>
    <w:rsid w:val="00942DEB"/>
    <w:rsid w:val="00942F19"/>
    <w:rsid w:val="00943105"/>
    <w:rsid w:val="009433FE"/>
    <w:rsid w:val="00943ADA"/>
    <w:rsid w:val="00943F35"/>
    <w:rsid w:val="00945892"/>
    <w:rsid w:val="00945C8F"/>
    <w:rsid w:val="0094660B"/>
    <w:rsid w:val="00946961"/>
    <w:rsid w:val="00946DE5"/>
    <w:rsid w:val="00947618"/>
    <w:rsid w:val="00947A5F"/>
    <w:rsid w:val="00947B2A"/>
    <w:rsid w:val="00950784"/>
    <w:rsid w:val="00950E9E"/>
    <w:rsid w:val="009513A2"/>
    <w:rsid w:val="009514A2"/>
    <w:rsid w:val="0095182A"/>
    <w:rsid w:val="00951A7B"/>
    <w:rsid w:val="00951C54"/>
    <w:rsid w:val="009521C7"/>
    <w:rsid w:val="0095311F"/>
    <w:rsid w:val="009534B8"/>
    <w:rsid w:val="0095368C"/>
    <w:rsid w:val="00953DFA"/>
    <w:rsid w:val="009543C4"/>
    <w:rsid w:val="009548CC"/>
    <w:rsid w:val="00954976"/>
    <w:rsid w:val="00955025"/>
    <w:rsid w:val="0095558C"/>
    <w:rsid w:val="00955764"/>
    <w:rsid w:val="0095589F"/>
    <w:rsid w:val="00956DB0"/>
    <w:rsid w:val="0095707E"/>
    <w:rsid w:val="00957B9F"/>
    <w:rsid w:val="00957DA0"/>
    <w:rsid w:val="00957EE0"/>
    <w:rsid w:val="00960185"/>
    <w:rsid w:val="009603F9"/>
    <w:rsid w:val="0096093A"/>
    <w:rsid w:val="00960C52"/>
    <w:rsid w:val="009611D0"/>
    <w:rsid w:val="009611DC"/>
    <w:rsid w:val="009616F8"/>
    <w:rsid w:val="00961CC5"/>
    <w:rsid w:val="00962D04"/>
    <w:rsid w:val="00962D6A"/>
    <w:rsid w:val="00962DA4"/>
    <w:rsid w:val="00963232"/>
    <w:rsid w:val="00963810"/>
    <w:rsid w:val="00964557"/>
    <w:rsid w:val="00964625"/>
    <w:rsid w:val="00964642"/>
    <w:rsid w:val="00964CA6"/>
    <w:rsid w:val="00964D9F"/>
    <w:rsid w:val="00965060"/>
    <w:rsid w:val="00965265"/>
    <w:rsid w:val="0096570D"/>
    <w:rsid w:val="00966376"/>
    <w:rsid w:val="009676C6"/>
    <w:rsid w:val="00967D2A"/>
    <w:rsid w:val="009700C1"/>
    <w:rsid w:val="009701F9"/>
    <w:rsid w:val="0097043F"/>
    <w:rsid w:val="0097083A"/>
    <w:rsid w:val="00970C7E"/>
    <w:rsid w:val="00970EB5"/>
    <w:rsid w:val="0097128D"/>
    <w:rsid w:val="00971862"/>
    <w:rsid w:val="009719CE"/>
    <w:rsid w:val="009727F4"/>
    <w:rsid w:val="0097298D"/>
    <w:rsid w:val="00972A5D"/>
    <w:rsid w:val="00973767"/>
    <w:rsid w:val="009739BE"/>
    <w:rsid w:val="00973A12"/>
    <w:rsid w:val="00973C16"/>
    <w:rsid w:val="009740F1"/>
    <w:rsid w:val="00974955"/>
    <w:rsid w:val="009749A9"/>
    <w:rsid w:val="00974CA7"/>
    <w:rsid w:val="00974ECD"/>
    <w:rsid w:val="009752A9"/>
    <w:rsid w:val="009754CE"/>
    <w:rsid w:val="00975573"/>
    <w:rsid w:val="00975997"/>
    <w:rsid w:val="0097637E"/>
    <w:rsid w:val="00981334"/>
    <w:rsid w:val="00981641"/>
    <w:rsid w:val="0098167D"/>
    <w:rsid w:val="00981B3A"/>
    <w:rsid w:val="00981E8A"/>
    <w:rsid w:val="009828A3"/>
    <w:rsid w:val="00982A1D"/>
    <w:rsid w:val="00982BF1"/>
    <w:rsid w:val="00982EA0"/>
    <w:rsid w:val="00983294"/>
    <w:rsid w:val="009838EB"/>
    <w:rsid w:val="00983CA7"/>
    <w:rsid w:val="00983E46"/>
    <w:rsid w:val="0098400D"/>
    <w:rsid w:val="0098409F"/>
    <w:rsid w:val="00984862"/>
    <w:rsid w:val="00984A7C"/>
    <w:rsid w:val="00984FFC"/>
    <w:rsid w:val="00985368"/>
    <w:rsid w:val="0098598C"/>
    <w:rsid w:val="00985F84"/>
    <w:rsid w:val="009860B6"/>
    <w:rsid w:val="00986254"/>
    <w:rsid w:val="009864B2"/>
    <w:rsid w:val="00986D2F"/>
    <w:rsid w:val="009870CE"/>
    <w:rsid w:val="00990018"/>
    <w:rsid w:val="00990C07"/>
    <w:rsid w:val="00990ED6"/>
    <w:rsid w:val="00991B29"/>
    <w:rsid w:val="00991B2E"/>
    <w:rsid w:val="009934FD"/>
    <w:rsid w:val="0099377B"/>
    <w:rsid w:val="00993D29"/>
    <w:rsid w:val="00994470"/>
    <w:rsid w:val="00994E3C"/>
    <w:rsid w:val="00995987"/>
    <w:rsid w:val="009963AC"/>
    <w:rsid w:val="00996B48"/>
    <w:rsid w:val="00996BB8"/>
    <w:rsid w:val="00997D7B"/>
    <w:rsid w:val="00997DCD"/>
    <w:rsid w:val="009A0408"/>
    <w:rsid w:val="009A0EA8"/>
    <w:rsid w:val="009A10B3"/>
    <w:rsid w:val="009A13C1"/>
    <w:rsid w:val="009A1BB9"/>
    <w:rsid w:val="009A1EFC"/>
    <w:rsid w:val="009A215E"/>
    <w:rsid w:val="009A2A0D"/>
    <w:rsid w:val="009A2D7F"/>
    <w:rsid w:val="009A2F90"/>
    <w:rsid w:val="009A3462"/>
    <w:rsid w:val="009A3B9F"/>
    <w:rsid w:val="009A3C4A"/>
    <w:rsid w:val="009A41AD"/>
    <w:rsid w:val="009A494A"/>
    <w:rsid w:val="009A525F"/>
    <w:rsid w:val="009A5343"/>
    <w:rsid w:val="009A573D"/>
    <w:rsid w:val="009A57D0"/>
    <w:rsid w:val="009A6FDB"/>
    <w:rsid w:val="009A73A4"/>
    <w:rsid w:val="009A74E5"/>
    <w:rsid w:val="009A7CD0"/>
    <w:rsid w:val="009B0582"/>
    <w:rsid w:val="009B05CC"/>
    <w:rsid w:val="009B0781"/>
    <w:rsid w:val="009B08E2"/>
    <w:rsid w:val="009B0B03"/>
    <w:rsid w:val="009B0DEB"/>
    <w:rsid w:val="009B1E05"/>
    <w:rsid w:val="009B1EE9"/>
    <w:rsid w:val="009B2604"/>
    <w:rsid w:val="009B2B6E"/>
    <w:rsid w:val="009B2BA1"/>
    <w:rsid w:val="009B378A"/>
    <w:rsid w:val="009B3981"/>
    <w:rsid w:val="009B410E"/>
    <w:rsid w:val="009B4308"/>
    <w:rsid w:val="009B4387"/>
    <w:rsid w:val="009B4515"/>
    <w:rsid w:val="009B4795"/>
    <w:rsid w:val="009B49C0"/>
    <w:rsid w:val="009B4BC0"/>
    <w:rsid w:val="009B595D"/>
    <w:rsid w:val="009B5DE7"/>
    <w:rsid w:val="009B645F"/>
    <w:rsid w:val="009B6903"/>
    <w:rsid w:val="009B6B1E"/>
    <w:rsid w:val="009C03A4"/>
    <w:rsid w:val="009C0E14"/>
    <w:rsid w:val="009C1296"/>
    <w:rsid w:val="009C1744"/>
    <w:rsid w:val="009C1998"/>
    <w:rsid w:val="009C1AD4"/>
    <w:rsid w:val="009C1ADC"/>
    <w:rsid w:val="009C1FC5"/>
    <w:rsid w:val="009C226D"/>
    <w:rsid w:val="009C264F"/>
    <w:rsid w:val="009C3219"/>
    <w:rsid w:val="009C432C"/>
    <w:rsid w:val="009C45B1"/>
    <w:rsid w:val="009C4AA1"/>
    <w:rsid w:val="009C4B92"/>
    <w:rsid w:val="009C4B98"/>
    <w:rsid w:val="009C4CB1"/>
    <w:rsid w:val="009C4CE4"/>
    <w:rsid w:val="009C4FFE"/>
    <w:rsid w:val="009C5069"/>
    <w:rsid w:val="009C5755"/>
    <w:rsid w:val="009C6594"/>
    <w:rsid w:val="009C72CF"/>
    <w:rsid w:val="009D0035"/>
    <w:rsid w:val="009D04B1"/>
    <w:rsid w:val="009D0C67"/>
    <w:rsid w:val="009D0EAC"/>
    <w:rsid w:val="009D14B1"/>
    <w:rsid w:val="009D2121"/>
    <w:rsid w:val="009D2267"/>
    <w:rsid w:val="009D234D"/>
    <w:rsid w:val="009D27C7"/>
    <w:rsid w:val="009D2CB6"/>
    <w:rsid w:val="009D4026"/>
    <w:rsid w:val="009D421E"/>
    <w:rsid w:val="009D43EA"/>
    <w:rsid w:val="009D4613"/>
    <w:rsid w:val="009D48EA"/>
    <w:rsid w:val="009D52B6"/>
    <w:rsid w:val="009D52D2"/>
    <w:rsid w:val="009D571D"/>
    <w:rsid w:val="009D5B60"/>
    <w:rsid w:val="009D631E"/>
    <w:rsid w:val="009D6996"/>
    <w:rsid w:val="009D6B64"/>
    <w:rsid w:val="009D70DE"/>
    <w:rsid w:val="009D7F7E"/>
    <w:rsid w:val="009E03F5"/>
    <w:rsid w:val="009E0765"/>
    <w:rsid w:val="009E12F6"/>
    <w:rsid w:val="009E1F2E"/>
    <w:rsid w:val="009E219E"/>
    <w:rsid w:val="009E23C5"/>
    <w:rsid w:val="009E254E"/>
    <w:rsid w:val="009E283D"/>
    <w:rsid w:val="009E312B"/>
    <w:rsid w:val="009E3593"/>
    <w:rsid w:val="009E3806"/>
    <w:rsid w:val="009E38F8"/>
    <w:rsid w:val="009E4347"/>
    <w:rsid w:val="009E461A"/>
    <w:rsid w:val="009E46AE"/>
    <w:rsid w:val="009E4DFD"/>
    <w:rsid w:val="009E57D9"/>
    <w:rsid w:val="009E57E3"/>
    <w:rsid w:val="009E5B16"/>
    <w:rsid w:val="009E5C90"/>
    <w:rsid w:val="009E5E9C"/>
    <w:rsid w:val="009E5F5D"/>
    <w:rsid w:val="009E6453"/>
    <w:rsid w:val="009E69A4"/>
    <w:rsid w:val="009E719A"/>
    <w:rsid w:val="009E7461"/>
    <w:rsid w:val="009E7E0A"/>
    <w:rsid w:val="009F054F"/>
    <w:rsid w:val="009F09CE"/>
    <w:rsid w:val="009F10FB"/>
    <w:rsid w:val="009F1202"/>
    <w:rsid w:val="009F1310"/>
    <w:rsid w:val="009F15E8"/>
    <w:rsid w:val="009F1AF0"/>
    <w:rsid w:val="009F259B"/>
    <w:rsid w:val="009F25AA"/>
    <w:rsid w:val="009F25BC"/>
    <w:rsid w:val="009F262C"/>
    <w:rsid w:val="009F2EF8"/>
    <w:rsid w:val="009F2FCE"/>
    <w:rsid w:val="009F31EE"/>
    <w:rsid w:val="009F3205"/>
    <w:rsid w:val="009F3705"/>
    <w:rsid w:val="009F51A8"/>
    <w:rsid w:val="009F5B81"/>
    <w:rsid w:val="009F6A69"/>
    <w:rsid w:val="009F6A84"/>
    <w:rsid w:val="009F6FBC"/>
    <w:rsid w:val="009F702F"/>
    <w:rsid w:val="009F77BE"/>
    <w:rsid w:val="00A008CF"/>
    <w:rsid w:val="00A0125D"/>
    <w:rsid w:val="00A01B0E"/>
    <w:rsid w:val="00A0272D"/>
    <w:rsid w:val="00A02D48"/>
    <w:rsid w:val="00A02F47"/>
    <w:rsid w:val="00A03186"/>
    <w:rsid w:val="00A03229"/>
    <w:rsid w:val="00A04058"/>
    <w:rsid w:val="00A041AF"/>
    <w:rsid w:val="00A0461D"/>
    <w:rsid w:val="00A0476E"/>
    <w:rsid w:val="00A04EA2"/>
    <w:rsid w:val="00A0500E"/>
    <w:rsid w:val="00A051ED"/>
    <w:rsid w:val="00A05402"/>
    <w:rsid w:val="00A0557C"/>
    <w:rsid w:val="00A0587D"/>
    <w:rsid w:val="00A05BBB"/>
    <w:rsid w:val="00A05E85"/>
    <w:rsid w:val="00A05EC5"/>
    <w:rsid w:val="00A06029"/>
    <w:rsid w:val="00A0603F"/>
    <w:rsid w:val="00A06761"/>
    <w:rsid w:val="00A067B7"/>
    <w:rsid w:val="00A06937"/>
    <w:rsid w:val="00A06B3A"/>
    <w:rsid w:val="00A06B8A"/>
    <w:rsid w:val="00A07062"/>
    <w:rsid w:val="00A07200"/>
    <w:rsid w:val="00A074FB"/>
    <w:rsid w:val="00A07633"/>
    <w:rsid w:val="00A0787F"/>
    <w:rsid w:val="00A07FCB"/>
    <w:rsid w:val="00A10A34"/>
    <w:rsid w:val="00A10CA4"/>
    <w:rsid w:val="00A11586"/>
    <w:rsid w:val="00A11917"/>
    <w:rsid w:val="00A11B6C"/>
    <w:rsid w:val="00A11BF6"/>
    <w:rsid w:val="00A11E49"/>
    <w:rsid w:val="00A120B3"/>
    <w:rsid w:val="00A1278D"/>
    <w:rsid w:val="00A12827"/>
    <w:rsid w:val="00A12C43"/>
    <w:rsid w:val="00A12C96"/>
    <w:rsid w:val="00A135F9"/>
    <w:rsid w:val="00A13C4A"/>
    <w:rsid w:val="00A14951"/>
    <w:rsid w:val="00A14C4D"/>
    <w:rsid w:val="00A14E10"/>
    <w:rsid w:val="00A15478"/>
    <w:rsid w:val="00A15942"/>
    <w:rsid w:val="00A15CC5"/>
    <w:rsid w:val="00A15DF3"/>
    <w:rsid w:val="00A166D2"/>
    <w:rsid w:val="00A17766"/>
    <w:rsid w:val="00A177C2"/>
    <w:rsid w:val="00A20762"/>
    <w:rsid w:val="00A2082C"/>
    <w:rsid w:val="00A20C0E"/>
    <w:rsid w:val="00A20EF9"/>
    <w:rsid w:val="00A20F1D"/>
    <w:rsid w:val="00A21CF3"/>
    <w:rsid w:val="00A22111"/>
    <w:rsid w:val="00A22174"/>
    <w:rsid w:val="00A22C28"/>
    <w:rsid w:val="00A22C59"/>
    <w:rsid w:val="00A23018"/>
    <w:rsid w:val="00A23F57"/>
    <w:rsid w:val="00A24AF2"/>
    <w:rsid w:val="00A25B11"/>
    <w:rsid w:val="00A2737C"/>
    <w:rsid w:val="00A273DE"/>
    <w:rsid w:val="00A27D02"/>
    <w:rsid w:val="00A27DFD"/>
    <w:rsid w:val="00A30AFB"/>
    <w:rsid w:val="00A31474"/>
    <w:rsid w:val="00A3161E"/>
    <w:rsid w:val="00A3209D"/>
    <w:rsid w:val="00A3272C"/>
    <w:rsid w:val="00A33402"/>
    <w:rsid w:val="00A33C5C"/>
    <w:rsid w:val="00A340F4"/>
    <w:rsid w:val="00A34172"/>
    <w:rsid w:val="00A34459"/>
    <w:rsid w:val="00A34593"/>
    <w:rsid w:val="00A351D2"/>
    <w:rsid w:val="00A355D7"/>
    <w:rsid w:val="00A365B6"/>
    <w:rsid w:val="00A3678D"/>
    <w:rsid w:val="00A3730D"/>
    <w:rsid w:val="00A37FC1"/>
    <w:rsid w:val="00A40599"/>
    <w:rsid w:val="00A41362"/>
    <w:rsid w:val="00A4179C"/>
    <w:rsid w:val="00A418EC"/>
    <w:rsid w:val="00A41D9C"/>
    <w:rsid w:val="00A41DDE"/>
    <w:rsid w:val="00A41F89"/>
    <w:rsid w:val="00A42834"/>
    <w:rsid w:val="00A43187"/>
    <w:rsid w:val="00A434DA"/>
    <w:rsid w:val="00A44553"/>
    <w:rsid w:val="00A44612"/>
    <w:rsid w:val="00A449E3"/>
    <w:rsid w:val="00A449E6"/>
    <w:rsid w:val="00A45402"/>
    <w:rsid w:val="00A45961"/>
    <w:rsid w:val="00A465AB"/>
    <w:rsid w:val="00A46CDF"/>
    <w:rsid w:val="00A5020D"/>
    <w:rsid w:val="00A50BC1"/>
    <w:rsid w:val="00A50EE7"/>
    <w:rsid w:val="00A515D7"/>
    <w:rsid w:val="00A52FA6"/>
    <w:rsid w:val="00A53B56"/>
    <w:rsid w:val="00A53D75"/>
    <w:rsid w:val="00A54BAC"/>
    <w:rsid w:val="00A54F03"/>
    <w:rsid w:val="00A55640"/>
    <w:rsid w:val="00A558B0"/>
    <w:rsid w:val="00A55F03"/>
    <w:rsid w:val="00A55FCF"/>
    <w:rsid w:val="00A56086"/>
    <w:rsid w:val="00A56882"/>
    <w:rsid w:val="00A56D5C"/>
    <w:rsid w:val="00A56F48"/>
    <w:rsid w:val="00A5755C"/>
    <w:rsid w:val="00A57837"/>
    <w:rsid w:val="00A600D9"/>
    <w:rsid w:val="00A60AC0"/>
    <w:rsid w:val="00A61766"/>
    <w:rsid w:val="00A618A0"/>
    <w:rsid w:val="00A619AA"/>
    <w:rsid w:val="00A62366"/>
    <w:rsid w:val="00A62976"/>
    <w:rsid w:val="00A632E0"/>
    <w:rsid w:val="00A63675"/>
    <w:rsid w:val="00A63FCD"/>
    <w:rsid w:val="00A643FE"/>
    <w:rsid w:val="00A6478B"/>
    <w:rsid w:val="00A654BC"/>
    <w:rsid w:val="00A65C8B"/>
    <w:rsid w:val="00A65F10"/>
    <w:rsid w:val="00A65F22"/>
    <w:rsid w:val="00A66544"/>
    <w:rsid w:val="00A66AD2"/>
    <w:rsid w:val="00A66D08"/>
    <w:rsid w:val="00A67370"/>
    <w:rsid w:val="00A67391"/>
    <w:rsid w:val="00A67B8B"/>
    <w:rsid w:val="00A7052C"/>
    <w:rsid w:val="00A71B84"/>
    <w:rsid w:val="00A72563"/>
    <w:rsid w:val="00A72E4F"/>
    <w:rsid w:val="00A72F71"/>
    <w:rsid w:val="00A7309E"/>
    <w:rsid w:val="00A7338D"/>
    <w:rsid w:val="00A7347F"/>
    <w:rsid w:val="00A73C18"/>
    <w:rsid w:val="00A73C24"/>
    <w:rsid w:val="00A73D83"/>
    <w:rsid w:val="00A73DEC"/>
    <w:rsid w:val="00A74311"/>
    <w:rsid w:val="00A744EE"/>
    <w:rsid w:val="00A74C48"/>
    <w:rsid w:val="00A74DCC"/>
    <w:rsid w:val="00A753FE"/>
    <w:rsid w:val="00A75D70"/>
    <w:rsid w:val="00A760BA"/>
    <w:rsid w:val="00A761FC"/>
    <w:rsid w:val="00A7676D"/>
    <w:rsid w:val="00A77B62"/>
    <w:rsid w:val="00A803C9"/>
    <w:rsid w:val="00A80AB6"/>
    <w:rsid w:val="00A8128B"/>
    <w:rsid w:val="00A823CF"/>
    <w:rsid w:val="00A826AA"/>
    <w:rsid w:val="00A82FF0"/>
    <w:rsid w:val="00A835C6"/>
    <w:rsid w:val="00A83622"/>
    <w:rsid w:val="00A83FE4"/>
    <w:rsid w:val="00A84021"/>
    <w:rsid w:val="00A844FE"/>
    <w:rsid w:val="00A8523E"/>
    <w:rsid w:val="00A85343"/>
    <w:rsid w:val="00A85840"/>
    <w:rsid w:val="00A85F67"/>
    <w:rsid w:val="00A85FBC"/>
    <w:rsid w:val="00A860BD"/>
    <w:rsid w:val="00A86318"/>
    <w:rsid w:val="00A86A93"/>
    <w:rsid w:val="00A87286"/>
    <w:rsid w:val="00A87604"/>
    <w:rsid w:val="00A87679"/>
    <w:rsid w:val="00A9025D"/>
    <w:rsid w:val="00A903B5"/>
    <w:rsid w:val="00A907EC"/>
    <w:rsid w:val="00A914CF"/>
    <w:rsid w:val="00A91C91"/>
    <w:rsid w:val="00A920D7"/>
    <w:rsid w:val="00A9224B"/>
    <w:rsid w:val="00A929DE"/>
    <w:rsid w:val="00A92A06"/>
    <w:rsid w:val="00A92B85"/>
    <w:rsid w:val="00A931D3"/>
    <w:rsid w:val="00A936AB"/>
    <w:rsid w:val="00A936DF"/>
    <w:rsid w:val="00A93851"/>
    <w:rsid w:val="00A93CA2"/>
    <w:rsid w:val="00A93CE7"/>
    <w:rsid w:val="00A9412F"/>
    <w:rsid w:val="00A9453B"/>
    <w:rsid w:val="00A946F0"/>
    <w:rsid w:val="00A94D79"/>
    <w:rsid w:val="00A94EF1"/>
    <w:rsid w:val="00A955F3"/>
    <w:rsid w:val="00A96728"/>
    <w:rsid w:val="00A978DE"/>
    <w:rsid w:val="00A9794C"/>
    <w:rsid w:val="00A97D33"/>
    <w:rsid w:val="00AA0759"/>
    <w:rsid w:val="00AA0B99"/>
    <w:rsid w:val="00AA19E0"/>
    <w:rsid w:val="00AA1CA6"/>
    <w:rsid w:val="00AA1E84"/>
    <w:rsid w:val="00AA1F76"/>
    <w:rsid w:val="00AA1FB1"/>
    <w:rsid w:val="00AA2354"/>
    <w:rsid w:val="00AA3DE7"/>
    <w:rsid w:val="00AA42A2"/>
    <w:rsid w:val="00AA430D"/>
    <w:rsid w:val="00AA4DA5"/>
    <w:rsid w:val="00AA5660"/>
    <w:rsid w:val="00AA5880"/>
    <w:rsid w:val="00AA5AC2"/>
    <w:rsid w:val="00AA5FEB"/>
    <w:rsid w:val="00AA640B"/>
    <w:rsid w:val="00AA6CD1"/>
    <w:rsid w:val="00AA737E"/>
    <w:rsid w:val="00AA73D2"/>
    <w:rsid w:val="00AA7854"/>
    <w:rsid w:val="00AB002A"/>
    <w:rsid w:val="00AB006B"/>
    <w:rsid w:val="00AB1979"/>
    <w:rsid w:val="00AB1AE4"/>
    <w:rsid w:val="00AB2A29"/>
    <w:rsid w:val="00AB3AE6"/>
    <w:rsid w:val="00AB47E8"/>
    <w:rsid w:val="00AB4B43"/>
    <w:rsid w:val="00AB4BCE"/>
    <w:rsid w:val="00AB4F16"/>
    <w:rsid w:val="00AB4FC9"/>
    <w:rsid w:val="00AB51BC"/>
    <w:rsid w:val="00AB569B"/>
    <w:rsid w:val="00AB5CBC"/>
    <w:rsid w:val="00AB5DFC"/>
    <w:rsid w:val="00AB608E"/>
    <w:rsid w:val="00AB60E4"/>
    <w:rsid w:val="00AB6319"/>
    <w:rsid w:val="00AB67D0"/>
    <w:rsid w:val="00AB7F5D"/>
    <w:rsid w:val="00AB7F98"/>
    <w:rsid w:val="00AC018E"/>
    <w:rsid w:val="00AC03D8"/>
    <w:rsid w:val="00AC09B3"/>
    <w:rsid w:val="00AC0CC8"/>
    <w:rsid w:val="00AC0E21"/>
    <w:rsid w:val="00AC1692"/>
    <w:rsid w:val="00AC1776"/>
    <w:rsid w:val="00AC23E2"/>
    <w:rsid w:val="00AC29E2"/>
    <w:rsid w:val="00AC3013"/>
    <w:rsid w:val="00AC31DE"/>
    <w:rsid w:val="00AC3209"/>
    <w:rsid w:val="00AC321E"/>
    <w:rsid w:val="00AC358F"/>
    <w:rsid w:val="00AC3A8A"/>
    <w:rsid w:val="00AC40D0"/>
    <w:rsid w:val="00AC41B6"/>
    <w:rsid w:val="00AC431F"/>
    <w:rsid w:val="00AC436A"/>
    <w:rsid w:val="00AC4508"/>
    <w:rsid w:val="00AC4AEE"/>
    <w:rsid w:val="00AC50C9"/>
    <w:rsid w:val="00AC5513"/>
    <w:rsid w:val="00AC55CC"/>
    <w:rsid w:val="00AC5792"/>
    <w:rsid w:val="00AC5890"/>
    <w:rsid w:val="00AC5C2B"/>
    <w:rsid w:val="00AC5CEF"/>
    <w:rsid w:val="00AC611B"/>
    <w:rsid w:val="00AC6236"/>
    <w:rsid w:val="00AC64C4"/>
    <w:rsid w:val="00AC65DB"/>
    <w:rsid w:val="00AC6784"/>
    <w:rsid w:val="00AC693F"/>
    <w:rsid w:val="00AC6B60"/>
    <w:rsid w:val="00AC7336"/>
    <w:rsid w:val="00AC7483"/>
    <w:rsid w:val="00AC7725"/>
    <w:rsid w:val="00AC7874"/>
    <w:rsid w:val="00AC7DE5"/>
    <w:rsid w:val="00AD010B"/>
    <w:rsid w:val="00AD06BD"/>
    <w:rsid w:val="00AD071E"/>
    <w:rsid w:val="00AD08B6"/>
    <w:rsid w:val="00AD099C"/>
    <w:rsid w:val="00AD0DE0"/>
    <w:rsid w:val="00AD186F"/>
    <w:rsid w:val="00AD2086"/>
    <w:rsid w:val="00AD2409"/>
    <w:rsid w:val="00AD3549"/>
    <w:rsid w:val="00AD3727"/>
    <w:rsid w:val="00AD3BC5"/>
    <w:rsid w:val="00AD42B3"/>
    <w:rsid w:val="00AD4312"/>
    <w:rsid w:val="00AD4373"/>
    <w:rsid w:val="00AD4426"/>
    <w:rsid w:val="00AD4A3C"/>
    <w:rsid w:val="00AD4F92"/>
    <w:rsid w:val="00AD501A"/>
    <w:rsid w:val="00AD57F1"/>
    <w:rsid w:val="00AD5ED0"/>
    <w:rsid w:val="00AD63D7"/>
    <w:rsid w:val="00AD66D0"/>
    <w:rsid w:val="00AD6EA6"/>
    <w:rsid w:val="00AD7C4B"/>
    <w:rsid w:val="00AE01D8"/>
    <w:rsid w:val="00AE0257"/>
    <w:rsid w:val="00AE02D8"/>
    <w:rsid w:val="00AE0BE4"/>
    <w:rsid w:val="00AE0E3E"/>
    <w:rsid w:val="00AE120D"/>
    <w:rsid w:val="00AE1344"/>
    <w:rsid w:val="00AE13D3"/>
    <w:rsid w:val="00AE1ACC"/>
    <w:rsid w:val="00AE1F62"/>
    <w:rsid w:val="00AE2ADC"/>
    <w:rsid w:val="00AE2E4F"/>
    <w:rsid w:val="00AE30D5"/>
    <w:rsid w:val="00AE3124"/>
    <w:rsid w:val="00AE33F1"/>
    <w:rsid w:val="00AE3497"/>
    <w:rsid w:val="00AE38C5"/>
    <w:rsid w:val="00AE3FC1"/>
    <w:rsid w:val="00AE4E40"/>
    <w:rsid w:val="00AE551D"/>
    <w:rsid w:val="00AE5882"/>
    <w:rsid w:val="00AE6331"/>
    <w:rsid w:val="00AE6A2F"/>
    <w:rsid w:val="00AE6B48"/>
    <w:rsid w:val="00AE6DC0"/>
    <w:rsid w:val="00AE6EED"/>
    <w:rsid w:val="00AE6F3D"/>
    <w:rsid w:val="00AE7913"/>
    <w:rsid w:val="00AE7E5E"/>
    <w:rsid w:val="00AF0275"/>
    <w:rsid w:val="00AF0313"/>
    <w:rsid w:val="00AF0E0E"/>
    <w:rsid w:val="00AF12E4"/>
    <w:rsid w:val="00AF1DB2"/>
    <w:rsid w:val="00AF209C"/>
    <w:rsid w:val="00AF294F"/>
    <w:rsid w:val="00AF2CFD"/>
    <w:rsid w:val="00AF2F2E"/>
    <w:rsid w:val="00AF3044"/>
    <w:rsid w:val="00AF4C8F"/>
    <w:rsid w:val="00AF4E39"/>
    <w:rsid w:val="00AF6055"/>
    <w:rsid w:val="00AF658C"/>
    <w:rsid w:val="00AF6C2B"/>
    <w:rsid w:val="00AF6E6D"/>
    <w:rsid w:val="00AF7534"/>
    <w:rsid w:val="00AF7925"/>
    <w:rsid w:val="00AF7AB4"/>
    <w:rsid w:val="00B0020B"/>
    <w:rsid w:val="00B0063A"/>
    <w:rsid w:val="00B00712"/>
    <w:rsid w:val="00B00803"/>
    <w:rsid w:val="00B00A5E"/>
    <w:rsid w:val="00B00E1D"/>
    <w:rsid w:val="00B01991"/>
    <w:rsid w:val="00B01D4A"/>
    <w:rsid w:val="00B02032"/>
    <w:rsid w:val="00B023A4"/>
    <w:rsid w:val="00B024FD"/>
    <w:rsid w:val="00B0259F"/>
    <w:rsid w:val="00B029CC"/>
    <w:rsid w:val="00B03026"/>
    <w:rsid w:val="00B03086"/>
    <w:rsid w:val="00B030D5"/>
    <w:rsid w:val="00B032CD"/>
    <w:rsid w:val="00B0383B"/>
    <w:rsid w:val="00B03907"/>
    <w:rsid w:val="00B03C8A"/>
    <w:rsid w:val="00B042E2"/>
    <w:rsid w:val="00B04559"/>
    <w:rsid w:val="00B049D3"/>
    <w:rsid w:val="00B04BA7"/>
    <w:rsid w:val="00B04CE3"/>
    <w:rsid w:val="00B0610F"/>
    <w:rsid w:val="00B0667C"/>
    <w:rsid w:val="00B06813"/>
    <w:rsid w:val="00B06F91"/>
    <w:rsid w:val="00B074F2"/>
    <w:rsid w:val="00B10640"/>
    <w:rsid w:val="00B11295"/>
    <w:rsid w:val="00B115FA"/>
    <w:rsid w:val="00B12BBB"/>
    <w:rsid w:val="00B134C2"/>
    <w:rsid w:val="00B13889"/>
    <w:rsid w:val="00B13D1B"/>
    <w:rsid w:val="00B1410D"/>
    <w:rsid w:val="00B14936"/>
    <w:rsid w:val="00B14B54"/>
    <w:rsid w:val="00B15E95"/>
    <w:rsid w:val="00B161D8"/>
    <w:rsid w:val="00B16723"/>
    <w:rsid w:val="00B167D1"/>
    <w:rsid w:val="00B179F0"/>
    <w:rsid w:val="00B20265"/>
    <w:rsid w:val="00B20C89"/>
    <w:rsid w:val="00B21AD8"/>
    <w:rsid w:val="00B22466"/>
    <w:rsid w:val="00B23271"/>
    <w:rsid w:val="00B2375C"/>
    <w:rsid w:val="00B2380C"/>
    <w:rsid w:val="00B2381D"/>
    <w:rsid w:val="00B23EA1"/>
    <w:rsid w:val="00B2412F"/>
    <w:rsid w:val="00B24309"/>
    <w:rsid w:val="00B24359"/>
    <w:rsid w:val="00B25581"/>
    <w:rsid w:val="00B258E9"/>
    <w:rsid w:val="00B25AF4"/>
    <w:rsid w:val="00B2612E"/>
    <w:rsid w:val="00B26258"/>
    <w:rsid w:val="00B2645A"/>
    <w:rsid w:val="00B268A4"/>
    <w:rsid w:val="00B26954"/>
    <w:rsid w:val="00B26A30"/>
    <w:rsid w:val="00B26DC7"/>
    <w:rsid w:val="00B26DFD"/>
    <w:rsid w:val="00B26F28"/>
    <w:rsid w:val="00B3104C"/>
    <w:rsid w:val="00B31256"/>
    <w:rsid w:val="00B312E4"/>
    <w:rsid w:val="00B31621"/>
    <w:rsid w:val="00B32206"/>
    <w:rsid w:val="00B32BA6"/>
    <w:rsid w:val="00B32EDA"/>
    <w:rsid w:val="00B32EDC"/>
    <w:rsid w:val="00B32F0C"/>
    <w:rsid w:val="00B33CE5"/>
    <w:rsid w:val="00B344DB"/>
    <w:rsid w:val="00B345DB"/>
    <w:rsid w:val="00B357D2"/>
    <w:rsid w:val="00B35D40"/>
    <w:rsid w:val="00B35E69"/>
    <w:rsid w:val="00B35EB7"/>
    <w:rsid w:val="00B360B3"/>
    <w:rsid w:val="00B366F8"/>
    <w:rsid w:val="00B36D35"/>
    <w:rsid w:val="00B37DEF"/>
    <w:rsid w:val="00B37F2E"/>
    <w:rsid w:val="00B40932"/>
    <w:rsid w:val="00B41249"/>
    <w:rsid w:val="00B4162E"/>
    <w:rsid w:val="00B41D2E"/>
    <w:rsid w:val="00B420F1"/>
    <w:rsid w:val="00B42272"/>
    <w:rsid w:val="00B42978"/>
    <w:rsid w:val="00B42E2D"/>
    <w:rsid w:val="00B42FF4"/>
    <w:rsid w:val="00B4340A"/>
    <w:rsid w:val="00B434C8"/>
    <w:rsid w:val="00B43762"/>
    <w:rsid w:val="00B437D1"/>
    <w:rsid w:val="00B44D7E"/>
    <w:rsid w:val="00B44DE0"/>
    <w:rsid w:val="00B451F8"/>
    <w:rsid w:val="00B4568E"/>
    <w:rsid w:val="00B462B7"/>
    <w:rsid w:val="00B46AC8"/>
    <w:rsid w:val="00B46E15"/>
    <w:rsid w:val="00B471AE"/>
    <w:rsid w:val="00B5202E"/>
    <w:rsid w:val="00B520F1"/>
    <w:rsid w:val="00B52449"/>
    <w:rsid w:val="00B5294A"/>
    <w:rsid w:val="00B5297D"/>
    <w:rsid w:val="00B53052"/>
    <w:rsid w:val="00B537F4"/>
    <w:rsid w:val="00B53915"/>
    <w:rsid w:val="00B54326"/>
    <w:rsid w:val="00B5498F"/>
    <w:rsid w:val="00B549D5"/>
    <w:rsid w:val="00B560E8"/>
    <w:rsid w:val="00B5754D"/>
    <w:rsid w:val="00B57DB7"/>
    <w:rsid w:val="00B6031D"/>
    <w:rsid w:val="00B603B7"/>
    <w:rsid w:val="00B6043C"/>
    <w:rsid w:val="00B60A07"/>
    <w:rsid w:val="00B60E3B"/>
    <w:rsid w:val="00B61173"/>
    <w:rsid w:val="00B61349"/>
    <w:rsid w:val="00B61C7C"/>
    <w:rsid w:val="00B61FE1"/>
    <w:rsid w:val="00B6298C"/>
    <w:rsid w:val="00B63053"/>
    <w:rsid w:val="00B644D6"/>
    <w:rsid w:val="00B64554"/>
    <w:rsid w:val="00B64DBA"/>
    <w:rsid w:val="00B650F5"/>
    <w:rsid w:val="00B65541"/>
    <w:rsid w:val="00B65A14"/>
    <w:rsid w:val="00B65F0B"/>
    <w:rsid w:val="00B66313"/>
    <w:rsid w:val="00B66366"/>
    <w:rsid w:val="00B66913"/>
    <w:rsid w:val="00B674DB"/>
    <w:rsid w:val="00B6773B"/>
    <w:rsid w:val="00B67982"/>
    <w:rsid w:val="00B70074"/>
    <w:rsid w:val="00B70271"/>
    <w:rsid w:val="00B7081C"/>
    <w:rsid w:val="00B710D3"/>
    <w:rsid w:val="00B71192"/>
    <w:rsid w:val="00B71D25"/>
    <w:rsid w:val="00B71DFD"/>
    <w:rsid w:val="00B71E44"/>
    <w:rsid w:val="00B726D7"/>
    <w:rsid w:val="00B728C0"/>
    <w:rsid w:val="00B73093"/>
    <w:rsid w:val="00B73345"/>
    <w:rsid w:val="00B73F3A"/>
    <w:rsid w:val="00B7400F"/>
    <w:rsid w:val="00B7465F"/>
    <w:rsid w:val="00B74FE0"/>
    <w:rsid w:val="00B75B11"/>
    <w:rsid w:val="00B75F84"/>
    <w:rsid w:val="00B7660E"/>
    <w:rsid w:val="00B76DF3"/>
    <w:rsid w:val="00B76F8C"/>
    <w:rsid w:val="00B775BC"/>
    <w:rsid w:val="00B7775E"/>
    <w:rsid w:val="00B77F94"/>
    <w:rsid w:val="00B80046"/>
    <w:rsid w:val="00B800E7"/>
    <w:rsid w:val="00B80701"/>
    <w:rsid w:val="00B81946"/>
    <w:rsid w:val="00B81E38"/>
    <w:rsid w:val="00B82261"/>
    <w:rsid w:val="00B82622"/>
    <w:rsid w:val="00B82DA8"/>
    <w:rsid w:val="00B830DF"/>
    <w:rsid w:val="00B83202"/>
    <w:rsid w:val="00B841FB"/>
    <w:rsid w:val="00B848C2"/>
    <w:rsid w:val="00B84A01"/>
    <w:rsid w:val="00B84EAC"/>
    <w:rsid w:val="00B85554"/>
    <w:rsid w:val="00B85E44"/>
    <w:rsid w:val="00B862C6"/>
    <w:rsid w:val="00B86F89"/>
    <w:rsid w:val="00B86FA1"/>
    <w:rsid w:val="00B8764C"/>
    <w:rsid w:val="00B879C8"/>
    <w:rsid w:val="00B87F88"/>
    <w:rsid w:val="00B90120"/>
    <w:rsid w:val="00B9045A"/>
    <w:rsid w:val="00B90468"/>
    <w:rsid w:val="00B90C14"/>
    <w:rsid w:val="00B91DEB"/>
    <w:rsid w:val="00B921A9"/>
    <w:rsid w:val="00B9244A"/>
    <w:rsid w:val="00B92692"/>
    <w:rsid w:val="00B92C85"/>
    <w:rsid w:val="00B932C3"/>
    <w:rsid w:val="00B9331E"/>
    <w:rsid w:val="00B936F0"/>
    <w:rsid w:val="00B93725"/>
    <w:rsid w:val="00B93930"/>
    <w:rsid w:val="00B93CD0"/>
    <w:rsid w:val="00B94416"/>
    <w:rsid w:val="00B944C2"/>
    <w:rsid w:val="00B94A71"/>
    <w:rsid w:val="00B94B0E"/>
    <w:rsid w:val="00B94B72"/>
    <w:rsid w:val="00B94C52"/>
    <w:rsid w:val="00B94E93"/>
    <w:rsid w:val="00B95684"/>
    <w:rsid w:val="00B966C1"/>
    <w:rsid w:val="00B9691A"/>
    <w:rsid w:val="00B9694D"/>
    <w:rsid w:val="00B96CD4"/>
    <w:rsid w:val="00B97646"/>
    <w:rsid w:val="00B97F2B"/>
    <w:rsid w:val="00BA0512"/>
    <w:rsid w:val="00BA0D2F"/>
    <w:rsid w:val="00BA0EB8"/>
    <w:rsid w:val="00BA11F4"/>
    <w:rsid w:val="00BA1BEA"/>
    <w:rsid w:val="00BA1F24"/>
    <w:rsid w:val="00BA2E41"/>
    <w:rsid w:val="00BA3256"/>
    <w:rsid w:val="00BA325A"/>
    <w:rsid w:val="00BA3571"/>
    <w:rsid w:val="00BA367D"/>
    <w:rsid w:val="00BA3888"/>
    <w:rsid w:val="00BA3BD4"/>
    <w:rsid w:val="00BA4231"/>
    <w:rsid w:val="00BA427C"/>
    <w:rsid w:val="00BA4883"/>
    <w:rsid w:val="00BA4FCB"/>
    <w:rsid w:val="00BA5B85"/>
    <w:rsid w:val="00BA6906"/>
    <w:rsid w:val="00BA6B6C"/>
    <w:rsid w:val="00BA72C2"/>
    <w:rsid w:val="00BA79DD"/>
    <w:rsid w:val="00BA7C98"/>
    <w:rsid w:val="00BB019D"/>
    <w:rsid w:val="00BB050F"/>
    <w:rsid w:val="00BB0991"/>
    <w:rsid w:val="00BB0C8A"/>
    <w:rsid w:val="00BB0DA0"/>
    <w:rsid w:val="00BB1647"/>
    <w:rsid w:val="00BB1954"/>
    <w:rsid w:val="00BB2A64"/>
    <w:rsid w:val="00BB3ADD"/>
    <w:rsid w:val="00BB4A98"/>
    <w:rsid w:val="00BB4CED"/>
    <w:rsid w:val="00BB50B9"/>
    <w:rsid w:val="00BB661D"/>
    <w:rsid w:val="00BB6C50"/>
    <w:rsid w:val="00BB7FB1"/>
    <w:rsid w:val="00BC01E6"/>
    <w:rsid w:val="00BC020F"/>
    <w:rsid w:val="00BC04E3"/>
    <w:rsid w:val="00BC08FA"/>
    <w:rsid w:val="00BC1D3C"/>
    <w:rsid w:val="00BC2795"/>
    <w:rsid w:val="00BC282C"/>
    <w:rsid w:val="00BC2937"/>
    <w:rsid w:val="00BC2D0F"/>
    <w:rsid w:val="00BC2E73"/>
    <w:rsid w:val="00BC2F2B"/>
    <w:rsid w:val="00BC3163"/>
    <w:rsid w:val="00BC343C"/>
    <w:rsid w:val="00BC3D8A"/>
    <w:rsid w:val="00BC3DFE"/>
    <w:rsid w:val="00BC4107"/>
    <w:rsid w:val="00BC45A6"/>
    <w:rsid w:val="00BC468C"/>
    <w:rsid w:val="00BC5311"/>
    <w:rsid w:val="00BC574D"/>
    <w:rsid w:val="00BC62D7"/>
    <w:rsid w:val="00BC6C62"/>
    <w:rsid w:val="00BC6D65"/>
    <w:rsid w:val="00BC7376"/>
    <w:rsid w:val="00BD036D"/>
    <w:rsid w:val="00BD03C9"/>
    <w:rsid w:val="00BD046C"/>
    <w:rsid w:val="00BD0E0C"/>
    <w:rsid w:val="00BD14D2"/>
    <w:rsid w:val="00BD14EC"/>
    <w:rsid w:val="00BD193B"/>
    <w:rsid w:val="00BD21D8"/>
    <w:rsid w:val="00BD2BF2"/>
    <w:rsid w:val="00BD3804"/>
    <w:rsid w:val="00BD3F2E"/>
    <w:rsid w:val="00BD4308"/>
    <w:rsid w:val="00BD43D1"/>
    <w:rsid w:val="00BD45FA"/>
    <w:rsid w:val="00BD4AD1"/>
    <w:rsid w:val="00BD5FA4"/>
    <w:rsid w:val="00BD6149"/>
    <w:rsid w:val="00BD6254"/>
    <w:rsid w:val="00BD6351"/>
    <w:rsid w:val="00BD6D35"/>
    <w:rsid w:val="00BD743B"/>
    <w:rsid w:val="00BD783E"/>
    <w:rsid w:val="00BE05EB"/>
    <w:rsid w:val="00BE0C24"/>
    <w:rsid w:val="00BE0F5C"/>
    <w:rsid w:val="00BE1609"/>
    <w:rsid w:val="00BE1C6A"/>
    <w:rsid w:val="00BE1D8F"/>
    <w:rsid w:val="00BE21F9"/>
    <w:rsid w:val="00BE2774"/>
    <w:rsid w:val="00BE28E8"/>
    <w:rsid w:val="00BE36ED"/>
    <w:rsid w:val="00BE3A47"/>
    <w:rsid w:val="00BE3E87"/>
    <w:rsid w:val="00BE4482"/>
    <w:rsid w:val="00BE4D6A"/>
    <w:rsid w:val="00BE5014"/>
    <w:rsid w:val="00BE5EBE"/>
    <w:rsid w:val="00BE5FE9"/>
    <w:rsid w:val="00BE60D5"/>
    <w:rsid w:val="00BE634B"/>
    <w:rsid w:val="00BE6667"/>
    <w:rsid w:val="00BE766D"/>
    <w:rsid w:val="00BE7F32"/>
    <w:rsid w:val="00BF0530"/>
    <w:rsid w:val="00BF0B15"/>
    <w:rsid w:val="00BF0D72"/>
    <w:rsid w:val="00BF0E49"/>
    <w:rsid w:val="00BF1391"/>
    <w:rsid w:val="00BF1DC4"/>
    <w:rsid w:val="00BF1E0F"/>
    <w:rsid w:val="00BF20B4"/>
    <w:rsid w:val="00BF25A3"/>
    <w:rsid w:val="00BF2B13"/>
    <w:rsid w:val="00BF2D2E"/>
    <w:rsid w:val="00BF37A6"/>
    <w:rsid w:val="00BF38E8"/>
    <w:rsid w:val="00BF3C9E"/>
    <w:rsid w:val="00BF4B46"/>
    <w:rsid w:val="00BF4EE9"/>
    <w:rsid w:val="00BF52E2"/>
    <w:rsid w:val="00BF5399"/>
    <w:rsid w:val="00BF56B5"/>
    <w:rsid w:val="00BF5913"/>
    <w:rsid w:val="00BF696A"/>
    <w:rsid w:val="00BF6C0B"/>
    <w:rsid w:val="00BF6ED6"/>
    <w:rsid w:val="00BF7353"/>
    <w:rsid w:val="00BF7D4A"/>
    <w:rsid w:val="00BF7F4F"/>
    <w:rsid w:val="00C005A8"/>
    <w:rsid w:val="00C00690"/>
    <w:rsid w:val="00C00726"/>
    <w:rsid w:val="00C009B2"/>
    <w:rsid w:val="00C00D4B"/>
    <w:rsid w:val="00C00E66"/>
    <w:rsid w:val="00C01758"/>
    <w:rsid w:val="00C0192C"/>
    <w:rsid w:val="00C01A03"/>
    <w:rsid w:val="00C01F6D"/>
    <w:rsid w:val="00C03030"/>
    <w:rsid w:val="00C03449"/>
    <w:rsid w:val="00C03717"/>
    <w:rsid w:val="00C03FE0"/>
    <w:rsid w:val="00C04531"/>
    <w:rsid w:val="00C0465B"/>
    <w:rsid w:val="00C04772"/>
    <w:rsid w:val="00C04B67"/>
    <w:rsid w:val="00C05CC6"/>
    <w:rsid w:val="00C05EE8"/>
    <w:rsid w:val="00C06EE9"/>
    <w:rsid w:val="00C06F6F"/>
    <w:rsid w:val="00C076A4"/>
    <w:rsid w:val="00C07CF4"/>
    <w:rsid w:val="00C1012A"/>
    <w:rsid w:val="00C10147"/>
    <w:rsid w:val="00C109A5"/>
    <w:rsid w:val="00C109DD"/>
    <w:rsid w:val="00C10F3F"/>
    <w:rsid w:val="00C10FDC"/>
    <w:rsid w:val="00C111E7"/>
    <w:rsid w:val="00C1196D"/>
    <w:rsid w:val="00C11B58"/>
    <w:rsid w:val="00C12127"/>
    <w:rsid w:val="00C121B9"/>
    <w:rsid w:val="00C1295C"/>
    <w:rsid w:val="00C12ADC"/>
    <w:rsid w:val="00C1350B"/>
    <w:rsid w:val="00C136CE"/>
    <w:rsid w:val="00C13F0F"/>
    <w:rsid w:val="00C143D0"/>
    <w:rsid w:val="00C147A9"/>
    <w:rsid w:val="00C149E1"/>
    <w:rsid w:val="00C150A7"/>
    <w:rsid w:val="00C1526F"/>
    <w:rsid w:val="00C15B83"/>
    <w:rsid w:val="00C15E6B"/>
    <w:rsid w:val="00C1637F"/>
    <w:rsid w:val="00C16B6F"/>
    <w:rsid w:val="00C16D86"/>
    <w:rsid w:val="00C173F3"/>
    <w:rsid w:val="00C17831"/>
    <w:rsid w:val="00C17D15"/>
    <w:rsid w:val="00C17EFE"/>
    <w:rsid w:val="00C17F62"/>
    <w:rsid w:val="00C20387"/>
    <w:rsid w:val="00C20DF8"/>
    <w:rsid w:val="00C21459"/>
    <w:rsid w:val="00C215BF"/>
    <w:rsid w:val="00C21A78"/>
    <w:rsid w:val="00C21E73"/>
    <w:rsid w:val="00C21EA2"/>
    <w:rsid w:val="00C22233"/>
    <w:rsid w:val="00C22644"/>
    <w:rsid w:val="00C2333C"/>
    <w:rsid w:val="00C2346C"/>
    <w:rsid w:val="00C237C7"/>
    <w:rsid w:val="00C23C46"/>
    <w:rsid w:val="00C23DB9"/>
    <w:rsid w:val="00C24524"/>
    <w:rsid w:val="00C2455E"/>
    <w:rsid w:val="00C248EA"/>
    <w:rsid w:val="00C24C72"/>
    <w:rsid w:val="00C25AF4"/>
    <w:rsid w:val="00C25D70"/>
    <w:rsid w:val="00C261BB"/>
    <w:rsid w:val="00C26790"/>
    <w:rsid w:val="00C26939"/>
    <w:rsid w:val="00C27CB7"/>
    <w:rsid w:val="00C27E91"/>
    <w:rsid w:val="00C3038C"/>
    <w:rsid w:val="00C31268"/>
    <w:rsid w:val="00C31A21"/>
    <w:rsid w:val="00C31D09"/>
    <w:rsid w:val="00C31DDE"/>
    <w:rsid w:val="00C32206"/>
    <w:rsid w:val="00C325AA"/>
    <w:rsid w:val="00C3276D"/>
    <w:rsid w:val="00C32E32"/>
    <w:rsid w:val="00C32ED2"/>
    <w:rsid w:val="00C33C65"/>
    <w:rsid w:val="00C33D7C"/>
    <w:rsid w:val="00C33E66"/>
    <w:rsid w:val="00C341D5"/>
    <w:rsid w:val="00C348B9"/>
    <w:rsid w:val="00C34A85"/>
    <w:rsid w:val="00C358BB"/>
    <w:rsid w:val="00C358D5"/>
    <w:rsid w:val="00C35BF0"/>
    <w:rsid w:val="00C35CCD"/>
    <w:rsid w:val="00C3621A"/>
    <w:rsid w:val="00C36508"/>
    <w:rsid w:val="00C368E8"/>
    <w:rsid w:val="00C36EB7"/>
    <w:rsid w:val="00C3791D"/>
    <w:rsid w:val="00C37ECE"/>
    <w:rsid w:val="00C37F8A"/>
    <w:rsid w:val="00C40113"/>
    <w:rsid w:val="00C401EF"/>
    <w:rsid w:val="00C40301"/>
    <w:rsid w:val="00C4046B"/>
    <w:rsid w:val="00C40BD2"/>
    <w:rsid w:val="00C40EE7"/>
    <w:rsid w:val="00C40FC1"/>
    <w:rsid w:val="00C41E12"/>
    <w:rsid w:val="00C41FAA"/>
    <w:rsid w:val="00C42649"/>
    <w:rsid w:val="00C42685"/>
    <w:rsid w:val="00C42B96"/>
    <w:rsid w:val="00C43072"/>
    <w:rsid w:val="00C430B2"/>
    <w:rsid w:val="00C4375D"/>
    <w:rsid w:val="00C43952"/>
    <w:rsid w:val="00C43F04"/>
    <w:rsid w:val="00C44069"/>
    <w:rsid w:val="00C44816"/>
    <w:rsid w:val="00C44830"/>
    <w:rsid w:val="00C44A6B"/>
    <w:rsid w:val="00C45060"/>
    <w:rsid w:val="00C45462"/>
    <w:rsid w:val="00C456C8"/>
    <w:rsid w:val="00C45879"/>
    <w:rsid w:val="00C46B60"/>
    <w:rsid w:val="00C472E9"/>
    <w:rsid w:val="00C47D45"/>
    <w:rsid w:val="00C5029A"/>
    <w:rsid w:val="00C5030A"/>
    <w:rsid w:val="00C50995"/>
    <w:rsid w:val="00C513C3"/>
    <w:rsid w:val="00C5174D"/>
    <w:rsid w:val="00C51A4A"/>
    <w:rsid w:val="00C52253"/>
    <w:rsid w:val="00C522BF"/>
    <w:rsid w:val="00C524A1"/>
    <w:rsid w:val="00C526B1"/>
    <w:rsid w:val="00C53BD3"/>
    <w:rsid w:val="00C54186"/>
    <w:rsid w:val="00C5472F"/>
    <w:rsid w:val="00C54760"/>
    <w:rsid w:val="00C5476F"/>
    <w:rsid w:val="00C548BF"/>
    <w:rsid w:val="00C54D7B"/>
    <w:rsid w:val="00C55C5F"/>
    <w:rsid w:val="00C56069"/>
    <w:rsid w:val="00C56993"/>
    <w:rsid w:val="00C57A66"/>
    <w:rsid w:val="00C57C62"/>
    <w:rsid w:val="00C61183"/>
    <w:rsid w:val="00C62189"/>
    <w:rsid w:val="00C622AB"/>
    <w:rsid w:val="00C6312C"/>
    <w:rsid w:val="00C63BB3"/>
    <w:rsid w:val="00C63CAC"/>
    <w:rsid w:val="00C6429C"/>
    <w:rsid w:val="00C647ED"/>
    <w:rsid w:val="00C6483B"/>
    <w:rsid w:val="00C648BC"/>
    <w:rsid w:val="00C64FBE"/>
    <w:rsid w:val="00C65BA6"/>
    <w:rsid w:val="00C65C80"/>
    <w:rsid w:val="00C6684C"/>
    <w:rsid w:val="00C66BE3"/>
    <w:rsid w:val="00C66CCD"/>
    <w:rsid w:val="00C66D41"/>
    <w:rsid w:val="00C670DE"/>
    <w:rsid w:val="00C6714E"/>
    <w:rsid w:val="00C677B5"/>
    <w:rsid w:val="00C67938"/>
    <w:rsid w:val="00C67E41"/>
    <w:rsid w:val="00C67FD1"/>
    <w:rsid w:val="00C70171"/>
    <w:rsid w:val="00C704FC"/>
    <w:rsid w:val="00C713FB"/>
    <w:rsid w:val="00C71418"/>
    <w:rsid w:val="00C71569"/>
    <w:rsid w:val="00C71585"/>
    <w:rsid w:val="00C71A7F"/>
    <w:rsid w:val="00C7206E"/>
    <w:rsid w:val="00C720DD"/>
    <w:rsid w:val="00C72475"/>
    <w:rsid w:val="00C7279E"/>
    <w:rsid w:val="00C729C4"/>
    <w:rsid w:val="00C72DBA"/>
    <w:rsid w:val="00C734AF"/>
    <w:rsid w:val="00C73AAF"/>
    <w:rsid w:val="00C74333"/>
    <w:rsid w:val="00C74453"/>
    <w:rsid w:val="00C74DA4"/>
    <w:rsid w:val="00C75576"/>
    <w:rsid w:val="00C760D2"/>
    <w:rsid w:val="00C762BE"/>
    <w:rsid w:val="00C765C0"/>
    <w:rsid w:val="00C767B0"/>
    <w:rsid w:val="00C80001"/>
    <w:rsid w:val="00C80181"/>
    <w:rsid w:val="00C8154F"/>
    <w:rsid w:val="00C81591"/>
    <w:rsid w:val="00C816CC"/>
    <w:rsid w:val="00C81A56"/>
    <w:rsid w:val="00C81B66"/>
    <w:rsid w:val="00C81D00"/>
    <w:rsid w:val="00C81EAF"/>
    <w:rsid w:val="00C82B35"/>
    <w:rsid w:val="00C82D9C"/>
    <w:rsid w:val="00C834D6"/>
    <w:rsid w:val="00C8497C"/>
    <w:rsid w:val="00C84B92"/>
    <w:rsid w:val="00C859E2"/>
    <w:rsid w:val="00C85BE1"/>
    <w:rsid w:val="00C86160"/>
    <w:rsid w:val="00C86B79"/>
    <w:rsid w:val="00C87969"/>
    <w:rsid w:val="00C87B52"/>
    <w:rsid w:val="00C87FD5"/>
    <w:rsid w:val="00C90A14"/>
    <w:rsid w:val="00C90A5F"/>
    <w:rsid w:val="00C90E23"/>
    <w:rsid w:val="00C91260"/>
    <w:rsid w:val="00C917D3"/>
    <w:rsid w:val="00C91A21"/>
    <w:rsid w:val="00C91A76"/>
    <w:rsid w:val="00C930A6"/>
    <w:rsid w:val="00C93174"/>
    <w:rsid w:val="00C93542"/>
    <w:rsid w:val="00C93D70"/>
    <w:rsid w:val="00C942D7"/>
    <w:rsid w:val="00C946E5"/>
    <w:rsid w:val="00C946EB"/>
    <w:rsid w:val="00C947C8"/>
    <w:rsid w:val="00C94C99"/>
    <w:rsid w:val="00C94CB7"/>
    <w:rsid w:val="00C94E05"/>
    <w:rsid w:val="00C95A4D"/>
    <w:rsid w:val="00C95C87"/>
    <w:rsid w:val="00C95E49"/>
    <w:rsid w:val="00C96414"/>
    <w:rsid w:val="00C96449"/>
    <w:rsid w:val="00C96B95"/>
    <w:rsid w:val="00C9733D"/>
    <w:rsid w:val="00C976C6"/>
    <w:rsid w:val="00C97934"/>
    <w:rsid w:val="00C97BC7"/>
    <w:rsid w:val="00C97EB4"/>
    <w:rsid w:val="00C97F80"/>
    <w:rsid w:val="00CA05C2"/>
    <w:rsid w:val="00CA1086"/>
    <w:rsid w:val="00CA1B1D"/>
    <w:rsid w:val="00CA1BE4"/>
    <w:rsid w:val="00CA20EA"/>
    <w:rsid w:val="00CA29D7"/>
    <w:rsid w:val="00CA2D05"/>
    <w:rsid w:val="00CA354C"/>
    <w:rsid w:val="00CA38F5"/>
    <w:rsid w:val="00CA3F6C"/>
    <w:rsid w:val="00CA49E8"/>
    <w:rsid w:val="00CA4CB0"/>
    <w:rsid w:val="00CA4F41"/>
    <w:rsid w:val="00CA51DD"/>
    <w:rsid w:val="00CA5F2A"/>
    <w:rsid w:val="00CA5F3F"/>
    <w:rsid w:val="00CA62CA"/>
    <w:rsid w:val="00CA6559"/>
    <w:rsid w:val="00CA6CE4"/>
    <w:rsid w:val="00CA7021"/>
    <w:rsid w:val="00CA7845"/>
    <w:rsid w:val="00CB0511"/>
    <w:rsid w:val="00CB064B"/>
    <w:rsid w:val="00CB0728"/>
    <w:rsid w:val="00CB0A57"/>
    <w:rsid w:val="00CB0E07"/>
    <w:rsid w:val="00CB1208"/>
    <w:rsid w:val="00CB136B"/>
    <w:rsid w:val="00CB170E"/>
    <w:rsid w:val="00CB191D"/>
    <w:rsid w:val="00CB1C5B"/>
    <w:rsid w:val="00CB2322"/>
    <w:rsid w:val="00CB2BEC"/>
    <w:rsid w:val="00CB2C36"/>
    <w:rsid w:val="00CB32D8"/>
    <w:rsid w:val="00CB363C"/>
    <w:rsid w:val="00CB39B6"/>
    <w:rsid w:val="00CB43B1"/>
    <w:rsid w:val="00CB451C"/>
    <w:rsid w:val="00CB4FC0"/>
    <w:rsid w:val="00CB54EA"/>
    <w:rsid w:val="00CB58B8"/>
    <w:rsid w:val="00CB5AC3"/>
    <w:rsid w:val="00CB5B13"/>
    <w:rsid w:val="00CB5DDC"/>
    <w:rsid w:val="00CB65AF"/>
    <w:rsid w:val="00CB6BBD"/>
    <w:rsid w:val="00CB7574"/>
    <w:rsid w:val="00CB7C11"/>
    <w:rsid w:val="00CC03F7"/>
    <w:rsid w:val="00CC0697"/>
    <w:rsid w:val="00CC084C"/>
    <w:rsid w:val="00CC134F"/>
    <w:rsid w:val="00CC1C5F"/>
    <w:rsid w:val="00CC1CF6"/>
    <w:rsid w:val="00CC1F92"/>
    <w:rsid w:val="00CC314A"/>
    <w:rsid w:val="00CC388F"/>
    <w:rsid w:val="00CC39EE"/>
    <w:rsid w:val="00CC3C19"/>
    <w:rsid w:val="00CC413D"/>
    <w:rsid w:val="00CC449E"/>
    <w:rsid w:val="00CC5280"/>
    <w:rsid w:val="00CC5F5A"/>
    <w:rsid w:val="00CC63B2"/>
    <w:rsid w:val="00CC6BD2"/>
    <w:rsid w:val="00CC78B9"/>
    <w:rsid w:val="00CC7E8F"/>
    <w:rsid w:val="00CD0128"/>
    <w:rsid w:val="00CD06EF"/>
    <w:rsid w:val="00CD0AE3"/>
    <w:rsid w:val="00CD113C"/>
    <w:rsid w:val="00CD220A"/>
    <w:rsid w:val="00CD2331"/>
    <w:rsid w:val="00CD25E3"/>
    <w:rsid w:val="00CD3AEA"/>
    <w:rsid w:val="00CD3BC8"/>
    <w:rsid w:val="00CD3D11"/>
    <w:rsid w:val="00CD416F"/>
    <w:rsid w:val="00CD54EA"/>
    <w:rsid w:val="00CD575E"/>
    <w:rsid w:val="00CD59FF"/>
    <w:rsid w:val="00CD5AB0"/>
    <w:rsid w:val="00CD5C30"/>
    <w:rsid w:val="00CD650A"/>
    <w:rsid w:val="00CD6898"/>
    <w:rsid w:val="00CD69A3"/>
    <w:rsid w:val="00CD6B0D"/>
    <w:rsid w:val="00CD7880"/>
    <w:rsid w:val="00CD7B58"/>
    <w:rsid w:val="00CD7BF7"/>
    <w:rsid w:val="00CD7ECB"/>
    <w:rsid w:val="00CE0C7E"/>
    <w:rsid w:val="00CE0DB5"/>
    <w:rsid w:val="00CE1725"/>
    <w:rsid w:val="00CE1996"/>
    <w:rsid w:val="00CE20D0"/>
    <w:rsid w:val="00CE2274"/>
    <w:rsid w:val="00CE2CCB"/>
    <w:rsid w:val="00CE32B0"/>
    <w:rsid w:val="00CE417C"/>
    <w:rsid w:val="00CE473E"/>
    <w:rsid w:val="00CE4D03"/>
    <w:rsid w:val="00CE4F2D"/>
    <w:rsid w:val="00CE5559"/>
    <w:rsid w:val="00CE5A18"/>
    <w:rsid w:val="00CE5BB6"/>
    <w:rsid w:val="00CE6A90"/>
    <w:rsid w:val="00CE6B83"/>
    <w:rsid w:val="00CE6D69"/>
    <w:rsid w:val="00CE7AD8"/>
    <w:rsid w:val="00CE7C38"/>
    <w:rsid w:val="00CF03A1"/>
    <w:rsid w:val="00CF0D6F"/>
    <w:rsid w:val="00CF10F7"/>
    <w:rsid w:val="00CF1B4D"/>
    <w:rsid w:val="00CF1C23"/>
    <w:rsid w:val="00CF1C72"/>
    <w:rsid w:val="00CF20C4"/>
    <w:rsid w:val="00CF313F"/>
    <w:rsid w:val="00CF34A8"/>
    <w:rsid w:val="00CF3748"/>
    <w:rsid w:val="00CF3DF3"/>
    <w:rsid w:val="00CF3F9D"/>
    <w:rsid w:val="00CF4CA0"/>
    <w:rsid w:val="00CF54A8"/>
    <w:rsid w:val="00CF62C9"/>
    <w:rsid w:val="00CF6D41"/>
    <w:rsid w:val="00CF6D7B"/>
    <w:rsid w:val="00CF7317"/>
    <w:rsid w:val="00CF7496"/>
    <w:rsid w:val="00CF74B5"/>
    <w:rsid w:val="00CF74BD"/>
    <w:rsid w:val="00CF7728"/>
    <w:rsid w:val="00CF7854"/>
    <w:rsid w:val="00CF78AA"/>
    <w:rsid w:val="00CF79DB"/>
    <w:rsid w:val="00CF7E1E"/>
    <w:rsid w:val="00CF7F4B"/>
    <w:rsid w:val="00D0030D"/>
    <w:rsid w:val="00D0145D"/>
    <w:rsid w:val="00D01DE6"/>
    <w:rsid w:val="00D02929"/>
    <w:rsid w:val="00D0323A"/>
    <w:rsid w:val="00D03295"/>
    <w:rsid w:val="00D03D1A"/>
    <w:rsid w:val="00D03F8A"/>
    <w:rsid w:val="00D04E01"/>
    <w:rsid w:val="00D053CB"/>
    <w:rsid w:val="00D05E27"/>
    <w:rsid w:val="00D05F16"/>
    <w:rsid w:val="00D065B9"/>
    <w:rsid w:val="00D06EB9"/>
    <w:rsid w:val="00D07187"/>
    <w:rsid w:val="00D072B4"/>
    <w:rsid w:val="00D078A1"/>
    <w:rsid w:val="00D07B76"/>
    <w:rsid w:val="00D07D02"/>
    <w:rsid w:val="00D1037F"/>
    <w:rsid w:val="00D10549"/>
    <w:rsid w:val="00D109BF"/>
    <w:rsid w:val="00D10B0B"/>
    <w:rsid w:val="00D116ED"/>
    <w:rsid w:val="00D1184A"/>
    <w:rsid w:val="00D11975"/>
    <w:rsid w:val="00D11A78"/>
    <w:rsid w:val="00D11D09"/>
    <w:rsid w:val="00D1293F"/>
    <w:rsid w:val="00D12EE5"/>
    <w:rsid w:val="00D130AE"/>
    <w:rsid w:val="00D13521"/>
    <w:rsid w:val="00D13FD5"/>
    <w:rsid w:val="00D14522"/>
    <w:rsid w:val="00D14AAF"/>
    <w:rsid w:val="00D14AE4"/>
    <w:rsid w:val="00D14C53"/>
    <w:rsid w:val="00D14F5A"/>
    <w:rsid w:val="00D15D6B"/>
    <w:rsid w:val="00D15E4B"/>
    <w:rsid w:val="00D163A0"/>
    <w:rsid w:val="00D16526"/>
    <w:rsid w:val="00D16C4F"/>
    <w:rsid w:val="00D16E06"/>
    <w:rsid w:val="00D16F6E"/>
    <w:rsid w:val="00D17CD4"/>
    <w:rsid w:val="00D20101"/>
    <w:rsid w:val="00D20271"/>
    <w:rsid w:val="00D209CE"/>
    <w:rsid w:val="00D21246"/>
    <w:rsid w:val="00D21EDB"/>
    <w:rsid w:val="00D21F4C"/>
    <w:rsid w:val="00D22110"/>
    <w:rsid w:val="00D22373"/>
    <w:rsid w:val="00D22530"/>
    <w:rsid w:val="00D23078"/>
    <w:rsid w:val="00D232C7"/>
    <w:rsid w:val="00D23EBB"/>
    <w:rsid w:val="00D241E2"/>
    <w:rsid w:val="00D2453C"/>
    <w:rsid w:val="00D249DB"/>
    <w:rsid w:val="00D24EAD"/>
    <w:rsid w:val="00D24F4D"/>
    <w:rsid w:val="00D2529C"/>
    <w:rsid w:val="00D2581E"/>
    <w:rsid w:val="00D26343"/>
    <w:rsid w:val="00D268F2"/>
    <w:rsid w:val="00D270CA"/>
    <w:rsid w:val="00D27599"/>
    <w:rsid w:val="00D2773E"/>
    <w:rsid w:val="00D30017"/>
    <w:rsid w:val="00D30B51"/>
    <w:rsid w:val="00D30D01"/>
    <w:rsid w:val="00D30E7C"/>
    <w:rsid w:val="00D31C74"/>
    <w:rsid w:val="00D32199"/>
    <w:rsid w:val="00D32999"/>
    <w:rsid w:val="00D332EB"/>
    <w:rsid w:val="00D334F3"/>
    <w:rsid w:val="00D338EF"/>
    <w:rsid w:val="00D33903"/>
    <w:rsid w:val="00D34476"/>
    <w:rsid w:val="00D346F5"/>
    <w:rsid w:val="00D34888"/>
    <w:rsid w:val="00D348F7"/>
    <w:rsid w:val="00D34D75"/>
    <w:rsid w:val="00D3503B"/>
    <w:rsid w:val="00D35A48"/>
    <w:rsid w:val="00D36AB9"/>
    <w:rsid w:val="00D36B53"/>
    <w:rsid w:val="00D373BB"/>
    <w:rsid w:val="00D374D3"/>
    <w:rsid w:val="00D378F5"/>
    <w:rsid w:val="00D37B49"/>
    <w:rsid w:val="00D37E32"/>
    <w:rsid w:val="00D401E2"/>
    <w:rsid w:val="00D404BF"/>
    <w:rsid w:val="00D40A41"/>
    <w:rsid w:val="00D41E0B"/>
    <w:rsid w:val="00D43608"/>
    <w:rsid w:val="00D4381F"/>
    <w:rsid w:val="00D43E11"/>
    <w:rsid w:val="00D45001"/>
    <w:rsid w:val="00D45184"/>
    <w:rsid w:val="00D45236"/>
    <w:rsid w:val="00D456A0"/>
    <w:rsid w:val="00D45703"/>
    <w:rsid w:val="00D45ACD"/>
    <w:rsid w:val="00D463A6"/>
    <w:rsid w:val="00D46457"/>
    <w:rsid w:val="00D467A6"/>
    <w:rsid w:val="00D46FA4"/>
    <w:rsid w:val="00D471F9"/>
    <w:rsid w:val="00D475A1"/>
    <w:rsid w:val="00D479D2"/>
    <w:rsid w:val="00D50058"/>
    <w:rsid w:val="00D50445"/>
    <w:rsid w:val="00D50AB8"/>
    <w:rsid w:val="00D51076"/>
    <w:rsid w:val="00D51EBE"/>
    <w:rsid w:val="00D52F3D"/>
    <w:rsid w:val="00D5323A"/>
    <w:rsid w:val="00D54185"/>
    <w:rsid w:val="00D54318"/>
    <w:rsid w:val="00D5447F"/>
    <w:rsid w:val="00D548E0"/>
    <w:rsid w:val="00D554FB"/>
    <w:rsid w:val="00D55CEC"/>
    <w:rsid w:val="00D5605C"/>
    <w:rsid w:val="00D56607"/>
    <w:rsid w:val="00D56ACA"/>
    <w:rsid w:val="00D570D5"/>
    <w:rsid w:val="00D5712D"/>
    <w:rsid w:val="00D57285"/>
    <w:rsid w:val="00D573DB"/>
    <w:rsid w:val="00D57B2D"/>
    <w:rsid w:val="00D57C76"/>
    <w:rsid w:val="00D60520"/>
    <w:rsid w:val="00D60B89"/>
    <w:rsid w:val="00D6120B"/>
    <w:rsid w:val="00D61239"/>
    <w:rsid w:val="00D61654"/>
    <w:rsid w:val="00D63275"/>
    <w:rsid w:val="00D635A9"/>
    <w:rsid w:val="00D636E6"/>
    <w:rsid w:val="00D638C0"/>
    <w:rsid w:val="00D6390C"/>
    <w:rsid w:val="00D63982"/>
    <w:rsid w:val="00D63CAA"/>
    <w:rsid w:val="00D63F00"/>
    <w:rsid w:val="00D64567"/>
    <w:rsid w:val="00D64775"/>
    <w:rsid w:val="00D64B72"/>
    <w:rsid w:val="00D64C68"/>
    <w:rsid w:val="00D64FF6"/>
    <w:rsid w:val="00D651B0"/>
    <w:rsid w:val="00D6527B"/>
    <w:rsid w:val="00D652CB"/>
    <w:rsid w:val="00D65950"/>
    <w:rsid w:val="00D659BF"/>
    <w:rsid w:val="00D6630F"/>
    <w:rsid w:val="00D66332"/>
    <w:rsid w:val="00D667C3"/>
    <w:rsid w:val="00D66BBC"/>
    <w:rsid w:val="00D670F5"/>
    <w:rsid w:val="00D67237"/>
    <w:rsid w:val="00D700E9"/>
    <w:rsid w:val="00D7113A"/>
    <w:rsid w:val="00D71551"/>
    <w:rsid w:val="00D7187D"/>
    <w:rsid w:val="00D71D15"/>
    <w:rsid w:val="00D726DC"/>
    <w:rsid w:val="00D728A4"/>
    <w:rsid w:val="00D72926"/>
    <w:rsid w:val="00D72AA0"/>
    <w:rsid w:val="00D72FB1"/>
    <w:rsid w:val="00D72FC4"/>
    <w:rsid w:val="00D733FF"/>
    <w:rsid w:val="00D7351A"/>
    <w:rsid w:val="00D73A1A"/>
    <w:rsid w:val="00D73DAD"/>
    <w:rsid w:val="00D75806"/>
    <w:rsid w:val="00D75A64"/>
    <w:rsid w:val="00D76144"/>
    <w:rsid w:val="00D762A6"/>
    <w:rsid w:val="00D764C5"/>
    <w:rsid w:val="00D76A82"/>
    <w:rsid w:val="00D76DCD"/>
    <w:rsid w:val="00D771C2"/>
    <w:rsid w:val="00D77490"/>
    <w:rsid w:val="00D776D7"/>
    <w:rsid w:val="00D777E7"/>
    <w:rsid w:val="00D77A3C"/>
    <w:rsid w:val="00D77B32"/>
    <w:rsid w:val="00D77EEA"/>
    <w:rsid w:val="00D800EB"/>
    <w:rsid w:val="00D8047B"/>
    <w:rsid w:val="00D80953"/>
    <w:rsid w:val="00D81477"/>
    <w:rsid w:val="00D81E37"/>
    <w:rsid w:val="00D82984"/>
    <w:rsid w:val="00D82A0C"/>
    <w:rsid w:val="00D83075"/>
    <w:rsid w:val="00D83405"/>
    <w:rsid w:val="00D83963"/>
    <w:rsid w:val="00D83B36"/>
    <w:rsid w:val="00D8480D"/>
    <w:rsid w:val="00D84D30"/>
    <w:rsid w:val="00D84F8C"/>
    <w:rsid w:val="00D85113"/>
    <w:rsid w:val="00D8580D"/>
    <w:rsid w:val="00D85BD0"/>
    <w:rsid w:val="00D862EF"/>
    <w:rsid w:val="00D86D98"/>
    <w:rsid w:val="00D87236"/>
    <w:rsid w:val="00D878FC"/>
    <w:rsid w:val="00D87C04"/>
    <w:rsid w:val="00D87E17"/>
    <w:rsid w:val="00D90104"/>
    <w:rsid w:val="00D9015F"/>
    <w:rsid w:val="00D90A95"/>
    <w:rsid w:val="00D9118C"/>
    <w:rsid w:val="00D9144F"/>
    <w:rsid w:val="00D91611"/>
    <w:rsid w:val="00D91910"/>
    <w:rsid w:val="00D91B3D"/>
    <w:rsid w:val="00D91CD0"/>
    <w:rsid w:val="00D91F5C"/>
    <w:rsid w:val="00D924A6"/>
    <w:rsid w:val="00D93192"/>
    <w:rsid w:val="00D93334"/>
    <w:rsid w:val="00D93514"/>
    <w:rsid w:val="00D93779"/>
    <w:rsid w:val="00D93DC5"/>
    <w:rsid w:val="00D94215"/>
    <w:rsid w:val="00D956BC"/>
    <w:rsid w:val="00D95968"/>
    <w:rsid w:val="00D962DC"/>
    <w:rsid w:val="00D963C7"/>
    <w:rsid w:val="00D9641D"/>
    <w:rsid w:val="00D96426"/>
    <w:rsid w:val="00D96FAF"/>
    <w:rsid w:val="00D971B5"/>
    <w:rsid w:val="00DA09F4"/>
    <w:rsid w:val="00DA114D"/>
    <w:rsid w:val="00DA2D51"/>
    <w:rsid w:val="00DA32E0"/>
    <w:rsid w:val="00DA33A4"/>
    <w:rsid w:val="00DA3683"/>
    <w:rsid w:val="00DA3D7D"/>
    <w:rsid w:val="00DA4A90"/>
    <w:rsid w:val="00DA4B70"/>
    <w:rsid w:val="00DA4F64"/>
    <w:rsid w:val="00DA4F95"/>
    <w:rsid w:val="00DA55DC"/>
    <w:rsid w:val="00DA564F"/>
    <w:rsid w:val="00DA5942"/>
    <w:rsid w:val="00DA5A02"/>
    <w:rsid w:val="00DA5A27"/>
    <w:rsid w:val="00DA5DB6"/>
    <w:rsid w:val="00DA5F55"/>
    <w:rsid w:val="00DA6140"/>
    <w:rsid w:val="00DA6165"/>
    <w:rsid w:val="00DA66DF"/>
    <w:rsid w:val="00DA67B2"/>
    <w:rsid w:val="00DA6A90"/>
    <w:rsid w:val="00DA6C23"/>
    <w:rsid w:val="00DA6D32"/>
    <w:rsid w:val="00DA7048"/>
    <w:rsid w:val="00DA7334"/>
    <w:rsid w:val="00DA7B03"/>
    <w:rsid w:val="00DA7DB4"/>
    <w:rsid w:val="00DB011A"/>
    <w:rsid w:val="00DB080E"/>
    <w:rsid w:val="00DB0D52"/>
    <w:rsid w:val="00DB0F40"/>
    <w:rsid w:val="00DB212F"/>
    <w:rsid w:val="00DB2D48"/>
    <w:rsid w:val="00DB2ECD"/>
    <w:rsid w:val="00DB3BC8"/>
    <w:rsid w:val="00DB4DBE"/>
    <w:rsid w:val="00DB4FF0"/>
    <w:rsid w:val="00DB5755"/>
    <w:rsid w:val="00DB5861"/>
    <w:rsid w:val="00DB58F0"/>
    <w:rsid w:val="00DB5973"/>
    <w:rsid w:val="00DB6500"/>
    <w:rsid w:val="00DB6920"/>
    <w:rsid w:val="00DB6D8E"/>
    <w:rsid w:val="00DB7269"/>
    <w:rsid w:val="00DB7403"/>
    <w:rsid w:val="00DB7443"/>
    <w:rsid w:val="00DB7637"/>
    <w:rsid w:val="00DB770A"/>
    <w:rsid w:val="00DB7F72"/>
    <w:rsid w:val="00DC034C"/>
    <w:rsid w:val="00DC0517"/>
    <w:rsid w:val="00DC0601"/>
    <w:rsid w:val="00DC0934"/>
    <w:rsid w:val="00DC0D07"/>
    <w:rsid w:val="00DC0F17"/>
    <w:rsid w:val="00DC1D4A"/>
    <w:rsid w:val="00DC2228"/>
    <w:rsid w:val="00DC223A"/>
    <w:rsid w:val="00DC2FDA"/>
    <w:rsid w:val="00DC3317"/>
    <w:rsid w:val="00DC4C91"/>
    <w:rsid w:val="00DC4E0F"/>
    <w:rsid w:val="00DC5258"/>
    <w:rsid w:val="00DC562D"/>
    <w:rsid w:val="00DC5C60"/>
    <w:rsid w:val="00DC5EE1"/>
    <w:rsid w:val="00DC696C"/>
    <w:rsid w:val="00DC6A33"/>
    <w:rsid w:val="00DC6D5D"/>
    <w:rsid w:val="00DC7623"/>
    <w:rsid w:val="00DC7D47"/>
    <w:rsid w:val="00DD0BF0"/>
    <w:rsid w:val="00DD1657"/>
    <w:rsid w:val="00DD222F"/>
    <w:rsid w:val="00DD2401"/>
    <w:rsid w:val="00DD2445"/>
    <w:rsid w:val="00DD24CD"/>
    <w:rsid w:val="00DD3278"/>
    <w:rsid w:val="00DD39CF"/>
    <w:rsid w:val="00DD42CF"/>
    <w:rsid w:val="00DD4E9A"/>
    <w:rsid w:val="00DD5317"/>
    <w:rsid w:val="00DD54B8"/>
    <w:rsid w:val="00DD5838"/>
    <w:rsid w:val="00DD593A"/>
    <w:rsid w:val="00DD5A25"/>
    <w:rsid w:val="00DD5F55"/>
    <w:rsid w:val="00DD61E7"/>
    <w:rsid w:val="00DD6777"/>
    <w:rsid w:val="00DD6CA8"/>
    <w:rsid w:val="00DD70CB"/>
    <w:rsid w:val="00DD7110"/>
    <w:rsid w:val="00DE0AF4"/>
    <w:rsid w:val="00DE1363"/>
    <w:rsid w:val="00DE1816"/>
    <w:rsid w:val="00DE18E1"/>
    <w:rsid w:val="00DE34CB"/>
    <w:rsid w:val="00DE4437"/>
    <w:rsid w:val="00DE4576"/>
    <w:rsid w:val="00DE4624"/>
    <w:rsid w:val="00DE48C8"/>
    <w:rsid w:val="00DE491E"/>
    <w:rsid w:val="00DE4BE8"/>
    <w:rsid w:val="00DE4D4E"/>
    <w:rsid w:val="00DE4DAF"/>
    <w:rsid w:val="00DE52D6"/>
    <w:rsid w:val="00DE574C"/>
    <w:rsid w:val="00DE5828"/>
    <w:rsid w:val="00DE5ACB"/>
    <w:rsid w:val="00DE67F5"/>
    <w:rsid w:val="00DE78C1"/>
    <w:rsid w:val="00DF055A"/>
    <w:rsid w:val="00DF0678"/>
    <w:rsid w:val="00DF06E9"/>
    <w:rsid w:val="00DF0D2E"/>
    <w:rsid w:val="00DF18E5"/>
    <w:rsid w:val="00DF1C05"/>
    <w:rsid w:val="00DF2313"/>
    <w:rsid w:val="00DF29EC"/>
    <w:rsid w:val="00DF2B7E"/>
    <w:rsid w:val="00DF2DDC"/>
    <w:rsid w:val="00DF2EE2"/>
    <w:rsid w:val="00DF32E1"/>
    <w:rsid w:val="00DF3D9E"/>
    <w:rsid w:val="00DF4156"/>
    <w:rsid w:val="00DF41DB"/>
    <w:rsid w:val="00DF4362"/>
    <w:rsid w:val="00DF43F5"/>
    <w:rsid w:val="00DF4C8B"/>
    <w:rsid w:val="00DF4F0A"/>
    <w:rsid w:val="00DF555A"/>
    <w:rsid w:val="00DF5863"/>
    <w:rsid w:val="00DF5EC0"/>
    <w:rsid w:val="00DF6770"/>
    <w:rsid w:val="00DF7985"/>
    <w:rsid w:val="00DF7B7A"/>
    <w:rsid w:val="00DF7D4E"/>
    <w:rsid w:val="00DF7DC9"/>
    <w:rsid w:val="00E00716"/>
    <w:rsid w:val="00E009E5"/>
    <w:rsid w:val="00E00FFA"/>
    <w:rsid w:val="00E01794"/>
    <w:rsid w:val="00E01BEA"/>
    <w:rsid w:val="00E01C93"/>
    <w:rsid w:val="00E02122"/>
    <w:rsid w:val="00E034BE"/>
    <w:rsid w:val="00E03FAA"/>
    <w:rsid w:val="00E04406"/>
    <w:rsid w:val="00E0470B"/>
    <w:rsid w:val="00E04E52"/>
    <w:rsid w:val="00E04F42"/>
    <w:rsid w:val="00E05B34"/>
    <w:rsid w:val="00E05E46"/>
    <w:rsid w:val="00E069FB"/>
    <w:rsid w:val="00E06EBA"/>
    <w:rsid w:val="00E0724B"/>
    <w:rsid w:val="00E072AD"/>
    <w:rsid w:val="00E07D32"/>
    <w:rsid w:val="00E1071E"/>
    <w:rsid w:val="00E108A0"/>
    <w:rsid w:val="00E10EB8"/>
    <w:rsid w:val="00E10FA7"/>
    <w:rsid w:val="00E1112B"/>
    <w:rsid w:val="00E11DCB"/>
    <w:rsid w:val="00E11E30"/>
    <w:rsid w:val="00E12D0D"/>
    <w:rsid w:val="00E12D7A"/>
    <w:rsid w:val="00E133D9"/>
    <w:rsid w:val="00E13C2A"/>
    <w:rsid w:val="00E13CDD"/>
    <w:rsid w:val="00E1423C"/>
    <w:rsid w:val="00E14662"/>
    <w:rsid w:val="00E1496D"/>
    <w:rsid w:val="00E1563D"/>
    <w:rsid w:val="00E1593D"/>
    <w:rsid w:val="00E15B3A"/>
    <w:rsid w:val="00E1603C"/>
    <w:rsid w:val="00E160C7"/>
    <w:rsid w:val="00E164B9"/>
    <w:rsid w:val="00E17390"/>
    <w:rsid w:val="00E175F6"/>
    <w:rsid w:val="00E2002B"/>
    <w:rsid w:val="00E208A2"/>
    <w:rsid w:val="00E208A8"/>
    <w:rsid w:val="00E20AF7"/>
    <w:rsid w:val="00E20EA3"/>
    <w:rsid w:val="00E21808"/>
    <w:rsid w:val="00E223DF"/>
    <w:rsid w:val="00E225C2"/>
    <w:rsid w:val="00E22668"/>
    <w:rsid w:val="00E22850"/>
    <w:rsid w:val="00E22F14"/>
    <w:rsid w:val="00E232EC"/>
    <w:rsid w:val="00E2342F"/>
    <w:rsid w:val="00E23AB2"/>
    <w:rsid w:val="00E23B2B"/>
    <w:rsid w:val="00E23C02"/>
    <w:rsid w:val="00E23D97"/>
    <w:rsid w:val="00E23F3A"/>
    <w:rsid w:val="00E24518"/>
    <w:rsid w:val="00E25267"/>
    <w:rsid w:val="00E253AD"/>
    <w:rsid w:val="00E2580E"/>
    <w:rsid w:val="00E25A87"/>
    <w:rsid w:val="00E25C3C"/>
    <w:rsid w:val="00E25DE0"/>
    <w:rsid w:val="00E25FE0"/>
    <w:rsid w:val="00E27453"/>
    <w:rsid w:val="00E27F48"/>
    <w:rsid w:val="00E30012"/>
    <w:rsid w:val="00E30052"/>
    <w:rsid w:val="00E30072"/>
    <w:rsid w:val="00E30163"/>
    <w:rsid w:val="00E30404"/>
    <w:rsid w:val="00E30543"/>
    <w:rsid w:val="00E306E5"/>
    <w:rsid w:val="00E30757"/>
    <w:rsid w:val="00E31979"/>
    <w:rsid w:val="00E319F3"/>
    <w:rsid w:val="00E31B88"/>
    <w:rsid w:val="00E31E9D"/>
    <w:rsid w:val="00E323CD"/>
    <w:rsid w:val="00E3278E"/>
    <w:rsid w:val="00E32C5C"/>
    <w:rsid w:val="00E32CF0"/>
    <w:rsid w:val="00E32F56"/>
    <w:rsid w:val="00E334A3"/>
    <w:rsid w:val="00E33762"/>
    <w:rsid w:val="00E34103"/>
    <w:rsid w:val="00E347BC"/>
    <w:rsid w:val="00E34B3A"/>
    <w:rsid w:val="00E34F18"/>
    <w:rsid w:val="00E3510E"/>
    <w:rsid w:val="00E35460"/>
    <w:rsid w:val="00E35567"/>
    <w:rsid w:val="00E35A2B"/>
    <w:rsid w:val="00E35C2C"/>
    <w:rsid w:val="00E36BCF"/>
    <w:rsid w:val="00E3702D"/>
    <w:rsid w:val="00E3741F"/>
    <w:rsid w:val="00E375CF"/>
    <w:rsid w:val="00E37A8D"/>
    <w:rsid w:val="00E37B53"/>
    <w:rsid w:val="00E37BBA"/>
    <w:rsid w:val="00E37EFD"/>
    <w:rsid w:val="00E40DF9"/>
    <w:rsid w:val="00E4139D"/>
    <w:rsid w:val="00E416B4"/>
    <w:rsid w:val="00E4184F"/>
    <w:rsid w:val="00E4199D"/>
    <w:rsid w:val="00E42135"/>
    <w:rsid w:val="00E4228A"/>
    <w:rsid w:val="00E42800"/>
    <w:rsid w:val="00E429B4"/>
    <w:rsid w:val="00E42D58"/>
    <w:rsid w:val="00E43085"/>
    <w:rsid w:val="00E433B5"/>
    <w:rsid w:val="00E4398E"/>
    <w:rsid w:val="00E43D16"/>
    <w:rsid w:val="00E44BEF"/>
    <w:rsid w:val="00E44E9B"/>
    <w:rsid w:val="00E459F4"/>
    <w:rsid w:val="00E46196"/>
    <w:rsid w:val="00E463E1"/>
    <w:rsid w:val="00E46747"/>
    <w:rsid w:val="00E47F6D"/>
    <w:rsid w:val="00E501E8"/>
    <w:rsid w:val="00E507BC"/>
    <w:rsid w:val="00E508F6"/>
    <w:rsid w:val="00E50977"/>
    <w:rsid w:val="00E50B72"/>
    <w:rsid w:val="00E50ECC"/>
    <w:rsid w:val="00E510B3"/>
    <w:rsid w:val="00E5116B"/>
    <w:rsid w:val="00E519DC"/>
    <w:rsid w:val="00E51AAE"/>
    <w:rsid w:val="00E51CA8"/>
    <w:rsid w:val="00E51DBD"/>
    <w:rsid w:val="00E523DD"/>
    <w:rsid w:val="00E52C27"/>
    <w:rsid w:val="00E52E44"/>
    <w:rsid w:val="00E52F57"/>
    <w:rsid w:val="00E53349"/>
    <w:rsid w:val="00E539A4"/>
    <w:rsid w:val="00E53D04"/>
    <w:rsid w:val="00E54055"/>
    <w:rsid w:val="00E54956"/>
    <w:rsid w:val="00E5496F"/>
    <w:rsid w:val="00E54B25"/>
    <w:rsid w:val="00E54BD7"/>
    <w:rsid w:val="00E54BE1"/>
    <w:rsid w:val="00E54D60"/>
    <w:rsid w:val="00E565B8"/>
    <w:rsid w:val="00E57312"/>
    <w:rsid w:val="00E57322"/>
    <w:rsid w:val="00E5741B"/>
    <w:rsid w:val="00E57695"/>
    <w:rsid w:val="00E577EB"/>
    <w:rsid w:val="00E57A5B"/>
    <w:rsid w:val="00E57D29"/>
    <w:rsid w:val="00E57F83"/>
    <w:rsid w:val="00E60EA1"/>
    <w:rsid w:val="00E61147"/>
    <w:rsid w:val="00E614DA"/>
    <w:rsid w:val="00E6182F"/>
    <w:rsid w:val="00E61A78"/>
    <w:rsid w:val="00E62313"/>
    <w:rsid w:val="00E624C1"/>
    <w:rsid w:val="00E63103"/>
    <w:rsid w:val="00E633AB"/>
    <w:rsid w:val="00E63946"/>
    <w:rsid w:val="00E6475B"/>
    <w:rsid w:val="00E64BC9"/>
    <w:rsid w:val="00E64BE4"/>
    <w:rsid w:val="00E654E4"/>
    <w:rsid w:val="00E65F88"/>
    <w:rsid w:val="00E662B8"/>
    <w:rsid w:val="00E662F5"/>
    <w:rsid w:val="00E66321"/>
    <w:rsid w:val="00E663EE"/>
    <w:rsid w:val="00E66ECF"/>
    <w:rsid w:val="00E6716C"/>
    <w:rsid w:val="00E6740C"/>
    <w:rsid w:val="00E67481"/>
    <w:rsid w:val="00E67DB7"/>
    <w:rsid w:val="00E67DEC"/>
    <w:rsid w:val="00E67E01"/>
    <w:rsid w:val="00E70621"/>
    <w:rsid w:val="00E70D23"/>
    <w:rsid w:val="00E70DAC"/>
    <w:rsid w:val="00E70F14"/>
    <w:rsid w:val="00E7136D"/>
    <w:rsid w:val="00E71AF6"/>
    <w:rsid w:val="00E71C0A"/>
    <w:rsid w:val="00E723E1"/>
    <w:rsid w:val="00E72854"/>
    <w:rsid w:val="00E72C57"/>
    <w:rsid w:val="00E72D7C"/>
    <w:rsid w:val="00E72DDD"/>
    <w:rsid w:val="00E734E1"/>
    <w:rsid w:val="00E74044"/>
    <w:rsid w:val="00E7491E"/>
    <w:rsid w:val="00E74BCD"/>
    <w:rsid w:val="00E74FB7"/>
    <w:rsid w:val="00E7557A"/>
    <w:rsid w:val="00E7561C"/>
    <w:rsid w:val="00E76059"/>
    <w:rsid w:val="00E765E1"/>
    <w:rsid w:val="00E7660A"/>
    <w:rsid w:val="00E76E45"/>
    <w:rsid w:val="00E76ED4"/>
    <w:rsid w:val="00E771D0"/>
    <w:rsid w:val="00E772E4"/>
    <w:rsid w:val="00E774C6"/>
    <w:rsid w:val="00E7772B"/>
    <w:rsid w:val="00E80068"/>
    <w:rsid w:val="00E804AA"/>
    <w:rsid w:val="00E80657"/>
    <w:rsid w:val="00E809AB"/>
    <w:rsid w:val="00E80CBB"/>
    <w:rsid w:val="00E80D94"/>
    <w:rsid w:val="00E816D4"/>
    <w:rsid w:val="00E81C36"/>
    <w:rsid w:val="00E8234C"/>
    <w:rsid w:val="00E8250C"/>
    <w:rsid w:val="00E828CE"/>
    <w:rsid w:val="00E82A59"/>
    <w:rsid w:val="00E82C8A"/>
    <w:rsid w:val="00E82EFD"/>
    <w:rsid w:val="00E83021"/>
    <w:rsid w:val="00E83082"/>
    <w:rsid w:val="00E8329B"/>
    <w:rsid w:val="00E83C17"/>
    <w:rsid w:val="00E84395"/>
    <w:rsid w:val="00E84967"/>
    <w:rsid w:val="00E8517A"/>
    <w:rsid w:val="00E8579C"/>
    <w:rsid w:val="00E859FA"/>
    <w:rsid w:val="00E86118"/>
    <w:rsid w:val="00E8635E"/>
    <w:rsid w:val="00E864F5"/>
    <w:rsid w:val="00E865A1"/>
    <w:rsid w:val="00E86B50"/>
    <w:rsid w:val="00E87678"/>
    <w:rsid w:val="00E876B9"/>
    <w:rsid w:val="00E87B6F"/>
    <w:rsid w:val="00E87DF3"/>
    <w:rsid w:val="00E87E7D"/>
    <w:rsid w:val="00E87FB6"/>
    <w:rsid w:val="00E90129"/>
    <w:rsid w:val="00E902B6"/>
    <w:rsid w:val="00E90E65"/>
    <w:rsid w:val="00E91FF9"/>
    <w:rsid w:val="00E921CE"/>
    <w:rsid w:val="00E92625"/>
    <w:rsid w:val="00E92697"/>
    <w:rsid w:val="00E929E9"/>
    <w:rsid w:val="00E935FE"/>
    <w:rsid w:val="00E9409E"/>
    <w:rsid w:val="00E94109"/>
    <w:rsid w:val="00E94647"/>
    <w:rsid w:val="00E94693"/>
    <w:rsid w:val="00E947B7"/>
    <w:rsid w:val="00E94B7A"/>
    <w:rsid w:val="00E94EF8"/>
    <w:rsid w:val="00E9514B"/>
    <w:rsid w:val="00E952DA"/>
    <w:rsid w:val="00E95479"/>
    <w:rsid w:val="00E9548F"/>
    <w:rsid w:val="00E954F8"/>
    <w:rsid w:val="00E95E7E"/>
    <w:rsid w:val="00E95FE1"/>
    <w:rsid w:val="00E96112"/>
    <w:rsid w:val="00E966C2"/>
    <w:rsid w:val="00E96FE7"/>
    <w:rsid w:val="00E97DFF"/>
    <w:rsid w:val="00E97F17"/>
    <w:rsid w:val="00EA0595"/>
    <w:rsid w:val="00EA08E6"/>
    <w:rsid w:val="00EA0B7A"/>
    <w:rsid w:val="00EA0C14"/>
    <w:rsid w:val="00EA1270"/>
    <w:rsid w:val="00EA1CC5"/>
    <w:rsid w:val="00EA1FC5"/>
    <w:rsid w:val="00EA20E6"/>
    <w:rsid w:val="00EA23AE"/>
    <w:rsid w:val="00EA282F"/>
    <w:rsid w:val="00EA2A0E"/>
    <w:rsid w:val="00EA2C4B"/>
    <w:rsid w:val="00EA33AB"/>
    <w:rsid w:val="00EA396B"/>
    <w:rsid w:val="00EA45FD"/>
    <w:rsid w:val="00EA586C"/>
    <w:rsid w:val="00EA5F59"/>
    <w:rsid w:val="00EA6004"/>
    <w:rsid w:val="00EA6F08"/>
    <w:rsid w:val="00EA7495"/>
    <w:rsid w:val="00EB048E"/>
    <w:rsid w:val="00EB06C1"/>
    <w:rsid w:val="00EB098F"/>
    <w:rsid w:val="00EB0DA6"/>
    <w:rsid w:val="00EB0EF5"/>
    <w:rsid w:val="00EB1690"/>
    <w:rsid w:val="00EB1DF2"/>
    <w:rsid w:val="00EB2799"/>
    <w:rsid w:val="00EB2971"/>
    <w:rsid w:val="00EB2B59"/>
    <w:rsid w:val="00EB3256"/>
    <w:rsid w:val="00EB3CF7"/>
    <w:rsid w:val="00EB41FB"/>
    <w:rsid w:val="00EB479B"/>
    <w:rsid w:val="00EB489D"/>
    <w:rsid w:val="00EB4C57"/>
    <w:rsid w:val="00EB5223"/>
    <w:rsid w:val="00EB5710"/>
    <w:rsid w:val="00EB6ABF"/>
    <w:rsid w:val="00EB6DDD"/>
    <w:rsid w:val="00EB6F47"/>
    <w:rsid w:val="00EB7182"/>
    <w:rsid w:val="00EB761D"/>
    <w:rsid w:val="00EB7D6B"/>
    <w:rsid w:val="00EC0A34"/>
    <w:rsid w:val="00EC0EBC"/>
    <w:rsid w:val="00EC10BA"/>
    <w:rsid w:val="00EC1450"/>
    <w:rsid w:val="00EC16D4"/>
    <w:rsid w:val="00EC1ABF"/>
    <w:rsid w:val="00EC1C36"/>
    <w:rsid w:val="00EC1DD9"/>
    <w:rsid w:val="00EC2603"/>
    <w:rsid w:val="00EC306D"/>
    <w:rsid w:val="00EC3DFA"/>
    <w:rsid w:val="00EC4F50"/>
    <w:rsid w:val="00EC50C1"/>
    <w:rsid w:val="00EC5330"/>
    <w:rsid w:val="00EC65DC"/>
    <w:rsid w:val="00EC6613"/>
    <w:rsid w:val="00EC75F1"/>
    <w:rsid w:val="00EC7EA7"/>
    <w:rsid w:val="00ED0AB3"/>
    <w:rsid w:val="00ED1479"/>
    <w:rsid w:val="00ED1CE3"/>
    <w:rsid w:val="00ED2230"/>
    <w:rsid w:val="00ED22A3"/>
    <w:rsid w:val="00ED2C2F"/>
    <w:rsid w:val="00ED2F18"/>
    <w:rsid w:val="00ED3825"/>
    <w:rsid w:val="00ED3C32"/>
    <w:rsid w:val="00ED3DD7"/>
    <w:rsid w:val="00ED4243"/>
    <w:rsid w:val="00ED42F7"/>
    <w:rsid w:val="00ED48AA"/>
    <w:rsid w:val="00ED492B"/>
    <w:rsid w:val="00ED4A7C"/>
    <w:rsid w:val="00ED501A"/>
    <w:rsid w:val="00ED53DB"/>
    <w:rsid w:val="00ED57ED"/>
    <w:rsid w:val="00ED5C19"/>
    <w:rsid w:val="00ED5D00"/>
    <w:rsid w:val="00ED5F98"/>
    <w:rsid w:val="00ED6360"/>
    <w:rsid w:val="00ED6705"/>
    <w:rsid w:val="00ED683E"/>
    <w:rsid w:val="00ED751D"/>
    <w:rsid w:val="00EE0868"/>
    <w:rsid w:val="00EE0E80"/>
    <w:rsid w:val="00EE0EB2"/>
    <w:rsid w:val="00EE0EBE"/>
    <w:rsid w:val="00EE114F"/>
    <w:rsid w:val="00EE12E2"/>
    <w:rsid w:val="00EE13A5"/>
    <w:rsid w:val="00EE14F8"/>
    <w:rsid w:val="00EE1798"/>
    <w:rsid w:val="00EE1812"/>
    <w:rsid w:val="00EE1A86"/>
    <w:rsid w:val="00EE1A92"/>
    <w:rsid w:val="00EE1B95"/>
    <w:rsid w:val="00EE1E1C"/>
    <w:rsid w:val="00EE225D"/>
    <w:rsid w:val="00EE255C"/>
    <w:rsid w:val="00EE25C5"/>
    <w:rsid w:val="00EE2EB5"/>
    <w:rsid w:val="00EE2FED"/>
    <w:rsid w:val="00EE3015"/>
    <w:rsid w:val="00EE37BB"/>
    <w:rsid w:val="00EE4DD8"/>
    <w:rsid w:val="00EE5289"/>
    <w:rsid w:val="00EE5AD8"/>
    <w:rsid w:val="00EE5D80"/>
    <w:rsid w:val="00EE61A4"/>
    <w:rsid w:val="00EE674F"/>
    <w:rsid w:val="00EE6BED"/>
    <w:rsid w:val="00EE6DF5"/>
    <w:rsid w:val="00EE77E6"/>
    <w:rsid w:val="00EF027C"/>
    <w:rsid w:val="00EF0287"/>
    <w:rsid w:val="00EF10D1"/>
    <w:rsid w:val="00EF1379"/>
    <w:rsid w:val="00EF1545"/>
    <w:rsid w:val="00EF1566"/>
    <w:rsid w:val="00EF1766"/>
    <w:rsid w:val="00EF1A31"/>
    <w:rsid w:val="00EF2068"/>
    <w:rsid w:val="00EF2FF7"/>
    <w:rsid w:val="00EF3412"/>
    <w:rsid w:val="00EF3443"/>
    <w:rsid w:val="00EF3848"/>
    <w:rsid w:val="00EF3A41"/>
    <w:rsid w:val="00EF3D3C"/>
    <w:rsid w:val="00EF3E79"/>
    <w:rsid w:val="00EF3F09"/>
    <w:rsid w:val="00EF42BB"/>
    <w:rsid w:val="00EF44AE"/>
    <w:rsid w:val="00EF452C"/>
    <w:rsid w:val="00EF460D"/>
    <w:rsid w:val="00EF474D"/>
    <w:rsid w:val="00EF482D"/>
    <w:rsid w:val="00EF49D1"/>
    <w:rsid w:val="00EF5105"/>
    <w:rsid w:val="00EF57FE"/>
    <w:rsid w:val="00EF5C9A"/>
    <w:rsid w:val="00EF5CFC"/>
    <w:rsid w:val="00EF5E65"/>
    <w:rsid w:val="00EF5EC4"/>
    <w:rsid w:val="00EF6513"/>
    <w:rsid w:val="00EF6A19"/>
    <w:rsid w:val="00EF6B17"/>
    <w:rsid w:val="00EF6BCA"/>
    <w:rsid w:val="00EF6EC7"/>
    <w:rsid w:val="00EF7FD9"/>
    <w:rsid w:val="00F0022F"/>
    <w:rsid w:val="00F002F1"/>
    <w:rsid w:val="00F007B9"/>
    <w:rsid w:val="00F00D83"/>
    <w:rsid w:val="00F01681"/>
    <w:rsid w:val="00F01754"/>
    <w:rsid w:val="00F01CD8"/>
    <w:rsid w:val="00F01E24"/>
    <w:rsid w:val="00F031C2"/>
    <w:rsid w:val="00F035DC"/>
    <w:rsid w:val="00F03875"/>
    <w:rsid w:val="00F03DC6"/>
    <w:rsid w:val="00F03FC7"/>
    <w:rsid w:val="00F05472"/>
    <w:rsid w:val="00F06EF4"/>
    <w:rsid w:val="00F07236"/>
    <w:rsid w:val="00F07707"/>
    <w:rsid w:val="00F1006A"/>
    <w:rsid w:val="00F10405"/>
    <w:rsid w:val="00F10AD1"/>
    <w:rsid w:val="00F10C1B"/>
    <w:rsid w:val="00F10E31"/>
    <w:rsid w:val="00F11310"/>
    <w:rsid w:val="00F113E8"/>
    <w:rsid w:val="00F11709"/>
    <w:rsid w:val="00F11792"/>
    <w:rsid w:val="00F117BD"/>
    <w:rsid w:val="00F12167"/>
    <w:rsid w:val="00F129F5"/>
    <w:rsid w:val="00F12EC1"/>
    <w:rsid w:val="00F12F5C"/>
    <w:rsid w:val="00F1385D"/>
    <w:rsid w:val="00F13A33"/>
    <w:rsid w:val="00F13A63"/>
    <w:rsid w:val="00F13F2A"/>
    <w:rsid w:val="00F1411F"/>
    <w:rsid w:val="00F1432B"/>
    <w:rsid w:val="00F146EC"/>
    <w:rsid w:val="00F14AE4"/>
    <w:rsid w:val="00F14C9F"/>
    <w:rsid w:val="00F15231"/>
    <w:rsid w:val="00F15AF6"/>
    <w:rsid w:val="00F16310"/>
    <w:rsid w:val="00F1667C"/>
    <w:rsid w:val="00F1667E"/>
    <w:rsid w:val="00F166CE"/>
    <w:rsid w:val="00F177DF"/>
    <w:rsid w:val="00F17E65"/>
    <w:rsid w:val="00F17FA6"/>
    <w:rsid w:val="00F2013E"/>
    <w:rsid w:val="00F209F7"/>
    <w:rsid w:val="00F20C69"/>
    <w:rsid w:val="00F22726"/>
    <w:rsid w:val="00F2314F"/>
    <w:rsid w:val="00F233F2"/>
    <w:rsid w:val="00F236C0"/>
    <w:rsid w:val="00F23B34"/>
    <w:rsid w:val="00F2415B"/>
    <w:rsid w:val="00F24555"/>
    <w:rsid w:val="00F254F3"/>
    <w:rsid w:val="00F25A17"/>
    <w:rsid w:val="00F263A9"/>
    <w:rsid w:val="00F26CB5"/>
    <w:rsid w:val="00F26FF7"/>
    <w:rsid w:val="00F27105"/>
    <w:rsid w:val="00F27210"/>
    <w:rsid w:val="00F27456"/>
    <w:rsid w:val="00F27693"/>
    <w:rsid w:val="00F27F54"/>
    <w:rsid w:val="00F27FC4"/>
    <w:rsid w:val="00F300F1"/>
    <w:rsid w:val="00F308A0"/>
    <w:rsid w:val="00F31437"/>
    <w:rsid w:val="00F31A23"/>
    <w:rsid w:val="00F32281"/>
    <w:rsid w:val="00F32BCA"/>
    <w:rsid w:val="00F32E33"/>
    <w:rsid w:val="00F33605"/>
    <w:rsid w:val="00F33A4D"/>
    <w:rsid w:val="00F33AAD"/>
    <w:rsid w:val="00F33AE1"/>
    <w:rsid w:val="00F33C07"/>
    <w:rsid w:val="00F33F93"/>
    <w:rsid w:val="00F34010"/>
    <w:rsid w:val="00F347B1"/>
    <w:rsid w:val="00F347B7"/>
    <w:rsid w:val="00F34843"/>
    <w:rsid w:val="00F35141"/>
    <w:rsid w:val="00F35580"/>
    <w:rsid w:val="00F35946"/>
    <w:rsid w:val="00F35C75"/>
    <w:rsid w:val="00F35F47"/>
    <w:rsid w:val="00F36275"/>
    <w:rsid w:val="00F3652F"/>
    <w:rsid w:val="00F372D1"/>
    <w:rsid w:val="00F374BA"/>
    <w:rsid w:val="00F37735"/>
    <w:rsid w:val="00F377D7"/>
    <w:rsid w:val="00F379D0"/>
    <w:rsid w:val="00F37AE3"/>
    <w:rsid w:val="00F37CC6"/>
    <w:rsid w:val="00F40147"/>
    <w:rsid w:val="00F40ABB"/>
    <w:rsid w:val="00F40EC5"/>
    <w:rsid w:val="00F4150B"/>
    <w:rsid w:val="00F415F2"/>
    <w:rsid w:val="00F41B7A"/>
    <w:rsid w:val="00F421A8"/>
    <w:rsid w:val="00F42830"/>
    <w:rsid w:val="00F42E37"/>
    <w:rsid w:val="00F436E8"/>
    <w:rsid w:val="00F43756"/>
    <w:rsid w:val="00F43799"/>
    <w:rsid w:val="00F43C08"/>
    <w:rsid w:val="00F444D7"/>
    <w:rsid w:val="00F44BC3"/>
    <w:rsid w:val="00F4522F"/>
    <w:rsid w:val="00F45E5F"/>
    <w:rsid w:val="00F4612B"/>
    <w:rsid w:val="00F46434"/>
    <w:rsid w:val="00F47505"/>
    <w:rsid w:val="00F47A33"/>
    <w:rsid w:val="00F47A5A"/>
    <w:rsid w:val="00F47A5B"/>
    <w:rsid w:val="00F47BBE"/>
    <w:rsid w:val="00F47F95"/>
    <w:rsid w:val="00F50177"/>
    <w:rsid w:val="00F5069B"/>
    <w:rsid w:val="00F50706"/>
    <w:rsid w:val="00F509C0"/>
    <w:rsid w:val="00F5103C"/>
    <w:rsid w:val="00F510A7"/>
    <w:rsid w:val="00F51145"/>
    <w:rsid w:val="00F512E8"/>
    <w:rsid w:val="00F51495"/>
    <w:rsid w:val="00F5161E"/>
    <w:rsid w:val="00F51943"/>
    <w:rsid w:val="00F51F82"/>
    <w:rsid w:val="00F520AD"/>
    <w:rsid w:val="00F524AC"/>
    <w:rsid w:val="00F53536"/>
    <w:rsid w:val="00F53AF2"/>
    <w:rsid w:val="00F53BCF"/>
    <w:rsid w:val="00F540CE"/>
    <w:rsid w:val="00F543B1"/>
    <w:rsid w:val="00F5445F"/>
    <w:rsid w:val="00F547C8"/>
    <w:rsid w:val="00F54888"/>
    <w:rsid w:val="00F54F3E"/>
    <w:rsid w:val="00F55006"/>
    <w:rsid w:val="00F55F53"/>
    <w:rsid w:val="00F56359"/>
    <w:rsid w:val="00F569B8"/>
    <w:rsid w:val="00F56A2A"/>
    <w:rsid w:val="00F56B7C"/>
    <w:rsid w:val="00F56E88"/>
    <w:rsid w:val="00F57A1A"/>
    <w:rsid w:val="00F57A7F"/>
    <w:rsid w:val="00F60093"/>
    <w:rsid w:val="00F6016D"/>
    <w:rsid w:val="00F601DD"/>
    <w:rsid w:val="00F6057B"/>
    <w:rsid w:val="00F60640"/>
    <w:rsid w:val="00F607DD"/>
    <w:rsid w:val="00F60CFA"/>
    <w:rsid w:val="00F6133D"/>
    <w:rsid w:val="00F61429"/>
    <w:rsid w:val="00F61879"/>
    <w:rsid w:val="00F61CD5"/>
    <w:rsid w:val="00F61CF8"/>
    <w:rsid w:val="00F6200A"/>
    <w:rsid w:val="00F62192"/>
    <w:rsid w:val="00F62380"/>
    <w:rsid w:val="00F62BC7"/>
    <w:rsid w:val="00F62F02"/>
    <w:rsid w:val="00F632BC"/>
    <w:rsid w:val="00F634A7"/>
    <w:rsid w:val="00F634F7"/>
    <w:rsid w:val="00F63A93"/>
    <w:rsid w:val="00F63DCA"/>
    <w:rsid w:val="00F649CE"/>
    <w:rsid w:val="00F6511B"/>
    <w:rsid w:val="00F6564D"/>
    <w:rsid w:val="00F65A51"/>
    <w:rsid w:val="00F65D30"/>
    <w:rsid w:val="00F66024"/>
    <w:rsid w:val="00F66101"/>
    <w:rsid w:val="00F66C9A"/>
    <w:rsid w:val="00F672F7"/>
    <w:rsid w:val="00F67311"/>
    <w:rsid w:val="00F67E35"/>
    <w:rsid w:val="00F7070D"/>
    <w:rsid w:val="00F71185"/>
    <w:rsid w:val="00F712CC"/>
    <w:rsid w:val="00F71332"/>
    <w:rsid w:val="00F720F0"/>
    <w:rsid w:val="00F721F2"/>
    <w:rsid w:val="00F7232B"/>
    <w:rsid w:val="00F723CA"/>
    <w:rsid w:val="00F72D21"/>
    <w:rsid w:val="00F73119"/>
    <w:rsid w:val="00F7350B"/>
    <w:rsid w:val="00F74669"/>
    <w:rsid w:val="00F7544A"/>
    <w:rsid w:val="00F75AA8"/>
    <w:rsid w:val="00F75BDB"/>
    <w:rsid w:val="00F7606E"/>
    <w:rsid w:val="00F7613B"/>
    <w:rsid w:val="00F767A4"/>
    <w:rsid w:val="00F7696F"/>
    <w:rsid w:val="00F772EC"/>
    <w:rsid w:val="00F77383"/>
    <w:rsid w:val="00F7747A"/>
    <w:rsid w:val="00F77801"/>
    <w:rsid w:val="00F77A17"/>
    <w:rsid w:val="00F77A6D"/>
    <w:rsid w:val="00F8015D"/>
    <w:rsid w:val="00F803DC"/>
    <w:rsid w:val="00F808CA"/>
    <w:rsid w:val="00F80B11"/>
    <w:rsid w:val="00F81E62"/>
    <w:rsid w:val="00F8235C"/>
    <w:rsid w:val="00F8266D"/>
    <w:rsid w:val="00F827A4"/>
    <w:rsid w:val="00F827CB"/>
    <w:rsid w:val="00F82F44"/>
    <w:rsid w:val="00F83292"/>
    <w:rsid w:val="00F83339"/>
    <w:rsid w:val="00F83382"/>
    <w:rsid w:val="00F833FD"/>
    <w:rsid w:val="00F83A01"/>
    <w:rsid w:val="00F83B55"/>
    <w:rsid w:val="00F83D52"/>
    <w:rsid w:val="00F8411E"/>
    <w:rsid w:val="00F847A1"/>
    <w:rsid w:val="00F8489A"/>
    <w:rsid w:val="00F85E3D"/>
    <w:rsid w:val="00F85E45"/>
    <w:rsid w:val="00F86B86"/>
    <w:rsid w:val="00F87B4C"/>
    <w:rsid w:val="00F87D20"/>
    <w:rsid w:val="00F87DAB"/>
    <w:rsid w:val="00F906B9"/>
    <w:rsid w:val="00F9169A"/>
    <w:rsid w:val="00F91CDD"/>
    <w:rsid w:val="00F921D1"/>
    <w:rsid w:val="00F92793"/>
    <w:rsid w:val="00F92A66"/>
    <w:rsid w:val="00F9357A"/>
    <w:rsid w:val="00F935C5"/>
    <w:rsid w:val="00F94084"/>
    <w:rsid w:val="00F945C0"/>
    <w:rsid w:val="00F94C9D"/>
    <w:rsid w:val="00F94F93"/>
    <w:rsid w:val="00F95EA3"/>
    <w:rsid w:val="00F960BD"/>
    <w:rsid w:val="00F96385"/>
    <w:rsid w:val="00F9693E"/>
    <w:rsid w:val="00F96F05"/>
    <w:rsid w:val="00F979E5"/>
    <w:rsid w:val="00F97EFD"/>
    <w:rsid w:val="00FA0089"/>
    <w:rsid w:val="00FA02F2"/>
    <w:rsid w:val="00FA0C30"/>
    <w:rsid w:val="00FA0FBA"/>
    <w:rsid w:val="00FA15B1"/>
    <w:rsid w:val="00FA207E"/>
    <w:rsid w:val="00FA2634"/>
    <w:rsid w:val="00FA267B"/>
    <w:rsid w:val="00FA2709"/>
    <w:rsid w:val="00FA27C2"/>
    <w:rsid w:val="00FA29B0"/>
    <w:rsid w:val="00FA29D2"/>
    <w:rsid w:val="00FA2B8A"/>
    <w:rsid w:val="00FA2B9F"/>
    <w:rsid w:val="00FA2D3D"/>
    <w:rsid w:val="00FA2DF8"/>
    <w:rsid w:val="00FA35CB"/>
    <w:rsid w:val="00FA368C"/>
    <w:rsid w:val="00FA378F"/>
    <w:rsid w:val="00FA4AE7"/>
    <w:rsid w:val="00FA4FC1"/>
    <w:rsid w:val="00FA54F7"/>
    <w:rsid w:val="00FA72DA"/>
    <w:rsid w:val="00FA7AB1"/>
    <w:rsid w:val="00FA7EF0"/>
    <w:rsid w:val="00FB0C5C"/>
    <w:rsid w:val="00FB10EA"/>
    <w:rsid w:val="00FB1738"/>
    <w:rsid w:val="00FB2B21"/>
    <w:rsid w:val="00FB2F7C"/>
    <w:rsid w:val="00FB2FCD"/>
    <w:rsid w:val="00FB300F"/>
    <w:rsid w:val="00FB3260"/>
    <w:rsid w:val="00FB4AA3"/>
    <w:rsid w:val="00FB5075"/>
    <w:rsid w:val="00FB50D2"/>
    <w:rsid w:val="00FB597C"/>
    <w:rsid w:val="00FB6041"/>
    <w:rsid w:val="00FB6379"/>
    <w:rsid w:val="00FB64A5"/>
    <w:rsid w:val="00FB6B32"/>
    <w:rsid w:val="00FB6CE8"/>
    <w:rsid w:val="00FB70A3"/>
    <w:rsid w:val="00FB727A"/>
    <w:rsid w:val="00FC05EF"/>
    <w:rsid w:val="00FC0B14"/>
    <w:rsid w:val="00FC0CC7"/>
    <w:rsid w:val="00FC11FE"/>
    <w:rsid w:val="00FC154F"/>
    <w:rsid w:val="00FC2601"/>
    <w:rsid w:val="00FC276B"/>
    <w:rsid w:val="00FC27DA"/>
    <w:rsid w:val="00FC297A"/>
    <w:rsid w:val="00FC2AB6"/>
    <w:rsid w:val="00FC2CB5"/>
    <w:rsid w:val="00FC2E90"/>
    <w:rsid w:val="00FC2F8F"/>
    <w:rsid w:val="00FC31C7"/>
    <w:rsid w:val="00FC31EC"/>
    <w:rsid w:val="00FC3372"/>
    <w:rsid w:val="00FC3CC3"/>
    <w:rsid w:val="00FC3D02"/>
    <w:rsid w:val="00FC4140"/>
    <w:rsid w:val="00FC45E1"/>
    <w:rsid w:val="00FC59EA"/>
    <w:rsid w:val="00FC75DE"/>
    <w:rsid w:val="00FC7B66"/>
    <w:rsid w:val="00FC7C86"/>
    <w:rsid w:val="00FD039E"/>
    <w:rsid w:val="00FD04FD"/>
    <w:rsid w:val="00FD0882"/>
    <w:rsid w:val="00FD0AC8"/>
    <w:rsid w:val="00FD0CF2"/>
    <w:rsid w:val="00FD118A"/>
    <w:rsid w:val="00FD11C7"/>
    <w:rsid w:val="00FD2AA2"/>
    <w:rsid w:val="00FD4126"/>
    <w:rsid w:val="00FD478E"/>
    <w:rsid w:val="00FD5039"/>
    <w:rsid w:val="00FD5777"/>
    <w:rsid w:val="00FD5A89"/>
    <w:rsid w:val="00FD5DC0"/>
    <w:rsid w:val="00FD609C"/>
    <w:rsid w:val="00FD61E5"/>
    <w:rsid w:val="00FD6232"/>
    <w:rsid w:val="00FD64A9"/>
    <w:rsid w:val="00FD694B"/>
    <w:rsid w:val="00FD6F11"/>
    <w:rsid w:val="00FD75B9"/>
    <w:rsid w:val="00FD7E43"/>
    <w:rsid w:val="00FE000E"/>
    <w:rsid w:val="00FE09AE"/>
    <w:rsid w:val="00FE0A15"/>
    <w:rsid w:val="00FE0CF1"/>
    <w:rsid w:val="00FE0E13"/>
    <w:rsid w:val="00FE1591"/>
    <w:rsid w:val="00FE15AE"/>
    <w:rsid w:val="00FE2353"/>
    <w:rsid w:val="00FE2596"/>
    <w:rsid w:val="00FE3513"/>
    <w:rsid w:val="00FE365F"/>
    <w:rsid w:val="00FE373B"/>
    <w:rsid w:val="00FE3CEA"/>
    <w:rsid w:val="00FE3DF6"/>
    <w:rsid w:val="00FE3E2D"/>
    <w:rsid w:val="00FE3E9C"/>
    <w:rsid w:val="00FE408D"/>
    <w:rsid w:val="00FE4A21"/>
    <w:rsid w:val="00FE4EFE"/>
    <w:rsid w:val="00FE5072"/>
    <w:rsid w:val="00FE5133"/>
    <w:rsid w:val="00FE5736"/>
    <w:rsid w:val="00FE5EB0"/>
    <w:rsid w:val="00FE602E"/>
    <w:rsid w:val="00FE6217"/>
    <w:rsid w:val="00FE6ACC"/>
    <w:rsid w:val="00FE7FEA"/>
    <w:rsid w:val="00FF122E"/>
    <w:rsid w:val="00FF1971"/>
    <w:rsid w:val="00FF374F"/>
    <w:rsid w:val="00FF3D73"/>
    <w:rsid w:val="00FF464F"/>
    <w:rsid w:val="00FF475A"/>
    <w:rsid w:val="00FF4943"/>
    <w:rsid w:val="00FF4B14"/>
    <w:rsid w:val="00FF4C4C"/>
    <w:rsid w:val="00FF5359"/>
    <w:rsid w:val="00FF5719"/>
    <w:rsid w:val="00FF584B"/>
    <w:rsid w:val="00FF5952"/>
    <w:rsid w:val="00FF5C50"/>
    <w:rsid w:val="00FF6236"/>
    <w:rsid w:val="00FF6355"/>
    <w:rsid w:val="00FF67BD"/>
    <w:rsid w:val="00FF682A"/>
    <w:rsid w:val="00FF73F1"/>
    <w:rsid w:val="00FF7891"/>
    <w:rsid w:val="00FF7AB8"/>
    <w:rsid w:val="00FF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B33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4CD2"/>
    <w:pPr>
      <w:spacing w:before="120" w:after="120"/>
      <w:ind w:left="-720"/>
      <w:jc w:val="both"/>
    </w:pPr>
    <w:rPr>
      <w:rFonts w:ascii="Times New Roman" w:hAnsi="Times New Roman"/>
      <w:sz w:val="24"/>
    </w:rPr>
  </w:style>
  <w:style w:type="paragraph" w:styleId="Heading1">
    <w:name w:val="heading 1"/>
    <w:basedOn w:val="Normal"/>
    <w:next w:val="BodyText"/>
    <w:link w:val="Heading1Char"/>
    <w:uiPriority w:val="99"/>
    <w:qFormat/>
    <w:rsid w:val="00A07FCB"/>
    <w:pPr>
      <w:keepNext/>
      <w:suppressLineNumbers/>
      <w:spacing w:before="360" w:after="240"/>
      <w:ind w:left="720" w:hanging="708"/>
      <w:jc w:val="left"/>
      <w:outlineLvl w:val="0"/>
    </w:pPr>
    <w:rPr>
      <w:rFonts w:ascii="Arial Bold" w:hAnsi="Arial Bold"/>
      <w:b/>
      <w:caps/>
      <w:color w:val="808080"/>
      <w:kern w:val="28"/>
      <w:sz w:val="28"/>
      <w:u w:color="568A9E"/>
    </w:rPr>
  </w:style>
  <w:style w:type="paragraph" w:styleId="Heading2">
    <w:name w:val="heading 2"/>
    <w:basedOn w:val="Normal"/>
    <w:next w:val="BodyText"/>
    <w:link w:val="Heading2Char"/>
    <w:uiPriority w:val="99"/>
    <w:qFormat/>
    <w:rsid w:val="00914CD2"/>
    <w:pPr>
      <w:keepNext/>
      <w:suppressLineNumbers/>
      <w:tabs>
        <w:tab w:val="num" w:pos="360"/>
      </w:tabs>
      <w:spacing w:before="240"/>
      <w:ind w:left="360" w:hanging="360"/>
      <w:jc w:val="left"/>
      <w:outlineLvl w:val="1"/>
    </w:pPr>
    <w:rPr>
      <w:rFonts w:ascii="Arial Bold" w:hAnsi="Arial Bold"/>
      <w:b/>
      <w:smallCaps/>
      <w:color w:val="808080"/>
    </w:rPr>
  </w:style>
  <w:style w:type="paragraph" w:styleId="Heading3">
    <w:name w:val="heading 3"/>
    <w:basedOn w:val="Normal"/>
    <w:next w:val="BodyText"/>
    <w:link w:val="Heading3Char"/>
    <w:uiPriority w:val="99"/>
    <w:qFormat/>
    <w:rsid w:val="00914CD2"/>
    <w:pPr>
      <w:keepNext/>
      <w:suppressLineNumbers/>
      <w:tabs>
        <w:tab w:val="num" w:pos="0"/>
      </w:tabs>
      <w:spacing w:before="240"/>
      <w:ind w:left="0" w:hanging="720"/>
      <w:jc w:val="left"/>
      <w:outlineLvl w:val="2"/>
    </w:pPr>
    <w:rPr>
      <w:rFonts w:ascii="Arial Bold" w:hAnsi="Arial Bold"/>
      <w:b/>
      <w:color w:val="808080"/>
      <w:sz w:val="22"/>
    </w:rPr>
  </w:style>
  <w:style w:type="paragraph" w:styleId="Heading4">
    <w:name w:val="heading 4"/>
    <w:basedOn w:val="Normal"/>
    <w:next w:val="BodyText"/>
    <w:link w:val="Heading4Char"/>
    <w:uiPriority w:val="99"/>
    <w:qFormat/>
    <w:rsid w:val="00914CD2"/>
    <w:pPr>
      <w:keepNext/>
      <w:suppressLineNumbers/>
      <w:suppressAutoHyphens/>
      <w:spacing w:before="200"/>
      <w:ind w:left="0"/>
      <w:jc w:val="left"/>
      <w:outlineLvl w:val="3"/>
    </w:pPr>
    <w:rPr>
      <w:rFonts w:ascii="Arial Bold" w:hAnsi="Arial Bold"/>
      <w:b/>
      <w:i/>
      <w:color w:val="808080"/>
      <w:sz w:val="20"/>
    </w:rPr>
  </w:style>
  <w:style w:type="paragraph" w:styleId="Heading5">
    <w:name w:val="heading 5"/>
    <w:basedOn w:val="Normal"/>
    <w:next w:val="Normal"/>
    <w:link w:val="Heading5Char"/>
    <w:uiPriority w:val="99"/>
    <w:qFormat/>
    <w:rsid w:val="00914CD2"/>
    <w:pPr>
      <w:ind w:left="3540" w:hanging="708"/>
      <w:outlineLvl w:val="4"/>
    </w:pPr>
    <w:rPr>
      <w:b/>
      <w:sz w:val="20"/>
    </w:rPr>
  </w:style>
  <w:style w:type="paragraph" w:styleId="Heading6">
    <w:name w:val="heading 6"/>
    <w:basedOn w:val="Normal"/>
    <w:next w:val="Normal"/>
    <w:link w:val="Heading6Char"/>
    <w:uiPriority w:val="99"/>
    <w:qFormat/>
    <w:rsid w:val="00914CD2"/>
    <w:pPr>
      <w:ind w:left="4248" w:hanging="708"/>
      <w:outlineLvl w:val="5"/>
    </w:pPr>
    <w:rPr>
      <w:sz w:val="20"/>
      <w:u w:val="single"/>
    </w:rPr>
  </w:style>
  <w:style w:type="paragraph" w:styleId="Heading7">
    <w:name w:val="heading 7"/>
    <w:basedOn w:val="Normal"/>
    <w:next w:val="Normal"/>
    <w:link w:val="Heading7Char"/>
    <w:uiPriority w:val="99"/>
    <w:qFormat/>
    <w:rsid w:val="00914CD2"/>
    <w:pPr>
      <w:spacing w:before="240" w:after="60"/>
      <w:ind w:left="4956" w:hanging="708"/>
      <w:outlineLvl w:val="6"/>
    </w:pPr>
    <w:rPr>
      <w:rFonts w:ascii="Arial" w:hAnsi="Arial"/>
      <w:sz w:val="20"/>
    </w:rPr>
  </w:style>
  <w:style w:type="paragraph" w:styleId="Heading8">
    <w:name w:val="heading 8"/>
    <w:basedOn w:val="Normal"/>
    <w:next w:val="Normal"/>
    <w:link w:val="Heading8Char"/>
    <w:uiPriority w:val="99"/>
    <w:qFormat/>
    <w:rsid w:val="00914CD2"/>
    <w:pPr>
      <w:spacing w:before="240" w:after="60"/>
      <w:ind w:left="5664" w:hanging="708"/>
      <w:outlineLvl w:val="7"/>
    </w:pPr>
    <w:rPr>
      <w:rFonts w:ascii="Arial" w:hAnsi="Arial"/>
      <w:i/>
      <w:sz w:val="20"/>
    </w:rPr>
  </w:style>
  <w:style w:type="paragraph" w:styleId="Heading9">
    <w:name w:val="heading 9"/>
    <w:basedOn w:val="Normal"/>
    <w:next w:val="Normal"/>
    <w:link w:val="Heading9Char"/>
    <w:uiPriority w:val="99"/>
    <w:qFormat/>
    <w:rsid w:val="00914CD2"/>
    <w:pPr>
      <w:spacing w:before="240" w:after="60"/>
      <w:ind w:left="6372"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7FCB"/>
    <w:rPr>
      <w:rFonts w:ascii="Arial Bold" w:hAnsi="Arial Bold"/>
      <w:b/>
      <w:caps/>
      <w:color w:val="808080"/>
      <w:kern w:val="28"/>
      <w:sz w:val="28"/>
      <w:szCs w:val="20"/>
      <w:u w:color="568A9E"/>
    </w:rPr>
  </w:style>
  <w:style w:type="character" w:customStyle="1" w:styleId="Heading2Char">
    <w:name w:val="Heading 2 Char"/>
    <w:link w:val="Heading2"/>
    <w:uiPriority w:val="99"/>
    <w:locked/>
    <w:rsid w:val="0057256E"/>
    <w:rPr>
      <w:rFonts w:ascii="Arial Bold" w:hAnsi="Arial Bold" w:cs="Times New Roman"/>
      <w:b/>
      <w:smallCaps/>
      <w:color w:val="808080"/>
      <w:sz w:val="20"/>
      <w:szCs w:val="20"/>
    </w:rPr>
  </w:style>
  <w:style w:type="character" w:customStyle="1" w:styleId="Heading3Char">
    <w:name w:val="Heading 3 Char"/>
    <w:link w:val="Heading3"/>
    <w:uiPriority w:val="99"/>
    <w:locked/>
    <w:rsid w:val="0057256E"/>
    <w:rPr>
      <w:rFonts w:ascii="Arial Bold" w:hAnsi="Arial Bold" w:cs="Times New Roman"/>
      <w:b/>
      <w:color w:val="808080"/>
      <w:sz w:val="20"/>
      <w:szCs w:val="20"/>
    </w:rPr>
  </w:style>
  <w:style w:type="character" w:customStyle="1" w:styleId="Heading4Char">
    <w:name w:val="Heading 4 Char"/>
    <w:link w:val="Heading4"/>
    <w:uiPriority w:val="99"/>
    <w:locked/>
    <w:rsid w:val="0057256E"/>
    <w:rPr>
      <w:rFonts w:ascii="Calibri" w:hAnsi="Calibri" w:cs="Times New Roman"/>
      <w:b/>
      <w:bCs/>
      <w:sz w:val="28"/>
      <w:szCs w:val="28"/>
    </w:rPr>
  </w:style>
  <w:style w:type="character" w:customStyle="1" w:styleId="Heading5Char">
    <w:name w:val="Heading 5 Char"/>
    <w:link w:val="Heading5"/>
    <w:uiPriority w:val="99"/>
    <w:locked/>
    <w:rsid w:val="0057256E"/>
    <w:rPr>
      <w:rFonts w:ascii="Times New Roman" w:hAnsi="Times New Roman" w:cs="Times New Roman"/>
      <w:b/>
      <w:sz w:val="20"/>
      <w:szCs w:val="20"/>
    </w:rPr>
  </w:style>
  <w:style w:type="character" w:customStyle="1" w:styleId="Heading6Char">
    <w:name w:val="Heading 6 Char"/>
    <w:link w:val="Heading6"/>
    <w:uiPriority w:val="99"/>
    <w:locked/>
    <w:rsid w:val="0057256E"/>
    <w:rPr>
      <w:rFonts w:ascii="Times New Roman" w:hAnsi="Times New Roman" w:cs="Times New Roman"/>
      <w:sz w:val="20"/>
      <w:szCs w:val="20"/>
      <w:u w:val="single"/>
    </w:rPr>
  </w:style>
  <w:style w:type="character" w:customStyle="1" w:styleId="Heading7Char">
    <w:name w:val="Heading 7 Char"/>
    <w:link w:val="Heading7"/>
    <w:uiPriority w:val="99"/>
    <w:locked/>
    <w:rsid w:val="0057256E"/>
    <w:rPr>
      <w:rFonts w:ascii="Arial" w:hAnsi="Arial" w:cs="Times New Roman"/>
      <w:sz w:val="20"/>
      <w:szCs w:val="20"/>
    </w:rPr>
  </w:style>
  <w:style w:type="character" w:customStyle="1" w:styleId="Heading8Char">
    <w:name w:val="Heading 8 Char"/>
    <w:link w:val="Heading8"/>
    <w:uiPriority w:val="99"/>
    <w:locked/>
    <w:rsid w:val="0057256E"/>
    <w:rPr>
      <w:rFonts w:ascii="Arial" w:hAnsi="Arial" w:cs="Times New Roman"/>
      <w:i/>
      <w:sz w:val="20"/>
      <w:szCs w:val="20"/>
    </w:rPr>
  </w:style>
  <w:style w:type="character" w:customStyle="1" w:styleId="Heading9Char">
    <w:name w:val="Heading 9 Char"/>
    <w:link w:val="Heading9"/>
    <w:uiPriority w:val="99"/>
    <w:locked/>
    <w:rsid w:val="0057256E"/>
    <w:rPr>
      <w:rFonts w:ascii="Arial" w:hAnsi="Arial" w:cs="Times New Roman"/>
      <w:i/>
      <w:sz w:val="20"/>
      <w:szCs w:val="20"/>
    </w:rPr>
  </w:style>
  <w:style w:type="paragraph" w:styleId="BalloonText">
    <w:name w:val="Balloon Text"/>
    <w:basedOn w:val="Normal"/>
    <w:link w:val="BalloonTextChar"/>
    <w:uiPriority w:val="99"/>
    <w:semiHidden/>
    <w:rsid w:val="003E2F71"/>
    <w:rPr>
      <w:rFonts w:ascii="Tahoma" w:hAnsi="Tahoma" w:cs="Tahoma"/>
      <w:sz w:val="16"/>
      <w:szCs w:val="16"/>
    </w:rPr>
  </w:style>
  <w:style w:type="character" w:customStyle="1" w:styleId="BalloonTextChar">
    <w:name w:val="Balloon Text Char"/>
    <w:link w:val="BalloonText"/>
    <w:uiPriority w:val="99"/>
    <w:semiHidden/>
    <w:locked/>
    <w:rsid w:val="0057256E"/>
    <w:rPr>
      <w:rFonts w:ascii="Times New Roman" w:hAnsi="Times New Roman" w:cs="Times New Roman"/>
      <w:sz w:val="2"/>
    </w:rPr>
  </w:style>
  <w:style w:type="paragraph" w:styleId="BodyText">
    <w:name w:val="Body Text"/>
    <w:basedOn w:val="Normal"/>
    <w:link w:val="BodyTextChar"/>
    <w:uiPriority w:val="99"/>
    <w:rsid w:val="00914CD2"/>
    <w:pPr>
      <w:suppressAutoHyphens/>
      <w:spacing w:line="280" w:lineRule="exact"/>
      <w:ind w:left="0"/>
      <w:jc w:val="left"/>
    </w:pPr>
    <w:rPr>
      <w:rFonts w:ascii="Arial" w:hAnsi="Arial"/>
      <w:sz w:val="20"/>
    </w:rPr>
  </w:style>
  <w:style w:type="character" w:customStyle="1" w:styleId="BodyTextChar">
    <w:name w:val="Body Text Char"/>
    <w:link w:val="BodyText"/>
    <w:uiPriority w:val="99"/>
    <w:locked/>
    <w:rsid w:val="00252549"/>
    <w:rPr>
      <w:rFonts w:ascii="Arial" w:hAnsi="Arial" w:cs="Times New Roman"/>
      <w:lang w:val="en-US" w:eastAsia="en-US" w:bidi="ar-SA"/>
    </w:rPr>
  </w:style>
  <w:style w:type="paragraph" w:styleId="Title">
    <w:name w:val="Title"/>
    <w:basedOn w:val="Normal"/>
    <w:link w:val="TitleChar"/>
    <w:uiPriority w:val="99"/>
    <w:qFormat/>
    <w:rsid w:val="00914CD2"/>
    <w:pPr>
      <w:widowControl w:val="0"/>
      <w:suppressAutoHyphens/>
      <w:spacing w:before="0" w:after="280"/>
      <w:ind w:left="431" w:right="-357"/>
      <w:jc w:val="left"/>
    </w:pPr>
    <w:rPr>
      <w:rFonts w:ascii="Arial Bold" w:hAnsi="Arial Bold"/>
      <w:b/>
      <w:color w:val="FFFFFF"/>
      <w:sz w:val="40"/>
      <w:lang w:val="en-AU"/>
    </w:rPr>
  </w:style>
  <w:style w:type="character" w:customStyle="1" w:styleId="TitleChar">
    <w:name w:val="Title Char"/>
    <w:link w:val="Title"/>
    <w:uiPriority w:val="99"/>
    <w:locked/>
    <w:rsid w:val="0057256E"/>
    <w:rPr>
      <w:rFonts w:ascii="Cambria" w:hAnsi="Cambria" w:cs="Times New Roman"/>
      <w:b/>
      <w:bCs/>
      <w:kern w:val="28"/>
      <w:sz w:val="32"/>
      <w:szCs w:val="32"/>
    </w:rPr>
  </w:style>
  <w:style w:type="paragraph" w:styleId="TOC2">
    <w:name w:val="toc 2"/>
    <w:basedOn w:val="Normal"/>
    <w:next w:val="Normal"/>
    <w:uiPriority w:val="39"/>
    <w:rsid w:val="00914CD2"/>
    <w:pPr>
      <w:tabs>
        <w:tab w:val="left" w:pos="425"/>
        <w:tab w:val="right" w:leader="dot" w:pos="8222"/>
      </w:tabs>
      <w:spacing w:after="0"/>
      <w:ind w:left="425" w:hanging="714"/>
      <w:jc w:val="left"/>
    </w:pPr>
    <w:rPr>
      <w:rFonts w:ascii="Arial" w:hAnsi="Arial"/>
      <w:smallCaps/>
      <w:noProof/>
      <w:sz w:val="20"/>
    </w:rPr>
  </w:style>
  <w:style w:type="paragraph" w:styleId="TOC1">
    <w:name w:val="toc 1"/>
    <w:basedOn w:val="Normal"/>
    <w:next w:val="Normal"/>
    <w:uiPriority w:val="39"/>
    <w:rsid w:val="00914CD2"/>
    <w:pPr>
      <w:tabs>
        <w:tab w:val="left" w:pos="-144"/>
        <w:tab w:val="right" w:leader="dot" w:pos="8222"/>
      </w:tabs>
      <w:spacing w:before="360"/>
      <w:ind w:left="-288" w:hanging="432"/>
      <w:jc w:val="left"/>
    </w:pPr>
    <w:rPr>
      <w:rFonts w:ascii="Arial" w:hAnsi="Arial"/>
      <w:caps/>
      <w:noProof/>
      <w:color w:val="808080"/>
      <w:sz w:val="22"/>
    </w:rPr>
  </w:style>
  <w:style w:type="paragraph" w:styleId="Footer">
    <w:name w:val="footer"/>
    <w:basedOn w:val="Normal"/>
    <w:link w:val="FooterChar"/>
    <w:uiPriority w:val="99"/>
    <w:rsid w:val="00006410"/>
    <w:pPr>
      <w:pBdr>
        <w:top w:val="single" w:sz="6" w:space="1" w:color="808080"/>
      </w:pBdr>
      <w:tabs>
        <w:tab w:val="center" w:pos="3686"/>
        <w:tab w:val="right" w:pos="8280"/>
      </w:tabs>
    </w:pPr>
    <w:rPr>
      <w:rFonts w:ascii="Arial" w:hAnsi="Arial"/>
      <w:sz w:val="18"/>
    </w:rPr>
  </w:style>
  <w:style w:type="character" w:customStyle="1" w:styleId="FooterChar">
    <w:name w:val="Footer Char"/>
    <w:link w:val="Footer"/>
    <w:uiPriority w:val="99"/>
    <w:semiHidden/>
    <w:locked/>
    <w:rsid w:val="0057256E"/>
    <w:rPr>
      <w:rFonts w:ascii="Times New Roman" w:hAnsi="Times New Roman" w:cs="Times New Roman"/>
      <w:sz w:val="20"/>
      <w:szCs w:val="20"/>
    </w:rPr>
  </w:style>
  <w:style w:type="paragraph" w:styleId="Header">
    <w:name w:val="header"/>
    <w:basedOn w:val="Normal"/>
    <w:link w:val="HeaderChar"/>
    <w:uiPriority w:val="99"/>
    <w:rsid w:val="00220E70"/>
    <w:pPr>
      <w:tabs>
        <w:tab w:val="right" w:pos="7938"/>
        <w:tab w:val="right" w:pos="13860"/>
      </w:tabs>
      <w:spacing w:before="0" w:after="0"/>
    </w:pPr>
    <w:rPr>
      <w:rFonts w:ascii="Arial" w:hAnsi="Arial"/>
      <w:sz w:val="20"/>
    </w:rPr>
  </w:style>
  <w:style w:type="character" w:customStyle="1" w:styleId="HeaderChar">
    <w:name w:val="Header Char"/>
    <w:link w:val="Header"/>
    <w:uiPriority w:val="99"/>
    <w:semiHidden/>
    <w:locked/>
    <w:rsid w:val="0057256E"/>
    <w:rPr>
      <w:rFonts w:ascii="Times New Roman" w:hAnsi="Times New Roman" w:cs="Times New Roman"/>
      <w:sz w:val="20"/>
      <w:szCs w:val="20"/>
    </w:rPr>
  </w:style>
  <w:style w:type="character" w:styleId="FootnoteReference">
    <w:name w:val="footnote reference"/>
    <w:semiHidden/>
    <w:rsid w:val="00914CD2"/>
    <w:rPr>
      <w:rFonts w:cs="Times New Roman"/>
      <w:position w:val="6"/>
      <w:sz w:val="16"/>
    </w:rPr>
  </w:style>
  <w:style w:type="paragraph" w:styleId="FootnoteText">
    <w:name w:val="footnote text"/>
    <w:basedOn w:val="Normal"/>
    <w:link w:val="FootnoteTextChar"/>
    <w:semiHidden/>
    <w:rsid w:val="00914CD2"/>
    <w:pPr>
      <w:keepLines/>
      <w:suppressAutoHyphens/>
      <w:spacing w:line="240" w:lineRule="exact"/>
      <w:ind w:left="0" w:hanging="720"/>
    </w:pPr>
    <w:rPr>
      <w:rFonts w:ascii="Arial" w:hAnsi="Arial"/>
      <w:sz w:val="16"/>
    </w:rPr>
  </w:style>
  <w:style w:type="character" w:customStyle="1" w:styleId="FootnoteTextChar">
    <w:name w:val="Footnote Text Char"/>
    <w:link w:val="FootnoteText"/>
    <w:locked/>
    <w:rsid w:val="00C36EB7"/>
    <w:rPr>
      <w:rFonts w:ascii="Arial" w:hAnsi="Arial" w:cs="Times New Roman"/>
      <w:sz w:val="16"/>
      <w:lang w:val="en-US" w:eastAsia="en-US" w:bidi="ar-SA"/>
    </w:rPr>
  </w:style>
  <w:style w:type="paragraph" w:styleId="TOC3">
    <w:name w:val="toc 3"/>
    <w:basedOn w:val="Normal"/>
    <w:next w:val="Normal"/>
    <w:uiPriority w:val="39"/>
    <w:rsid w:val="00914CD2"/>
    <w:pPr>
      <w:tabs>
        <w:tab w:val="left" w:pos="432"/>
        <w:tab w:val="left" w:pos="1080"/>
        <w:tab w:val="left" w:pos="1200"/>
        <w:tab w:val="right" w:leader="dot" w:pos="8222"/>
      </w:tabs>
      <w:spacing w:after="0"/>
      <w:ind w:left="432"/>
      <w:jc w:val="left"/>
    </w:pPr>
    <w:rPr>
      <w:rFonts w:ascii="Arial" w:hAnsi="Arial"/>
      <w:noProof/>
      <w:sz w:val="18"/>
    </w:rPr>
  </w:style>
  <w:style w:type="paragraph" w:styleId="ListNumber">
    <w:name w:val="List Number"/>
    <w:basedOn w:val="Normal"/>
    <w:uiPriority w:val="99"/>
    <w:rsid w:val="00914CD2"/>
    <w:pPr>
      <w:keepLines/>
      <w:numPr>
        <w:numId w:val="4"/>
      </w:numPr>
      <w:tabs>
        <w:tab w:val="clear" w:pos="562"/>
        <w:tab w:val="num" w:pos="426"/>
      </w:tabs>
      <w:suppressAutoHyphens/>
      <w:spacing w:line="280" w:lineRule="exact"/>
      <w:ind w:left="432" w:hanging="432"/>
      <w:jc w:val="left"/>
    </w:pPr>
    <w:rPr>
      <w:rFonts w:ascii="Arial" w:hAnsi="Arial"/>
      <w:sz w:val="20"/>
    </w:rPr>
  </w:style>
  <w:style w:type="paragraph" w:styleId="TOC4">
    <w:name w:val="toc 4"/>
    <w:basedOn w:val="Normal"/>
    <w:next w:val="Normal"/>
    <w:uiPriority w:val="99"/>
    <w:semiHidden/>
    <w:rsid w:val="00914CD2"/>
    <w:pPr>
      <w:spacing w:before="0" w:after="0"/>
      <w:ind w:left="720"/>
      <w:jc w:val="left"/>
    </w:pPr>
    <w:rPr>
      <w:sz w:val="18"/>
    </w:rPr>
  </w:style>
  <w:style w:type="paragraph" w:styleId="TOC5">
    <w:name w:val="toc 5"/>
    <w:basedOn w:val="Normal"/>
    <w:next w:val="Normal"/>
    <w:uiPriority w:val="99"/>
    <w:semiHidden/>
    <w:rsid w:val="00914CD2"/>
    <w:pPr>
      <w:spacing w:before="0" w:after="0"/>
      <w:ind w:left="960"/>
      <w:jc w:val="left"/>
    </w:pPr>
    <w:rPr>
      <w:sz w:val="18"/>
    </w:rPr>
  </w:style>
  <w:style w:type="paragraph" w:styleId="TOC6">
    <w:name w:val="toc 6"/>
    <w:basedOn w:val="Normal"/>
    <w:next w:val="Normal"/>
    <w:uiPriority w:val="99"/>
    <w:semiHidden/>
    <w:rsid w:val="00914CD2"/>
    <w:pPr>
      <w:spacing w:before="0" w:after="0"/>
      <w:ind w:left="1200"/>
      <w:jc w:val="left"/>
    </w:pPr>
    <w:rPr>
      <w:sz w:val="18"/>
    </w:rPr>
  </w:style>
  <w:style w:type="paragraph" w:styleId="TOC7">
    <w:name w:val="toc 7"/>
    <w:basedOn w:val="Normal"/>
    <w:next w:val="Normal"/>
    <w:uiPriority w:val="99"/>
    <w:semiHidden/>
    <w:rsid w:val="00914CD2"/>
    <w:pPr>
      <w:spacing w:before="0" w:after="0"/>
      <w:ind w:left="1440"/>
      <w:jc w:val="left"/>
    </w:pPr>
    <w:rPr>
      <w:sz w:val="18"/>
    </w:rPr>
  </w:style>
  <w:style w:type="paragraph" w:styleId="TOC8">
    <w:name w:val="toc 8"/>
    <w:basedOn w:val="Normal"/>
    <w:next w:val="Normal"/>
    <w:uiPriority w:val="99"/>
    <w:semiHidden/>
    <w:rsid w:val="00914CD2"/>
    <w:pPr>
      <w:spacing w:before="0" w:after="0"/>
      <w:ind w:left="1680"/>
      <w:jc w:val="left"/>
    </w:pPr>
    <w:rPr>
      <w:sz w:val="18"/>
    </w:rPr>
  </w:style>
  <w:style w:type="paragraph" w:styleId="TOC9">
    <w:name w:val="toc 9"/>
    <w:basedOn w:val="Normal"/>
    <w:next w:val="Normal"/>
    <w:uiPriority w:val="99"/>
    <w:semiHidden/>
    <w:rsid w:val="00914CD2"/>
    <w:pPr>
      <w:spacing w:before="0" w:after="0"/>
      <w:ind w:left="1920"/>
      <w:jc w:val="left"/>
    </w:pPr>
    <w:rPr>
      <w:sz w:val="18"/>
    </w:rPr>
  </w:style>
  <w:style w:type="paragraph" w:styleId="Date">
    <w:name w:val="Date"/>
    <w:basedOn w:val="Normal"/>
    <w:next w:val="Normal"/>
    <w:link w:val="DateChar"/>
    <w:uiPriority w:val="99"/>
    <w:rsid w:val="00914CD2"/>
    <w:pPr>
      <w:spacing w:before="0" w:after="0"/>
      <w:ind w:left="885" w:right="-357"/>
      <w:jc w:val="left"/>
    </w:pPr>
    <w:rPr>
      <w:rFonts w:ascii="Arial Bold" w:hAnsi="Arial Bold"/>
      <w:b/>
      <w:color w:val="FFFFFF"/>
      <w:sz w:val="19"/>
    </w:rPr>
  </w:style>
  <w:style w:type="character" w:customStyle="1" w:styleId="DateChar">
    <w:name w:val="Date Char"/>
    <w:link w:val="Date"/>
    <w:uiPriority w:val="99"/>
    <w:semiHidden/>
    <w:locked/>
    <w:rsid w:val="0057256E"/>
    <w:rPr>
      <w:rFonts w:ascii="Times New Roman" w:hAnsi="Times New Roman" w:cs="Times New Roman"/>
      <w:sz w:val="20"/>
      <w:szCs w:val="20"/>
    </w:rPr>
  </w:style>
  <w:style w:type="paragraph" w:customStyle="1" w:styleId="Status">
    <w:name w:val="Status"/>
    <w:uiPriority w:val="99"/>
    <w:rsid w:val="00006410"/>
    <w:pPr>
      <w:spacing w:before="120" w:after="120" w:line="280" w:lineRule="exact"/>
    </w:pPr>
    <w:rPr>
      <w:rFonts w:ascii="Arial Bold" w:hAnsi="Arial Bold"/>
      <w:b/>
      <w:noProof/>
      <w:color w:val="808080"/>
      <w:sz w:val="22"/>
    </w:rPr>
  </w:style>
  <w:style w:type="paragraph" w:customStyle="1" w:styleId="SectionHeading">
    <w:name w:val="Section Heading"/>
    <w:basedOn w:val="Normal"/>
    <w:uiPriority w:val="99"/>
    <w:rsid w:val="00914CD2"/>
    <w:pPr>
      <w:spacing w:before="240" w:after="240" w:line="360" w:lineRule="auto"/>
      <w:jc w:val="center"/>
    </w:pPr>
    <w:rPr>
      <w:rFonts w:ascii="Arial Bold" w:hAnsi="Arial Bold"/>
      <w:b/>
      <w:caps/>
      <w:color w:val="808080"/>
      <w:sz w:val="28"/>
    </w:rPr>
  </w:style>
  <w:style w:type="paragraph" w:styleId="ListBullet2">
    <w:name w:val="List Bullet 2"/>
    <w:basedOn w:val="Normal"/>
    <w:uiPriority w:val="99"/>
    <w:rsid w:val="00914CD2"/>
    <w:pPr>
      <w:numPr>
        <w:numId w:val="5"/>
      </w:numPr>
      <w:tabs>
        <w:tab w:val="clear" w:pos="360"/>
        <w:tab w:val="num" w:pos="786"/>
        <w:tab w:val="left" w:pos="851"/>
      </w:tabs>
      <w:suppressAutoHyphens/>
      <w:spacing w:line="280" w:lineRule="exact"/>
      <w:ind w:left="792"/>
      <w:jc w:val="left"/>
    </w:pPr>
    <w:rPr>
      <w:rFonts w:ascii="Arial" w:hAnsi="Arial"/>
      <w:sz w:val="20"/>
    </w:rPr>
  </w:style>
  <w:style w:type="paragraph" w:customStyle="1" w:styleId="Figure">
    <w:name w:val="Figure"/>
    <w:basedOn w:val="Normal"/>
    <w:next w:val="Caption"/>
    <w:uiPriority w:val="99"/>
    <w:rsid w:val="00914CD2"/>
    <w:pPr>
      <w:keepNext/>
      <w:keepLines/>
      <w:suppressAutoHyphens/>
      <w:ind w:left="0"/>
    </w:pPr>
    <w:rPr>
      <w:b/>
      <w:sz w:val="22"/>
    </w:rPr>
  </w:style>
  <w:style w:type="paragraph" w:styleId="Caption">
    <w:name w:val="caption"/>
    <w:basedOn w:val="Normal"/>
    <w:next w:val="BodyText"/>
    <w:qFormat/>
    <w:rsid w:val="00914CD2"/>
    <w:pPr>
      <w:keepNext/>
      <w:keepLines/>
      <w:suppressAutoHyphens/>
      <w:spacing w:line="280" w:lineRule="exact"/>
      <w:ind w:left="0"/>
    </w:pPr>
    <w:rPr>
      <w:rFonts w:ascii="Arial Bold" w:hAnsi="Arial Bold"/>
      <w:b/>
      <w:sz w:val="18"/>
    </w:rPr>
  </w:style>
  <w:style w:type="paragraph" w:customStyle="1" w:styleId="TableHeading">
    <w:name w:val="Table Heading"/>
    <w:basedOn w:val="Normal"/>
    <w:next w:val="TableText"/>
    <w:uiPriority w:val="99"/>
    <w:rsid w:val="00914CD2"/>
    <w:pPr>
      <w:keepNext/>
      <w:suppressAutoHyphens/>
      <w:ind w:left="0"/>
      <w:jc w:val="center"/>
    </w:pPr>
    <w:rPr>
      <w:rFonts w:ascii="Arial Bold" w:hAnsi="Arial Bold"/>
      <w:b/>
      <w:sz w:val="16"/>
    </w:rPr>
  </w:style>
  <w:style w:type="paragraph" w:customStyle="1" w:styleId="TableText">
    <w:name w:val="Table Text"/>
    <w:basedOn w:val="Normal"/>
    <w:uiPriority w:val="99"/>
    <w:rsid w:val="00914CD2"/>
    <w:pPr>
      <w:keepLines/>
      <w:suppressAutoHyphens/>
      <w:ind w:left="0"/>
      <w:jc w:val="left"/>
    </w:pPr>
    <w:rPr>
      <w:rFonts w:ascii="Arial" w:hAnsi="Arial"/>
      <w:sz w:val="16"/>
      <w:lang w:val="en-NZ"/>
    </w:rPr>
  </w:style>
  <w:style w:type="paragraph" w:styleId="ListBullet">
    <w:name w:val="List Bullet"/>
    <w:basedOn w:val="Normal"/>
    <w:uiPriority w:val="99"/>
    <w:rsid w:val="00914CD2"/>
    <w:pPr>
      <w:numPr>
        <w:numId w:val="3"/>
      </w:numPr>
      <w:tabs>
        <w:tab w:val="clear" w:pos="360"/>
      </w:tabs>
      <w:suppressAutoHyphens/>
      <w:spacing w:line="280" w:lineRule="exact"/>
      <w:ind w:left="432" w:hanging="432"/>
      <w:jc w:val="left"/>
    </w:pPr>
    <w:rPr>
      <w:rFonts w:ascii="Arial" w:hAnsi="Arial"/>
      <w:sz w:val="20"/>
    </w:rPr>
  </w:style>
  <w:style w:type="paragraph" w:customStyle="1" w:styleId="Appendix1">
    <w:name w:val="Appendix 1"/>
    <w:basedOn w:val="Normal"/>
    <w:next w:val="BodyText"/>
    <w:uiPriority w:val="99"/>
    <w:rsid w:val="00914CD2"/>
    <w:pPr>
      <w:keepNext/>
      <w:keepLines/>
      <w:suppressLineNumbers/>
      <w:suppressAutoHyphens/>
      <w:spacing w:before="360" w:after="240"/>
      <w:ind w:left="1422" w:hanging="432"/>
      <w:jc w:val="left"/>
    </w:pPr>
    <w:rPr>
      <w:rFonts w:ascii="Arial Bold" w:hAnsi="Arial Bold"/>
      <w:b/>
      <w:caps/>
      <w:color w:val="808080"/>
      <w:sz w:val="28"/>
      <w:u w:color="568A9E"/>
    </w:rPr>
  </w:style>
  <w:style w:type="paragraph" w:customStyle="1" w:styleId="Appendix2">
    <w:name w:val="Appendix 2"/>
    <w:basedOn w:val="Normal"/>
    <w:next w:val="BodyText"/>
    <w:uiPriority w:val="99"/>
    <w:rsid w:val="00914CD2"/>
    <w:pPr>
      <w:keepNext/>
      <w:keepLines/>
      <w:suppressLineNumbers/>
      <w:tabs>
        <w:tab w:val="num" w:pos="-144"/>
      </w:tabs>
      <w:suppressAutoHyphens/>
      <w:spacing w:before="240"/>
      <w:ind w:left="-144" w:hanging="576"/>
      <w:jc w:val="left"/>
    </w:pPr>
    <w:rPr>
      <w:rFonts w:ascii="Arial Bold" w:hAnsi="Arial Bold"/>
      <w:b/>
      <w:smallCaps/>
      <w:color w:val="808080"/>
    </w:rPr>
  </w:style>
  <w:style w:type="paragraph" w:customStyle="1" w:styleId="Appendix3">
    <w:name w:val="Appendix 3"/>
    <w:basedOn w:val="Normal"/>
    <w:next w:val="BodyText"/>
    <w:uiPriority w:val="99"/>
    <w:rsid w:val="00914CD2"/>
    <w:pPr>
      <w:keepNext/>
      <w:keepLines/>
      <w:suppressLineNumbers/>
      <w:tabs>
        <w:tab w:val="num" w:pos="0"/>
      </w:tabs>
      <w:suppressAutoHyphens/>
      <w:spacing w:before="240"/>
      <w:ind w:left="0" w:hanging="720"/>
      <w:jc w:val="left"/>
    </w:pPr>
    <w:rPr>
      <w:rFonts w:ascii="Arial Bold" w:hAnsi="Arial Bold"/>
      <w:b/>
      <w:color w:val="808080"/>
      <w:sz w:val="22"/>
    </w:rPr>
  </w:style>
  <w:style w:type="paragraph" w:customStyle="1" w:styleId="Appendix4">
    <w:name w:val="Appendix 4"/>
    <w:basedOn w:val="Normal"/>
    <w:next w:val="BodyText"/>
    <w:uiPriority w:val="99"/>
    <w:rsid w:val="00914CD2"/>
    <w:pPr>
      <w:keepNext/>
      <w:keepLines/>
      <w:suppressLineNumbers/>
      <w:suppressAutoHyphens/>
      <w:spacing w:before="200"/>
      <w:ind w:left="144" w:hanging="864"/>
      <w:jc w:val="left"/>
    </w:pPr>
    <w:rPr>
      <w:rFonts w:ascii="Arial Bold" w:hAnsi="Arial Bold"/>
      <w:b/>
      <w:i/>
      <w:color w:val="808080"/>
      <w:sz w:val="20"/>
    </w:rPr>
  </w:style>
  <w:style w:type="paragraph" w:customStyle="1" w:styleId="CVTitle">
    <w:name w:val="CVTitle"/>
    <w:basedOn w:val="Normal"/>
    <w:uiPriority w:val="99"/>
    <w:rsid w:val="00914CD2"/>
    <w:pPr>
      <w:suppressAutoHyphens/>
      <w:spacing w:before="240" w:after="240"/>
      <w:ind w:left="0"/>
      <w:jc w:val="left"/>
    </w:pPr>
    <w:rPr>
      <w:rFonts w:ascii="Arial" w:hAnsi="Arial"/>
      <w:b/>
      <w:caps/>
      <w:color w:val="808080"/>
      <w:sz w:val="32"/>
    </w:rPr>
  </w:style>
  <w:style w:type="paragraph" w:customStyle="1" w:styleId="Titlepagebodytext">
    <w:name w:val="Titlepagebodytext"/>
    <w:basedOn w:val="BodyText"/>
    <w:uiPriority w:val="99"/>
    <w:rsid w:val="00914CD2"/>
    <w:pPr>
      <w:spacing w:before="0" w:after="0"/>
      <w:ind w:left="885" w:right="-357"/>
    </w:pPr>
    <w:rPr>
      <w:color w:val="FFFFFF"/>
    </w:rPr>
  </w:style>
  <w:style w:type="paragraph" w:customStyle="1" w:styleId="CVHeading2">
    <w:name w:val="CVHeading2"/>
    <w:basedOn w:val="Normal"/>
    <w:uiPriority w:val="99"/>
    <w:rsid w:val="00914CD2"/>
    <w:pPr>
      <w:keepNext/>
      <w:suppressAutoHyphens/>
      <w:spacing w:before="240"/>
      <w:ind w:left="0"/>
      <w:jc w:val="left"/>
      <w:outlineLvl w:val="0"/>
    </w:pPr>
    <w:rPr>
      <w:rFonts w:ascii="Arial" w:hAnsi="Arial"/>
      <w:b/>
      <w:color w:val="808080"/>
      <w:kern w:val="28"/>
    </w:rPr>
  </w:style>
  <w:style w:type="paragraph" w:customStyle="1" w:styleId="CVHeading3">
    <w:name w:val="CVHeading3"/>
    <w:basedOn w:val="CVHeading2"/>
    <w:uiPriority w:val="99"/>
    <w:rsid w:val="00914CD2"/>
    <w:rPr>
      <w:b w:val="0"/>
      <w:i/>
    </w:rPr>
  </w:style>
  <w:style w:type="character" w:styleId="Hyperlink">
    <w:name w:val="Hyperlink"/>
    <w:uiPriority w:val="99"/>
    <w:rsid w:val="00914CD2"/>
    <w:rPr>
      <w:rFonts w:ascii="Arial" w:hAnsi="Arial" w:cs="Times New Roman"/>
      <w:color w:val="808080"/>
      <w:sz w:val="19"/>
      <w:u w:val="single" w:color="808080"/>
    </w:rPr>
  </w:style>
  <w:style w:type="paragraph" w:customStyle="1" w:styleId="CVHeading1">
    <w:name w:val="CVHeading1"/>
    <w:basedOn w:val="Heading1"/>
    <w:uiPriority w:val="99"/>
    <w:rsid w:val="00914CD2"/>
    <w:pPr>
      <w:suppressAutoHyphens/>
      <w:ind w:left="0" w:firstLine="0"/>
    </w:pPr>
    <w:rPr>
      <w:rFonts w:cs="Helvetica"/>
      <w:caps w:val="0"/>
      <w:smallCaps/>
    </w:rPr>
  </w:style>
  <w:style w:type="character" w:styleId="FollowedHyperlink">
    <w:name w:val="FollowedHyperlink"/>
    <w:uiPriority w:val="99"/>
    <w:rsid w:val="00914CD2"/>
    <w:rPr>
      <w:rFonts w:ascii="Arial" w:hAnsi="Arial" w:cs="Times New Roman"/>
      <w:color w:val="808080"/>
      <w:sz w:val="19"/>
      <w:u w:val="single" w:color="808080"/>
    </w:rPr>
  </w:style>
  <w:style w:type="character" w:styleId="LineNumber">
    <w:name w:val="line number"/>
    <w:uiPriority w:val="99"/>
    <w:rsid w:val="00914CD2"/>
    <w:rPr>
      <w:rFonts w:ascii="Arial" w:hAnsi="Arial" w:cs="Times New Roman"/>
      <w:vanish/>
      <w:color w:val="808080"/>
      <w:sz w:val="16"/>
    </w:rPr>
  </w:style>
  <w:style w:type="paragraph" w:customStyle="1" w:styleId="Quotations">
    <w:name w:val="Quotations"/>
    <w:basedOn w:val="BodyText"/>
    <w:uiPriority w:val="99"/>
    <w:rsid w:val="00914CD2"/>
    <w:pPr>
      <w:ind w:left="720"/>
    </w:pPr>
    <w:rPr>
      <w:i/>
      <w:iCs/>
      <w:sz w:val="18"/>
    </w:rPr>
  </w:style>
  <w:style w:type="paragraph" w:customStyle="1" w:styleId="Source">
    <w:name w:val="Source"/>
    <w:basedOn w:val="BodyText"/>
    <w:uiPriority w:val="99"/>
    <w:rsid w:val="00914CD2"/>
    <w:rPr>
      <w:sz w:val="16"/>
    </w:rPr>
  </w:style>
  <w:style w:type="paragraph" w:customStyle="1" w:styleId="Disclaimer">
    <w:name w:val="Disclaimer"/>
    <w:basedOn w:val="BodyText"/>
    <w:uiPriority w:val="99"/>
    <w:rsid w:val="00914CD2"/>
    <w:rPr>
      <w:i/>
      <w:iCs/>
    </w:rPr>
  </w:style>
  <w:style w:type="paragraph" w:customStyle="1" w:styleId="BodyTextOut">
    <w:name w:val="Body Text Out"/>
    <w:basedOn w:val="BodyText"/>
    <w:uiPriority w:val="99"/>
    <w:rsid w:val="00914CD2"/>
    <w:pPr>
      <w:ind w:left="-709"/>
    </w:pPr>
  </w:style>
  <w:style w:type="paragraph" w:customStyle="1" w:styleId="TabletextR2">
    <w:name w:val="Tabletext R2"/>
    <w:basedOn w:val="Normal"/>
    <w:uiPriority w:val="99"/>
    <w:rsid w:val="00914CD2"/>
    <w:pPr>
      <w:keepNext/>
      <w:widowControl w:val="0"/>
      <w:spacing w:after="60"/>
      <w:ind w:left="252"/>
      <w:jc w:val="left"/>
    </w:pPr>
    <w:rPr>
      <w:rFonts w:ascii="Arial" w:hAnsi="Arial"/>
      <w:b/>
      <w:sz w:val="18"/>
    </w:rPr>
  </w:style>
  <w:style w:type="paragraph" w:customStyle="1" w:styleId="BoxHeading">
    <w:name w:val="Box Heading"/>
    <w:basedOn w:val="Heading4"/>
    <w:uiPriority w:val="99"/>
    <w:rsid w:val="00914CD2"/>
    <w:rPr>
      <w:i w:val="0"/>
    </w:rPr>
  </w:style>
  <w:style w:type="paragraph" w:customStyle="1" w:styleId="TabletextR3">
    <w:name w:val="Tabletext R3"/>
    <w:basedOn w:val="Normal"/>
    <w:uiPriority w:val="99"/>
    <w:rsid w:val="00914CD2"/>
    <w:pPr>
      <w:keepNext/>
      <w:widowControl w:val="0"/>
      <w:spacing w:after="60"/>
      <w:ind w:left="0"/>
      <w:jc w:val="left"/>
    </w:pPr>
    <w:rPr>
      <w:rFonts w:ascii="Arial" w:hAnsi="Arial"/>
      <w:sz w:val="18"/>
    </w:rPr>
  </w:style>
  <w:style w:type="paragraph" w:customStyle="1" w:styleId="ReportName">
    <w:name w:val="Report Name"/>
    <w:basedOn w:val="BodyText"/>
    <w:uiPriority w:val="99"/>
    <w:rsid w:val="00914CD2"/>
    <w:pPr>
      <w:suppressAutoHyphens w:val="0"/>
      <w:spacing w:before="0" w:after="240" w:line="264" w:lineRule="auto"/>
      <w:ind w:left="1440"/>
    </w:pPr>
    <w:rPr>
      <w:color w:val="808080"/>
      <w:sz w:val="52"/>
    </w:rPr>
  </w:style>
  <w:style w:type="character" w:styleId="PageNumber">
    <w:name w:val="page number"/>
    <w:uiPriority w:val="99"/>
    <w:rsid w:val="00413023"/>
    <w:rPr>
      <w:rFonts w:cs="Times New Roman"/>
    </w:rPr>
  </w:style>
  <w:style w:type="paragraph" w:customStyle="1" w:styleId="DeleteMe">
    <w:name w:val="Delete Me"/>
    <w:basedOn w:val="BodyText"/>
    <w:uiPriority w:val="99"/>
    <w:rsid w:val="00914CD2"/>
    <w:rPr>
      <w:color w:val="FF0000"/>
    </w:rPr>
  </w:style>
  <w:style w:type="table" w:styleId="TableGrid">
    <w:name w:val="Table Grid"/>
    <w:basedOn w:val="TableNormal"/>
    <w:uiPriority w:val="99"/>
    <w:rsid w:val="00914CD2"/>
    <w:pPr>
      <w:spacing w:before="120" w:after="120"/>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5B4B9D"/>
    <w:pPr>
      <w:ind w:left="0"/>
    </w:pPr>
    <w:rPr>
      <w:rFonts w:ascii="Arial" w:hAnsi="Arial"/>
      <w:sz w:val="20"/>
    </w:rPr>
  </w:style>
  <w:style w:type="character" w:customStyle="1" w:styleId="ChapterLevelCharChar">
    <w:name w:val="Chapter Level Char Char"/>
    <w:uiPriority w:val="99"/>
    <w:locked/>
    <w:rsid w:val="00D24EAD"/>
    <w:rPr>
      <w:rFonts w:ascii="Cambria" w:hAnsi="Cambria" w:cs="Times New Roman"/>
      <w:b/>
      <w:bCs/>
      <w:kern w:val="32"/>
      <w:sz w:val="32"/>
      <w:szCs w:val="32"/>
    </w:rPr>
  </w:style>
  <w:style w:type="character" w:customStyle="1" w:styleId="BodyTextChar1">
    <w:name w:val="Body Text Char1"/>
    <w:uiPriority w:val="99"/>
    <w:rsid w:val="00D24EAD"/>
    <w:rPr>
      <w:rFonts w:ascii="Arial" w:hAnsi="Arial" w:cs="Times New Roman"/>
      <w:lang w:val="en-US" w:eastAsia="en-US" w:bidi="ar-SA"/>
    </w:rPr>
  </w:style>
  <w:style w:type="paragraph" w:customStyle="1" w:styleId="StyleHeading1NotAllcaps">
    <w:name w:val="Style Heading 1 + Not All caps"/>
    <w:basedOn w:val="Heading1"/>
    <w:uiPriority w:val="99"/>
    <w:rsid w:val="00E70621"/>
    <w:pPr>
      <w:ind w:left="-14" w:hanging="706"/>
    </w:pPr>
    <w:rPr>
      <w:bCs/>
      <w:caps w:val="0"/>
    </w:rPr>
  </w:style>
  <w:style w:type="table" w:styleId="TableGrid8">
    <w:name w:val="Table Grid 8"/>
    <w:basedOn w:val="TableNormal"/>
    <w:uiPriority w:val="99"/>
    <w:rsid w:val="001B1D10"/>
    <w:pPr>
      <w:spacing w:before="120" w:after="120"/>
      <w:ind w:left="-7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character" w:styleId="CommentReference">
    <w:name w:val="annotation reference"/>
    <w:uiPriority w:val="99"/>
    <w:semiHidden/>
    <w:rsid w:val="00514D65"/>
    <w:rPr>
      <w:rFonts w:cs="Times New Roman"/>
      <w:sz w:val="16"/>
      <w:szCs w:val="16"/>
    </w:rPr>
  </w:style>
  <w:style w:type="paragraph" w:styleId="CommentText">
    <w:name w:val="annotation text"/>
    <w:basedOn w:val="Normal"/>
    <w:link w:val="CommentTextChar"/>
    <w:uiPriority w:val="99"/>
    <w:semiHidden/>
    <w:rsid w:val="00514D65"/>
    <w:rPr>
      <w:sz w:val="20"/>
    </w:rPr>
  </w:style>
  <w:style w:type="character" w:customStyle="1" w:styleId="CommentTextChar">
    <w:name w:val="Comment Text Char"/>
    <w:link w:val="CommentText"/>
    <w:uiPriority w:val="99"/>
    <w:semiHidden/>
    <w:locked/>
    <w:rsid w:val="0057256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514D65"/>
    <w:rPr>
      <w:b/>
      <w:bCs/>
    </w:rPr>
  </w:style>
  <w:style w:type="character" w:customStyle="1" w:styleId="CommentSubjectChar">
    <w:name w:val="Comment Subject Char"/>
    <w:link w:val="CommentSubject"/>
    <w:uiPriority w:val="99"/>
    <w:semiHidden/>
    <w:locked/>
    <w:rsid w:val="0057256E"/>
    <w:rPr>
      <w:rFonts w:ascii="Times New Roman" w:hAnsi="Times New Roman" w:cs="Times New Roman"/>
      <w:b/>
      <w:bCs/>
      <w:sz w:val="20"/>
      <w:szCs w:val="20"/>
    </w:rPr>
  </w:style>
  <w:style w:type="paragraph" w:styleId="ListParagraph">
    <w:name w:val="List Paragraph"/>
    <w:basedOn w:val="Normal"/>
    <w:uiPriority w:val="34"/>
    <w:qFormat/>
    <w:rsid w:val="00EE37BB"/>
    <w:pPr>
      <w:ind w:left="720"/>
      <w:contextualSpacing/>
    </w:pPr>
  </w:style>
  <w:style w:type="paragraph" w:styleId="Revision">
    <w:name w:val="Revision"/>
    <w:hidden/>
    <w:uiPriority w:val="99"/>
    <w:semiHidden/>
    <w:rsid w:val="00C13F0F"/>
    <w:rPr>
      <w:rFonts w:ascii="Times New Roman" w:hAnsi="Times New Roman"/>
      <w:sz w:val="24"/>
    </w:rPr>
  </w:style>
  <w:style w:type="paragraph" w:styleId="NormalWeb">
    <w:name w:val="Normal (Web)"/>
    <w:basedOn w:val="Normal"/>
    <w:uiPriority w:val="99"/>
    <w:rsid w:val="00006058"/>
    <w:pPr>
      <w:spacing w:before="100" w:beforeAutospacing="1" w:after="100" w:afterAutospacing="1"/>
      <w:ind w:left="0"/>
      <w:jc w:val="left"/>
    </w:pPr>
    <w:rPr>
      <w:szCs w:val="24"/>
    </w:rPr>
  </w:style>
  <w:style w:type="character" w:customStyle="1" w:styleId="ft">
    <w:name w:val="ft"/>
    <w:basedOn w:val="DefaultParagraphFont"/>
    <w:rsid w:val="009A3B9F"/>
  </w:style>
  <w:style w:type="paragraph" w:customStyle="1" w:styleId="Default">
    <w:name w:val="Default"/>
    <w:rsid w:val="001636E1"/>
    <w:pPr>
      <w:autoSpaceDE w:val="0"/>
      <w:autoSpaceDN w:val="0"/>
      <w:adjustRightInd w:val="0"/>
    </w:pPr>
    <w:rPr>
      <w:rFonts w:ascii="Arial" w:hAnsi="Arial" w:cs="Arial"/>
      <w:color w:val="000000"/>
      <w:sz w:val="24"/>
      <w:szCs w:val="24"/>
    </w:rPr>
  </w:style>
  <w:style w:type="table" w:styleId="MediumShading2-Accent1">
    <w:name w:val="Medium Shading 2 Accent 1"/>
    <w:basedOn w:val="TableNormal"/>
    <w:uiPriority w:val="64"/>
    <w:rsid w:val="00E8308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E8308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1">
    <w:name w:val="Medium Grid 3 Accent 1"/>
    <w:basedOn w:val="TableNormal"/>
    <w:uiPriority w:val="69"/>
    <w:rsid w:val="00E8308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SourceMain">
    <w:name w:val="Source Main"/>
    <w:qFormat/>
    <w:rsid w:val="00F720F0"/>
    <w:pPr>
      <w:spacing w:before="240" w:after="360" w:line="260" w:lineRule="exact"/>
    </w:pPr>
    <w:rPr>
      <w:rFonts w:ascii="Arial" w:hAnsi="Arial"/>
      <w:sz w:val="16"/>
      <w:szCs w:val="24"/>
    </w:rPr>
  </w:style>
  <w:style w:type="character" w:styleId="Emphasis">
    <w:name w:val="Emphasis"/>
    <w:basedOn w:val="DefaultParagraphFont"/>
    <w:uiPriority w:val="20"/>
    <w:qFormat/>
    <w:rsid w:val="001609C0"/>
    <w:rPr>
      <w:i/>
      <w:iCs/>
    </w:rPr>
  </w:style>
  <w:style w:type="character" w:customStyle="1" w:styleId="apple-converted-space">
    <w:name w:val="apple-converted-space"/>
    <w:basedOn w:val="DefaultParagraphFont"/>
    <w:rsid w:val="00115708"/>
  </w:style>
  <w:style w:type="paragraph" w:styleId="EndnoteText">
    <w:name w:val="endnote text"/>
    <w:basedOn w:val="Normal"/>
    <w:link w:val="EndnoteTextChar"/>
    <w:uiPriority w:val="99"/>
    <w:semiHidden/>
    <w:unhideWhenUsed/>
    <w:locked/>
    <w:rsid w:val="00890F93"/>
    <w:pPr>
      <w:spacing w:before="0" w:after="0"/>
    </w:pPr>
    <w:rPr>
      <w:sz w:val="20"/>
    </w:rPr>
  </w:style>
  <w:style w:type="character" w:customStyle="1" w:styleId="EndnoteTextChar">
    <w:name w:val="Endnote Text Char"/>
    <w:basedOn w:val="DefaultParagraphFont"/>
    <w:link w:val="EndnoteText"/>
    <w:uiPriority w:val="99"/>
    <w:semiHidden/>
    <w:rsid w:val="00890F93"/>
    <w:rPr>
      <w:rFonts w:ascii="Times New Roman" w:hAnsi="Times New Roman"/>
    </w:rPr>
  </w:style>
  <w:style w:type="character" w:styleId="EndnoteReference">
    <w:name w:val="endnote reference"/>
    <w:basedOn w:val="DefaultParagraphFont"/>
    <w:uiPriority w:val="99"/>
    <w:semiHidden/>
    <w:unhideWhenUsed/>
    <w:locked/>
    <w:rsid w:val="00890F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0875">
      <w:bodyDiv w:val="1"/>
      <w:marLeft w:val="0"/>
      <w:marRight w:val="0"/>
      <w:marTop w:val="0"/>
      <w:marBottom w:val="0"/>
      <w:divBdr>
        <w:top w:val="none" w:sz="0" w:space="0" w:color="auto"/>
        <w:left w:val="none" w:sz="0" w:space="0" w:color="auto"/>
        <w:bottom w:val="none" w:sz="0" w:space="0" w:color="auto"/>
        <w:right w:val="none" w:sz="0" w:space="0" w:color="auto"/>
      </w:divBdr>
    </w:div>
    <w:div w:id="8795786">
      <w:bodyDiv w:val="1"/>
      <w:marLeft w:val="0"/>
      <w:marRight w:val="0"/>
      <w:marTop w:val="0"/>
      <w:marBottom w:val="0"/>
      <w:divBdr>
        <w:top w:val="none" w:sz="0" w:space="0" w:color="auto"/>
        <w:left w:val="none" w:sz="0" w:space="0" w:color="auto"/>
        <w:bottom w:val="none" w:sz="0" w:space="0" w:color="auto"/>
        <w:right w:val="none" w:sz="0" w:space="0" w:color="auto"/>
      </w:divBdr>
    </w:div>
    <w:div w:id="24908234">
      <w:bodyDiv w:val="1"/>
      <w:marLeft w:val="0"/>
      <w:marRight w:val="0"/>
      <w:marTop w:val="0"/>
      <w:marBottom w:val="0"/>
      <w:divBdr>
        <w:top w:val="none" w:sz="0" w:space="0" w:color="auto"/>
        <w:left w:val="none" w:sz="0" w:space="0" w:color="auto"/>
        <w:bottom w:val="none" w:sz="0" w:space="0" w:color="auto"/>
        <w:right w:val="none" w:sz="0" w:space="0" w:color="auto"/>
      </w:divBdr>
    </w:div>
    <w:div w:id="24916906">
      <w:bodyDiv w:val="1"/>
      <w:marLeft w:val="0"/>
      <w:marRight w:val="0"/>
      <w:marTop w:val="0"/>
      <w:marBottom w:val="0"/>
      <w:divBdr>
        <w:top w:val="none" w:sz="0" w:space="0" w:color="auto"/>
        <w:left w:val="none" w:sz="0" w:space="0" w:color="auto"/>
        <w:bottom w:val="none" w:sz="0" w:space="0" w:color="auto"/>
        <w:right w:val="none" w:sz="0" w:space="0" w:color="auto"/>
      </w:divBdr>
      <w:divsChild>
        <w:div w:id="1719813558">
          <w:marLeft w:val="274"/>
          <w:marRight w:val="0"/>
          <w:marTop w:val="60"/>
          <w:marBottom w:val="0"/>
          <w:divBdr>
            <w:top w:val="none" w:sz="0" w:space="0" w:color="auto"/>
            <w:left w:val="none" w:sz="0" w:space="0" w:color="auto"/>
            <w:bottom w:val="none" w:sz="0" w:space="0" w:color="auto"/>
            <w:right w:val="none" w:sz="0" w:space="0" w:color="auto"/>
          </w:divBdr>
        </w:div>
        <w:div w:id="812063823">
          <w:marLeft w:val="274"/>
          <w:marRight w:val="0"/>
          <w:marTop w:val="60"/>
          <w:marBottom w:val="0"/>
          <w:divBdr>
            <w:top w:val="none" w:sz="0" w:space="0" w:color="auto"/>
            <w:left w:val="none" w:sz="0" w:space="0" w:color="auto"/>
            <w:bottom w:val="none" w:sz="0" w:space="0" w:color="auto"/>
            <w:right w:val="none" w:sz="0" w:space="0" w:color="auto"/>
          </w:divBdr>
        </w:div>
        <w:div w:id="433214846">
          <w:marLeft w:val="274"/>
          <w:marRight w:val="0"/>
          <w:marTop w:val="60"/>
          <w:marBottom w:val="0"/>
          <w:divBdr>
            <w:top w:val="none" w:sz="0" w:space="0" w:color="auto"/>
            <w:left w:val="none" w:sz="0" w:space="0" w:color="auto"/>
            <w:bottom w:val="none" w:sz="0" w:space="0" w:color="auto"/>
            <w:right w:val="none" w:sz="0" w:space="0" w:color="auto"/>
          </w:divBdr>
        </w:div>
        <w:div w:id="2059351223">
          <w:marLeft w:val="274"/>
          <w:marRight w:val="0"/>
          <w:marTop w:val="120"/>
          <w:marBottom w:val="0"/>
          <w:divBdr>
            <w:top w:val="none" w:sz="0" w:space="0" w:color="auto"/>
            <w:left w:val="none" w:sz="0" w:space="0" w:color="auto"/>
            <w:bottom w:val="none" w:sz="0" w:space="0" w:color="auto"/>
            <w:right w:val="none" w:sz="0" w:space="0" w:color="auto"/>
          </w:divBdr>
        </w:div>
        <w:div w:id="621306949">
          <w:marLeft w:val="274"/>
          <w:marRight w:val="0"/>
          <w:marTop w:val="120"/>
          <w:marBottom w:val="0"/>
          <w:divBdr>
            <w:top w:val="none" w:sz="0" w:space="0" w:color="auto"/>
            <w:left w:val="none" w:sz="0" w:space="0" w:color="auto"/>
            <w:bottom w:val="none" w:sz="0" w:space="0" w:color="auto"/>
            <w:right w:val="none" w:sz="0" w:space="0" w:color="auto"/>
          </w:divBdr>
        </w:div>
        <w:div w:id="599526036">
          <w:marLeft w:val="274"/>
          <w:marRight w:val="0"/>
          <w:marTop w:val="120"/>
          <w:marBottom w:val="0"/>
          <w:divBdr>
            <w:top w:val="none" w:sz="0" w:space="0" w:color="auto"/>
            <w:left w:val="none" w:sz="0" w:space="0" w:color="auto"/>
            <w:bottom w:val="none" w:sz="0" w:space="0" w:color="auto"/>
            <w:right w:val="none" w:sz="0" w:space="0" w:color="auto"/>
          </w:divBdr>
        </w:div>
        <w:div w:id="1621184974">
          <w:marLeft w:val="274"/>
          <w:marRight w:val="0"/>
          <w:marTop w:val="120"/>
          <w:marBottom w:val="0"/>
          <w:divBdr>
            <w:top w:val="none" w:sz="0" w:space="0" w:color="auto"/>
            <w:left w:val="none" w:sz="0" w:space="0" w:color="auto"/>
            <w:bottom w:val="none" w:sz="0" w:space="0" w:color="auto"/>
            <w:right w:val="none" w:sz="0" w:space="0" w:color="auto"/>
          </w:divBdr>
        </w:div>
        <w:div w:id="1800102336">
          <w:marLeft w:val="274"/>
          <w:marRight w:val="0"/>
          <w:marTop w:val="120"/>
          <w:marBottom w:val="0"/>
          <w:divBdr>
            <w:top w:val="none" w:sz="0" w:space="0" w:color="auto"/>
            <w:left w:val="none" w:sz="0" w:space="0" w:color="auto"/>
            <w:bottom w:val="none" w:sz="0" w:space="0" w:color="auto"/>
            <w:right w:val="none" w:sz="0" w:space="0" w:color="auto"/>
          </w:divBdr>
        </w:div>
        <w:div w:id="1258054566">
          <w:marLeft w:val="274"/>
          <w:marRight w:val="0"/>
          <w:marTop w:val="120"/>
          <w:marBottom w:val="0"/>
          <w:divBdr>
            <w:top w:val="none" w:sz="0" w:space="0" w:color="auto"/>
            <w:left w:val="none" w:sz="0" w:space="0" w:color="auto"/>
            <w:bottom w:val="none" w:sz="0" w:space="0" w:color="auto"/>
            <w:right w:val="none" w:sz="0" w:space="0" w:color="auto"/>
          </w:divBdr>
        </w:div>
        <w:div w:id="893854453">
          <w:marLeft w:val="274"/>
          <w:marRight w:val="0"/>
          <w:marTop w:val="60"/>
          <w:marBottom w:val="0"/>
          <w:divBdr>
            <w:top w:val="none" w:sz="0" w:space="0" w:color="auto"/>
            <w:left w:val="none" w:sz="0" w:space="0" w:color="auto"/>
            <w:bottom w:val="none" w:sz="0" w:space="0" w:color="auto"/>
            <w:right w:val="none" w:sz="0" w:space="0" w:color="auto"/>
          </w:divBdr>
        </w:div>
        <w:div w:id="1508443435">
          <w:marLeft w:val="274"/>
          <w:marRight w:val="0"/>
          <w:marTop w:val="60"/>
          <w:marBottom w:val="0"/>
          <w:divBdr>
            <w:top w:val="none" w:sz="0" w:space="0" w:color="auto"/>
            <w:left w:val="none" w:sz="0" w:space="0" w:color="auto"/>
            <w:bottom w:val="none" w:sz="0" w:space="0" w:color="auto"/>
            <w:right w:val="none" w:sz="0" w:space="0" w:color="auto"/>
          </w:divBdr>
        </w:div>
        <w:div w:id="1600941800">
          <w:marLeft w:val="274"/>
          <w:marRight w:val="0"/>
          <w:marTop w:val="60"/>
          <w:marBottom w:val="0"/>
          <w:divBdr>
            <w:top w:val="none" w:sz="0" w:space="0" w:color="auto"/>
            <w:left w:val="none" w:sz="0" w:space="0" w:color="auto"/>
            <w:bottom w:val="none" w:sz="0" w:space="0" w:color="auto"/>
            <w:right w:val="none" w:sz="0" w:space="0" w:color="auto"/>
          </w:divBdr>
        </w:div>
        <w:div w:id="24603406">
          <w:marLeft w:val="274"/>
          <w:marRight w:val="0"/>
          <w:marTop w:val="60"/>
          <w:marBottom w:val="0"/>
          <w:divBdr>
            <w:top w:val="none" w:sz="0" w:space="0" w:color="auto"/>
            <w:left w:val="none" w:sz="0" w:space="0" w:color="auto"/>
            <w:bottom w:val="none" w:sz="0" w:space="0" w:color="auto"/>
            <w:right w:val="none" w:sz="0" w:space="0" w:color="auto"/>
          </w:divBdr>
        </w:div>
        <w:div w:id="401176977">
          <w:marLeft w:val="274"/>
          <w:marRight w:val="0"/>
          <w:marTop w:val="60"/>
          <w:marBottom w:val="0"/>
          <w:divBdr>
            <w:top w:val="none" w:sz="0" w:space="0" w:color="auto"/>
            <w:left w:val="none" w:sz="0" w:space="0" w:color="auto"/>
            <w:bottom w:val="none" w:sz="0" w:space="0" w:color="auto"/>
            <w:right w:val="none" w:sz="0" w:space="0" w:color="auto"/>
          </w:divBdr>
        </w:div>
        <w:div w:id="2057662336">
          <w:marLeft w:val="274"/>
          <w:marRight w:val="0"/>
          <w:marTop w:val="60"/>
          <w:marBottom w:val="0"/>
          <w:divBdr>
            <w:top w:val="none" w:sz="0" w:space="0" w:color="auto"/>
            <w:left w:val="none" w:sz="0" w:space="0" w:color="auto"/>
            <w:bottom w:val="none" w:sz="0" w:space="0" w:color="auto"/>
            <w:right w:val="none" w:sz="0" w:space="0" w:color="auto"/>
          </w:divBdr>
        </w:div>
        <w:div w:id="1254974419">
          <w:marLeft w:val="274"/>
          <w:marRight w:val="0"/>
          <w:marTop w:val="60"/>
          <w:marBottom w:val="0"/>
          <w:divBdr>
            <w:top w:val="none" w:sz="0" w:space="0" w:color="auto"/>
            <w:left w:val="none" w:sz="0" w:space="0" w:color="auto"/>
            <w:bottom w:val="none" w:sz="0" w:space="0" w:color="auto"/>
            <w:right w:val="none" w:sz="0" w:space="0" w:color="auto"/>
          </w:divBdr>
        </w:div>
        <w:div w:id="460851561">
          <w:marLeft w:val="274"/>
          <w:marRight w:val="0"/>
          <w:marTop w:val="60"/>
          <w:marBottom w:val="0"/>
          <w:divBdr>
            <w:top w:val="none" w:sz="0" w:space="0" w:color="auto"/>
            <w:left w:val="none" w:sz="0" w:space="0" w:color="auto"/>
            <w:bottom w:val="none" w:sz="0" w:space="0" w:color="auto"/>
            <w:right w:val="none" w:sz="0" w:space="0" w:color="auto"/>
          </w:divBdr>
        </w:div>
        <w:div w:id="77800221">
          <w:marLeft w:val="274"/>
          <w:marRight w:val="0"/>
          <w:marTop w:val="60"/>
          <w:marBottom w:val="0"/>
          <w:divBdr>
            <w:top w:val="none" w:sz="0" w:space="0" w:color="auto"/>
            <w:left w:val="none" w:sz="0" w:space="0" w:color="auto"/>
            <w:bottom w:val="none" w:sz="0" w:space="0" w:color="auto"/>
            <w:right w:val="none" w:sz="0" w:space="0" w:color="auto"/>
          </w:divBdr>
        </w:div>
        <w:div w:id="637998964">
          <w:marLeft w:val="274"/>
          <w:marRight w:val="0"/>
          <w:marTop w:val="60"/>
          <w:marBottom w:val="0"/>
          <w:divBdr>
            <w:top w:val="none" w:sz="0" w:space="0" w:color="auto"/>
            <w:left w:val="none" w:sz="0" w:space="0" w:color="auto"/>
            <w:bottom w:val="none" w:sz="0" w:space="0" w:color="auto"/>
            <w:right w:val="none" w:sz="0" w:space="0" w:color="auto"/>
          </w:divBdr>
        </w:div>
        <w:div w:id="1789082636">
          <w:marLeft w:val="274"/>
          <w:marRight w:val="0"/>
          <w:marTop w:val="60"/>
          <w:marBottom w:val="0"/>
          <w:divBdr>
            <w:top w:val="none" w:sz="0" w:space="0" w:color="auto"/>
            <w:left w:val="none" w:sz="0" w:space="0" w:color="auto"/>
            <w:bottom w:val="none" w:sz="0" w:space="0" w:color="auto"/>
            <w:right w:val="none" w:sz="0" w:space="0" w:color="auto"/>
          </w:divBdr>
        </w:div>
        <w:div w:id="1169101075">
          <w:marLeft w:val="274"/>
          <w:marRight w:val="0"/>
          <w:marTop w:val="60"/>
          <w:marBottom w:val="0"/>
          <w:divBdr>
            <w:top w:val="none" w:sz="0" w:space="0" w:color="auto"/>
            <w:left w:val="none" w:sz="0" w:space="0" w:color="auto"/>
            <w:bottom w:val="none" w:sz="0" w:space="0" w:color="auto"/>
            <w:right w:val="none" w:sz="0" w:space="0" w:color="auto"/>
          </w:divBdr>
        </w:div>
        <w:div w:id="765467619">
          <w:marLeft w:val="274"/>
          <w:marRight w:val="0"/>
          <w:marTop w:val="60"/>
          <w:marBottom w:val="0"/>
          <w:divBdr>
            <w:top w:val="none" w:sz="0" w:space="0" w:color="auto"/>
            <w:left w:val="none" w:sz="0" w:space="0" w:color="auto"/>
            <w:bottom w:val="none" w:sz="0" w:space="0" w:color="auto"/>
            <w:right w:val="none" w:sz="0" w:space="0" w:color="auto"/>
          </w:divBdr>
        </w:div>
        <w:div w:id="684022322">
          <w:marLeft w:val="274"/>
          <w:marRight w:val="0"/>
          <w:marTop w:val="60"/>
          <w:marBottom w:val="0"/>
          <w:divBdr>
            <w:top w:val="none" w:sz="0" w:space="0" w:color="auto"/>
            <w:left w:val="none" w:sz="0" w:space="0" w:color="auto"/>
            <w:bottom w:val="none" w:sz="0" w:space="0" w:color="auto"/>
            <w:right w:val="none" w:sz="0" w:space="0" w:color="auto"/>
          </w:divBdr>
        </w:div>
      </w:divsChild>
    </w:div>
    <w:div w:id="33236386">
      <w:bodyDiv w:val="1"/>
      <w:marLeft w:val="0"/>
      <w:marRight w:val="0"/>
      <w:marTop w:val="0"/>
      <w:marBottom w:val="0"/>
      <w:divBdr>
        <w:top w:val="none" w:sz="0" w:space="0" w:color="auto"/>
        <w:left w:val="none" w:sz="0" w:space="0" w:color="auto"/>
        <w:bottom w:val="none" w:sz="0" w:space="0" w:color="auto"/>
        <w:right w:val="none" w:sz="0" w:space="0" w:color="auto"/>
      </w:divBdr>
    </w:div>
    <w:div w:id="35200219">
      <w:bodyDiv w:val="1"/>
      <w:marLeft w:val="0"/>
      <w:marRight w:val="0"/>
      <w:marTop w:val="0"/>
      <w:marBottom w:val="0"/>
      <w:divBdr>
        <w:top w:val="none" w:sz="0" w:space="0" w:color="auto"/>
        <w:left w:val="none" w:sz="0" w:space="0" w:color="auto"/>
        <w:bottom w:val="none" w:sz="0" w:space="0" w:color="auto"/>
        <w:right w:val="none" w:sz="0" w:space="0" w:color="auto"/>
      </w:divBdr>
    </w:div>
    <w:div w:id="45878501">
      <w:bodyDiv w:val="1"/>
      <w:marLeft w:val="0"/>
      <w:marRight w:val="0"/>
      <w:marTop w:val="0"/>
      <w:marBottom w:val="0"/>
      <w:divBdr>
        <w:top w:val="none" w:sz="0" w:space="0" w:color="auto"/>
        <w:left w:val="none" w:sz="0" w:space="0" w:color="auto"/>
        <w:bottom w:val="none" w:sz="0" w:space="0" w:color="auto"/>
        <w:right w:val="none" w:sz="0" w:space="0" w:color="auto"/>
      </w:divBdr>
    </w:div>
    <w:div w:id="53478822">
      <w:bodyDiv w:val="1"/>
      <w:marLeft w:val="0"/>
      <w:marRight w:val="0"/>
      <w:marTop w:val="0"/>
      <w:marBottom w:val="0"/>
      <w:divBdr>
        <w:top w:val="none" w:sz="0" w:space="0" w:color="auto"/>
        <w:left w:val="none" w:sz="0" w:space="0" w:color="auto"/>
        <w:bottom w:val="none" w:sz="0" w:space="0" w:color="auto"/>
        <w:right w:val="none" w:sz="0" w:space="0" w:color="auto"/>
      </w:divBdr>
    </w:div>
    <w:div w:id="62067988">
      <w:bodyDiv w:val="1"/>
      <w:marLeft w:val="0"/>
      <w:marRight w:val="0"/>
      <w:marTop w:val="0"/>
      <w:marBottom w:val="0"/>
      <w:divBdr>
        <w:top w:val="none" w:sz="0" w:space="0" w:color="auto"/>
        <w:left w:val="none" w:sz="0" w:space="0" w:color="auto"/>
        <w:bottom w:val="none" w:sz="0" w:space="0" w:color="auto"/>
        <w:right w:val="none" w:sz="0" w:space="0" w:color="auto"/>
      </w:divBdr>
    </w:div>
    <w:div w:id="77217684">
      <w:bodyDiv w:val="1"/>
      <w:marLeft w:val="0"/>
      <w:marRight w:val="0"/>
      <w:marTop w:val="0"/>
      <w:marBottom w:val="0"/>
      <w:divBdr>
        <w:top w:val="none" w:sz="0" w:space="0" w:color="auto"/>
        <w:left w:val="none" w:sz="0" w:space="0" w:color="auto"/>
        <w:bottom w:val="none" w:sz="0" w:space="0" w:color="auto"/>
        <w:right w:val="none" w:sz="0" w:space="0" w:color="auto"/>
      </w:divBdr>
    </w:div>
    <w:div w:id="80104171">
      <w:bodyDiv w:val="1"/>
      <w:marLeft w:val="0"/>
      <w:marRight w:val="0"/>
      <w:marTop w:val="0"/>
      <w:marBottom w:val="0"/>
      <w:divBdr>
        <w:top w:val="none" w:sz="0" w:space="0" w:color="auto"/>
        <w:left w:val="none" w:sz="0" w:space="0" w:color="auto"/>
        <w:bottom w:val="none" w:sz="0" w:space="0" w:color="auto"/>
        <w:right w:val="none" w:sz="0" w:space="0" w:color="auto"/>
      </w:divBdr>
    </w:div>
    <w:div w:id="84033550">
      <w:bodyDiv w:val="1"/>
      <w:marLeft w:val="0"/>
      <w:marRight w:val="0"/>
      <w:marTop w:val="0"/>
      <w:marBottom w:val="0"/>
      <w:divBdr>
        <w:top w:val="none" w:sz="0" w:space="0" w:color="auto"/>
        <w:left w:val="none" w:sz="0" w:space="0" w:color="auto"/>
        <w:bottom w:val="none" w:sz="0" w:space="0" w:color="auto"/>
        <w:right w:val="none" w:sz="0" w:space="0" w:color="auto"/>
      </w:divBdr>
    </w:div>
    <w:div w:id="92560244">
      <w:bodyDiv w:val="1"/>
      <w:marLeft w:val="0"/>
      <w:marRight w:val="0"/>
      <w:marTop w:val="0"/>
      <w:marBottom w:val="0"/>
      <w:divBdr>
        <w:top w:val="none" w:sz="0" w:space="0" w:color="auto"/>
        <w:left w:val="none" w:sz="0" w:space="0" w:color="auto"/>
        <w:bottom w:val="none" w:sz="0" w:space="0" w:color="auto"/>
        <w:right w:val="none" w:sz="0" w:space="0" w:color="auto"/>
      </w:divBdr>
    </w:div>
    <w:div w:id="93133887">
      <w:bodyDiv w:val="1"/>
      <w:marLeft w:val="0"/>
      <w:marRight w:val="0"/>
      <w:marTop w:val="0"/>
      <w:marBottom w:val="0"/>
      <w:divBdr>
        <w:top w:val="none" w:sz="0" w:space="0" w:color="auto"/>
        <w:left w:val="none" w:sz="0" w:space="0" w:color="auto"/>
        <w:bottom w:val="none" w:sz="0" w:space="0" w:color="auto"/>
        <w:right w:val="none" w:sz="0" w:space="0" w:color="auto"/>
      </w:divBdr>
    </w:div>
    <w:div w:id="102849389">
      <w:bodyDiv w:val="1"/>
      <w:marLeft w:val="0"/>
      <w:marRight w:val="0"/>
      <w:marTop w:val="0"/>
      <w:marBottom w:val="0"/>
      <w:divBdr>
        <w:top w:val="none" w:sz="0" w:space="0" w:color="auto"/>
        <w:left w:val="none" w:sz="0" w:space="0" w:color="auto"/>
        <w:bottom w:val="none" w:sz="0" w:space="0" w:color="auto"/>
        <w:right w:val="none" w:sz="0" w:space="0" w:color="auto"/>
      </w:divBdr>
    </w:div>
    <w:div w:id="103426415">
      <w:bodyDiv w:val="1"/>
      <w:marLeft w:val="0"/>
      <w:marRight w:val="0"/>
      <w:marTop w:val="0"/>
      <w:marBottom w:val="0"/>
      <w:divBdr>
        <w:top w:val="none" w:sz="0" w:space="0" w:color="auto"/>
        <w:left w:val="none" w:sz="0" w:space="0" w:color="auto"/>
        <w:bottom w:val="none" w:sz="0" w:space="0" w:color="auto"/>
        <w:right w:val="none" w:sz="0" w:space="0" w:color="auto"/>
      </w:divBdr>
    </w:div>
    <w:div w:id="105389722">
      <w:bodyDiv w:val="1"/>
      <w:marLeft w:val="0"/>
      <w:marRight w:val="0"/>
      <w:marTop w:val="0"/>
      <w:marBottom w:val="0"/>
      <w:divBdr>
        <w:top w:val="none" w:sz="0" w:space="0" w:color="auto"/>
        <w:left w:val="none" w:sz="0" w:space="0" w:color="auto"/>
        <w:bottom w:val="none" w:sz="0" w:space="0" w:color="auto"/>
        <w:right w:val="none" w:sz="0" w:space="0" w:color="auto"/>
      </w:divBdr>
    </w:div>
    <w:div w:id="105658280">
      <w:bodyDiv w:val="1"/>
      <w:marLeft w:val="0"/>
      <w:marRight w:val="0"/>
      <w:marTop w:val="0"/>
      <w:marBottom w:val="0"/>
      <w:divBdr>
        <w:top w:val="none" w:sz="0" w:space="0" w:color="auto"/>
        <w:left w:val="none" w:sz="0" w:space="0" w:color="auto"/>
        <w:bottom w:val="none" w:sz="0" w:space="0" w:color="auto"/>
        <w:right w:val="none" w:sz="0" w:space="0" w:color="auto"/>
      </w:divBdr>
    </w:div>
    <w:div w:id="125970651">
      <w:bodyDiv w:val="1"/>
      <w:marLeft w:val="0"/>
      <w:marRight w:val="0"/>
      <w:marTop w:val="0"/>
      <w:marBottom w:val="0"/>
      <w:divBdr>
        <w:top w:val="none" w:sz="0" w:space="0" w:color="auto"/>
        <w:left w:val="none" w:sz="0" w:space="0" w:color="auto"/>
        <w:bottom w:val="none" w:sz="0" w:space="0" w:color="auto"/>
        <w:right w:val="none" w:sz="0" w:space="0" w:color="auto"/>
      </w:divBdr>
    </w:div>
    <w:div w:id="141892383">
      <w:bodyDiv w:val="1"/>
      <w:marLeft w:val="0"/>
      <w:marRight w:val="0"/>
      <w:marTop w:val="0"/>
      <w:marBottom w:val="0"/>
      <w:divBdr>
        <w:top w:val="none" w:sz="0" w:space="0" w:color="auto"/>
        <w:left w:val="none" w:sz="0" w:space="0" w:color="auto"/>
        <w:bottom w:val="none" w:sz="0" w:space="0" w:color="auto"/>
        <w:right w:val="none" w:sz="0" w:space="0" w:color="auto"/>
      </w:divBdr>
    </w:div>
    <w:div w:id="143281749">
      <w:bodyDiv w:val="1"/>
      <w:marLeft w:val="0"/>
      <w:marRight w:val="0"/>
      <w:marTop w:val="0"/>
      <w:marBottom w:val="0"/>
      <w:divBdr>
        <w:top w:val="none" w:sz="0" w:space="0" w:color="auto"/>
        <w:left w:val="none" w:sz="0" w:space="0" w:color="auto"/>
        <w:bottom w:val="none" w:sz="0" w:space="0" w:color="auto"/>
        <w:right w:val="none" w:sz="0" w:space="0" w:color="auto"/>
      </w:divBdr>
    </w:div>
    <w:div w:id="156238294">
      <w:bodyDiv w:val="1"/>
      <w:marLeft w:val="0"/>
      <w:marRight w:val="0"/>
      <w:marTop w:val="0"/>
      <w:marBottom w:val="0"/>
      <w:divBdr>
        <w:top w:val="none" w:sz="0" w:space="0" w:color="auto"/>
        <w:left w:val="none" w:sz="0" w:space="0" w:color="auto"/>
        <w:bottom w:val="none" w:sz="0" w:space="0" w:color="auto"/>
        <w:right w:val="none" w:sz="0" w:space="0" w:color="auto"/>
      </w:divBdr>
    </w:div>
    <w:div w:id="165556771">
      <w:bodyDiv w:val="1"/>
      <w:marLeft w:val="0"/>
      <w:marRight w:val="0"/>
      <w:marTop w:val="0"/>
      <w:marBottom w:val="0"/>
      <w:divBdr>
        <w:top w:val="none" w:sz="0" w:space="0" w:color="auto"/>
        <w:left w:val="none" w:sz="0" w:space="0" w:color="auto"/>
        <w:bottom w:val="none" w:sz="0" w:space="0" w:color="auto"/>
        <w:right w:val="none" w:sz="0" w:space="0" w:color="auto"/>
      </w:divBdr>
    </w:div>
    <w:div w:id="180097178">
      <w:bodyDiv w:val="1"/>
      <w:marLeft w:val="0"/>
      <w:marRight w:val="0"/>
      <w:marTop w:val="0"/>
      <w:marBottom w:val="0"/>
      <w:divBdr>
        <w:top w:val="none" w:sz="0" w:space="0" w:color="auto"/>
        <w:left w:val="none" w:sz="0" w:space="0" w:color="auto"/>
        <w:bottom w:val="none" w:sz="0" w:space="0" w:color="auto"/>
        <w:right w:val="none" w:sz="0" w:space="0" w:color="auto"/>
      </w:divBdr>
    </w:div>
    <w:div w:id="197864298">
      <w:bodyDiv w:val="1"/>
      <w:marLeft w:val="0"/>
      <w:marRight w:val="0"/>
      <w:marTop w:val="0"/>
      <w:marBottom w:val="0"/>
      <w:divBdr>
        <w:top w:val="none" w:sz="0" w:space="0" w:color="auto"/>
        <w:left w:val="none" w:sz="0" w:space="0" w:color="auto"/>
        <w:bottom w:val="none" w:sz="0" w:space="0" w:color="auto"/>
        <w:right w:val="none" w:sz="0" w:space="0" w:color="auto"/>
      </w:divBdr>
    </w:div>
    <w:div w:id="214435281">
      <w:bodyDiv w:val="1"/>
      <w:marLeft w:val="0"/>
      <w:marRight w:val="0"/>
      <w:marTop w:val="0"/>
      <w:marBottom w:val="0"/>
      <w:divBdr>
        <w:top w:val="none" w:sz="0" w:space="0" w:color="auto"/>
        <w:left w:val="none" w:sz="0" w:space="0" w:color="auto"/>
        <w:bottom w:val="none" w:sz="0" w:space="0" w:color="auto"/>
        <w:right w:val="none" w:sz="0" w:space="0" w:color="auto"/>
      </w:divBdr>
      <w:divsChild>
        <w:div w:id="1846090637">
          <w:marLeft w:val="274"/>
          <w:marRight w:val="0"/>
          <w:marTop w:val="60"/>
          <w:marBottom w:val="0"/>
          <w:divBdr>
            <w:top w:val="none" w:sz="0" w:space="0" w:color="auto"/>
            <w:left w:val="none" w:sz="0" w:space="0" w:color="auto"/>
            <w:bottom w:val="none" w:sz="0" w:space="0" w:color="auto"/>
            <w:right w:val="none" w:sz="0" w:space="0" w:color="auto"/>
          </w:divBdr>
        </w:div>
      </w:divsChild>
    </w:div>
    <w:div w:id="234319502">
      <w:bodyDiv w:val="1"/>
      <w:marLeft w:val="0"/>
      <w:marRight w:val="0"/>
      <w:marTop w:val="0"/>
      <w:marBottom w:val="0"/>
      <w:divBdr>
        <w:top w:val="none" w:sz="0" w:space="0" w:color="auto"/>
        <w:left w:val="none" w:sz="0" w:space="0" w:color="auto"/>
        <w:bottom w:val="none" w:sz="0" w:space="0" w:color="auto"/>
        <w:right w:val="none" w:sz="0" w:space="0" w:color="auto"/>
      </w:divBdr>
    </w:div>
    <w:div w:id="235553280">
      <w:bodyDiv w:val="1"/>
      <w:marLeft w:val="0"/>
      <w:marRight w:val="0"/>
      <w:marTop w:val="0"/>
      <w:marBottom w:val="0"/>
      <w:divBdr>
        <w:top w:val="none" w:sz="0" w:space="0" w:color="auto"/>
        <w:left w:val="none" w:sz="0" w:space="0" w:color="auto"/>
        <w:bottom w:val="none" w:sz="0" w:space="0" w:color="auto"/>
        <w:right w:val="none" w:sz="0" w:space="0" w:color="auto"/>
      </w:divBdr>
    </w:div>
    <w:div w:id="270364285">
      <w:bodyDiv w:val="1"/>
      <w:marLeft w:val="0"/>
      <w:marRight w:val="0"/>
      <w:marTop w:val="0"/>
      <w:marBottom w:val="0"/>
      <w:divBdr>
        <w:top w:val="none" w:sz="0" w:space="0" w:color="auto"/>
        <w:left w:val="none" w:sz="0" w:space="0" w:color="auto"/>
        <w:bottom w:val="none" w:sz="0" w:space="0" w:color="auto"/>
        <w:right w:val="none" w:sz="0" w:space="0" w:color="auto"/>
      </w:divBdr>
    </w:div>
    <w:div w:id="278756369">
      <w:bodyDiv w:val="1"/>
      <w:marLeft w:val="0"/>
      <w:marRight w:val="0"/>
      <w:marTop w:val="0"/>
      <w:marBottom w:val="0"/>
      <w:divBdr>
        <w:top w:val="none" w:sz="0" w:space="0" w:color="auto"/>
        <w:left w:val="none" w:sz="0" w:space="0" w:color="auto"/>
        <w:bottom w:val="none" w:sz="0" w:space="0" w:color="auto"/>
        <w:right w:val="none" w:sz="0" w:space="0" w:color="auto"/>
      </w:divBdr>
    </w:div>
    <w:div w:id="300576143">
      <w:bodyDiv w:val="1"/>
      <w:marLeft w:val="0"/>
      <w:marRight w:val="0"/>
      <w:marTop w:val="0"/>
      <w:marBottom w:val="0"/>
      <w:divBdr>
        <w:top w:val="none" w:sz="0" w:space="0" w:color="auto"/>
        <w:left w:val="none" w:sz="0" w:space="0" w:color="auto"/>
        <w:bottom w:val="none" w:sz="0" w:space="0" w:color="auto"/>
        <w:right w:val="none" w:sz="0" w:space="0" w:color="auto"/>
      </w:divBdr>
      <w:divsChild>
        <w:div w:id="325671107">
          <w:marLeft w:val="274"/>
          <w:marRight w:val="0"/>
          <w:marTop w:val="60"/>
          <w:marBottom w:val="0"/>
          <w:divBdr>
            <w:top w:val="none" w:sz="0" w:space="0" w:color="auto"/>
            <w:left w:val="none" w:sz="0" w:space="0" w:color="auto"/>
            <w:bottom w:val="none" w:sz="0" w:space="0" w:color="auto"/>
            <w:right w:val="none" w:sz="0" w:space="0" w:color="auto"/>
          </w:divBdr>
        </w:div>
        <w:div w:id="1125780563">
          <w:marLeft w:val="274"/>
          <w:marRight w:val="0"/>
          <w:marTop w:val="60"/>
          <w:marBottom w:val="0"/>
          <w:divBdr>
            <w:top w:val="none" w:sz="0" w:space="0" w:color="auto"/>
            <w:left w:val="none" w:sz="0" w:space="0" w:color="auto"/>
            <w:bottom w:val="none" w:sz="0" w:space="0" w:color="auto"/>
            <w:right w:val="none" w:sz="0" w:space="0" w:color="auto"/>
          </w:divBdr>
        </w:div>
        <w:div w:id="238099615">
          <w:marLeft w:val="274"/>
          <w:marRight w:val="0"/>
          <w:marTop w:val="60"/>
          <w:marBottom w:val="0"/>
          <w:divBdr>
            <w:top w:val="none" w:sz="0" w:space="0" w:color="auto"/>
            <w:left w:val="none" w:sz="0" w:space="0" w:color="auto"/>
            <w:bottom w:val="none" w:sz="0" w:space="0" w:color="auto"/>
            <w:right w:val="none" w:sz="0" w:space="0" w:color="auto"/>
          </w:divBdr>
        </w:div>
        <w:div w:id="1299144472">
          <w:marLeft w:val="274"/>
          <w:marRight w:val="0"/>
          <w:marTop w:val="120"/>
          <w:marBottom w:val="0"/>
          <w:divBdr>
            <w:top w:val="none" w:sz="0" w:space="0" w:color="auto"/>
            <w:left w:val="none" w:sz="0" w:space="0" w:color="auto"/>
            <w:bottom w:val="none" w:sz="0" w:space="0" w:color="auto"/>
            <w:right w:val="none" w:sz="0" w:space="0" w:color="auto"/>
          </w:divBdr>
        </w:div>
        <w:div w:id="277642153">
          <w:marLeft w:val="274"/>
          <w:marRight w:val="0"/>
          <w:marTop w:val="120"/>
          <w:marBottom w:val="0"/>
          <w:divBdr>
            <w:top w:val="none" w:sz="0" w:space="0" w:color="auto"/>
            <w:left w:val="none" w:sz="0" w:space="0" w:color="auto"/>
            <w:bottom w:val="none" w:sz="0" w:space="0" w:color="auto"/>
            <w:right w:val="none" w:sz="0" w:space="0" w:color="auto"/>
          </w:divBdr>
        </w:div>
        <w:div w:id="1748069954">
          <w:marLeft w:val="274"/>
          <w:marRight w:val="0"/>
          <w:marTop w:val="120"/>
          <w:marBottom w:val="0"/>
          <w:divBdr>
            <w:top w:val="none" w:sz="0" w:space="0" w:color="auto"/>
            <w:left w:val="none" w:sz="0" w:space="0" w:color="auto"/>
            <w:bottom w:val="none" w:sz="0" w:space="0" w:color="auto"/>
            <w:right w:val="none" w:sz="0" w:space="0" w:color="auto"/>
          </w:divBdr>
        </w:div>
        <w:div w:id="1451628656">
          <w:marLeft w:val="274"/>
          <w:marRight w:val="0"/>
          <w:marTop w:val="120"/>
          <w:marBottom w:val="0"/>
          <w:divBdr>
            <w:top w:val="none" w:sz="0" w:space="0" w:color="auto"/>
            <w:left w:val="none" w:sz="0" w:space="0" w:color="auto"/>
            <w:bottom w:val="none" w:sz="0" w:space="0" w:color="auto"/>
            <w:right w:val="none" w:sz="0" w:space="0" w:color="auto"/>
          </w:divBdr>
        </w:div>
        <w:div w:id="286356296">
          <w:marLeft w:val="274"/>
          <w:marRight w:val="0"/>
          <w:marTop w:val="120"/>
          <w:marBottom w:val="0"/>
          <w:divBdr>
            <w:top w:val="none" w:sz="0" w:space="0" w:color="auto"/>
            <w:left w:val="none" w:sz="0" w:space="0" w:color="auto"/>
            <w:bottom w:val="none" w:sz="0" w:space="0" w:color="auto"/>
            <w:right w:val="none" w:sz="0" w:space="0" w:color="auto"/>
          </w:divBdr>
        </w:div>
        <w:div w:id="1787382093">
          <w:marLeft w:val="274"/>
          <w:marRight w:val="0"/>
          <w:marTop w:val="120"/>
          <w:marBottom w:val="0"/>
          <w:divBdr>
            <w:top w:val="none" w:sz="0" w:space="0" w:color="auto"/>
            <w:left w:val="none" w:sz="0" w:space="0" w:color="auto"/>
            <w:bottom w:val="none" w:sz="0" w:space="0" w:color="auto"/>
            <w:right w:val="none" w:sz="0" w:space="0" w:color="auto"/>
          </w:divBdr>
        </w:div>
        <w:div w:id="271475469">
          <w:marLeft w:val="274"/>
          <w:marRight w:val="0"/>
          <w:marTop w:val="60"/>
          <w:marBottom w:val="0"/>
          <w:divBdr>
            <w:top w:val="none" w:sz="0" w:space="0" w:color="auto"/>
            <w:left w:val="none" w:sz="0" w:space="0" w:color="auto"/>
            <w:bottom w:val="none" w:sz="0" w:space="0" w:color="auto"/>
            <w:right w:val="none" w:sz="0" w:space="0" w:color="auto"/>
          </w:divBdr>
        </w:div>
        <w:div w:id="34233000">
          <w:marLeft w:val="274"/>
          <w:marRight w:val="0"/>
          <w:marTop w:val="60"/>
          <w:marBottom w:val="0"/>
          <w:divBdr>
            <w:top w:val="none" w:sz="0" w:space="0" w:color="auto"/>
            <w:left w:val="none" w:sz="0" w:space="0" w:color="auto"/>
            <w:bottom w:val="none" w:sz="0" w:space="0" w:color="auto"/>
            <w:right w:val="none" w:sz="0" w:space="0" w:color="auto"/>
          </w:divBdr>
        </w:div>
        <w:div w:id="1349135550">
          <w:marLeft w:val="274"/>
          <w:marRight w:val="0"/>
          <w:marTop w:val="60"/>
          <w:marBottom w:val="0"/>
          <w:divBdr>
            <w:top w:val="none" w:sz="0" w:space="0" w:color="auto"/>
            <w:left w:val="none" w:sz="0" w:space="0" w:color="auto"/>
            <w:bottom w:val="none" w:sz="0" w:space="0" w:color="auto"/>
            <w:right w:val="none" w:sz="0" w:space="0" w:color="auto"/>
          </w:divBdr>
        </w:div>
        <w:div w:id="1537697952">
          <w:marLeft w:val="274"/>
          <w:marRight w:val="0"/>
          <w:marTop w:val="60"/>
          <w:marBottom w:val="0"/>
          <w:divBdr>
            <w:top w:val="none" w:sz="0" w:space="0" w:color="auto"/>
            <w:left w:val="none" w:sz="0" w:space="0" w:color="auto"/>
            <w:bottom w:val="none" w:sz="0" w:space="0" w:color="auto"/>
            <w:right w:val="none" w:sz="0" w:space="0" w:color="auto"/>
          </w:divBdr>
        </w:div>
        <w:div w:id="1842040522">
          <w:marLeft w:val="274"/>
          <w:marRight w:val="0"/>
          <w:marTop w:val="60"/>
          <w:marBottom w:val="0"/>
          <w:divBdr>
            <w:top w:val="none" w:sz="0" w:space="0" w:color="auto"/>
            <w:left w:val="none" w:sz="0" w:space="0" w:color="auto"/>
            <w:bottom w:val="none" w:sz="0" w:space="0" w:color="auto"/>
            <w:right w:val="none" w:sz="0" w:space="0" w:color="auto"/>
          </w:divBdr>
        </w:div>
        <w:div w:id="964703280">
          <w:marLeft w:val="274"/>
          <w:marRight w:val="0"/>
          <w:marTop w:val="60"/>
          <w:marBottom w:val="0"/>
          <w:divBdr>
            <w:top w:val="none" w:sz="0" w:space="0" w:color="auto"/>
            <w:left w:val="none" w:sz="0" w:space="0" w:color="auto"/>
            <w:bottom w:val="none" w:sz="0" w:space="0" w:color="auto"/>
            <w:right w:val="none" w:sz="0" w:space="0" w:color="auto"/>
          </w:divBdr>
        </w:div>
        <w:div w:id="1680816648">
          <w:marLeft w:val="274"/>
          <w:marRight w:val="0"/>
          <w:marTop w:val="60"/>
          <w:marBottom w:val="0"/>
          <w:divBdr>
            <w:top w:val="none" w:sz="0" w:space="0" w:color="auto"/>
            <w:left w:val="none" w:sz="0" w:space="0" w:color="auto"/>
            <w:bottom w:val="none" w:sz="0" w:space="0" w:color="auto"/>
            <w:right w:val="none" w:sz="0" w:space="0" w:color="auto"/>
          </w:divBdr>
        </w:div>
        <w:div w:id="1152259313">
          <w:marLeft w:val="274"/>
          <w:marRight w:val="0"/>
          <w:marTop w:val="60"/>
          <w:marBottom w:val="0"/>
          <w:divBdr>
            <w:top w:val="none" w:sz="0" w:space="0" w:color="auto"/>
            <w:left w:val="none" w:sz="0" w:space="0" w:color="auto"/>
            <w:bottom w:val="none" w:sz="0" w:space="0" w:color="auto"/>
            <w:right w:val="none" w:sz="0" w:space="0" w:color="auto"/>
          </w:divBdr>
        </w:div>
        <w:div w:id="972948935">
          <w:marLeft w:val="274"/>
          <w:marRight w:val="0"/>
          <w:marTop w:val="60"/>
          <w:marBottom w:val="0"/>
          <w:divBdr>
            <w:top w:val="none" w:sz="0" w:space="0" w:color="auto"/>
            <w:left w:val="none" w:sz="0" w:space="0" w:color="auto"/>
            <w:bottom w:val="none" w:sz="0" w:space="0" w:color="auto"/>
            <w:right w:val="none" w:sz="0" w:space="0" w:color="auto"/>
          </w:divBdr>
        </w:div>
        <w:div w:id="1721438573">
          <w:marLeft w:val="274"/>
          <w:marRight w:val="0"/>
          <w:marTop w:val="60"/>
          <w:marBottom w:val="0"/>
          <w:divBdr>
            <w:top w:val="none" w:sz="0" w:space="0" w:color="auto"/>
            <w:left w:val="none" w:sz="0" w:space="0" w:color="auto"/>
            <w:bottom w:val="none" w:sz="0" w:space="0" w:color="auto"/>
            <w:right w:val="none" w:sz="0" w:space="0" w:color="auto"/>
          </w:divBdr>
        </w:div>
        <w:div w:id="574634818">
          <w:marLeft w:val="274"/>
          <w:marRight w:val="0"/>
          <w:marTop w:val="60"/>
          <w:marBottom w:val="0"/>
          <w:divBdr>
            <w:top w:val="none" w:sz="0" w:space="0" w:color="auto"/>
            <w:left w:val="none" w:sz="0" w:space="0" w:color="auto"/>
            <w:bottom w:val="none" w:sz="0" w:space="0" w:color="auto"/>
            <w:right w:val="none" w:sz="0" w:space="0" w:color="auto"/>
          </w:divBdr>
        </w:div>
        <w:div w:id="1224411329">
          <w:marLeft w:val="274"/>
          <w:marRight w:val="0"/>
          <w:marTop w:val="60"/>
          <w:marBottom w:val="0"/>
          <w:divBdr>
            <w:top w:val="none" w:sz="0" w:space="0" w:color="auto"/>
            <w:left w:val="none" w:sz="0" w:space="0" w:color="auto"/>
            <w:bottom w:val="none" w:sz="0" w:space="0" w:color="auto"/>
            <w:right w:val="none" w:sz="0" w:space="0" w:color="auto"/>
          </w:divBdr>
        </w:div>
        <w:div w:id="2055306897">
          <w:marLeft w:val="274"/>
          <w:marRight w:val="0"/>
          <w:marTop w:val="60"/>
          <w:marBottom w:val="0"/>
          <w:divBdr>
            <w:top w:val="none" w:sz="0" w:space="0" w:color="auto"/>
            <w:left w:val="none" w:sz="0" w:space="0" w:color="auto"/>
            <w:bottom w:val="none" w:sz="0" w:space="0" w:color="auto"/>
            <w:right w:val="none" w:sz="0" w:space="0" w:color="auto"/>
          </w:divBdr>
        </w:div>
        <w:div w:id="400911307">
          <w:marLeft w:val="274"/>
          <w:marRight w:val="0"/>
          <w:marTop w:val="60"/>
          <w:marBottom w:val="0"/>
          <w:divBdr>
            <w:top w:val="none" w:sz="0" w:space="0" w:color="auto"/>
            <w:left w:val="none" w:sz="0" w:space="0" w:color="auto"/>
            <w:bottom w:val="none" w:sz="0" w:space="0" w:color="auto"/>
            <w:right w:val="none" w:sz="0" w:space="0" w:color="auto"/>
          </w:divBdr>
        </w:div>
      </w:divsChild>
    </w:div>
    <w:div w:id="374045353">
      <w:marLeft w:val="0"/>
      <w:marRight w:val="0"/>
      <w:marTop w:val="0"/>
      <w:marBottom w:val="0"/>
      <w:divBdr>
        <w:top w:val="none" w:sz="0" w:space="0" w:color="auto"/>
        <w:left w:val="none" w:sz="0" w:space="0" w:color="auto"/>
        <w:bottom w:val="none" w:sz="0" w:space="0" w:color="auto"/>
        <w:right w:val="none" w:sz="0" w:space="0" w:color="auto"/>
      </w:divBdr>
    </w:div>
    <w:div w:id="374045354">
      <w:marLeft w:val="0"/>
      <w:marRight w:val="0"/>
      <w:marTop w:val="0"/>
      <w:marBottom w:val="0"/>
      <w:divBdr>
        <w:top w:val="none" w:sz="0" w:space="0" w:color="auto"/>
        <w:left w:val="none" w:sz="0" w:space="0" w:color="auto"/>
        <w:bottom w:val="none" w:sz="0" w:space="0" w:color="auto"/>
        <w:right w:val="none" w:sz="0" w:space="0" w:color="auto"/>
      </w:divBdr>
    </w:div>
    <w:div w:id="374045356">
      <w:marLeft w:val="0"/>
      <w:marRight w:val="0"/>
      <w:marTop w:val="0"/>
      <w:marBottom w:val="0"/>
      <w:divBdr>
        <w:top w:val="none" w:sz="0" w:space="0" w:color="auto"/>
        <w:left w:val="none" w:sz="0" w:space="0" w:color="auto"/>
        <w:bottom w:val="none" w:sz="0" w:space="0" w:color="auto"/>
        <w:right w:val="none" w:sz="0" w:space="0" w:color="auto"/>
      </w:divBdr>
      <w:divsChild>
        <w:div w:id="374045362">
          <w:marLeft w:val="0"/>
          <w:marRight w:val="0"/>
          <w:marTop w:val="0"/>
          <w:marBottom w:val="0"/>
          <w:divBdr>
            <w:top w:val="none" w:sz="0" w:space="0" w:color="auto"/>
            <w:left w:val="none" w:sz="0" w:space="0" w:color="auto"/>
            <w:bottom w:val="none" w:sz="0" w:space="0" w:color="auto"/>
            <w:right w:val="none" w:sz="0" w:space="0" w:color="auto"/>
          </w:divBdr>
        </w:div>
      </w:divsChild>
    </w:div>
    <w:div w:id="374045360">
      <w:marLeft w:val="0"/>
      <w:marRight w:val="0"/>
      <w:marTop w:val="0"/>
      <w:marBottom w:val="0"/>
      <w:divBdr>
        <w:top w:val="none" w:sz="0" w:space="0" w:color="auto"/>
        <w:left w:val="none" w:sz="0" w:space="0" w:color="auto"/>
        <w:bottom w:val="none" w:sz="0" w:space="0" w:color="auto"/>
        <w:right w:val="none" w:sz="0" w:space="0" w:color="auto"/>
      </w:divBdr>
    </w:div>
    <w:div w:id="374045361">
      <w:marLeft w:val="0"/>
      <w:marRight w:val="0"/>
      <w:marTop w:val="0"/>
      <w:marBottom w:val="0"/>
      <w:divBdr>
        <w:top w:val="none" w:sz="0" w:space="0" w:color="auto"/>
        <w:left w:val="none" w:sz="0" w:space="0" w:color="auto"/>
        <w:bottom w:val="none" w:sz="0" w:space="0" w:color="auto"/>
        <w:right w:val="none" w:sz="0" w:space="0" w:color="auto"/>
      </w:divBdr>
      <w:divsChild>
        <w:div w:id="374045355">
          <w:marLeft w:val="0"/>
          <w:marRight w:val="0"/>
          <w:marTop w:val="0"/>
          <w:marBottom w:val="0"/>
          <w:divBdr>
            <w:top w:val="none" w:sz="0" w:space="0" w:color="auto"/>
            <w:left w:val="none" w:sz="0" w:space="0" w:color="auto"/>
            <w:bottom w:val="none" w:sz="0" w:space="0" w:color="auto"/>
            <w:right w:val="none" w:sz="0" w:space="0" w:color="auto"/>
          </w:divBdr>
        </w:div>
        <w:div w:id="374045357">
          <w:marLeft w:val="0"/>
          <w:marRight w:val="0"/>
          <w:marTop w:val="0"/>
          <w:marBottom w:val="0"/>
          <w:divBdr>
            <w:top w:val="none" w:sz="0" w:space="0" w:color="auto"/>
            <w:left w:val="none" w:sz="0" w:space="0" w:color="auto"/>
            <w:bottom w:val="none" w:sz="0" w:space="0" w:color="auto"/>
            <w:right w:val="none" w:sz="0" w:space="0" w:color="auto"/>
          </w:divBdr>
        </w:div>
        <w:div w:id="374045358">
          <w:marLeft w:val="0"/>
          <w:marRight w:val="0"/>
          <w:marTop w:val="0"/>
          <w:marBottom w:val="0"/>
          <w:divBdr>
            <w:top w:val="none" w:sz="0" w:space="0" w:color="auto"/>
            <w:left w:val="none" w:sz="0" w:space="0" w:color="auto"/>
            <w:bottom w:val="none" w:sz="0" w:space="0" w:color="auto"/>
            <w:right w:val="none" w:sz="0" w:space="0" w:color="auto"/>
          </w:divBdr>
        </w:div>
        <w:div w:id="374045359">
          <w:marLeft w:val="0"/>
          <w:marRight w:val="0"/>
          <w:marTop w:val="0"/>
          <w:marBottom w:val="0"/>
          <w:divBdr>
            <w:top w:val="none" w:sz="0" w:space="0" w:color="auto"/>
            <w:left w:val="none" w:sz="0" w:space="0" w:color="auto"/>
            <w:bottom w:val="none" w:sz="0" w:space="0" w:color="auto"/>
            <w:right w:val="none" w:sz="0" w:space="0" w:color="auto"/>
          </w:divBdr>
        </w:div>
        <w:div w:id="374045363">
          <w:marLeft w:val="0"/>
          <w:marRight w:val="0"/>
          <w:marTop w:val="0"/>
          <w:marBottom w:val="0"/>
          <w:divBdr>
            <w:top w:val="none" w:sz="0" w:space="0" w:color="auto"/>
            <w:left w:val="none" w:sz="0" w:space="0" w:color="auto"/>
            <w:bottom w:val="none" w:sz="0" w:space="0" w:color="auto"/>
            <w:right w:val="none" w:sz="0" w:space="0" w:color="auto"/>
          </w:divBdr>
        </w:div>
        <w:div w:id="374045367">
          <w:marLeft w:val="0"/>
          <w:marRight w:val="0"/>
          <w:marTop w:val="0"/>
          <w:marBottom w:val="0"/>
          <w:divBdr>
            <w:top w:val="none" w:sz="0" w:space="0" w:color="auto"/>
            <w:left w:val="none" w:sz="0" w:space="0" w:color="auto"/>
            <w:bottom w:val="none" w:sz="0" w:space="0" w:color="auto"/>
            <w:right w:val="none" w:sz="0" w:space="0" w:color="auto"/>
          </w:divBdr>
        </w:div>
      </w:divsChild>
    </w:div>
    <w:div w:id="374045365">
      <w:marLeft w:val="0"/>
      <w:marRight w:val="0"/>
      <w:marTop w:val="0"/>
      <w:marBottom w:val="0"/>
      <w:divBdr>
        <w:top w:val="none" w:sz="0" w:space="0" w:color="auto"/>
        <w:left w:val="none" w:sz="0" w:space="0" w:color="auto"/>
        <w:bottom w:val="none" w:sz="0" w:space="0" w:color="auto"/>
        <w:right w:val="none" w:sz="0" w:space="0" w:color="auto"/>
      </w:divBdr>
    </w:div>
    <w:div w:id="374045366">
      <w:marLeft w:val="0"/>
      <w:marRight w:val="0"/>
      <w:marTop w:val="0"/>
      <w:marBottom w:val="0"/>
      <w:divBdr>
        <w:top w:val="none" w:sz="0" w:space="0" w:color="auto"/>
        <w:left w:val="none" w:sz="0" w:space="0" w:color="auto"/>
        <w:bottom w:val="none" w:sz="0" w:space="0" w:color="auto"/>
        <w:right w:val="none" w:sz="0" w:space="0" w:color="auto"/>
      </w:divBdr>
      <w:divsChild>
        <w:div w:id="374045371">
          <w:marLeft w:val="0"/>
          <w:marRight w:val="0"/>
          <w:marTop w:val="0"/>
          <w:marBottom w:val="0"/>
          <w:divBdr>
            <w:top w:val="none" w:sz="0" w:space="0" w:color="auto"/>
            <w:left w:val="none" w:sz="0" w:space="0" w:color="auto"/>
            <w:bottom w:val="none" w:sz="0" w:space="0" w:color="auto"/>
            <w:right w:val="none" w:sz="0" w:space="0" w:color="auto"/>
          </w:divBdr>
          <w:divsChild>
            <w:div w:id="374045364">
              <w:marLeft w:val="0"/>
              <w:marRight w:val="0"/>
              <w:marTop w:val="0"/>
              <w:marBottom w:val="0"/>
              <w:divBdr>
                <w:top w:val="none" w:sz="0" w:space="0" w:color="auto"/>
                <w:left w:val="none" w:sz="0" w:space="0" w:color="auto"/>
                <w:bottom w:val="none" w:sz="0" w:space="0" w:color="auto"/>
                <w:right w:val="none" w:sz="0" w:space="0" w:color="auto"/>
              </w:divBdr>
            </w:div>
            <w:div w:id="374045368">
              <w:marLeft w:val="0"/>
              <w:marRight w:val="0"/>
              <w:marTop w:val="0"/>
              <w:marBottom w:val="0"/>
              <w:divBdr>
                <w:top w:val="none" w:sz="0" w:space="0" w:color="auto"/>
                <w:left w:val="none" w:sz="0" w:space="0" w:color="auto"/>
                <w:bottom w:val="none" w:sz="0" w:space="0" w:color="auto"/>
                <w:right w:val="none" w:sz="0" w:space="0" w:color="auto"/>
              </w:divBdr>
            </w:div>
            <w:div w:id="374045369">
              <w:marLeft w:val="0"/>
              <w:marRight w:val="0"/>
              <w:marTop w:val="0"/>
              <w:marBottom w:val="0"/>
              <w:divBdr>
                <w:top w:val="none" w:sz="0" w:space="0" w:color="auto"/>
                <w:left w:val="none" w:sz="0" w:space="0" w:color="auto"/>
                <w:bottom w:val="none" w:sz="0" w:space="0" w:color="auto"/>
                <w:right w:val="none" w:sz="0" w:space="0" w:color="auto"/>
              </w:divBdr>
            </w:div>
            <w:div w:id="374045370">
              <w:marLeft w:val="0"/>
              <w:marRight w:val="0"/>
              <w:marTop w:val="0"/>
              <w:marBottom w:val="0"/>
              <w:divBdr>
                <w:top w:val="none" w:sz="0" w:space="0" w:color="auto"/>
                <w:left w:val="none" w:sz="0" w:space="0" w:color="auto"/>
                <w:bottom w:val="none" w:sz="0" w:space="0" w:color="auto"/>
                <w:right w:val="none" w:sz="0" w:space="0" w:color="auto"/>
              </w:divBdr>
            </w:div>
            <w:div w:id="3740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045372">
      <w:marLeft w:val="0"/>
      <w:marRight w:val="0"/>
      <w:marTop w:val="0"/>
      <w:marBottom w:val="0"/>
      <w:divBdr>
        <w:top w:val="none" w:sz="0" w:space="0" w:color="auto"/>
        <w:left w:val="none" w:sz="0" w:space="0" w:color="auto"/>
        <w:bottom w:val="none" w:sz="0" w:space="0" w:color="auto"/>
        <w:right w:val="none" w:sz="0" w:space="0" w:color="auto"/>
      </w:divBdr>
    </w:div>
    <w:div w:id="374045374">
      <w:marLeft w:val="0"/>
      <w:marRight w:val="0"/>
      <w:marTop w:val="0"/>
      <w:marBottom w:val="0"/>
      <w:divBdr>
        <w:top w:val="none" w:sz="0" w:space="0" w:color="auto"/>
        <w:left w:val="none" w:sz="0" w:space="0" w:color="auto"/>
        <w:bottom w:val="none" w:sz="0" w:space="0" w:color="auto"/>
        <w:right w:val="none" w:sz="0" w:space="0" w:color="auto"/>
      </w:divBdr>
      <w:divsChild>
        <w:div w:id="374045376">
          <w:marLeft w:val="0"/>
          <w:marRight w:val="0"/>
          <w:marTop w:val="0"/>
          <w:marBottom w:val="0"/>
          <w:divBdr>
            <w:top w:val="none" w:sz="0" w:space="0" w:color="auto"/>
            <w:left w:val="none" w:sz="0" w:space="0" w:color="auto"/>
            <w:bottom w:val="none" w:sz="0" w:space="0" w:color="auto"/>
            <w:right w:val="none" w:sz="0" w:space="0" w:color="auto"/>
          </w:divBdr>
        </w:div>
      </w:divsChild>
    </w:div>
    <w:div w:id="374045375">
      <w:marLeft w:val="0"/>
      <w:marRight w:val="0"/>
      <w:marTop w:val="0"/>
      <w:marBottom w:val="0"/>
      <w:divBdr>
        <w:top w:val="none" w:sz="0" w:space="0" w:color="auto"/>
        <w:left w:val="none" w:sz="0" w:space="0" w:color="auto"/>
        <w:bottom w:val="none" w:sz="0" w:space="0" w:color="auto"/>
        <w:right w:val="none" w:sz="0" w:space="0" w:color="auto"/>
      </w:divBdr>
    </w:div>
    <w:div w:id="374045377">
      <w:marLeft w:val="0"/>
      <w:marRight w:val="0"/>
      <w:marTop w:val="0"/>
      <w:marBottom w:val="0"/>
      <w:divBdr>
        <w:top w:val="none" w:sz="0" w:space="0" w:color="auto"/>
        <w:left w:val="none" w:sz="0" w:space="0" w:color="auto"/>
        <w:bottom w:val="none" w:sz="0" w:space="0" w:color="auto"/>
        <w:right w:val="none" w:sz="0" w:space="0" w:color="auto"/>
      </w:divBdr>
    </w:div>
    <w:div w:id="376247575">
      <w:bodyDiv w:val="1"/>
      <w:marLeft w:val="0"/>
      <w:marRight w:val="0"/>
      <w:marTop w:val="0"/>
      <w:marBottom w:val="0"/>
      <w:divBdr>
        <w:top w:val="none" w:sz="0" w:space="0" w:color="auto"/>
        <w:left w:val="none" w:sz="0" w:space="0" w:color="auto"/>
        <w:bottom w:val="none" w:sz="0" w:space="0" w:color="auto"/>
        <w:right w:val="none" w:sz="0" w:space="0" w:color="auto"/>
      </w:divBdr>
    </w:div>
    <w:div w:id="376709054">
      <w:bodyDiv w:val="1"/>
      <w:marLeft w:val="0"/>
      <w:marRight w:val="0"/>
      <w:marTop w:val="0"/>
      <w:marBottom w:val="0"/>
      <w:divBdr>
        <w:top w:val="none" w:sz="0" w:space="0" w:color="auto"/>
        <w:left w:val="none" w:sz="0" w:space="0" w:color="auto"/>
        <w:bottom w:val="none" w:sz="0" w:space="0" w:color="auto"/>
        <w:right w:val="none" w:sz="0" w:space="0" w:color="auto"/>
      </w:divBdr>
    </w:div>
    <w:div w:id="397288193">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25267253">
      <w:bodyDiv w:val="1"/>
      <w:marLeft w:val="0"/>
      <w:marRight w:val="0"/>
      <w:marTop w:val="0"/>
      <w:marBottom w:val="0"/>
      <w:divBdr>
        <w:top w:val="none" w:sz="0" w:space="0" w:color="auto"/>
        <w:left w:val="none" w:sz="0" w:space="0" w:color="auto"/>
        <w:bottom w:val="none" w:sz="0" w:space="0" w:color="auto"/>
        <w:right w:val="none" w:sz="0" w:space="0" w:color="auto"/>
      </w:divBdr>
    </w:div>
    <w:div w:id="428433468">
      <w:bodyDiv w:val="1"/>
      <w:marLeft w:val="0"/>
      <w:marRight w:val="0"/>
      <w:marTop w:val="0"/>
      <w:marBottom w:val="0"/>
      <w:divBdr>
        <w:top w:val="none" w:sz="0" w:space="0" w:color="auto"/>
        <w:left w:val="none" w:sz="0" w:space="0" w:color="auto"/>
        <w:bottom w:val="none" w:sz="0" w:space="0" w:color="auto"/>
        <w:right w:val="none" w:sz="0" w:space="0" w:color="auto"/>
      </w:divBdr>
    </w:div>
    <w:div w:id="434709330">
      <w:bodyDiv w:val="1"/>
      <w:marLeft w:val="0"/>
      <w:marRight w:val="0"/>
      <w:marTop w:val="0"/>
      <w:marBottom w:val="0"/>
      <w:divBdr>
        <w:top w:val="none" w:sz="0" w:space="0" w:color="auto"/>
        <w:left w:val="none" w:sz="0" w:space="0" w:color="auto"/>
        <w:bottom w:val="none" w:sz="0" w:space="0" w:color="auto"/>
        <w:right w:val="none" w:sz="0" w:space="0" w:color="auto"/>
      </w:divBdr>
    </w:div>
    <w:div w:id="443305188">
      <w:bodyDiv w:val="1"/>
      <w:marLeft w:val="0"/>
      <w:marRight w:val="0"/>
      <w:marTop w:val="0"/>
      <w:marBottom w:val="0"/>
      <w:divBdr>
        <w:top w:val="none" w:sz="0" w:space="0" w:color="auto"/>
        <w:left w:val="none" w:sz="0" w:space="0" w:color="auto"/>
        <w:bottom w:val="none" w:sz="0" w:space="0" w:color="auto"/>
        <w:right w:val="none" w:sz="0" w:space="0" w:color="auto"/>
      </w:divBdr>
    </w:div>
    <w:div w:id="474369272">
      <w:bodyDiv w:val="1"/>
      <w:marLeft w:val="0"/>
      <w:marRight w:val="0"/>
      <w:marTop w:val="0"/>
      <w:marBottom w:val="0"/>
      <w:divBdr>
        <w:top w:val="none" w:sz="0" w:space="0" w:color="auto"/>
        <w:left w:val="none" w:sz="0" w:space="0" w:color="auto"/>
        <w:bottom w:val="none" w:sz="0" w:space="0" w:color="auto"/>
        <w:right w:val="none" w:sz="0" w:space="0" w:color="auto"/>
      </w:divBdr>
    </w:div>
    <w:div w:id="501091146">
      <w:bodyDiv w:val="1"/>
      <w:marLeft w:val="0"/>
      <w:marRight w:val="0"/>
      <w:marTop w:val="0"/>
      <w:marBottom w:val="0"/>
      <w:divBdr>
        <w:top w:val="none" w:sz="0" w:space="0" w:color="auto"/>
        <w:left w:val="none" w:sz="0" w:space="0" w:color="auto"/>
        <w:bottom w:val="none" w:sz="0" w:space="0" w:color="auto"/>
        <w:right w:val="none" w:sz="0" w:space="0" w:color="auto"/>
      </w:divBdr>
    </w:div>
    <w:div w:id="504781975">
      <w:bodyDiv w:val="1"/>
      <w:marLeft w:val="0"/>
      <w:marRight w:val="0"/>
      <w:marTop w:val="0"/>
      <w:marBottom w:val="0"/>
      <w:divBdr>
        <w:top w:val="none" w:sz="0" w:space="0" w:color="auto"/>
        <w:left w:val="none" w:sz="0" w:space="0" w:color="auto"/>
        <w:bottom w:val="none" w:sz="0" w:space="0" w:color="auto"/>
        <w:right w:val="none" w:sz="0" w:space="0" w:color="auto"/>
      </w:divBdr>
    </w:div>
    <w:div w:id="509414575">
      <w:bodyDiv w:val="1"/>
      <w:marLeft w:val="0"/>
      <w:marRight w:val="0"/>
      <w:marTop w:val="0"/>
      <w:marBottom w:val="0"/>
      <w:divBdr>
        <w:top w:val="none" w:sz="0" w:space="0" w:color="auto"/>
        <w:left w:val="none" w:sz="0" w:space="0" w:color="auto"/>
        <w:bottom w:val="none" w:sz="0" w:space="0" w:color="auto"/>
        <w:right w:val="none" w:sz="0" w:space="0" w:color="auto"/>
      </w:divBdr>
    </w:div>
    <w:div w:id="531459437">
      <w:bodyDiv w:val="1"/>
      <w:marLeft w:val="0"/>
      <w:marRight w:val="0"/>
      <w:marTop w:val="0"/>
      <w:marBottom w:val="0"/>
      <w:divBdr>
        <w:top w:val="none" w:sz="0" w:space="0" w:color="auto"/>
        <w:left w:val="none" w:sz="0" w:space="0" w:color="auto"/>
        <w:bottom w:val="none" w:sz="0" w:space="0" w:color="auto"/>
        <w:right w:val="none" w:sz="0" w:space="0" w:color="auto"/>
      </w:divBdr>
    </w:div>
    <w:div w:id="534657208">
      <w:bodyDiv w:val="1"/>
      <w:marLeft w:val="0"/>
      <w:marRight w:val="0"/>
      <w:marTop w:val="0"/>
      <w:marBottom w:val="0"/>
      <w:divBdr>
        <w:top w:val="none" w:sz="0" w:space="0" w:color="auto"/>
        <w:left w:val="none" w:sz="0" w:space="0" w:color="auto"/>
        <w:bottom w:val="none" w:sz="0" w:space="0" w:color="auto"/>
        <w:right w:val="none" w:sz="0" w:space="0" w:color="auto"/>
      </w:divBdr>
      <w:divsChild>
        <w:div w:id="1422599962">
          <w:marLeft w:val="446"/>
          <w:marRight w:val="0"/>
          <w:marTop w:val="0"/>
          <w:marBottom w:val="0"/>
          <w:divBdr>
            <w:top w:val="none" w:sz="0" w:space="0" w:color="auto"/>
            <w:left w:val="none" w:sz="0" w:space="0" w:color="auto"/>
            <w:bottom w:val="none" w:sz="0" w:space="0" w:color="auto"/>
            <w:right w:val="none" w:sz="0" w:space="0" w:color="auto"/>
          </w:divBdr>
        </w:div>
      </w:divsChild>
    </w:div>
    <w:div w:id="542209692">
      <w:bodyDiv w:val="1"/>
      <w:marLeft w:val="0"/>
      <w:marRight w:val="0"/>
      <w:marTop w:val="0"/>
      <w:marBottom w:val="0"/>
      <w:divBdr>
        <w:top w:val="none" w:sz="0" w:space="0" w:color="auto"/>
        <w:left w:val="none" w:sz="0" w:space="0" w:color="auto"/>
        <w:bottom w:val="none" w:sz="0" w:space="0" w:color="auto"/>
        <w:right w:val="none" w:sz="0" w:space="0" w:color="auto"/>
      </w:divBdr>
    </w:div>
    <w:div w:id="550579330">
      <w:bodyDiv w:val="1"/>
      <w:marLeft w:val="0"/>
      <w:marRight w:val="0"/>
      <w:marTop w:val="0"/>
      <w:marBottom w:val="0"/>
      <w:divBdr>
        <w:top w:val="none" w:sz="0" w:space="0" w:color="auto"/>
        <w:left w:val="none" w:sz="0" w:space="0" w:color="auto"/>
        <w:bottom w:val="none" w:sz="0" w:space="0" w:color="auto"/>
        <w:right w:val="none" w:sz="0" w:space="0" w:color="auto"/>
      </w:divBdr>
    </w:div>
    <w:div w:id="571964127">
      <w:bodyDiv w:val="1"/>
      <w:marLeft w:val="0"/>
      <w:marRight w:val="0"/>
      <w:marTop w:val="0"/>
      <w:marBottom w:val="0"/>
      <w:divBdr>
        <w:top w:val="none" w:sz="0" w:space="0" w:color="auto"/>
        <w:left w:val="none" w:sz="0" w:space="0" w:color="auto"/>
        <w:bottom w:val="none" w:sz="0" w:space="0" w:color="auto"/>
        <w:right w:val="none" w:sz="0" w:space="0" w:color="auto"/>
      </w:divBdr>
    </w:div>
    <w:div w:id="611286442">
      <w:bodyDiv w:val="1"/>
      <w:marLeft w:val="0"/>
      <w:marRight w:val="0"/>
      <w:marTop w:val="0"/>
      <w:marBottom w:val="0"/>
      <w:divBdr>
        <w:top w:val="none" w:sz="0" w:space="0" w:color="auto"/>
        <w:left w:val="none" w:sz="0" w:space="0" w:color="auto"/>
        <w:bottom w:val="none" w:sz="0" w:space="0" w:color="auto"/>
        <w:right w:val="none" w:sz="0" w:space="0" w:color="auto"/>
      </w:divBdr>
    </w:div>
    <w:div w:id="617952389">
      <w:bodyDiv w:val="1"/>
      <w:marLeft w:val="0"/>
      <w:marRight w:val="0"/>
      <w:marTop w:val="0"/>
      <w:marBottom w:val="0"/>
      <w:divBdr>
        <w:top w:val="none" w:sz="0" w:space="0" w:color="auto"/>
        <w:left w:val="none" w:sz="0" w:space="0" w:color="auto"/>
        <w:bottom w:val="none" w:sz="0" w:space="0" w:color="auto"/>
        <w:right w:val="none" w:sz="0" w:space="0" w:color="auto"/>
      </w:divBdr>
    </w:div>
    <w:div w:id="622272593">
      <w:bodyDiv w:val="1"/>
      <w:marLeft w:val="0"/>
      <w:marRight w:val="0"/>
      <w:marTop w:val="0"/>
      <w:marBottom w:val="0"/>
      <w:divBdr>
        <w:top w:val="none" w:sz="0" w:space="0" w:color="auto"/>
        <w:left w:val="none" w:sz="0" w:space="0" w:color="auto"/>
        <w:bottom w:val="none" w:sz="0" w:space="0" w:color="auto"/>
        <w:right w:val="none" w:sz="0" w:space="0" w:color="auto"/>
      </w:divBdr>
    </w:div>
    <w:div w:id="633682623">
      <w:bodyDiv w:val="1"/>
      <w:marLeft w:val="0"/>
      <w:marRight w:val="0"/>
      <w:marTop w:val="0"/>
      <w:marBottom w:val="0"/>
      <w:divBdr>
        <w:top w:val="none" w:sz="0" w:space="0" w:color="auto"/>
        <w:left w:val="none" w:sz="0" w:space="0" w:color="auto"/>
        <w:bottom w:val="none" w:sz="0" w:space="0" w:color="auto"/>
        <w:right w:val="none" w:sz="0" w:space="0" w:color="auto"/>
      </w:divBdr>
    </w:div>
    <w:div w:id="655568165">
      <w:bodyDiv w:val="1"/>
      <w:marLeft w:val="0"/>
      <w:marRight w:val="0"/>
      <w:marTop w:val="0"/>
      <w:marBottom w:val="0"/>
      <w:divBdr>
        <w:top w:val="none" w:sz="0" w:space="0" w:color="auto"/>
        <w:left w:val="none" w:sz="0" w:space="0" w:color="auto"/>
        <w:bottom w:val="none" w:sz="0" w:space="0" w:color="auto"/>
        <w:right w:val="none" w:sz="0" w:space="0" w:color="auto"/>
      </w:divBdr>
    </w:div>
    <w:div w:id="660544137">
      <w:bodyDiv w:val="1"/>
      <w:marLeft w:val="0"/>
      <w:marRight w:val="0"/>
      <w:marTop w:val="0"/>
      <w:marBottom w:val="0"/>
      <w:divBdr>
        <w:top w:val="none" w:sz="0" w:space="0" w:color="auto"/>
        <w:left w:val="none" w:sz="0" w:space="0" w:color="auto"/>
        <w:bottom w:val="none" w:sz="0" w:space="0" w:color="auto"/>
        <w:right w:val="none" w:sz="0" w:space="0" w:color="auto"/>
      </w:divBdr>
    </w:div>
    <w:div w:id="662708680">
      <w:bodyDiv w:val="1"/>
      <w:marLeft w:val="0"/>
      <w:marRight w:val="0"/>
      <w:marTop w:val="0"/>
      <w:marBottom w:val="0"/>
      <w:divBdr>
        <w:top w:val="none" w:sz="0" w:space="0" w:color="auto"/>
        <w:left w:val="none" w:sz="0" w:space="0" w:color="auto"/>
        <w:bottom w:val="none" w:sz="0" w:space="0" w:color="auto"/>
        <w:right w:val="none" w:sz="0" w:space="0" w:color="auto"/>
      </w:divBdr>
    </w:div>
    <w:div w:id="679309308">
      <w:bodyDiv w:val="1"/>
      <w:marLeft w:val="0"/>
      <w:marRight w:val="0"/>
      <w:marTop w:val="0"/>
      <w:marBottom w:val="0"/>
      <w:divBdr>
        <w:top w:val="none" w:sz="0" w:space="0" w:color="auto"/>
        <w:left w:val="none" w:sz="0" w:space="0" w:color="auto"/>
        <w:bottom w:val="none" w:sz="0" w:space="0" w:color="auto"/>
        <w:right w:val="none" w:sz="0" w:space="0" w:color="auto"/>
      </w:divBdr>
    </w:div>
    <w:div w:id="687371762">
      <w:bodyDiv w:val="1"/>
      <w:marLeft w:val="0"/>
      <w:marRight w:val="0"/>
      <w:marTop w:val="0"/>
      <w:marBottom w:val="0"/>
      <w:divBdr>
        <w:top w:val="none" w:sz="0" w:space="0" w:color="auto"/>
        <w:left w:val="none" w:sz="0" w:space="0" w:color="auto"/>
        <w:bottom w:val="none" w:sz="0" w:space="0" w:color="auto"/>
        <w:right w:val="none" w:sz="0" w:space="0" w:color="auto"/>
      </w:divBdr>
    </w:div>
    <w:div w:id="698626448">
      <w:bodyDiv w:val="1"/>
      <w:marLeft w:val="0"/>
      <w:marRight w:val="0"/>
      <w:marTop w:val="0"/>
      <w:marBottom w:val="0"/>
      <w:divBdr>
        <w:top w:val="none" w:sz="0" w:space="0" w:color="auto"/>
        <w:left w:val="none" w:sz="0" w:space="0" w:color="auto"/>
        <w:bottom w:val="none" w:sz="0" w:space="0" w:color="auto"/>
        <w:right w:val="none" w:sz="0" w:space="0" w:color="auto"/>
      </w:divBdr>
    </w:div>
    <w:div w:id="726294360">
      <w:bodyDiv w:val="1"/>
      <w:marLeft w:val="0"/>
      <w:marRight w:val="0"/>
      <w:marTop w:val="0"/>
      <w:marBottom w:val="0"/>
      <w:divBdr>
        <w:top w:val="none" w:sz="0" w:space="0" w:color="auto"/>
        <w:left w:val="none" w:sz="0" w:space="0" w:color="auto"/>
        <w:bottom w:val="none" w:sz="0" w:space="0" w:color="auto"/>
        <w:right w:val="none" w:sz="0" w:space="0" w:color="auto"/>
      </w:divBdr>
    </w:div>
    <w:div w:id="763963937">
      <w:bodyDiv w:val="1"/>
      <w:marLeft w:val="0"/>
      <w:marRight w:val="0"/>
      <w:marTop w:val="0"/>
      <w:marBottom w:val="0"/>
      <w:divBdr>
        <w:top w:val="none" w:sz="0" w:space="0" w:color="auto"/>
        <w:left w:val="none" w:sz="0" w:space="0" w:color="auto"/>
        <w:bottom w:val="none" w:sz="0" w:space="0" w:color="auto"/>
        <w:right w:val="none" w:sz="0" w:space="0" w:color="auto"/>
      </w:divBdr>
    </w:div>
    <w:div w:id="797264797">
      <w:bodyDiv w:val="1"/>
      <w:marLeft w:val="0"/>
      <w:marRight w:val="0"/>
      <w:marTop w:val="0"/>
      <w:marBottom w:val="0"/>
      <w:divBdr>
        <w:top w:val="none" w:sz="0" w:space="0" w:color="auto"/>
        <w:left w:val="none" w:sz="0" w:space="0" w:color="auto"/>
        <w:bottom w:val="none" w:sz="0" w:space="0" w:color="auto"/>
        <w:right w:val="none" w:sz="0" w:space="0" w:color="auto"/>
      </w:divBdr>
    </w:div>
    <w:div w:id="811948388">
      <w:bodyDiv w:val="1"/>
      <w:marLeft w:val="0"/>
      <w:marRight w:val="0"/>
      <w:marTop w:val="0"/>
      <w:marBottom w:val="0"/>
      <w:divBdr>
        <w:top w:val="none" w:sz="0" w:space="0" w:color="auto"/>
        <w:left w:val="none" w:sz="0" w:space="0" w:color="auto"/>
        <w:bottom w:val="none" w:sz="0" w:space="0" w:color="auto"/>
        <w:right w:val="none" w:sz="0" w:space="0" w:color="auto"/>
      </w:divBdr>
    </w:div>
    <w:div w:id="814028545">
      <w:bodyDiv w:val="1"/>
      <w:marLeft w:val="0"/>
      <w:marRight w:val="0"/>
      <w:marTop w:val="0"/>
      <w:marBottom w:val="0"/>
      <w:divBdr>
        <w:top w:val="none" w:sz="0" w:space="0" w:color="auto"/>
        <w:left w:val="none" w:sz="0" w:space="0" w:color="auto"/>
        <w:bottom w:val="none" w:sz="0" w:space="0" w:color="auto"/>
        <w:right w:val="none" w:sz="0" w:space="0" w:color="auto"/>
      </w:divBdr>
    </w:div>
    <w:div w:id="817764084">
      <w:bodyDiv w:val="1"/>
      <w:marLeft w:val="0"/>
      <w:marRight w:val="0"/>
      <w:marTop w:val="0"/>
      <w:marBottom w:val="0"/>
      <w:divBdr>
        <w:top w:val="none" w:sz="0" w:space="0" w:color="auto"/>
        <w:left w:val="none" w:sz="0" w:space="0" w:color="auto"/>
        <w:bottom w:val="none" w:sz="0" w:space="0" w:color="auto"/>
        <w:right w:val="none" w:sz="0" w:space="0" w:color="auto"/>
      </w:divBdr>
    </w:div>
    <w:div w:id="834298091">
      <w:bodyDiv w:val="1"/>
      <w:marLeft w:val="0"/>
      <w:marRight w:val="0"/>
      <w:marTop w:val="0"/>
      <w:marBottom w:val="0"/>
      <w:divBdr>
        <w:top w:val="none" w:sz="0" w:space="0" w:color="auto"/>
        <w:left w:val="none" w:sz="0" w:space="0" w:color="auto"/>
        <w:bottom w:val="none" w:sz="0" w:space="0" w:color="auto"/>
        <w:right w:val="none" w:sz="0" w:space="0" w:color="auto"/>
      </w:divBdr>
    </w:div>
    <w:div w:id="841513144">
      <w:bodyDiv w:val="1"/>
      <w:marLeft w:val="0"/>
      <w:marRight w:val="0"/>
      <w:marTop w:val="0"/>
      <w:marBottom w:val="0"/>
      <w:divBdr>
        <w:top w:val="none" w:sz="0" w:space="0" w:color="auto"/>
        <w:left w:val="none" w:sz="0" w:space="0" w:color="auto"/>
        <w:bottom w:val="none" w:sz="0" w:space="0" w:color="auto"/>
        <w:right w:val="none" w:sz="0" w:space="0" w:color="auto"/>
      </w:divBdr>
    </w:div>
    <w:div w:id="846597968">
      <w:bodyDiv w:val="1"/>
      <w:marLeft w:val="0"/>
      <w:marRight w:val="0"/>
      <w:marTop w:val="0"/>
      <w:marBottom w:val="0"/>
      <w:divBdr>
        <w:top w:val="none" w:sz="0" w:space="0" w:color="auto"/>
        <w:left w:val="none" w:sz="0" w:space="0" w:color="auto"/>
        <w:bottom w:val="none" w:sz="0" w:space="0" w:color="auto"/>
        <w:right w:val="none" w:sz="0" w:space="0" w:color="auto"/>
      </w:divBdr>
    </w:div>
    <w:div w:id="875703237">
      <w:bodyDiv w:val="1"/>
      <w:marLeft w:val="0"/>
      <w:marRight w:val="0"/>
      <w:marTop w:val="0"/>
      <w:marBottom w:val="0"/>
      <w:divBdr>
        <w:top w:val="none" w:sz="0" w:space="0" w:color="auto"/>
        <w:left w:val="none" w:sz="0" w:space="0" w:color="auto"/>
        <w:bottom w:val="none" w:sz="0" w:space="0" w:color="auto"/>
        <w:right w:val="none" w:sz="0" w:space="0" w:color="auto"/>
      </w:divBdr>
    </w:div>
    <w:div w:id="890115130">
      <w:bodyDiv w:val="1"/>
      <w:marLeft w:val="0"/>
      <w:marRight w:val="0"/>
      <w:marTop w:val="0"/>
      <w:marBottom w:val="0"/>
      <w:divBdr>
        <w:top w:val="none" w:sz="0" w:space="0" w:color="auto"/>
        <w:left w:val="none" w:sz="0" w:space="0" w:color="auto"/>
        <w:bottom w:val="none" w:sz="0" w:space="0" w:color="auto"/>
        <w:right w:val="none" w:sz="0" w:space="0" w:color="auto"/>
      </w:divBdr>
    </w:div>
    <w:div w:id="898437948">
      <w:bodyDiv w:val="1"/>
      <w:marLeft w:val="0"/>
      <w:marRight w:val="0"/>
      <w:marTop w:val="0"/>
      <w:marBottom w:val="0"/>
      <w:divBdr>
        <w:top w:val="none" w:sz="0" w:space="0" w:color="auto"/>
        <w:left w:val="none" w:sz="0" w:space="0" w:color="auto"/>
        <w:bottom w:val="none" w:sz="0" w:space="0" w:color="auto"/>
        <w:right w:val="none" w:sz="0" w:space="0" w:color="auto"/>
      </w:divBdr>
    </w:div>
    <w:div w:id="902759806">
      <w:bodyDiv w:val="1"/>
      <w:marLeft w:val="0"/>
      <w:marRight w:val="0"/>
      <w:marTop w:val="0"/>
      <w:marBottom w:val="0"/>
      <w:divBdr>
        <w:top w:val="none" w:sz="0" w:space="0" w:color="auto"/>
        <w:left w:val="none" w:sz="0" w:space="0" w:color="auto"/>
        <w:bottom w:val="none" w:sz="0" w:space="0" w:color="auto"/>
        <w:right w:val="none" w:sz="0" w:space="0" w:color="auto"/>
      </w:divBdr>
    </w:div>
    <w:div w:id="903687334">
      <w:bodyDiv w:val="1"/>
      <w:marLeft w:val="0"/>
      <w:marRight w:val="0"/>
      <w:marTop w:val="0"/>
      <w:marBottom w:val="0"/>
      <w:divBdr>
        <w:top w:val="none" w:sz="0" w:space="0" w:color="auto"/>
        <w:left w:val="none" w:sz="0" w:space="0" w:color="auto"/>
        <w:bottom w:val="none" w:sz="0" w:space="0" w:color="auto"/>
        <w:right w:val="none" w:sz="0" w:space="0" w:color="auto"/>
      </w:divBdr>
    </w:div>
    <w:div w:id="925961027">
      <w:bodyDiv w:val="1"/>
      <w:marLeft w:val="0"/>
      <w:marRight w:val="0"/>
      <w:marTop w:val="0"/>
      <w:marBottom w:val="0"/>
      <w:divBdr>
        <w:top w:val="none" w:sz="0" w:space="0" w:color="auto"/>
        <w:left w:val="none" w:sz="0" w:space="0" w:color="auto"/>
        <w:bottom w:val="none" w:sz="0" w:space="0" w:color="auto"/>
        <w:right w:val="none" w:sz="0" w:space="0" w:color="auto"/>
      </w:divBdr>
      <w:divsChild>
        <w:div w:id="771821951">
          <w:marLeft w:val="274"/>
          <w:marRight w:val="0"/>
          <w:marTop w:val="120"/>
          <w:marBottom w:val="0"/>
          <w:divBdr>
            <w:top w:val="none" w:sz="0" w:space="0" w:color="auto"/>
            <w:left w:val="none" w:sz="0" w:space="0" w:color="auto"/>
            <w:bottom w:val="none" w:sz="0" w:space="0" w:color="auto"/>
            <w:right w:val="none" w:sz="0" w:space="0" w:color="auto"/>
          </w:divBdr>
        </w:div>
      </w:divsChild>
    </w:div>
    <w:div w:id="935789619">
      <w:bodyDiv w:val="1"/>
      <w:marLeft w:val="0"/>
      <w:marRight w:val="0"/>
      <w:marTop w:val="0"/>
      <w:marBottom w:val="0"/>
      <w:divBdr>
        <w:top w:val="none" w:sz="0" w:space="0" w:color="auto"/>
        <w:left w:val="none" w:sz="0" w:space="0" w:color="auto"/>
        <w:bottom w:val="none" w:sz="0" w:space="0" w:color="auto"/>
        <w:right w:val="none" w:sz="0" w:space="0" w:color="auto"/>
      </w:divBdr>
    </w:div>
    <w:div w:id="946421972">
      <w:bodyDiv w:val="1"/>
      <w:marLeft w:val="0"/>
      <w:marRight w:val="0"/>
      <w:marTop w:val="0"/>
      <w:marBottom w:val="0"/>
      <w:divBdr>
        <w:top w:val="none" w:sz="0" w:space="0" w:color="auto"/>
        <w:left w:val="none" w:sz="0" w:space="0" w:color="auto"/>
        <w:bottom w:val="none" w:sz="0" w:space="0" w:color="auto"/>
        <w:right w:val="none" w:sz="0" w:space="0" w:color="auto"/>
      </w:divBdr>
    </w:div>
    <w:div w:id="947158080">
      <w:bodyDiv w:val="1"/>
      <w:marLeft w:val="0"/>
      <w:marRight w:val="0"/>
      <w:marTop w:val="0"/>
      <w:marBottom w:val="0"/>
      <w:divBdr>
        <w:top w:val="none" w:sz="0" w:space="0" w:color="auto"/>
        <w:left w:val="none" w:sz="0" w:space="0" w:color="auto"/>
        <w:bottom w:val="none" w:sz="0" w:space="0" w:color="auto"/>
        <w:right w:val="none" w:sz="0" w:space="0" w:color="auto"/>
      </w:divBdr>
    </w:div>
    <w:div w:id="949822882">
      <w:bodyDiv w:val="1"/>
      <w:marLeft w:val="0"/>
      <w:marRight w:val="0"/>
      <w:marTop w:val="0"/>
      <w:marBottom w:val="0"/>
      <w:divBdr>
        <w:top w:val="none" w:sz="0" w:space="0" w:color="auto"/>
        <w:left w:val="none" w:sz="0" w:space="0" w:color="auto"/>
        <w:bottom w:val="none" w:sz="0" w:space="0" w:color="auto"/>
        <w:right w:val="none" w:sz="0" w:space="0" w:color="auto"/>
      </w:divBdr>
    </w:div>
    <w:div w:id="9555238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68975699">
      <w:bodyDiv w:val="1"/>
      <w:marLeft w:val="0"/>
      <w:marRight w:val="0"/>
      <w:marTop w:val="0"/>
      <w:marBottom w:val="0"/>
      <w:divBdr>
        <w:top w:val="none" w:sz="0" w:space="0" w:color="auto"/>
        <w:left w:val="none" w:sz="0" w:space="0" w:color="auto"/>
        <w:bottom w:val="none" w:sz="0" w:space="0" w:color="auto"/>
        <w:right w:val="none" w:sz="0" w:space="0" w:color="auto"/>
      </w:divBdr>
    </w:div>
    <w:div w:id="971252332">
      <w:bodyDiv w:val="1"/>
      <w:marLeft w:val="0"/>
      <w:marRight w:val="0"/>
      <w:marTop w:val="0"/>
      <w:marBottom w:val="0"/>
      <w:divBdr>
        <w:top w:val="none" w:sz="0" w:space="0" w:color="auto"/>
        <w:left w:val="none" w:sz="0" w:space="0" w:color="auto"/>
        <w:bottom w:val="none" w:sz="0" w:space="0" w:color="auto"/>
        <w:right w:val="none" w:sz="0" w:space="0" w:color="auto"/>
      </w:divBdr>
      <w:divsChild>
        <w:div w:id="635254876">
          <w:marLeft w:val="533"/>
          <w:marRight w:val="0"/>
          <w:marTop w:val="120"/>
          <w:marBottom w:val="0"/>
          <w:divBdr>
            <w:top w:val="none" w:sz="0" w:space="0" w:color="auto"/>
            <w:left w:val="none" w:sz="0" w:space="0" w:color="auto"/>
            <w:bottom w:val="none" w:sz="0" w:space="0" w:color="auto"/>
            <w:right w:val="none" w:sz="0" w:space="0" w:color="auto"/>
          </w:divBdr>
        </w:div>
      </w:divsChild>
    </w:div>
    <w:div w:id="988941978">
      <w:bodyDiv w:val="1"/>
      <w:marLeft w:val="0"/>
      <w:marRight w:val="0"/>
      <w:marTop w:val="0"/>
      <w:marBottom w:val="0"/>
      <w:divBdr>
        <w:top w:val="none" w:sz="0" w:space="0" w:color="auto"/>
        <w:left w:val="none" w:sz="0" w:space="0" w:color="auto"/>
        <w:bottom w:val="none" w:sz="0" w:space="0" w:color="auto"/>
        <w:right w:val="none" w:sz="0" w:space="0" w:color="auto"/>
      </w:divBdr>
    </w:div>
    <w:div w:id="1023432338">
      <w:bodyDiv w:val="1"/>
      <w:marLeft w:val="0"/>
      <w:marRight w:val="0"/>
      <w:marTop w:val="0"/>
      <w:marBottom w:val="0"/>
      <w:divBdr>
        <w:top w:val="none" w:sz="0" w:space="0" w:color="auto"/>
        <w:left w:val="none" w:sz="0" w:space="0" w:color="auto"/>
        <w:bottom w:val="none" w:sz="0" w:space="0" w:color="auto"/>
        <w:right w:val="none" w:sz="0" w:space="0" w:color="auto"/>
      </w:divBdr>
    </w:div>
    <w:div w:id="1034696506">
      <w:bodyDiv w:val="1"/>
      <w:marLeft w:val="0"/>
      <w:marRight w:val="0"/>
      <w:marTop w:val="0"/>
      <w:marBottom w:val="0"/>
      <w:divBdr>
        <w:top w:val="none" w:sz="0" w:space="0" w:color="auto"/>
        <w:left w:val="none" w:sz="0" w:space="0" w:color="auto"/>
        <w:bottom w:val="none" w:sz="0" w:space="0" w:color="auto"/>
        <w:right w:val="none" w:sz="0" w:space="0" w:color="auto"/>
      </w:divBdr>
    </w:div>
    <w:div w:id="1062171723">
      <w:bodyDiv w:val="1"/>
      <w:marLeft w:val="0"/>
      <w:marRight w:val="0"/>
      <w:marTop w:val="0"/>
      <w:marBottom w:val="0"/>
      <w:divBdr>
        <w:top w:val="none" w:sz="0" w:space="0" w:color="auto"/>
        <w:left w:val="none" w:sz="0" w:space="0" w:color="auto"/>
        <w:bottom w:val="none" w:sz="0" w:space="0" w:color="auto"/>
        <w:right w:val="none" w:sz="0" w:space="0" w:color="auto"/>
      </w:divBdr>
    </w:div>
    <w:div w:id="1077897221">
      <w:bodyDiv w:val="1"/>
      <w:marLeft w:val="0"/>
      <w:marRight w:val="0"/>
      <w:marTop w:val="0"/>
      <w:marBottom w:val="0"/>
      <w:divBdr>
        <w:top w:val="none" w:sz="0" w:space="0" w:color="auto"/>
        <w:left w:val="none" w:sz="0" w:space="0" w:color="auto"/>
        <w:bottom w:val="none" w:sz="0" w:space="0" w:color="auto"/>
        <w:right w:val="none" w:sz="0" w:space="0" w:color="auto"/>
      </w:divBdr>
      <w:divsChild>
        <w:div w:id="1945770379">
          <w:marLeft w:val="274"/>
          <w:marRight w:val="0"/>
          <w:marTop w:val="60"/>
          <w:marBottom w:val="0"/>
          <w:divBdr>
            <w:top w:val="none" w:sz="0" w:space="0" w:color="auto"/>
            <w:left w:val="none" w:sz="0" w:space="0" w:color="auto"/>
            <w:bottom w:val="none" w:sz="0" w:space="0" w:color="auto"/>
            <w:right w:val="none" w:sz="0" w:space="0" w:color="auto"/>
          </w:divBdr>
        </w:div>
        <w:div w:id="297272346">
          <w:marLeft w:val="274"/>
          <w:marRight w:val="0"/>
          <w:marTop w:val="60"/>
          <w:marBottom w:val="0"/>
          <w:divBdr>
            <w:top w:val="none" w:sz="0" w:space="0" w:color="auto"/>
            <w:left w:val="none" w:sz="0" w:space="0" w:color="auto"/>
            <w:bottom w:val="none" w:sz="0" w:space="0" w:color="auto"/>
            <w:right w:val="none" w:sz="0" w:space="0" w:color="auto"/>
          </w:divBdr>
        </w:div>
        <w:div w:id="1648052169">
          <w:marLeft w:val="274"/>
          <w:marRight w:val="0"/>
          <w:marTop w:val="60"/>
          <w:marBottom w:val="0"/>
          <w:divBdr>
            <w:top w:val="none" w:sz="0" w:space="0" w:color="auto"/>
            <w:left w:val="none" w:sz="0" w:space="0" w:color="auto"/>
            <w:bottom w:val="none" w:sz="0" w:space="0" w:color="auto"/>
            <w:right w:val="none" w:sz="0" w:space="0" w:color="auto"/>
          </w:divBdr>
        </w:div>
        <w:div w:id="713775087">
          <w:marLeft w:val="274"/>
          <w:marRight w:val="0"/>
          <w:marTop w:val="120"/>
          <w:marBottom w:val="0"/>
          <w:divBdr>
            <w:top w:val="none" w:sz="0" w:space="0" w:color="auto"/>
            <w:left w:val="none" w:sz="0" w:space="0" w:color="auto"/>
            <w:bottom w:val="none" w:sz="0" w:space="0" w:color="auto"/>
            <w:right w:val="none" w:sz="0" w:space="0" w:color="auto"/>
          </w:divBdr>
        </w:div>
        <w:div w:id="555747445">
          <w:marLeft w:val="274"/>
          <w:marRight w:val="0"/>
          <w:marTop w:val="120"/>
          <w:marBottom w:val="0"/>
          <w:divBdr>
            <w:top w:val="none" w:sz="0" w:space="0" w:color="auto"/>
            <w:left w:val="none" w:sz="0" w:space="0" w:color="auto"/>
            <w:bottom w:val="none" w:sz="0" w:space="0" w:color="auto"/>
            <w:right w:val="none" w:sz="0" w:space="0" w:color="auto"/>
          </w:divBdr>
        </w:div>
        <w:div w:id="236552145">
          <w:marLeft w:val="274"/>
          <w:marRight w:val="0"/>
          <w:marTop w:val="120"/>
          <w:marBottom w:val="0"/>
          <w:divBdr>
            <w:top w:val="none" w:sz="0" w:space="0" w:color="auto"/>
            <w:left w:val="none" w:sz="0" w:space="0" w:color="auto"/>
            <w:bottom w:val="none" w:sz="0" w:space="0" w:color="auto"/>
            <w:right w:val="none" w:sz="0" w:space="0" w:color="auto"/>
          </w:divBdr>
        </w:div>
        <w:div w:id="1045956929">
          <w:marLeft w:val="274"/>
          <w:marRight w:val="0"/>
          <w:marTop w:val="120"/>
          <w:marBottom w:val="0"/>
          <w:divBdr>
            <w:top w:val="none" w:sz="0" w:space="0" w:color="auto"/>
            <w:left w:val="none" w:sz="0" w:space="0" w:color="auto"/>
            <w:bottom w:val="none" w:sz="0" w:space="0" w:color="auto"/>
            <w:right w:val="none" w:sz="0" w:space="0" w:color="auto"/>
          </w:divBdr>
        </w:div>
        <w:div w:id="773205926">
          <w:marLeft w:val="274"/>
          <w:marRight w:val="0"/>
          <w:marTop w:val="120"/>
          <w:marBottom w:val="0"/>
          <w:divBdr>
            <w:top w:val="none" w:sz="0" w:space="0" w:color="auto"/>
            <w:left w:val="none" w:sz="0" w:space="0" w:color="auto"/>
            <w:bottom w:val="none" w:sz="0" w:space="0" w:color="auto"/>
            <w:right w:val="none" w:sz="0" w:space="0" w:color="auto"/>
          </w:divBdr>
        </w:div>
        <w:div w:id="1801537886">
          <w:marLeft w:val="274"/>
          <w:marRight w:val="0"/>
          <w:marTop w:val="120"/>
          <w:marBottom w:val="0"/>
          <w:divBdr>
            <w:top w:val="none" w:sz="0" w:space="0" w:color="auto"/>
            <w:left w:val="none" w:sz="0" w:space="0" w:color="auto"/>
            <w:bottom w:val="none" w:sz="0" w:space="0" w:color="auto"/>
            <w:right w:val="none" w:sz="0" w:space="0" w:color="auto"/>
          </w:divBdr>
        </w:div>
        <w:div w:id="1667705492">
          <w:marLeft w:val="274"/>
          <w:marRight w:val="0"/>
          <w:marTop w:val="60"/>
          <w:marBottom w:val="0"/>
          <w:divBdr>
            <w:top w:val="none" w:sz="0" w:space="0" w:color="auto"/>
            <w:left w:val="none" w:sz="0" w:space="0" w:color="auto"/>
            <w:bottom w:val="none" w:sz="0" w:space="0" w:color="auto"/>
            <w:right w:val="none" w:sz="0" w:space="0" w:color="auto"/>
          </w:divBdr>
        </w:div>
        <w:div w:id="2133553842">
          <w:marLeft w:val="274"/>
          <w:marRight w:val="0"/>
          <w:marTop w:val="60"/>
          <w:marBottom w:val="0"/>
          <w:divBdr>
            <w:top w:val="none" w:sz="0" w:space="0" w:color="auto"/>
            <w:left w:val="none" w:sz="0" w:space="0" w:color="auto"/>
            <w:bottom w:val="none" w:sz="0" w:space="0" w:color="auto"/>
            <w:right w:val="none" w:sz="0" w:space="0" w:color="auto"/>
          </w:divBdr>
        </w:div>
        <w:div w:id="229846060">
          <w:marLeft w:val="274"/>
          <w:marRight w:val="0"/>
          <w:marTop w:val="60"/>
          <w:marBottom w:val="0"/>
          <w:divBdr>
            <w:top w:val="none" w:sz="0" w:space="0" w:color="auto"/>
            <w:left w:val="none" w:sz="0" w:space="0" w:color="auto"/>
            <w:bottom w:val="none" w:sz="0" w:space="0" w:color="auto"/>
            <w:right w:val="none" w:sz="0" w:space="0" w:color="auto"/>
          </w:divBdr>
        </w:div>
        <w:div w:id="512454924">
          <w:marLeft w:val="274"/>
          <w:marRight w:val="0"/>
          <w:marTop w:val="60"/>
          <w:marBottom w:val="0"/>
          <w:divBdr>
            <w:top w:val="none" w:sz="0" w:space="0" w:color="auto"/>
            <w:left w:val="none" w:sz="0" w:space="0" w:color="auto"/>
            <w:bottom w:val="none" w:sz="0" w:space="0" w:color="auto"/>
            <w:right w:val="none" w:sz="0" w:space="0" w:color="auto"/>
          </w:divBdr>
        </w:div>
        <w:div w:id="1034965129">
          <w:marLeft w:val="274"/>
          <w:marRight w:val="0"/>
          <w:marTop w:val="60"/>
          <w:marBottom w:val="0"/>
          <w:divBdr>
            <w:top w:val="none" w:sz="0" w:space="0" w:color="auto"/>
            <w:left w:val="none" w:sz="0" w:space="0" w:color="auto"/>
            <w:bottom w:val="none" w:sz="0" w:space="0" w:color="auto"/>
            <w:right w:val="none" w:sz="0" w:space="0" w:color="auto"/>
          </w:divBdr>
        </w:div>
        <w:div w:id="1904366481">
          <w:marLeft w:val="274"/>
          <w:marRight w:val="0"/>
          <w:marTop w:val="60"/>
          <w:marBottom w:val="0"/>
          <w:divBdr>
            <w:top w:val="none" w:sz="0" w:space="0" w:color="auto"/>
            <w:left w:val="none" w:sz="0" w:space="0" w:color="auto"/>
            <w:bottom w:val="none" w:sz="0" w:space="0" w:color="auto"/>
            <w:right w:val="none" w:sz="0" w:space="0" w:color="auto"/>
          </w:divBdr>
        </w:div>
        <w:div w:id="2132286764">
          <w:marLeft w:val="274"/>
          <w:marRight w:val="0"/>
          <w:marTop w:val="60"/>
          <w:marBottom w:val="0"/>
          <w:divBdr>
            <w:top w:val="none" w:sz="0" w:space="0" w:color="auto"/>
            <w:left w:val="none" w:sz="0" w:space="0" w:color="auto"/>
            <w:bottom w:val="none" w:sz="0" w:space="0" w:color="auto"/>
            <w:right w:val="none" w:sz="0" w:space="0" w:color="auto"/>
          </w:divBdr>
        </w:div>
        <w:div w:id="589511879">
          <w:marLeft w:val="274"/>
          <w:marRight w:val="0"/>
          <w:marTop w:val="60"/>
          <w:marBottom w:val="0"/>
          <w:divBdr>
            <w:top w:val="none" w:sz="0" w:space="0" w:color="auto"/>
            <w:left w:val="none" w:sz="0" w:space="0" w:color="auto"/>
            <w:bottom w:val="none" w:sz="0" w:space="0" w:color="auto"/>
            <w:right w:val="none" w:sz="0" w:space="0" w:color="auto"/>
          </w:divBdr>
        </w:div>
        <w:div w:id="269892752">
          <w:marLeft w:val="274"/>
          <w:marRight w:val="0"/>
          <w:marTop w:val="60"/>
          <w:marBottom w:val="0"/>
          <w:divBdr>
            <w:top w:val="none" w:sz="0" w:space="0" w:color="auto"/>
            <w:left w:val="none" w:sz="0" w:space="0" w:color="auto"/>
            <w:bottom w:val="none" w:sz="0" w:space="0" w:color="auto"/>
            <w:right w:val="none" w:sz="0" w:space="0" w:color="auto"/>
          </w:divBdr>
        </w:div>
        <w:div w:id="1842313134">
          <w:marLeft w:val="274"/>
          <w:marRight w:val="0"/>
          <w:marTop w:val="60"/>
          <w:marBottom w:val="0"/>
          <w:divBdr>
            <w:top w:val="none" w:sz="0" w:space="0" w:color="auto"/>
            <w:left w:val="none" w:sz="0" w:space="0" w:color="auto"/>
            <w:bottom w:val="none" w:sz="0" w:space="0" w:color="auto"/>
            <w:right w:val="none" w:sz="0" w:space="0" w:color="auto"/>
          </w:divBdr>
        </w:div>
        <w:div w:id="2114784637">
          <w:marLeft w:val="274"/>
          <w:marRight w:val="0"/>
          <w:marTop w:val="60"/>
          <w:marBottom w:val="0"/>
          <w:divBdr>
            <w:top w:val="none" w:sz="0" w:space="0" w:color="auto"/>
            <w:left w:val="none" w:sz="0" w:space="0" w:color="auto"/>
            <w:bottom w:val="none" w:sz="0" w:space="0" w:color="auto"/>
            <w:right w:val="none" w:sz="0" w:space="0" w:color="auto"/>
          </w:divBdr>
        </w:div>
        <w:div w:id="69206513">
          <w:marLeft w:val="274"/>
          <w:marRight w:val="0"/>
          <w:marTop w:val="60"/>
          <w:marBottom w:val="0"/>
          <w:divBdr>
            <w:top w:val="none" w:sz="0" w:space="0" w:color="auto"/>
            <w:left w:val="none" w:sz="0" w:space="0" w:color="auto"/>
            <w:bottom w:val="none" w:sz="0" w:space="0" w:color="auto"/>
            <w:right w:val="none" w:sz="0" w:space="0" w:color="auto"/>
          </w:divBdr>
        </w:div>
        <w:div w:id="631520062">
          <w:marLeft w:val="274"/>
          <w:marRight w:val="0"/>
          <w:marTop w:val="60"/>
          <w:marBottom w:val="0"/>
          <w:divBdr>
            <w:top w:val="none" w:sz="0" w:space="0" w:color="auto"/>
            <w:left w:val="none" w:sz="0" w:space="0" w:color="auto"/>
            <w:bottom w:val="none" w:sz="0" w:space="0" w:color="auto"/>
            <w:right w:val="none" w:sz="0" w:space="0" w:color="auto"/>
          </w:divBdr>
        </w:div>
        <w:div w:id="591164120">
          <w:marLeft w:val="274"/>
          <w:marRight w:val="0"/>
          <w:marTop w:val="60"/>
          <w:marBottom w:val="0"/>
          <w:divBdr>
            <w:top w:val="none" w:sz="0" w:space="0" w:color="auto"/>
            <w:left w:val="none" w:sz="0" w:space="0" w:color="auto"/>
            <w:bottom w:val="none" w:sz="0" w:space="0" w:color="auto"/>
            <w:right w:val="none" w:sz="0" w:space="0" w:color="auto"/>
          </w:divBdr>
        </w:div>
      </w:divsChild>
    </w:div>
    <w:div w:id="1089619268">
      <w:bodyDiv w:val="1"/>
      <w:marLeft w:val="0"/>
      <w:marRight w:val="0"/>
      <w:marTop w:val="0"/>
      <w:marBottom w:val="0"/>
      <w:divBdr>
        <w:top w:val="none" w:sz="0" w:space="0" w:color="auto"/>
        <w:left w:val="none" w:sz="0" w:space="0" w:color="auto"/>
        <w:bottom w:val="none" w:sz="0" w:space="0" w:color="auto"/>
        <w:right w:val="none" w:sz="0" w:space="0" w:color="auto"/>
      </w:divBdr>
    </w:div>
    <w:div w:id="1098984656">
      <w:bodyDiv w:val="1"/>
      <w:marLeft w:val="0"/>
      <w:marRight w:val="0"/>
      <w:marTop w:val="0"/>
      <w:marBottom w:val="0"/>
      <w:divBdr>
        <w:top w:val="none" w:sz="0" w:space="0" w:color="auto"/>
        <w:left w:val="none" w:sz="0" w:space="0" w:color="auto"/>
        <w:bottom w:val="none" w:sz="0" w:space="0" w:color="auto"/>
        <w:right w:val="none" w:sz="0" w:space="0" w:color="auto"/>
      </w:divBdr>
    </w:div>
    <w:div w:id="1102989163">
      <w:bodyDiv w:val="1"/>
      <w:marLeft w:val="0"/>
      <w:marRight w:val="0"/>
      <w:marTop w:val="0"/>
      <w:marBottom w:val="0"/>
      <w:divBdr>
        <w:top w:val="none" w:sz="0" w:space="0" w:color="auto"/>
        <w:left w:val="none" w:sz="0" w:space="0" w:color="auto"/>
        <w:bottom w:val="none" w:sz="0" w:space="0" w:color="auto"/>
        <w:right w:val="none" w:sz="0" w:space="0" w:color="auto"/>
      </w:divBdr>
    </w:div>
    <w:div w:id="1106001093">
      <w:bodyDiv w:val="1"/>
      <w:marLeft w:val="0"/>
      <w:marRight w:val="0"/>
      <w:marTop w:val="0"/>
      <w:marBottom w:val="0"/>
      <w:divBdr>
        <w:top w:val="none" w:sz="0" w:space="0" w:color="auto"/>
        <w:left w:val="none" w:sz="0" w:space="0" w:color="auto"/>
        <w:bottom w:val="none" w:sz="0" w:space="0" w:color="auto"/>
        <w:right w:val="none" w:sz="0" w:space="0" w:color="auto"/>
      </w:divBdr>
    </w:div>
    <w:div w:id="1118916813">
      <w:bodyDiv w:val="1"/>
      <w:marLeft w:val="0"/>
      <w:marRight w:val="0"/>
      <w:marTop w:val="0"/>
      <w:marBottom w:val="0"/>
      <w:divBdr>
        <w:top w:val="none" w:sz="0" w:space="0" w:color="auto"/>
        <w:left w:val="none" w:sz="0" w:space="0" w:color="auto"/>
        <w:bottom w:val="none" w:sz="0" w:space="0" w:color="auto"/>
        <w:right w:val="none" w:sz="0" w:space="0" w:color="auto"/>
      </w:divBdr>
      <w:divsChild>
        <w:div w:id="907308316">
          <w:marLeft w:val="274"/>
          <w:marRight w:val="0"/>
          <w:marTop w:val="60"/>
          <w:marBottom w:val="0"/>
          <w:divBdr>
            <w:top w:val="none" w:sz="0" w:space="0" w:color="auto"/>
            <w:left w:val="none" w:sz="0" w:space="0" w:color="auto"/>
            <w:bottom w:val="none" w:sz="0" w:space="0" w:color="auto"/>
            <w:right w:val="none" w:sz="0" w:space="0" w:color="auto"/>
          </w:divBdr>
        </w:div>
        <w:div w:id="266623223">
          <w:marLeft w:val="274"/>
          <w:marRight w:val="0"/>
          <w:marTop w:val="60"/>
          <w:marBottom w:val="0"/>
          <w:divBdr>
            <w:top w:val="none" w:sz="0" w:space="0" w:color="auto"/>
            <w:left w:val="none" w:sz="0" w:space="0" w:color="auto"/>
            <w:bottom w:val="none" w:sz="0" w:space="0" w:color="auto"/>
            <w:right w:val="none" w:sz="0" w:space="0" w:color="auto"/>
          </w:divBdr>
        </w:div>
        <w:div w:id="1061178780">
          <w:marLeft w:val="274"/>
          <w:marRight w:val="0"/>
          <w:marTop w:val="60"/>
          <w:marBottom w:val="0"/>
          <w:divBdr>
            <w:top w:val="none" w:sz="0" w:space="0" w:color="auto"/>
            <w:left w:val="none" w:sz="0" w:space="0" w:color="auto"/>
            <w:bottom w:val="none" w:sz="0" w:space="0" w:color="auto"/>
            <w:right w:val="none" w:sz="0" w:space="0" w:color="auto"/>
          </w:divBdr>
        </w:div>
        <w:div w:id="1820918814">
          <w:marLeft w:val="274"/>
          <w:marRight w:val="0"/>
          <w:marTop w:val="120"/>
          <w:marBottom w:val="0"/>
          <w:divBdr>
            <w:top w:val="none" w:sz="0" w:space="0" w:color="auto"/>
            <w:left w:val="none" w:sz="0" w:space="0" w:color="auto"/>
            <w:bottom w:val="none" w:sz="0" w:space="0" w:color="auto"/>
            <w:right w:val="none" w:sz="0" w:space="0" w:color="auto"/>
          </w:divBdr>
        </w:div>
        <w:div w:id="349334642">
          <w:marLeft w:val="274"/>
          <w:marRight w:val="0"/>
          <w:marTop w:val="120"/>
          <w:marBottom w:val="0"/>
          <w:divBdr>
            <w:top w:val="none" w:sz="0" w:space="0" w:color="auto"/>
            <w:left w:val="none" w:sz="0" w:space="0" w:color="auto"/>
            <w:bottom w:val="none" w:sz="0" w:space="0" w:color="auto"/>
            <w:right w:val="none" w:sz="0" w:space="0" w:color="auto"/>
          </w:divBdr>
        </w:div>
        <w:div w:id="1102607227">
          <w:marLeft w:val="274"/>
          <w:marRight w:val="0"/>
          <w:marTop w:val="120"/>
          <w:marBottom w:val="0"/>
          <w:divBdr>
            <w:top w:val="none" w:sz="0" w:space="0" w:color="auto"/>
            <w:left w:val="none" w:sz="0" w:space="0" w:color="auto"/>
            <w:bottom w:val="none" w:sz="0" w:space="0" w:color="auto"/>
            <w:right w:val="none" w:sz="0" w:space="0" w:color="auto"/>
          </w:divBdr>
        </w:div>
        <w:div w:id="1461416162">
          <w:marLeft w:val="274"/>
          <w:marRight w:val="0"/>
          <w:marTop w:val="120"/>
          <w:marBottom w:val="0"/>
          <w:divBdr>
            <w:top w:val="none" w:sz="0" w:space="0" w:color="auto"/>
            <w:left w:val="none" w:sz="0" w:space="0" w:color="auto"/>
            <w:bottom w:val="none" w:sz="0" w:space="0" w:color="auto"/>
            <w:right w:val="none" w:sz="0" w:space="0" w:color="auto"/>
          </w:divBdr>
        </w:div>
        <w:div w:id="2039695506">
          <w:marLeft w:val="274"/>
          <w:marRight w:val="0"/>
          <w:marTop w:val="120"/>
          <w:marBottom w:val="0"/>
          <w:divBdr>
            <w:top w:val="none" w:sz="0" w:space="0" w:color="auto"/>
            <w:left w:val="none" w:sz="0" w:space="0" w:color="auto"/>
            <w:bottom w:val="none" w:sz="0" w:space="0" w:color="auto"/>
            <w:right w:val="none" w:sz="0" w:space="0" w:color="auto"/>
          </w:divBdr>
        </w:div>
        <w:div w:id="1069033303">
          <w:marLeft w:val="274"/>
          <w:marRight w:val="0"/>
          <w:marTop w:val="120"/>
          <w:marBottom w:val="0"/>
          <w:divBdr>
            <w:top w:val="none" w:sz="0" w:space="0" w:color="auto"/>
            <w:left w:val="none" w:sz="0" w:space="0" w:color="auto"/>
            <w:bottom w:val="none" w:sz="0" w:space="0" w:color="auto"/>
            <w:right w:val="none" w:sz="0" w:space="0" w:color="auto"/>
          </w:divBdr>
        </w:div>
        <w:div w:id="1440951298">
          <w:marLeft w:val="274"/>
          <w:marRight w:val="0"/>
          <w:marTop w:val="60"/>
          <w:marBottom w:val="0"/>
          <w:divBdr>
            <w:top w:val="none" w:sz="0" w:space="0" w:color="auto"/>
            <w:left w:val="none" w:sz="0" w:space="0" w:color="auto"/>
            <w:bottom w:val="none" w:sz="0" w:space="0" w:color="auto"/>
            <w:right w:val="none" w:sz="0" w:space="0" w:color="auto"/>
          </w:divBdr>
        </w:div>
        <w:div w:id="1398015652">
          <w:marLeft w:val="274"/>
          <w:marRight w:val="0"/>
          <w:marTop w:val="60"/>
          <w:marBottom w:val="0"/>
          <w:divBdr>
            <w:top w:val="none" w:sz="0" w:space="0" w:color="auto"/>
            <w:left w:val="none" w:sz="0" w:space="0" w:color="auto"/>
            <w:bottom w:val="none" w:sz="0" w:space="0" w:color="auto"/>
            <w:right w:val="none" w:sz="0" w:space="0" w:color="auto"/>
          </w:divBdr>
        </w:div>
        <w:div w:id="2048022173">
          <w:marLeft w:val="274"/>
          <w:marRight w:val="0"/>
          <w:marTop w:val="60"/>
          <w:marBottom w:val="0"/>
          <w:divBdr>
            <w:top w:val="none" w:sz="0" w:space="0" w:color="auto"/>
            <w:left w:val="none" w:sz="0" w:space="0" w:color="auto"/>
            <w:bottom w:val="none" w:sz="0" w:space="0" w:color="auto"/>
            <w:right w:val="none" w:sz="0" w:space="0" w:color="auto"/>
          </w:divBdr>
        </w:div>
        <w:div w:id="1797486946">
          <w:marLeft w:val="274"/>
          <w:marRight w:val="0"/>
          <w:marTop w:val="60"/>
          <w:marBottom w:val="0"/>
          <w:divBdr>
            <w:top w:val="none" w:sz="0" w:space="0" w:color="auto"/>
            <w:left w:val="none" w:sz="0" w:space="0" w:color="auto"/>
            <w:bottom w:val="none" w:sz="0" w:space="0" w:color="auto"/>
            <w:right w:val="none" w:sz="0" w:space="0" w:color="auto"/>
          </w:divBdr>
        </w:div>
        <w:div w:id="1796177170">
          <w:marLeft w:val="274"/>
          <w:marRight w:val="0"/>
          <w:marTop w:val="60"/>
          <w:marBottom w:val="0"/>
          <w:divBdr>
            <w:top w:val="none" w:sz="0" w:space="0" w:color="auto"/>
            <w:left w:val="none" w:sz="0" w:space="0" w:color="auto"/>
            <w:bottom w:val="none" w:sz="0" w:space="0" w:color="auto"/>
            <w:right w:val="none" w:sz="0" w:space="0" w:color="auto"/>
          </w:divBdr>
        </w:div>
        <w:div w:id="1623683582">
          <w:marLeft w:val="274"/>
          <w:marRight w:val="0"/>
          <w:marTop w:val="60"/>
          <w:marBottom w:val="0"/>
          <w:divBdr>
            <w:top w:val="none" w:sz="0" w:space="0" w:color="auto"/>
            <w:left w:val="none" w:sz="0" w:space="0" w:color="auto"/>
            <w:bottom w:val="none" w:sz="0" w:space="0" w:color="auto"/>
            <w:right w:val="none" w:sz="0" w:space="0" w:color="auto"/>
          </w:divBdr>
        </w:div>
        <w:div w:id="2012026454">
          <w:marLeft w:val="274"/>
          <w:marRight w:val="0"/>
          <w:marTop w:val="60"/>
          <w:marBottom w:val="0"/>
          <w:divBdr>
            <w:top w:val="none" w:sz="0" w:space="0" w:color="auto"/>
            <w:left w:val="none" w:sz="0" w:space="0" w:color="auto"/>
            <w:bottom w:val="none" w:sz="0" w:space="0" w:color="auto"/>
            <w:right w:val="none" w:sz="0" w:space="0" w:color="auto"/>
          </w:divBdr>
        </w:div>
        <w:div w:id="275645490">
          <w:marLeft w:val="274"/>
          <w:marRight w:val="0"/>
          <w:marTop w:val="60"/>
          <w:marBottom w:val="0"/>
          <w:divBdr>
            <w:top w:val="none" w:sz="0" w:space="0" w:color="auto"/>
            <w:left w:val="none" w:sz="0" w:space="0" w:color="auto"/>
            <w:bottom w:val="none" w:sz="0" w:space="0" w:color="auto"/>
            <w:right w:val="none" w:sz="0" w:space="0" w:color="auto"/>
          </w:divBdr>
        </w:div>
        <w:div w:id="1872838735">
          <w:marLeft w:val="274"/>
          <w:marRight w:val="0"/>
          <w:marTop w:val="60"/>
          <w:marBottom w:val="0"/>
          <w:divBdr>
            <w:top w:val="none" w:sz="0" w:space="0" w:color="auto"/>
            <w:left w:val="none" w:sz="0" w:space="0" w:color="auto"/>
            <w:bottom w:val="none" w:sz="0" w:space="0" w:color="auto"/>
            <w:right w:val="none" w:sz="0" w:space="0" w:color="auto"/>
          </w:divBdr>
        </w:div>
        <w:div w:id="1882866018">
          <w:marLeft w:val="274"/>
          <w:marRight w:val="0"/>
          <w:marTop w:val="60"/>
          <w:marBottom w:val="0"/>
          <w:divBdr>
            <w:top w:val="none" w:sz="0" w:space="0" w:color="auto"/>
            <w:left w:val="none" w:sz="0" w:space="0" w:color="auto"/>
            <w:bottom w:val="none" w:sz="0" w:space="0" w:color="auto"/>
            <w:right w:val="none" w:sz="0" w:space="0" w:color="auto"/>
          </w:divBdr>
        </w:div>
        <w:div w:id="1086422716">
          <w:marLeft w:val="274"/>
          <w:marRight w:val="0"/>
          <w:marTop w:val="60"/>
          <w:marBottom w:val="0"/>
          <w:divBdr>
            <w:top w:val="none" w:sz="0" w:space="0" w:color="auto"/>
            <w:left w:val="none" w:sz="0" w:space="0" w:color="auto"/>
            <w:bottom w:val="none" w:sz="0" w:space="0" w:color="auto"/>
            <w:right w:val="none" w:sz="0" w:space="0" w:color="auto"/>
          </w:divBdr>
        </w:div>
        <w:div w:id="1682777197">
          <w:marLeft w:val="274"/>
          <w:marRight w:val="0"/>
          <w:marTop w:val="60"/>
          <w:marBottom w:val="0"/>
          <w:divBdr>
            <w:top w:val="none" w:sz="0" w:space="0" w:color="auto"/>
            <w:left w:val="none" w:sz="0" w:space="0" w:color="auto"/>
            <w:bottom w:val="none" w:sz="0" w:space="0" w:color="auto"/>
            <w:right w:val="none" w:sz="0" w:space="0" w:color="auto"/>
          </w:divBdr>
        </w:div>
        <w:div w:id="834300359">
          <w:marLeft w:val="274"/>
          <w:marRight w:val="0"/>
          <w:marTop w:val="60"/>
          <w:marBottom w:val="0"/>
          <w:divBdr>
            <w:top w:val="none" w:sz="0" w:space="0" w:color="auto"/>
            <w:left w:val="none" w:sz="0" w:space="0" w:color="auto"/>
            <w:bottom w:val="none" w:sz="0" w:space="0" w:color="auto"/>
            <w:right w:val="none" w:sz="0" w:space="0" w:color="auto"/>
          </w:divBdr>
        </w:div>
        <w:div w:id="781921563">
          <w:marLeft w:val="274"/>
          <w:marRight w:val="0"/>
          <w:marTop w:val="60"/>
          <w:marBottom w:val="0"/>
          <w:divBdr>
            <w:top w:val="none" w:sz="0" w:space="0" w:color="auto"/>
            <w:left w:val="none" w:sz="0" w:space="0" w:color="auto"/>
            <w:bottom w:val="none" w:sz="0" w:space="0" w:color="auto"/>
            <w:right w:val="none" w:sz="0" w:space="0" w:color="auto"/>
          </w:divBdr>
        </w:div>
      </w:divsChild>
    </w:div>
    <w:div w:id="1142847819">
      <w:bodyDiv w:val="1"/>
      <w:marLeft w:val="0"/>
      <w:marRight w:val="0"/>
      <w:marTop w:val="0"/>
      <w:marBottom w:val="0"/>
      <w:divBdr>
        <w:top w:val="none" w:sz="0" w:space="0" w:color="auto"/>
        <w:left w:val="none" w:sz="0" w:space="0" w:color="auto"/>
        <w:bottom w:val="none" w:sz="0" w:space="0" w:color="auto"/>
        <w:right w:val="none" w:sz="0" w:space="0" w:color="auto"/>
      </w:divBdr>
    </w:div>
    <w:div w:id="1146241679">
      <w:bodyDiv w:val="1"/>
      <w:marLeft w:val="0"/>
      <w:marRight w:val="0"/>
      <w:marTop w:val="0"/>
      <w:marBottom w:val="0"/>
      <w:divBdr>
        <w:top w:val="none" w:sz="0" w:space="0" w:color="auto"/>
        <w:left w:val="none" w:sz="0" w:space="0" w:color="auto"/>
        <w:bottom w:val="none" w:sz="0" w:space="0" w:color="auto"/>
        <w:right w:val="none" w:sz="0" w:space="0" w:color="auto"/>
      </w:divBdr>
    </w:div>
    <w:div w:id="1160774320">
      <w:bodyDiv w:val="1"/>
      <w:marLeft w:val="0"/>
      <w:marRight w:val="0"/>
      <w:marTop w:val="0"/>
      <w:marBottom w:val="0"/>
      <w:divBdr>
        <w:top w:val="none" w:sz="0" w:space="0" w:color="auto"/>
        <w:left w:val="none" w:sz="0" w:space="0" w:color="auto"/>
        <w:bottom w:val="none" w:sz="0" w:space="0" w:color="auto"/>
        <w:right w:val="none" w:sz="0" w:space="0" w:color="auto"/>
      </w:divBdr>
      <w:divsChild>
        <w:div w:id="1133519451">
          <w:marLeft w:val="274"/>
          <w:marRight w:val="0"/>
          <w:marTop w:val="60"/>
          <w:marBottom w:val="0"/>
          <w:divBdr>
            <w:top w:val="none" w:sz="0" w:space="0" w:color="auto"/>
            <w:left w:val="none" w:sz="0" w:space="0" w:color="auto"/>
            <w:bottom w:val="none" w:sz="0" w:space="0" w:color="auto"/>
            <w:right w:val="none" w:sz="0" w:space="0" w:color="auto"/>
          </w:divBdr>
        </w:div>
        <w:div w:id="180977650">
          <w:marLeft w:val="274"/>
          <w:marRight w:val="0"/>
          <w:marTop w:val="60"/>
          <w:marBottom w:val="0"/>
          <w:divBdr>
            <w:top w:val="none" w:sz="0" w:space="0" w:color="auto"/>
            <w:left w:val="none" w:sz="0" w:space="0" w:color="auto"/>
            <w:bottom w:val="none" w:sz="0" w:space="0" w:color="auto"/>
            <w:right w:val="none" w:sz="0" w:space="0" w:color="auto"/>
          </w:divBdr>
        </w:div>
        <w:div w:id="1001397228">
          <w:marLeft w:val="274"/>
          <w:marRight w:val="0"/>
          <w:marTop w:val="60"/>
          <w:marBottom w:val="0"/>
          <w:divBdr>
            <w:top w:val="none" w:sz="0" w:space="0" w:color="auto"/>
            <w:left w:val="none" w:sz="0" w:space="0" w:color="auto"/>
            <w:bottom w:val="none" w:sz="0" w:space="0" w:color="auto"/>
            <w:right w:val="none" w:sz="0" w:space="0" w:color="auto"/>
          </w:divBdr>
        </w:div>
        <w:div w:id="494805926">
          <w:marLeft w:val="274"/>
          <w:marRight w:val="0"/>
          <w:marTop w:val="120"/>
          <w:marBottom w:val="0"/>
          <w:divBdr>
            <w:top w:val="none" w:sz="0" w:space="0" w:color="auto"/>
            <w:left w:val="none" w:sz="0" w:space="0" w:color="auto"/>
            <w:bottom w:val="none" w:sz="0" w:space="0" w:color="auto"/>
            <w:right w:val="none" w:sz="0" w:space="0" w:color="auto"/>
          </w:divBdr>
        </w:div>
        <w:div w:id="1455364250">
          <w:marLeft w:val="274"/>
          <w:marRight w:val="0"/>
          <w:marTop w:val="120"/>
          <w:marBottom w:val="0"/>
          <w:divBdr>
            <w:top w:val="none" w:sz="0" w:space="0" w:color="auto"/>
            <w:left w:val="none" w:sz="0" w:space="0" w:color="auto"/>
            <w:bottom w:val="none" w:sz="0" w:space="0" w:color="auto"/>
            <w:right w:val="none" w:sz="0" w:space="0" w:color="auto"/>
          </w:divBdr>
        </w:div>
        <w:div w:id="523175459">
          <w:marLeft w:val="274"/>
          <w:marRight w:val="0"/>
          <w:marTop w:val="120"/>
          <w:marBottom w:val="0"/>
          <w:divBdr>
            <w:top w:val="none" w:sz="0" w:space="0" w:color="auto"/>
            <w:left w:val="none" w:sz="0" w:space="0" w:color="auto"/>
            <w:bottom w:val="none" w:sz="0" w:space="0" w:color="auto"/>
            <w:right w:val="none" w:sz="0" w:space="0" w:color="auto"/>
          </w:divBdr>
        </w:div>
        <w:div w:id="1372220685">
          <w:marLeft w:val="274"/>
          <w:marRight w:val="0"/>
          <w:marTop w:val="120"/>
          <w:marBottom w:val="0"/>
          <w:divBdr>
            <w:top w:val="none" w:sz="0" w:space="0" w:color="auto"/>
            <w:left w:val="none" w:sz="0" w:space="0" w:color="auto"/>
            <w:bottom w:val="none" w:sz="0" w:space="0" w:color="auto"/>
            <w:right w:val="none" w:sz="0" w:space="0" w:color="auto"/>
          </w:divBdr>
        </w:div>
        <w:div w:id="1135485792">
          <w:marLeft w:val="274"/>
          <w:marRight w:val="0"/>
          <w:marTop w:val="120"/>
          <w:marBottom w:val="0"/>
          <w:divBdr>
            <w:top w:val="none" w:sz="0" w:space="0" w:color="auto"/>
            <w:left w:val="none" w:sz="0" w:space="0" w:color="auto"/>
            <w:bottom w:val="none" w:sz="0" w:space="0" w:color="auto"/>
            <w:right w:val="none" w:sz="0" w:space="0" w:color="auto"/>
          </w:divBdr>
        </w:div>
        <w:div w:id="2064986193">
          <w:marLeft w:val="274"/>
          <w:marRight w:val="0"/>
          <w:marTop w:val="120"/>
          <w:marBottom w:val="0"/>
          <w:divBdr>
            <w:top w:val="none" w:sz="0" w:space="0" w:color="auto"/>
            <w:left w:val="none" w:sz="0" w:space="0" w:color="auto"/>
            <w:bottom w:val="none" w:sz="0" w:space="0" w:color="auto"/>
            <w:right w:val="none" w:sz="0" w:space="0" w:color="auto"/>
          </w:divBdr>
        </w:div>
        <w:div w:id="1725325105">
          <w:marLeft w:val="274"/>
          <w:marRight w:val="0"/>
          <w:marTop w:val="60"/>
          <w:marBottom w:val="0"/>
          <w:divBdr>
            <w:top w:val="none" w:sz="0" w:space="0" w:color="auto"/>
            <w:left w:val="none" w:sz="0" w:space="0" w:color="auto"/>
            <w:bottom w:val="none" w:sz="0" w:space="0" w:color="auto"/>
            <w:right w:val="none" w:sz="0" w:space="0" w:color="auto"/>
          </w:divBdr>
        </w:div>
        <w:div w:id="1833567399">
          <w:marLeft w:val="274"/>
          <w:marRight w:val="0"/>
          <w:marTop w:val="60"/>
          <w:marBottom w:val="0"/>
          <w:divBdr>
            <w:top w:val="none" w:sz="0" w:space="0" w:color="auto"/>
            <w:left w:val="none" w:sz="0" w:space="0" w:color="auto"/>
            <w:bottom w:val="none" w:sz="0" w:space="0" w:color="auto"/>
            <w:right w:val="none" w:sz="0" w:space="0" w:color="auto"/>
          </w:divBdr>
        </w:div>
        <w:div w:id="439226847">
          <w:marLeft w:val="274"/>
          <w:marRight w:val="0"/>
          <w:marTop w:val="60"/>
          <w:marBottom w:val="0"/>
          <w:divBdr>
            <w:top w:val="none" w:sz="0" w:space="0" w:color="auto"/>
            <w:left w:val="none" w:sz="0" w:space="0" w:color="auto"/>
            <w:bottom w:val="none" w:sz="0" w:space="0" w:color="auto"/>
            <w:right w:val="none" w:sz="0" w:space="0" w:color="auto"/>
          </w:divBdr>
        </w:div>
        <w:div w:id="2086610652">
          <w:marLeft w:val="274"/>
          <w:marRight w:val="0"/>
          <w:marTop w:val="60"/>
          <w:marBottom w:val="0"/>
          <w:divBdr>
            <w:top w:val="none" w:sz="0" w:space="0" w:color="auto"/>
            <w:left w:val="none" w:sz="0" w:space="0" w:color="auto"/>
            <w:bottom w:val="none" w:sz="0" w:space="0" w:color="auto"/>
            <w:right w:val="none" w:sz="0" w:space="0" w:color="auto"/>
          </w:divBdr>
        </w:div>
        <w:div w:id="1848329679">
          <w:marLeft w:val="274"/>
          <w:marRight w:val="0"/>
          <w:marTop w:val="60"/>
          <w:marBottom w:val="0"/>
          <w:divBdr>
            <w:top w:val="none" w:sz="0" w:space="0" w:color="auto"/>
            <w:left w:val="none" w:sz="0" w:space="0" w:color="auto"/>
            <w:bottom w:val="none" w:sz="0" w:space="0" w:color="auto"/>
            <w:right w:val="none" w:sz="0" w:space="0" w:color="auto"/>
          </w:divBdr>
        </w:div>
        <w:div w:id="561596921">
          <w:marLeft w:val="274"/>
          <w:marRight w:val="0"/>
          <w:marTop w:val="60"/>
          <w:marBottom w:val="0"/>
          <w:divBdr>
            <w:top w:val="none" w:sz="0" w:space="0" w:color="auto"/>
            <w:left w:val="none" w:sz="0" w:space="0" w:color="auto"/>
            <w:bottom w:val="none" w:sz="0" w:space="0" w:color="auto"/>
            <w:right w:val="none" w:sz="0" w:space="0" w:color="auto"/>
          </w:divBdr>
        </w:div>
        <w:div w:id="1824200829">
          <w:marLeft w:val="274"/>
          <w:marRight w:val="0"/>
          <w:marTop w:val="60"/>
          <w:marBottom w:val="0"/>
          <w:divBdr>
            <w:top w:val="none" w:sz="0" w:space="0" w:color="auto"/>
            <w:left w:val="none" w:sz="0" w:space="0" w:color="auto"/>
            <w:bottom w:val="none" w:sz="0" w:space="0" w:color="auto"/>
            <w:right w:val="none" w:sz="0" w:space="0" w:color="auto"/>
          </w:divBdr>
        </w:div>
        <w:div w:id="222374257">
          <w:marLeft w:val="274"/>
          <w:marRight w:val="0"/>
          <w:marTop w:val="60"/>
          <w:marBottom w:val="0"/>
          <w:divBdr>
            <w:top w:val="none" w:sz="0" w:space="0" w:color="auto"/>
            <w:left w:val="none" w:sz="0" w:space="0" w:color="auto"/>
            <w:bottom w:val="none" w:sz="0" w:space="0" w:color="auto"/>
            <w:right w:val="none" w:sz="0" w:space="0" w:color="auto"/>
          </w:divBdr>
        </w:div>
        <w:div w:id="1535921010">
          <w:marLeft w:val="274"/>
          <w:marRight w:val="0"/>
          <w:marTop w:val="60"/>
          <w:marBottom w:val="0"/>
          <w:divBdr>
            <w:top w:val="none" w:sz="0" w:space="0" w:color="auto"/>
            <w:left w:val="none" w:sz="0" w:space="0" w:color="auto"/>
            <w:bottom w:val="none" w:sz="0" w:space="0" w:color="auto"/>
            <w:right w:val="none" w:sz="0" w:space="0" w:color="auto"/>
          </w:divBdr>
        </w:div>
        <w:div w:id="156848602">
          <w:marLeft w:val="274"/>
          <w:marRight w:val="0"/>
          <w:marTop w:val="60"/>
          <w:marBottom w:val="0"/>
          <w:divBdr>
            <w:top w:val="none" w:sz="0" w:space="0" w:color="auto"/>
            <w:left w:val="none" w:sz="0" w:space="0" w:color="auto"/>
            <w:bottom w:val="none" w:sz="0" w:space="0" w:color="auto"/>
            <w:right w:val="none" w:sz="0" w:space="0" w:color="auto"/>
          </w:divBdr>
        </w:div>
        <w:div w:id="1966815933">
          <w:marLeft w:val="274"/>
          <w:marRight w:val="0"/>
          <w:marTop w:val="60"/>
          <w:marBottom w:val="0"/>
          <w:divBdr>
            <w:top w:val="none" w:sz="0" w:space="0" w:color="auto"/>
            <w:left w:val="none" w:sz="0" w:space="0" w:color="auto"/>
            <w:bottom w:val="none" w:sz="0" w:space="0" w:color="auto"/>
            <w:right w:val="none" w:sz="0" w:space="0" w:color="auto"/>
          </w:divBdr>
        </w:div>
        <w:div w:id="600722680">
          <w:marLeft w:val="274"/>
          <w:marRight w:val="0"/>
          <w:marTop w:val="60"/>
          <w:marBottom w:val="0"/>
          <w:divBdr>
            <w:top w:val="none" w:sz="0" w:space="0" w:color="auto"/>
            <w:left w:val="none" w:sz="0" w:space="0" w:color="auto"/>
            <w:bottom w:val="none" w:sz="0" w:space="0" w:color="auto"/>
            <w:right w:val="none" w:sz="0" w:space="0" w:color="auto"/>
          </w:divBdr>
        </w:div>
        <w:div w:id="6030040">
          <w:marLeft w:val="274"/>
          <w:marRight w:val="0"/>
          <w:marTop w:val="60"/>
          <w:marBottom w:val="0"/>
          <w:divBdr>
            <w:top w:val="none" w:sz="0" w:space="0" w:color="auto"/>
            <w:left w:val="none" w:sz="0" w:space="0" w:color="auto"/>
            <w:bottom w:val="none" w:sz="0" w:space="0" w:color="auto"/>
            <w:right w:val="none" w:sz="0" w:space="0" w:color="auto"/>
          </w:divBdr>
        </w:div>
        <w:div w:id="1463310421">
          <w:marLeft w:val="274"/>
          <w:marRight w:val="0"/>
          <w:marTop w:val="60"/>
          <w:marBottom w:val="0"/>
          <w:divBdr>
            <w:top w:val="none" w:sz="0" w:space="0" w:color="auto"/>
            <w:left w:val="none" w:sz="0" w:space="0" w:color="auto"/>
            <w:bottom w:val="none" w:sz="0" w:space="0" w:color="auto"/>
            <w:right w:val="none" w:sz="0" w:space="0" w:color="auto"/>
          </w:divBdr>
        </w:div>
      </w:divsChild>
    </w:div>
    <w:div w:id="1173297181">
      <w:bodyDiv w:val="1"/>
      <w:marLeft w:val="0"/>
      <w:marRight w:val="0"/>
      <w:marTop w:val="0"/>
      <w:marBottom w:val="0"/>
      <w:divBdr>
        <w:top w:val="none" w:sz="0" w:space="0" w:color="auto"/>
        <w:left w:val="none" w:sz="0" w:space="0" w:color="auto"/>
        <w:bottom w:val="none" w:sz="0" w:space="0" w:color="auto"/>
        <w:right w:val="none" w:sz="0" w:space="0" w:color="auto"/>
      </w:divBdr>
    </w:div>
    <w:div w:id="1180897008">
      <w:bodyDiv w:val="1"/>
      <w:marLeft w:val="0"/>
      <w:marRight w:val="0"/>
      <w:marTop w:val="0"/>
      <w:marBottom w:val="0"/>
      <w:divBdr>
        <w:top w:val="none" w:sz="0" w:space="0" w:color="auto"/>
        <w:left w:val="none" w:sz="0" w:space="0" w:color="auto"/>
        <w:bottom w:val="none" w:sz="0" w:space="0" w:color="auto"/>
        <w:right w:val="none" w:sz="0" w:space="0" w:color="auto"/>
      </w:divBdr>
    </w:div>
    <w:div w:id="1184589367">
      <w:bodyDiv w:val="1"/>
      <w:marLeft w:val="0"/>
      <w:marRight w:val="0"/>
      <w:marTop w:val="0"/>
      <w:marBottom w:val="0"/>
      <w:divBdr>
        <w:top w:val="none" w:sz="0" w:space="0" w:color="auto"/>
        <w:left w:val="none" w:sz="0" w:space="0" w:color="auto"/>
        <w:bottom w:val="none" w:sz="0" w:space="0" w:color="auto"/>
        <w:right w:val="none" w:sz="0" w:space="0" w:color="auto"/>
      </w:divBdr>
      <w:divsChild>
        <w:div w:id="1147743670">
          <w:marLeft w:val="0"/>
          <w:marRight w:val="0"/>
          <w:marTop w:val="0"/>
          <w:marBottom w:val="0"/>
          <w:divBdr>
            <w:top w:val="none" w:sz="0" w:space="0" w:color="auto"/>
            <w:left w:val="none" w:sz="0" w:space="0" w:color="auto"/>
            <w:bottom w:val="none" w:sz="0" w:space="0" w:color="auto"/>
            <w:right w:val="none" w:sz="0" w:space="0" w:color="auto"/>
          </w:divBdr>
          <w:divsChild>
            <w:div w:id="136804229">
              <w:marLeft w:val="0"/>
              <w:marRight w:val="0"/>
              <w:marTop w:val="0"/>
              <w:marBottom w:val="0"/>
              <w:divBdr>
                <w:top w:val="none" w:sz="0" w:space="0" w:color="auto"/>
                <w:left w:val="none" w:sz="0" w:space="0" w:color="auto"/>
                <w:bottom w:val="none" w:sz="0" w:space="0" w:color="auto"/>
                <w:right w:val="none" w:sz="0" w:space="0" w:color="auto"/>
              </w:divBdr>
              <w:divsChild>
                <w:div w:id="183587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50334">
          <w:marLeft w:val="0"/>
          <w:marRight w:val="0"/>
          <w:marTop w:val="0"/>
          <w:marBottom w:val="0"/>
          <w:divBdr>
            <w:top w:val="none" w:sz="0" w:space="0" w:color="auto"/>
            <w:left w:val="none" w:sz="0" w:space="0" w:color="auto"/>
            <w:bottom w:val="none" w:sz="0" w:space="0" w:color="auto"/>
            <w:right w:val="none" w:sz="0" w:space="0" w:color="auto"/>
          </w:divBdr>
          <w:divsChild>
            <w:div w:id="1151411370">
              <w:marLeft w:val="0"/>
              <w:marRight w:val="0"/>
              <w:marTop w:val="0"/>
              <w:marBottom w:val="0"/>
              <w:divBdr>
                <w:top w:val="none" w:sz="0" w:space="0" w:color="auto"/>
                <w:left w:val="none" w:sz="0" w:space="0" w:color="auto"/>
                <w:bottom w:val="none" w:sz="0" w:space="0" w:color="auto"/>
                <w:right w:val="none" w:sz="0" w:space="0" w:color="auto"/>
              </w:divBdr>
              <w:divsChild>
                <w:div w:id="15869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48933">
      <w:bodyDiv w:val="1"/>
      <w:marLeft w:val="0"/>
      <w:marRight w:val="0"/>
      <w:marTop w:val="0"/>
      <w:marBottom w:val="0"/>
      <w:divBdr>
        <w:top w:val="none" w:sz="0" w:space="0" w:color="auto"/>
        <w:left w:val="none" w:sz="0" w:space="0" w:color="auto"/>
        <w:bottom w:val="none" w:sz="0" w:space="0" w:color="auto"/>
        <w:right w:val="none" w:sz="0" w:space="0" w:color="auto"/>
      </w:divBdr>
    </w:div>
    <w:div w:id="1218973920">
      <w:bodyDiv w:val="1"/>
      <w:marLeft w:val="0"/>
      <w:marRight w:val="0"/>
      <w:marTop w:val="0"/>
      <w:marBottom w:val="0"/>
      <w:divBdr>
        <w:top w:val="none" w:sz="0" w:space="0" w:color="auto"/>
        <w:left w:val="none" w:sz="0" w:space="0" w:color="auto"/>
        <w:bottom w:val="none" w:sz="0" w:space="0" w:color="auto"/>
        <w:right w:val="none" w:sz="0" w:space="0" w:color="auto"/>
      </w:divBdr>
      <w:divsChild>
        <w:div w:id="1509639255">
          <w:marLeft w:val="274"/>
          <w:marRight w:val="0"/>
          <w:marTop w:val="60"/>
          <w:marBottom w:val="0"/>
          <w:divBdr>
            <w:top w:val="none" w:sz="0" w:space="0" w:color="auto"/>
            <w:left w:val="none" w:sz="0" w:space="0" w:color="auto"/>
            <w:bottom w:val="none" w:sz="0" w:space="0" w:color="auto"/>
            <w:right w:val="none" w:sz="0" w:space="0" w:color="auto"/>
          </w:divBdr>
        </w:div>
        <w:div w:id="822083656">
          <w:marLeft w:val="274"/>
          <w:marRight w:val="0"/>
          <w:marTop w:val="60"/>
          <w:marBottom w:val="0"/>
          <w:divBdr>
            <w:top w:val="none" w:sz="0" w:space="0" w:color="auto"/>
            <w:left w:val="none" w:sz="0" w:space="0" w:color="auto"/>
            <w:bottom w:val="none" w:sz="0" w:space="0" w:color="auto"/>
            <w:right w:val="none" w:sz="0" w:space="0" w:color="auto"/>
          </w:divBdr>
        </w:div>
        <w:div w:id="125508927">
          <w:marLeft w:val="274"/>
          <w:marRight w:val="0"/>
          <w:marTop w:val="60"/>
          <w:marBottom w:val="0"/>
          <w:divBdr>
            <w:top w:val="none" w:sz="0" w:space="0" w:color="auto"/>
            <w:left w:val="none" w:sz="0" w:space="0" w:color="auto"/>
            <w:bottom w:val="none" w:sz="0" w:space="0" w:color="auto"/>
            <w:right w:val="none" w:sz="0" w:space="0" w:color="auto"/>
          </w:divBdr>
        </w:div>
        <w:div w:id="542668607">
          <w:marLeft w:val="274"/>
          <w:marRight w:val="0"/>
          <w:marTop w:val="120"/>
          <w:marBottom w:val="0"/>
          <w:divBdr>
            <w:top w:val="none" w:sz="0" w:space="0" w:color="auto"/>
            <w:left w:val="none" w:sz="0" w:space="0" w:color="auto"/>
            <w:bottom w:val="none" w:sz="0" w:space="0" w:color="auto"/>
            <w:right w:val="none" w:sz="0" w:space="0" w:color="auto"/>
          </w:divBdr>
        </w:div>
        <w:div w:id="1283734215">
          <w:marLeft w:val="274"/>
          <w:marRight w:val="0"/>
          <w:marTop w:val="120"/>
          <w:marBottom w:val="0"/>
          <w:divBdr>
            <w:top w:val="none" w:sz="0" w:space="0" w:color="auto"/>
            <w:left w:val="none" w:sz="0" w:space="0" w:color="auto"/>
            <w:bottom w:val="none" w:sz="0" w:space="0" w:color="auto"/>
            <w:right w:val="none" w:sz="0" w:space="0" w:color="auto"/>
          </w:divBdr>
        </w:div>
        <w:div w:id="213784691">
          <w:marLeft w:val="274"/>
          <w:marRight w:val="0"/>
          <w:marTop w:val="120"/>
          <w:marBottom w:val="0"/>
          <w:divBdr>
            <w:top w:val="none" w:sz="0" w:space="0" w:color="auto"/>
            <w:left w:val="none" w:sz="0" w:space="0" w:color="auto"/>
            <w:bottom w:val="none" w:sz="0" w:space="0" w:color="auto"/>
            <w:right w:val="none" w:sz="0" w:space="0" w:color="auto"/>
          </w:divBdr>
        </w:div>
        <w:div w:id="506600331">
          <w:marLeft w:val="274"/>
          <w:marRight w:val="0"/>
          <w:marTop w:val="120"/>
          <w:marBottom w:val="0"/>
          <w:divBdr>
            <w:top w:val="none" w:sz="0" w:space="0" w:color="auto"/>
            <w:left w:val="none" w:sz="0" w:space="0" w:color="auto"/>
            <w:bottom w:val="none" w:sz="0" w:space="0" w:color="auto"/>
            <w:right w:val="none" w:sz="0" w:space="0" w:color="auto"/>
          </w:divBdr>
        </w:div>
        <w:div w:id="2104690582">
          <w:marLeft w:val="274"/>
          <w:marRight w:val="0"/>
          <w:marTop w:val="120"/>
          <w:marBottom w:val="0"/>
          <w:divBdr>
            <w:top w:val="none" w:sz="0" w:space="0" w:color="auto"/>
            <w:left w:val="none" w:sz="0" w:space="0" w:color="auto"/>
            <w:bottom w:val="none" w:sz="0" w:space="0" w:color="auto"/>
            <w:right w:val="none" w:sz="0" w:space="0" w:color="auto"/>
          </w:divBdr>
        </w:div>
        <w:div w:id="1481729991">
          <w:marLeft w:val="274"/>
          <w:marRight w:val="0"/>
          <w:marTop w:val="120"/>
          <w:marBottom w:val="0"/>
          <w:divBdr>
            <w:top w:val="none" w:sz="0" w:space="0" w:color="auto"/>
            <w:left w:val="none" w:sz="0" w:space="0" w:color="auto"/>
            <w:bottom w:val="none" w:sz="0" w:space="0" w:color="auto"/>
            <w:right w:val="none" w:sz="0" w:space="0" w:color="auto"/>
          </w:divBdr>
        </w:div>
        <w:div w:id="1058476012">
          <w:marLeft w:val="274"/>
          <w:marRight w:val="0"/>
          <w:marTop w:val="60"/>
          <w:marBottom w:val="0"/>
          <w:divBdr>
            <w:top w:val="none" w:sz="0" w:space="0" w:color="auto"/>
            <w:left w:val="none" w:sz="0" w:space="0" w:color="auto"/>
            <w:bottom w:val="none" w:sz="0" w:space="0" w:color="auto"/>
            <w:right w:val="none" w:sz="0" w:space="0" w:color="auto"/>
          </w:divBdr>
        </w:div>
        <w:div w:id="1160459907">
          <w:marLeft w:val="274"/>
          <w:marRight w:val="0"/>
          <w:marTop w:val="60"/>
          <w:marBottom w:val="0"/>
          <w:divBdr>
            <w:top w:val="none" w:sz="0" w:space="0" w:color="auto"/>
            <w:left w:val="none" w:sz="0" w:space="0" w:color="auto"/>
            <w:bottom w:val="none" w:sz="0" w:space="0" w:color="auto"/>
            <w:right w:val="none" w:sz="0" w:space="0" w:color="auto"/>
          </w:divBdr>
        </w:div>
        <w:div w:id="1724712139">
          <w:marLeft w:val="274"/>
          <w:marRight w:val="0"/>
          <w:marTop w:val="60"/>
          <w:marBottom w:val="0"/>
          <w:divBdr>
            <w:top w:val="none" w:sz="0" w:space="0" w:color="auto"/>
            <w:left w:val="none" w:sz="0" w:space="0" w:color="auto"/>
            <w:bottom w:val="none" w:sz="0" w:space="0" w:color="auto"/>
            <w:right w:val="none" w:sz="0" w:space="0" w:color="auto"/>
          </w:divBdr>
        </w:div>
        <w:div w:id="1497301639">
          <w:marLeft w:val="274"/>
          <w:marRight w:val="0"/>
          <w:marTop w:val="60"/>
          <w:marBottom w:val="0"/>
          <w:divBdr>
            <w:top w:val="none" w:sz="0" w:space="0" w:color="auto"/>
            <w:left w:val="none" w:sz="0" w:space="0" w:color="auto"/>
            <w:bottom w:val="none" w:sz="0" w:space="0" w:color="auto"/>
            <w:right w:val="none" w:sz="0" w:space="0" w:color="auto"/>
          </w:divBdr>
        </w:div>
        <w:div w:id="1478645038">
          <w:marLeft w:val="274"/>
          <w:marRight w:val="0"/>
          <w:marTop w:val="60"/>
          <w:marBottom w:val="0"/>
          <w:divBdr>
            <w:top w:val="none" w:sz="0" w:space="0" w:color="auto"/>
            <w:left w:val="none" w:sz="0" w:space="0" w:color="auto"/>
            <w:bottom w:val="none" w:sz="0" w:space="0" w:color="auto"/>
            <w:right w:val="none" w:sz="0" w:space="0" w:color="auto"/>
          </w:divBdr>
        </w:div>
        <w:div w:id="1195539394">
          <w:marLeft w:val="274"/>
          <w:marRight w:val="0"/>
          <w:marTop w:val="60"/>
          <w:marBottom w:val="0"/>
          <w:divBdr>
            <w:top w:val="none" w:sz="0" w:space="0" w:color="auto"/>
            <w:left w:val="none" w:sz="0" w:space="0" w:color="auto"/>
            <w:bottom w:val="none" w:sz="0" w:space="0" w:color="auto"/>
            <w:right w:val="none" w:sz="0" w:space="0" w:color="auto"/>
          </w:divBdr>
        </w:div>
        <w:div w:id="971906998">
          <w:marLeft w:val="274"/>
          <w:marRight w:val="0"/>
          <w:marTop w:val="60"/>
          <w:marBottom w:val="0"/>
          <w:divBdr>
            <w:top w:val="none" w:sz="0" w:space="0" w:color="auto"/>
            <w:left w:val="none" w:sz="0" w:space="0" w:color="auto"/>
            <w:bottom w:val="none" w:sz="0" w:space="0" w:color="auto"/>
            <w:right w:val="none" w:sz="0" w:space="0" w:color="auto"/>
          </w:divBdr>
        </w:div>
        <w:div w:id="365258173">
          <w:marLeft w:val="274"/>
          <w:marRight w:val="0"/>
          <w:marTop w:val="60"/>
          <w:marBottom w:val="0"/>
          <w:divBdr>
            <w:top w:val="none" w:sz="0" w:space="0" w:color="auto"/>
            <w:left w:val="none" w:sz="0" w:space="0" w:color="auto"/>
            <w:bottom w:val="none" w:sz="0" w:space="0" w:color="auto"/>
            <w:right w:val="none" w:sz="0" w:space="0" w:color="auto"/>
          </w:divBdr>
        </w:div>
        <w:div w:id="1908417535">
          <w:marLeft w:val="274"/>
          <w:marRight w:val="0"/>
          <w:marTop w:val="60"/>
          <w:marBottom w:val="0"/>
          <w:divBdr>
            <w:top w:val="none" w:sz="0" w:space="0" w:color="auto"/>
            <w:left w:val="none" w:sz="0" w:space="0" w:color="auto"/>
            <w:bottom w:val="none" w:sz="0" w:space="0" w:color="auto"/>
            <w:right w:val="none" w:sz="0" w:space="0" w:color="auto"/>
          </w:divBdr>
        </w:div>
        <w:div w:id="1562324171">
          <w:marLeft w:val="274"/>
          <w:marRight w:val="0"/>
          <w:marTop w:val="60"/>
          <w:marBottom w:val="0"/>
          <w:divBdr>
            <w:top w:val="none" w:sz="0" w:space="0" w:color="auto"/>
            <w:left w:val="none" w:sz="0" w:space="0" w:color="auto"/>
            <w:bottom w:val="none" w:sz="0" w:space="0" w:color="auto"/>
            <w:right w:val="none" w:sz="0" w:space="0" w:color="auto"/>
          </w:divBdr>
        </w:div>
        <w:div w:id="36466280">
          <w:marLeft w:val="274"/>
          <w:marRight w:val="0"/>
          <w:marTop w:val="60"/>
          <w:marBottom w:val="0"/>
          <w:divBdr>
            <w:top w:val="none" w:sz="0" w:space="0" w:color="auto"/>
            <w:left w:val="none" w:sz="0" w:space="0" w:color="auto"/>
            <w:bottom w:val="none" w:sz="0" w:space="0" w:color="auto"/>
            <w:right w:val="none" w:sz="0" w:space="0" w:color="auto"/>
          </w:divBdr>
        </w:div>
        <w:div w:id="1174027412">
          <w:marLeft w:val="274"/>
          <w:marRight w:val="0"/>
          <w:marTop w:val="60"/>
          <w:marBottom w:val="0"/>
          <w:divBdr>
            <w:top w:val="none" w:sz="0" w:space="0" w:color="auto"/>
            <w:left w:val="none" w:sz="0" w:space="0" w:color="auto"/>
            <w:bottom w:val="none" w:sz="0" w:space="0" w:color="auto"/>
            <w:right w:val="none" w:sz="0" w:space="0" w:color="auto"/>
          </w:divBdr>
        </w:div>
        <w:div w:id="1668358056">
          <w:marLeft w:val="274"/>
          <w:marRight w:val="0"/>
          <w:marTop w:val="60"/>
          <w:marBottom w:val="0"/>
          <w:divBdr>
            <w:top w:val="none" w:sz="0" w:space="0" w:color="auto"/>
            <w:left w:val="none" w:sz="0" w:space="0" w:color="auto"/>
            <w:bottom w:val="none" w:sz="0" w:space="0" w:color="auto"/>
            <w:right w:val="none" w:sz="0" w:space="0" w:color="auto"/>
          </w:divBdr>
        </w:div>
        <w:div w:id="1896088801">
          <w:marLeft w:val="274"/>
          <w:marRight w:val="0"/>
          <w:marTop w:val="60"/>
          <w:marBottom w:val="0"/>
          <w:divBdr>
            <w:top w:val="none" w:sz="0" w:space="0" w:color="auto"/>
            <w:left w:val="none" w:sz="0" w:space="0" w:color="auto"/>
            <w:bottom w:val="none" w:sz="0" w:space="0" w:color="auto"/>
            <w:right w:val="none" w:sz="0" w:space="0" w:color="auto"/>
          </w:divBdr>
        </w:div>
      </w:divsChild>
    </w:div>
    <w:div w:id="1222712808">
      <w:bodyDiv w:val="1"/>
      <w:marLeft w:val="0"/>
      <w:marRight w:val="0"/>
      <w:marTop w:val="0"/>
      <w:marBottom w:val="0"/>
      <w:divBdr>
        <w:top w:val="none" w:sz="0" w:space="0" w:color="auto"/>
        <w:left w:val="none" w:sz="0" w:space="0" w:color="auto"/>
        <w:bottom w:val="none" w:sz="0" w:space="0" w:color="auto"/>
        <w:right w:val="none" w:sz="0" w:space="0" w:color="auto"/>
      </w:divBdr>
    </w:div>
    <w:div w:id="1225677700">
      <w:bodyDiv w:val="1"/>
      <w:marLeft w:val="0"/>
      <w:marRight w:val="0"/>
      <w:marTop w:val="0"/>
      <w:marBottom w:val="0"/>
      <w:divBdr>
        <w:top w:val="none" w:sz="0" w:space="0" w:color="auto"/>
        <w:left w:val="none" w:sz="0" w:space="0" w:color="auto"/>
        <w:bottom w:val="none" w:sz="0" w:space="0" w:color="auto"/>
        <w:right w:val="none" w:sz="0" w:space="0" w:color="auto"/>
      </w:divBdr>
    </w:div>
    <w:div w:id="1230578989">
      <w:bodyDiv w:val="1"/>
      <w:marLeft w:val="0"/>
      <w:marRight w:val="0"/>
      <w:marTop w:val="0"/>
      <w:marBottom w:val="0"/>
      <w:divBdr>
        <w:top w:val="none" w:sz="0" w:space="0" w:color="auto"/>
        <w:left w:val="none" w:sz="0" w:space="0" w:color="auto"/>
        <w:bottom w:val="none" w:sz="0" w:space="0" w:color="auto"/>
        <w:right w:val="none" w:sz="0" w:space="0" w:color="auto"/>
      </w:divBdr>
    </w:div>
    <w:div w:id="1231772914">
      <w:bodyDiv w:val="1"/>
      <w:marLeft w:val="0"/>
      <w:marRight w:val="0"/>
      <w:marTop w:val="0"/>
      <w:marBottom w:val="0"/>
      <w:divBdr>
        <w:top w:val="none" w:sz="0" w:space="0" w:color="auto"/>
        <w:left w:val="none" w:sz="0" w:space="0" w:color="auto"/>
        <w:bottom w:val="none" w:sz="0" w:space="0" w:color="auto"/>
        <w:right w:val="none" w:sz="0" w:space="0" w:color="auto"/>
      </w:divBdr>
    </w:div>
    <w:div w:id="1237744552">
      <w:bodyDiv w:val="1"/>
      <w:marLeft w:val="0"/>
      <w:marRight w:val="0"/>
      <w:marTop w:val="0"/>
      <w:marBottom w:val="0"/>
      <w:divBdr>
        <w:top w:val="none" w:sz="0" w:space="0" w:color="auto"/>
        <w:left w:val="none" w:sz="0" w:space="0" w:color="auto"/>
        <w:bottom w:val="none" w:sz="0" w:space="0" w:color="auto"/>
        <w:right w:val="none" w:sz="0" w:space="0" w:color="auto"/>
      </w:divBdr>
    </w:div>
    <w:div w:id="1261714922">
      <w:bodyDiv w:val="1"/>
      <w:marLeft w:val="0"/>
      <w:marRight w:val="0"/>
      <w:marTop w:val="0"/>
      <w:marBottom w:val="0"/>
      <w:divBdr>
        <w:top w:val="none" w:sz="0" w:space="0" w:color="auto"/>
        <w:left w:val="none" w:sz="0" w:space="0" w:color="auto"/>
        <w:bottom w:val="none" w:sz="0" w:space="0" w:color="auto"/>
        <w:right w:val="none" w:sz="0" w:space="0" w:color="auto"/>
      </w:divBdr>
    </w:div>
    <w:div w:id="1272275965">
      <w:bodyDiv w:val="1"/>
      <w:marLeft w:val="0"/>
      <w:marRight w:val="0"/>
      <w:marTop w:val="0"/>
      <w:marBottom w:val="0"/>
      <w:divBdr>
        <w:top w:val="none" w:sz="0" w:space="0" w:color="auto"/>
        <w:left w:val="none" w:sz="0" w:space="0" w:color="auto"/>
        <w:bottom w:val="none" w:sz="0" w:space="0" w:color="auto"/>
        <w:right w:val="none" w:sz="0" w:space="0" w:color="auto"/>
      </w:divBdr>
    </w:div>
    <w:div w:id="1307780430">
      <w:bodyDiv w:val="1"/>
      <w:marLeft w:val="0"/>
      <w:marRight w:val="0"/>
      <w:marTop w:val="0"/>
      <w:marBottom w:val="0"/>
      <w:divBdr>
        <w:top w:val="none" w:sz="0" w:space="0" w:color="auto"/>
        <w:left w:val="none" w:sz="0" w:space="0" w:color="auto"/>
        <w:bottom w:val="none" w:sz="0" w:space="0" w:color="auto"/>
        <w:right w:val="none" w:sz="0" w:space="0" w:color="auto"/>
      </w:divBdr>
    </w:div>
    <w:div w:id="1316375642">
      <w:bodyDiv w:val="1"/>
      <w:marLeft w:val="0"/>
      <w:marRight w:val="0"/>
      <w:marTop w:val="0"/>
      <w:marBottom w:val="0"/>
      <w:divBdr>
        <w:top w:val="none" w:sz="0" w:space="0" w:color="auto"/>
        <w:left w:val="none" w:sz="0" w:space="0" w:color="auto"/>
        <w:bottom w:val="none" w:sz="0" w:space="0" w:color="auto"/>
        <w:right w:val="none" w:sz="0" w:space="0" w:color="auto"/>
      </w:divBdr>
    </w:div>
    <w:div w:id="1316910053">
      <w:bodyDiv w:val="1"/>
      <w:marLeft w:val="0"/>
      <w:marRight w:val="0"/>
      <w:marTop w:val="0"/>
      <w:marBottom w:val="0"/>
      <w:divBdr>
        <w:top w:val="none" w:sz="0" w:space="0" w:color="auto"/>
        <w:left w:val="none" w:sz="0" w:space="0" w:color="auto"/>
        <w:bottom w:val="none" w:sz="0" w:space="0" w:color="auto"/>
        <w:right w:val="none" w:sz="0" w:space="0" w:color="auto"/>
      </w:divBdr>
    </w:div>
    <w:div w:id="1317303712">
      <w:bodyDiv w:val="1"/>
      <w:marLeft w:val="0"/>
      <w:marRight w:val="0"/>
      <w:marTop w:val="0"/>
      <w:marBottom w:val="0"/>
      <w:divBdr>
        <w:top w:val="none" w:sz="0" w:space="0" w:color="auto"/>
        <w:left w:val="none" w:sz="0" w:space="0" w:color="auto"/>
        <w:bottom w:val="none" w:sz="0" w:space="0" w:color="auto"/>
        <w:right w:val="none" w:sz="0" w:space="0" w:color="auto"/>
      </w:divBdr>
    </w:div>
    <w:div w:id="1320843514">
      <w:bodyDiv w:val="1"/>
      <w:marLeft w:val="0"/>
      <w:marRight w:val="0"/>
      <w:marTop w:val="0"/>
      <w:marBottom w:val="0"/>
      <w:divBdr>
        <w:top w:val="none" w:sz="0" w:space="0" w:color="auto"/>
        <w:left w:val="none" w:sz="0" w:space="0" w:color="auto"/>
        <w:bottom w:val="none" w:sz="0" w:space="0" w:color="auto"/>
        <w:right w:val="none" w:sz="0" w:space="0" w:color="auto"/>
      </w:divBdr>
      <w:divsChild>
        <w:div w:id="295448147">
          <w:marLeft w:val="893"/>
          <w:marRight w:val="0"/>
          <w:marTop w:val="67"/>
          <w:marBottom w:val="0"/>
          <w:divBdr>
            <w:top w:val="none" w:sz="0" w:space="0" w:color="auto"/>
            <w:left w:val="none" w:sz="0" w:space="0" w:color="auto"/>
            <w:bottom w:val="none" w:sz="0" w:space="0" w:color="auto"/>
            <w:right w:val="none" w:sz="0" w:space="0" w:color="auto"/>
          </w:divBdr>
        </w:div>
      </w:divsChild>
    </w:div>
    <w:div w:id="1331248957">
      <w:bodyDiv w:val="1"/>
      <w:marLeft w:val="0"/>
      <w:marRight w:val="0"/>
      <w:marTop w:val="0"/>
      <w:marBottom w:val="0"/>
      <w:divBdr>
        <w:top w:val="none" w:sz="0" w:space="0" w:color="auto"/>
        <w:left w:val="none" w:sz="0" w:space="0" w:color="auto"/>
        <w:bottom w:val="none" w:sz="0" w:space="0" w:color="auto"/>
        <w:right w:val="none" w:sz="0" w:space="0" w:color="auto"/>
      </w:divBdr>
      <w:divsChild>
        <w:div w:id="162091231">
          <w:marLeft w:val="274"/>
          <w:marRight w:val="0"/>
          <w:marTop w:val="60"/>
          <w:marBottom w:val="0"/>
          <w:divBdr>
            <w:top w:val="none" w:sz="0" w:space="0" w:color="auto"/>
            <w:left w:val="none" w:sz="0" w:space="0" w:color="auto"/>
            <w:bottom w:val="none" w:sz="0" w:space="0" w:color="auto"/>
            <w:right w:val="none" w:sz="0" w:space="0" w:color="auto"/>
          </w:divBdr>
        </w:div>
        <w:div w:id="1373766601">
          <w:marLeft w:val="274"/>
          <w:marRight w:val="0"/>
          <w:marTop w:val="60"/>
          <w:marBottom w:val="0"/>
          <w:divBdr>
            <w:top w:val="none" w:sz="0" w:space="0" w:color="auto"/>
            <w:left w:val="none" w:sz="0" w:space="0" w:color="auto"/>
            <w:bottom w:val="none" w:sz="0" w:space="0" w:color="auto"/>
            <w:right w:val="none" w:sz="0" w:space="0" w:color="auto"/>
          </w:divBdr>
        </w:div>
        <w:div w:id="204608240">
          <w:marLeft w:val="274"/>
          <w:marRight w:val="0"/>
          <w:marTop w:val="60"/>
          <w:marBottom w:val="0"/>
          <w:divBdr>
            <w:top w:val="none" w:sz="0" w:space="0" w:color="auto"/>
            <w:left w:val="none" w:sz="0" w:space="0" w:color="auto"/>
            <w:bottom w:val="none" w:sz="0" w:space="0" w:color="auto"/>
            <w:right w:val="none" w:sz="0" w:space="0" w:color="auto"/>
          </w:divBdr>
        </w:div>
        <w:div w:id="493567248">
          <w:marLeft w:val="274"/>
          <w:marRight w:val="0"/>
          <w:marTop w:val="120"/>
          <w:marBottom w:val="0"/>
          <w:divBdr>
            <w:top w:val="none" w:sz="0" w:space="0" w:color="auto"/>
            <w:left w:val="none" w:sz="0" w:space="0" w:color="auto"/>
            <w:bottom w:val="none" w:sz="0" w:space="0" w:color="auto"/>
            <w:right w:val="none" w:sz="0" w:space="0" w:color="auto"/>
          </w:divBdr>
        </w:div>
        <w:div w:id="1638418273">
          <w:marLeft w:val="274"/>
          <w:marRight w:val="0"/>
          <w:marTop w:val="120"/>
          <w:marBottom w:val="0"/>
          <w:divBdr>
            <w:top w:val="none" w:sz="0" w:space="0" w:color="auto"/>
            <w:left w:val="none" w:sz="0" w:space="0" w:color="auto"/>
            <w:bottom w:val="none" w:sz="0" w:space="0" w:color="auto"/>
            <w:right w:val="none" w:sz="0" w:space="0" w:color="auto"/>
          </w:divBdr>
        </w:div>
        <w:div w:id="818037827">
          <w:marLeft w:val="274"/>
          <w:marRight w:val="0"/>
          <w:marTop w:val="120"/>
          <w:marBottom w:val="0"/>
          <w:divBdr>
            <w:top w:val="none" w:sz="0" w:space="0" w:color="auto"/>
            <w:left w:val="none" w:sz="0" w:space="0" w:color="auto"/>
            <w:bottom w:val="none" w:sz="0" w:space="0" w:color="auto"/>
            <w:right w:val="none" w:sz="0" w:space="0" w:color="auto"/>
          </w:divBdr>
        </w:div>
        <w:div w:id="1920554988">
          <w:marLeft w:val="274"/>
          <w:marRight w:val="0"/>
          <w:marTop w:val="120"/>
          <w:marBottom w:val="0"/>
          <w:divBdr>
            <w:top w:val="none" w:sz="0" w:space="0" w:color="auto"/>
            <w:left w:val="none" w:sz="0" w:space="0" w:color="auto"/>
            <w:bottom w:val="none" w:sz="0" w:space="0" w:color="auto"/>
            <w:right w:val="none" w:sz="0" w:space="0" w:color="auto"/>
          </w:divBdr>
        </w:div>
        <w:div w:id="203179433">
          <w:marLeft w:val="274"/>
          <w:marRight w:val="0"/>
          <w:marTop w:val="120"/>
          <w:marBottom w:val="0"/>
          <w:divBdr>
            <w:top w:val="none" w:sz="0" w:space="0" w:color="auto"/>
            <w:left w:val="none" w:sz="0" w:space="0" w:color="auto"/>
            <w:bottom w:val="none" w:sz="0" w:space="0" w:color="auto"/>
            <w:right w:val="none" w:sz="0" w:space="0" w:color="auto"/>
          </w:divBdr>
        </w:div>
        <w:div w:id="57559486">
          <w:marLeft w:val="274"/>
          <w:marRight w:val="0"/>
          <w:marTop w:val="120"/>
          <w:marBottom w:val="0"/>
          <w:divBdr>
            <w:top w:val="none" w:sz="0" w:space="0" w:color="auto"/>
            <w:left w:val="none" w:sz="0" w:space="0" w:color="auto"/>
            <w:bottom w:val="none" w:sz="0" w:space="0" w:color="auto"/>
            <w:right w:val="none" w:sz="0" w:space="0" w:color="auto"/>
          </w:divBdr>
        </w:div>
        <w:div w:id="17700561">
          <w:marLeft w:val="274"/>
          <w:marRight w:val="0"/>
          <w:marTop w:val="60"/>
          <w:marBottom w:val="0"/>
          <w:divBdr>
            <w:top w:val="none" w:sz="0" w:space="0" w:color="auto"/>
            <w:left w:val="none" w:sz="0" w:space="0" w:color="auto"/>
            <w:bottom w:val="none" w:sz="0" w:space="0" w:color="auto"/>
            <w:right w:val="none" w:sz="0" w:space="0" w:color="auto"/>
          </w:divBdr>
        </w:div>
        <w:div w:id="645166417">
          <w:marLeft w:val="274"/>
          <w:marRight w:val="0"/>
          <w:marTop w:val="60"/>
          <w:marBottom w:val="0"/>
          <w:divBdr>
            <w:top w:val="none" w:sz="0" w:space="0" w:color="auto"/>
            <w:left w:val="none" w:sz="0" w:space="0" w:color="auto"/>
            <w:bottom w:val="none" w:sz="0" w:space="0" w:color="auto"/>
            <w:right w:val="none" w:sz="0" w:space="0" w:color="auto"/>
          </w:divBdr>
        </w:div>
        <w:div w:id="188371760">
          <w:marLeft w:val="274"/>
          <w:marRight w:val="0"/>
          <w:marTop w:val="60"/>
          <w:marBottom w:val="0"/>
          <w:divBdr>
            <w:top w:val="none" w:sz="0" w:space="0" w:color="auto"/>
            <w:left w:val="none" w:sz="0" w:space="0" w:color="auto"/>
            <w:bottom w:val="none" w:sz="0" w:space="0" w:color="auto"/>
            <w:right w:val="none" w:sz="0" w:space="0" w:color="auto"/>
          </w:divBdr>
        </w:div>
        <w:div w:id="489450146">
          <w:marLeft w:val="274"/>
          <w:marRight w:val="0"/>
          <w:marTop w:val="60"/>
          <w:marBottom w:val="0"/>
          <w:divBdr>
            <w:top w:val="none" w:sz="0" w:space="0" w:color="auto"/>
            <w:left w:val="none" w:sz="0" w:space="0" w:color="auto"/>
            <w:bottom w:val="none" w:sz="0" w:space="0" w:color="auto"/>
            <w:right w:val="none" w:sz="0" w:space="0" w:color="auto"/>
          </w:divBdr>
        </w:div>
        <w:div w:id="390468343">
          <w:marLeft w:val="274"/>
          <w:marRight w:val="0"/>
          <w:marTop w:val="60"/>
          <w:marBottom w:val="0"/>
          <w:divBdr>
            <w:top w:val="none" w:sz="0" w:space="0" w:color="auto"/>
            <w:left w:val="none" w:sz="0" w:space="0" w:color="auto"/>
            <w:bottom w:val="none" w:sz="0" w:space="0" w:color="auto"/>
            <w:right w:val="none" w:sz="0" w:space="0" w:color="auto"/>
          </w:divBdr>
        </w:div>
        <w:div w:id="1484619186">
          <w:marLeft w:val="274"/>
          <w:marRight w:val="0"/>
          <w:marTop w:val="60"/>
          <w:marBottom w:val="0"/>
          <w:divBdr>
            <w:top w:val="none" w:sz="0" w:space="0" w:color="auto"/>
            <w:left w:val="none" w:sz="0" w:space="0" w:color="auto"/>
            <w:bottom w:val="none" w:sz="0" w:space="0" w:color="auto"/>
            <w:right w:val="none" w:sz="0" w:space="0" w:color="auto"/>
          </w:divBdr>
        </w:div>
        <w:div w:id="153882380">
          <w:marLeft w:val="274"/>
          <w:marRight w:val="0"/>
          <w:marTop w:val="60"/>
          <w:marBottom w:val="0"/>
          <w:divBdr>
            <w:top w:val="none" w:sz="0" w:space="0" w:color="auto"/>
            <w:left w:val="none" w:sz="0" w:space="0" w:color="auto"/>
            <w:bottom w:val="none" w:sz="0" w:space="0" w:color="auto"/>
            <w:right w:val="none" w:sz="0" w:space="0" w:color="auto"/>
          </w:divBdr>
        </w:div>
        <w:div w:id="256670497">
          <w:marLeft w:val="274"/>
          <w:marRight w:val="0"/>
          <w:marTop w:val="60"/>
          <w:marBottom w:val="0"/>
          <w:divBdr>
            <w:top w:val="none" w:sz="0" w:space="0" w:color="auto"/>
            <w:left w:val="none" w:sz="0" w:space="0" w:color="auto"/>
            <w:bottom w:val="none" w:sz="0" w:space="0" w:color="auto"/>
            <w:right w:val="none" w:sz="0" w:space="0" w:color="auto"/>
          </w:divBdr>
        </w:div>
        <w:div w:id="857231069">
          <w:marLeft w:val="274"/>
          <w:marRight w:val="0"/>
          <w:marTop w:val="60"/>
          <w:marBottom w:val="0"/>
          <w:divBdr>
            <w:top w:val="none" w:sz="0" w:space="0" w:color="auto"/>
            <w:left w:val="none" w:sz="0" w:space="0" w:color="auto"/>
            <w:bottom w:val="none" w:sz="0" w:space="0" w:color="auto"/>
            <w:right w:val="none" w:sz="0" w:space="0" w:color="auto"/>
          </w:divBdr>
        </w:div>
        <w:div w:id="2112428662">
          <w:marLeft w:val="274"/>
          <w:marRight w:val="0"/>
          <w:marTop w:val="60"/>
          <w:marBottom w:val="0"/>
          <w:divBdr>
            <w:top w:val="none" w:sz="0" w:space="0" w:color="auto"/>
            <w:left w:val="none" w:sz="0" w:space="0" w:color="auto"/>
            <w:bottom w:val="none" w:sz="0" w:space="0" w:color="auto"/>
            <w:right w:val="none" w:sz="0" w:space="0" w:color="auto"/>
          </w:divBdr>
        </w:div>
        <w:div w:id="1937978917">
          <w:marLeft w:val="274"/>
          <w:marRight w:val="0"/>
          <w:marTop w:val="60"/>
          <w:marBottom w:val="0"/>
          <w:divBdr>
            <w:top w:val="none" w:sz="0" w:space="0" w:color="auto"/>
            <w:left w:val="none" w:sz="0" w:space="0" w:color="auto"/>
            <w:bottom w:val="none" w:sz="0" w:space="0" w:color="auto"/>
            <w:right w:val="none" w:sz="0" w:space="0" w:color="auto"/>
          </w:divBdr>
        </w:div>
        <w:div w:id="1802773081">
          <w:marLeft w:val="274"/>
          <w:marRight w:val="0"/>
          <w:marTop w:val="60"/>
          <w:marBottom w:val="0"/>
          <w:divBdr>
            <w:top w:val="none" w:sz="0" w:space="0" w:color="auto"/>
            <w:left w:val="none" w:sz="0" w:space="0" w:color="auto"/>
            <w:bottom w:val="none" w:sz="0" w:space="0" w:color="auto"/>
            <w:right w:val="none" w:sz="0" w:space="0" w:color="auto"/>
          </w:divBdr>
        </w:div>
        <w:div w:id="174538544">
          <w:marLeft w:val="274"/>
          <w:marRight w:val="0"/>
          <w:marTop w:val="60"/>
          <w:marBottom w:val="0"/>
          <w:divBdr>
            <w:top w:val="none" w:sz="0" w:space="0" w:color="auto"/>
            <w:left w:val="none" w:sz="0" w:space="0" w:color="auto"/>
            <w:bottom w:val="none" w:sz="0" w:space="0" w:color="auto"/>
            <w:right w:val="none" w:sz="0" w:space="0" w:color="auto"/>
          </w:divBdr>
        </w:div>
        <w:div w:id="2048407144">
          <w:marLeft w:val="274"/>
          <w:marRight w:val="0"/>
          <w:marTop w:val="60"/>
          <w:marBottom w:val="0"/>
          <w:divBdr>
            <w:top w:val="none" w:sz="0" w:space="0" w:color="auto"/>
            <w:left w:val="none" w:sz="0" w:space="0" w:color="auto"/>
            <w:bottom w:val="none" w:sz="0" w:space="0" w:color="auto"/>
            <w:right w:val="none" w:sz="0" w:space="0" w:color="auto"/>
          </w:divBdr>
        </w:div>
      </w:divsChild>
    </w:div>
    <w:div w:id="1358197928">
      <w:bodyDiv w:val="1"/>
      <w:marLeft w:val="0"/>
      <w:marRight w:val="0"/>
      <w:marTop w:val="0"/>
      <w:marBottom w:val="0"/>
      <w:divBdr>
        <w:top w:val="none" w:sz="0" w:space="0" w:color="auto"/>
        <w:left w:val="none" w:sz="0" w:space="0" w:color="auto"/>
        <w:bottom w:val="none" w:sz="0" w:space="0" w:color="auto"/>
        <w:right w:val="none" w:sz="0" w:space="0" w:color="auto"/>
      </w:divBdr>
    </w:div>
    <w:div w:id="1368793229">
      <w:bodyDiv w:val="1"/>
      <w:marLeft w:val="0"/>
      <w:marRight w:val="0"/>
      <w:marTop w:val="0"/>
      <w:marBottom w:val="0"/>
      <w:divBdr>
        <w:top w:val="none" w:sz="0" w:space="0" w:color="auto"/>
        <w:left w:val="none" w:sz="0" w:space="0" w:color="auto"/>
        <w:bottom w:val="none" w:sz="0" w:space="0" w:color="auto"/>
        <w:right w:val="none" w:sz="0" w:space="0" w:color="auto"/>
      </w:divBdr>
    </w:div>
    <w:div w:id="1383095271">
      <w:bodyDiv w:val="1"/>
      <w:marLeft w:val="0"/>
      <w:marRight w:val="0"/>
      <w:marTop w:val="0"/>
      <w:marBottom w:val="0"/>
      <w:divBdr>
        <w:top w:val="none" w:sz="0" w:space="0" w:color="auto"/>
        <w:left w:val="none" w:sz="0" w:space="0" w:color="auto"/>
        <w:bottom w:val="none" w:sz="0" w:space="0" w:color="auto"/>
        <w:right w:val="none" w:sz="0" w:space="0" w:color="auto"/>
      </w:divBdr>
    </w:div>
    <w:div w:id="1389646070">
      <w:bodyDiv w:val="1"/>
      <w:marLeft w:val="0"/>
      <w:marRight w:val="0"/>
      <w:marTop w:val="0"/>
      <w:marBottom w:val="0"/>
      <w:divBdr>
        <w:top w:val="none" w:sz="0" w:space="0" w:color="auto"/>
        <w:left w:val="none" w:sz="0" w:space="0" w:color="auto"/>
        <w:bottom w:val="none" w:sz="0" w:space="0" w:color="auto"/>
        <w:right w:val="none" w:sz="0" w:space="0" w:color="auto"/>
      </w:divBdr>
    </w:div>
    <w:div w:id="1393773151">
      <w:bodyDiv w:val="1"/>
      <w:marLeft w:val="0"/>
      <w:marRight w:val="0"/>
      <w:marTop w:val="0"/>
      <w:marBottom w:val="0"/>
      <w:divBdr>
        <w:top w:val="none" w:sz="0" w:space="0" w:color="auto"/>
        <w:left w:val="none" w:sz="0" w:space="0" w:color="auto"/>
        <w:bottom w:val="none" w:sz="0" w:space="0" w:color="auto"/>
        <w:right w:val="none" w:sz="0" w:space="0" w:color="auto"/>
      </w:divBdr>
      <w:divsChild>
        <w:div w:id="808592992">
          <w:marLeft w:val="274"/>
          <w:marRight w:val="0"/>
          <w:marTop w:val="60"/>
          <w:marBottom w:val="0"/>
          <w:divBdr>
            <w:top w:val="none" w:sz="0" w:space="0" w:color="auto"/>
            <w:left w:val="none" w:sz="0" w:space="0" w:color="auto"/>
            <w:bottom w:val="none" w:sz="0" w:space="0" w:color="auto"/>
            <w:right w:val="none" w:sz="0" w:space="0" w:color="auto"/>
          </w:divBdr>
        </w:div>
      </w:divsChild>
    </w:div>
    <w:div w:id="1397360085">
      <w:bodyDiv w:val="1"/>
      <w:marLeft w:val="0"/>
      <w:marRight w:val="0"/>
      <w:marTop w:val="0"/>
      <w:marBottom w:val="0"/>
      <w:divBdr>
        <w:top w:val="none" w:sz="0" w:space="0" w:color="auto"/>
        <w:left w:val="none" w:sz="0" w:space="0" w:color="auto"/>
        <w:bottom w:val="none" w:sz="0" w:space="0" w:color="auto"/>
        <w:right w:val="none" w:sz="0" w:space="0" w:color="auto"/>
      </w:divBdr>
    </w:div>
    <w:div w:id="1416626956">
      <w:bodyDiv w:val="1"/>
      <w:marLeft w:val="0"/>
      <w:marRight w:val="0"/>
      <w:marTop w:val="0"/>
      <w:marBottom w:val="0"/>
      <w:divBdr>
        <w:top w:val="none" w:sz="0" w:space="0" w:color="auto"/>
        <w:left w:val="none" w:sz="0" w:space="0" w:color="auto"/>
        <w:bottom w:val="none" w:sz="0" w:space="0" w:color="auto"/>
        <w:right w:val="none" w:sz="0" w:space="0" w:color="auto"/>
      </w:divBdr>
      <w:divsChild>
        <w:div w:id="1402526">
          <w:marLeft w:val="446"/>
          <w:marRight w:val="0"/>
          <w:marTop w:val="0"/>
          <w:marBottom w:val="0"/>
          <w:divBdr>
            <w:top w:val="none" w:sz="0" w:space="0" w:color="auto"/>
            <w:left w:val="none" w:sz="0" w:space="0" w:color="auto"/>
            <w:bottom w:val="none" w:sz="0" w:space="0" w:color="auto"/>
            <w:right w:val="none" w:sz="0" w:space="0" w:color="auto"/>
          </w:divBdr>
        </w:div>
      </w:divsChild>
    </w:div>
    <w:div w:id="1418792737">
      <w:bodyDiv w:val="1"/>
      <w:marLeft w:val="0"/>
      <w:marRight w:val="0"/>
      <w:marTop w:val="0"/>
      <w:marBottom w:val="0"/>
      <w:divBdr>
        <w:top w:val="none" w:sz="0" w:space="0" w:color="auto"/>
        <w:left w:val="none" w:sz="0" w:space="0" w:color="auto"/>
        <w:bottom w:val="none" w:sz="0" w:space="0" w:color="auto"/>
        <w:right w:val="none" w:sz="0" w:space="0" w:color="auto"/>
      </w:divBdr>
      <w:divsChild>
        <w:div w:id="1090277295">
          <w:marLeft w:val="274"/>
          <w:marRight w:val="0"/>
          <w:marTop w:val="60"/>
          <w:marBottom w:val="0"/>
          <w:divBdr>
            <w:top w:val="none" w:sz="0" w:space="0" w:color="auto"/>
            <w:left w:val="none" w:sz="0" w:space="0" w:color="auto"/>
            <w:bottom w:val="none" w:sz="0" w:space="0" w:color="auto"/>
            <w:right w:val="none" w:sz="0" w:space="0" w:color="auto"/>
          </w:divBdr>
        </w:div>
        <w:div w:id="89618742">
          <w:marLeft w:val="274"/>
          <w:marRight w:val="0"/>
          <w:marTop w:val="60"/>
          <w:marBottom w:val="0"/>
          <w:divBdr>
            <w:top w:val="none" w:sz="0" w:space="0" w:color="auto"/>
            <w:left w:val="none" w:sz="0" w:space="0" w:color="auto"/>
            <w:bottom w:val="none" w:sz="0" w:space="0" w:color="auto"/>
            <w:right w:val="none" w:sz="0" w:space="0" w:color="auto"/>
          </w:divBdr>
        </w:div>
        <w:div w:id="1692102715">
          <w:marLeft w:val="274"/>
          <w:marRight w:val="0"/>
          <w:marTop w:val="60"/>
          <w:marBottom w:val="0"/>
          <w:divBdr>
            <w:top w:val="none" w:sz="0" w:space="0" w:color="auto"/>
            <w:left w:val="none" w:sz="0" w:space="0" w:color="auto"/>
            <w:bottom w:val="none" w:sz="0" w:space="0" w:color="auto"/>
            <w:right w:val="none" w:sz="0" w:space="0" w:color="auto"/>
          </w:divBdr>
        </w:div>
        <w:div w:id="2045597465">
          <w:marLeft w:val="274"/>
          <w:marRight w:val="0"/>
          <w:marTop w:val="120"/>
          <w:marBottom w:val="0"/>
          <w:divBdr>
            <w:top w:val="none" w:sz="0" w:space="0" w:color="auto"/>
            <w:left w:val="none" w:sz="0" w:space="0" w:color="auto"/>
            <w:bottom w:val="none" w:sz="0" w:space="0" w:color="auto"/>
            <w:right w:val="none" w:sz="0" w:space="0" w:color="auto"/>
          </w:divBdr>
        </w:div>
        <w:div w:id="502861347">
          <w:marLeft w:val="274"/>
          <w:marRight w:val="0"/>
          <w:marTop w:val="120"/>
          <w:marBottom w:val="0"/>
          <w:divBdr>
            <w:top w:val="none" w:sz="0" w:space="0" w:color="auto"/>
            <w:left w:val="none" w:sz="0" w:space="0" w:color="auto"/>
            <w:bottom w:val="none" w:sz="0" w:space="0" w:color="auto"/>
            <w:right w:val="none" w:sz="0" w:space="0" w:color="auto"/>
          </w:divBdr>
        </w:div>
        <w:div w:id="782725218">
          <w:marLeft w:val="274"/>
          <w:marRight w:val="0"/>
          <w:marTop w:val="120"/>
          <w:marBottom w:val="0"/>
          <w:divBdr>
            <w:top w:val="none" w:sz="0" w:space="0" w:color="auto"/>
            <w:left w:val="none" w:sz="0" w:space="0" w:color="auto"/>
            <w:bottom w:val="none" w:sz="0" w:space="0" w:color="auto"/>
            <w:right w:val="none" w:sz="0" w:space="0" w:color="auto"/>
          </w:divBdr>
        </w:div>
        <w:div w:id="824474631">
          <w:marLeft w:val="274"/>
          <w:marRight w:val="0"/>
          <w:marTop w:val="120"/>
          <w:marBottom w:val="0"/>
          <w:divBdr>
            <w:top w:val="none" w:sz="0" w:space="0" w:color="auto"/>
            <w:left w:val="none" w:sz="0" w:space="0" w:color="auto"/>
            <w:bottom w:val="none" w:sz="0" w:space="0" w:color="auto"/>
            <w:right w:val="none" w:sz="0" w:space="0" w:color="auto"/>
          </w:divBdr>
        </w:div>
        <w:div w:id="1519076263">
          <w:marLeft w:val="274"/>
          <w:marRight w:val="0"/>
          <w:marTop w:val="120"/>
          <w:marBottom w:val="0"/>
          <w:divBdr>
            <w:top w:val="none" w:sz="0" w:space="0" w:color="auto"/>
            <w:left w:val="none" w:sz="0" w:space="0" w:color="auto"/>
            <w:bottom w:val="none" w:sz="0" w:space="0" w:color="auto"/>
            <w:right w:val="none" w:sz="0" w:space="0" w:color="auto"/>
          </w:divBdr>
        </w:div>
        <w:div w:id="1100031558">
          <w:marLeft w:val="274"/>
          <w:marRight w:val="0"/>
          <w:marTop w:val="120"/>
          <w:marBottom w:val="0"/>
          <w:divBdr>
            <w:top w:val="none" w:sz="0" w:space="0" w:color="auto"/>
            <w:left w:val="none" w:sz="0" w:space="0" w:color="auto"/>
            <w:bottom w:val="none" w:sz="0" w:space="0" w:color="auto"/>
            <w:right w:val="none" w:sz="0" w:space="0" w:color="auto"/>
          </w:divBdr>
        </w:div>
        <w:div w:id="914359983">
          <w:marLeft w:val="274"/>
          <w:marRight w:val="0"/>
          <w:marTop w:val="60"/>
          <w:marBottom w:val="0"/>
          <w:divBdr>
            <w:top w:val="none" w:sz="0" w:space="0" w:color="auto"/>
            <w:left w:val="none" w:sz="0" w:space="0" w:color="auto"/>
            <w:bottom w:val="none" w:sz="0" w:space="0" w:color="auto"/>
            <w:right w:val="none" w:sz="0" w:space="0" w:color="auto"/>
          </w:divBdr>
        </w:div>
        <w:div w:id="9646803">
          <w:marLeft w:val="274"/>
          <w:marRight w:val="0"/>
          <w:marTop w:val="60"/>
          <w:marBottom w:val="0"/>
          <w:divBdr>
            <w:top w:val="none" w:sz="0" w:space="0" w:color="auto"/>
            <w:left w:val="none" w:sz="0" w:space="0" w:color="auto"/>
            <w:bottom w:val="none" w:sz="0" w:space="0" w:color="auto"/>
            <w:right w:val="none" w:sz="0" w:space="0" w:color="auto"/>
          </w:divBdr>
        </w:div>
        <w:div w:id="1123160458">
          <w:marLeft w:val="274"/>
          <w:marRight w:val="0"/>
          <w:marTop w:val="60"/>
          <w:marBottom w:val="0"/>
          <w:divBdr>
            <w:top w:val="none" w:sz="0" w:space="0" w:color="auto"/>
            <w:left w:val="none" w:sz="0" w:space="0" w:color="auto"/>
            <w:bottom w:val="none" w:sz="0" w:space="0" w:color="auto"/>
            <w:right w:val="none" w:sz="0" w:space="0" w:color="auto"/>
          </w:divBdr>
        </w:div>
        <w:div w:id="1534612412">
          <w:marLeft w:val="274"/>
          <w:marRight w:val="0"/>
          <w:marTop w:val="60"/>
          <w:marBottom w:val="0"/>
          <w:divBdr>
            <w:top w:val="none" w:sz="0" w:space="0" w:color="auto"/>
            <w:left w:val="none" w:sz="0" w:space="0" w:color="auto"/>
            <w:bottom w:val="none" w:sz="0" w:space="0" w:color="auto"/>
            <w:right w:val="none" w:sz="0" w:space="0" w:color="auto"/>
          </w:divBdr>
        </w:div>
        <w:div w:id="1115248816">
          <w:marLeft w:val="274"/>
          <w:marRight w:val="0"/>
          <w:marTop w:val="60"/>
          <w:marBottom w:val="0"/>
          <w:divBdr>
            <w:top w:val="none" w:sz="0" w:space="0" w:color="auto"/>
            <w:left w:val="none" w:sz="0" w:space="0" w:color="auto"/>
            <w:bottom w:val="none" w:sz="0" w:space="0" w:color="auto"/>
            <w:right w:val="none" w:sz="0" w:space="0" w:color="auto"/>
          </w:divBdr>
        </w:div>
        <w:div w:id="586039650">
          <w:marLeft w:val="274"/>
          <w:marRight w:val="0"/>
          <w:marTop w:val="60"/>
          <w:marBottom w:val="0"/>
          <w:divBdr>
            <w:top w:val="none" w:sz="0" w:space="0" w:color="auto"/>
            <w:left w:val="none" w:sz="0" w:space="0" w:color="auto"/>
            <w:bottom w:val="none" w:sz="0" w:space="0" w:color="auto"/>
            <w:right w:val="none" w:sz="0" w:space="0" w:color="auto"/>
          </w:divBdr>
        </w:div>
        <w:div w:id="856621284">
          <w:marLeft w:val="274"/>
          <w:marRight w:val="0"/>
          <w:marTop w:val="60"/>
          <w:marBottom w:val="0"/>
          <w:divBdr>
            <w:top w:val="none" w:sz="0" w:space="0" w:color="auto"/>
            <w:left w:val="none" w:sz="0" w:space="0" w:color="auto"/>
            <w:bottom w:val="none" w:sz="0" w:space="0" w:color="auto"/>
            <w:right w:val="none" w:sz="0" w:space="0" w:color="auto"/>
          </w:divBdr>
        </w:div>
        <w:div w:id="1251113266">
          <w:marLeft w:val="274"/>
          <w:marRight w:val="0"/>
          <w:marTop w:val="60"/>
          <w:marBottom w:val="0"/>
          <w:divBdr>
            <w:top w:val="none" w:sz="0" w:space="0" w:color="auto"/>
            <w:left w:val="none" w:sz="0" w:space="0" w:color="auto"/>
            <w:bottom w:val="none" w:sz="0" w:space="0" w:color="auto"/>
            <w:right w:val="none" w:sz="0" w:space="0" w:color="auto"/>
          </w:divBdr>
        </w:div>
        <w:div w:id="937252922">
          <w:marLeft w:val="274"/>
          <w:marRight w:val="0"/>
          <w:marTop w:val="60"/>
          <w:marBottom w:val="0"/>
          <w:divBdr>
            <w:top w:val="none" w:sz="0" w:space="0" w:color="auto"/>
            <w:left w:val="none" w:sz="0" w:space="0" w:color="auto"/>
            <w:bottom w:val="none" w:sz="0" w:space="0" w:color="auto"/>
            <w:right w:val="none" w:sz="0" w:space="0" w:color="auto"/>
          </w:divBdr>
        </w:div>
        <w:div w:id="1175412638">
          <w:marLeft w:val="274"/>
          <w:marRight w:val="0"/>
          <w:marTop w:val="60"/>
          <w:marBottom w:val="0"/>
          <w:divBdr>
            <w:top w:val="none" w:sz="0" w:space="0" w:color="auto"/>
            <w:left w:val="none" w:sz="0" w:space="0" w:color="auto"/>
            <w:bottom w:val="none" w:sz="0" w:space="0" w:color="auto"/>
            <w:right w:val="none" w:sz="0" w:space="0" w:color="auto"/>
          </w:divBdr>
        </w:div>
        <w:div w:id="2067684550">
          <w:marLeft w:val="274"/>
          <w:marRight w:val="0"/>
          <w:marTop w:val="60"/>
          <w:marBottom w:val="0"/>
          <w:divBdr>
            <w:top w:val="none" w:sz="0" w:space="0" w:color="auto"/>
            <w:left w:val="none" w:sz="0" w:space="0" w:color="auto"/>
            <w:bottom w:val="none" w:sz="0" w:space="0" w:color="auto"/>
            <w:right w:val="none" w:sz="0" w:space="0" w:color="auto"/>
          </w:divBdr>
        </w:div>
        <w:div w:id="880243334">
          <w:marLeft w:val="274"/>
          <w:marRight w:val="0"/>
          <w:marTop w:val="60"/>
          <w:marBottom w:val="0"/>
          <w:divBdr>
            <w:top w:val="none" w:sz="0" w:space="0" w:color="auto"/>
            <w:left w:val="none" w:sz="0" w:space="0" w:color="auto"/>
            <w:bottom w:val="none" w:sz="0" w:space="0" w:color="auto"/>
            <w:right w:val="none" w:sz="0" w:space="0" w:color="auto"/>
          </w:divBdr>
        </w:div>
        <w:div w:id="2075079238">
          <w:marLeft w:val="274"/>
          <w:marRight w:val="0"/>
          <w:marTop w:val="60"/>
          <w:marBottom w:val="0"/>
          <w:divBdr>
            <w:top w:val="none" w:sz="0" w:space="0" w:color="auto"/>
            <w:left w:val="none" w:sz="0" w:space="0" w:color="auto"/>
            <w:bottom w:val="none" w:sz="0" w:space="0" w:color="auto"/>
            <w:right w:val="none" w:sz="0" w:space="0" w:color="auto"/>
          </w:divBdr>
        </w:div>
        <w:div w:id="597103382">
          <w:marLeft w:val="274"/>
          <w:marRight w:val="0"/>
          <w:marTop w:val="60"/>
          <w:marBottom w:val="0"/>
          <w:divBdr>
            <w:top w:val="none" w:sz="0" w:space="0" w:color="auto"/>
            <w:left w:val="none" w:sz="0" w:space="0" w:color="auto"/>
            <w:bottom w:val="none" w:sz="0" w:space="0" w:color="auto"/>
            <w:right w:val="none" w:sz="0" w:space="0" w:color="auto"/>
          </w:divBdr>
        </w:div>
      </w:divsChild>
    </w:div>
    <w:div w:id="1428428256">
      <w:bodyDiv w:val="1"/>
      <w:marLeft w:val="0"/>
      <w:marRight w:val="0"/>
      <w:marTop w:val="0"/>
      <w:marBottom w:val="0"/>
      <w:divBdr>
        <w:top w:val="none" w:sz="0" w:space="0" w:color="auto"/>
        <w:left w:val="none" w:sz="0" w:space="0" w:color="auto"/>
        <w:bottom w:val="none" w:sz="0" w:space="0" w:color="auto"/>
        <w:right w:val="none" w:sz="0" w:space="0" w:color="auto"/>
      </w:divBdr>
    </w:div>
    <w:div w:id="1432358228">
      <w:bodyDiv w:val="1"/>
      <w:marLeft w:val="0"/>
      <w:marRight w:val="0"/>
      <w:marTop w:val="0"/>
      <w:marBottom w:val="0"/>
      <w:divBdr>
        <w:top w:val="none" w:sz="0" w:space="0" w:color="auto"/>
        <w:left w:val="none" w:sz="0" w:space="0" w:color="auto"/>
        <w:bottom w:val="none" w:sz="0" w:space="0" w:color="auto"/>
        <w:right w:val="none" w:sz="0" w:space="0" w:color="auto"/>
      </w:divBdr>
    </w:div>
    <w:div w:id="1459715719">
      <w:bodyDiv w:val="1"/>
      <w:marLeft w:val="0"/>
      <w:marRight w:val="0"/>
      <w:marTop w:val="0"/>
      <w:marBottom w:val="0"/>
      <w:divBdr>
        <w:top w:val="none" w:sz="0" w:space="0" w:color="auto"/>
        <w:left w:val="none" w:sz="0" w:space="0" w:color="auto"/>
        <w:bottom w:val="none" w:sz="0" w:space="0" w:color="auto"/>
        <w:right w:val="none" w:sz="0" w:space="0" w:color="auto"/>
      </w:divBdr>
    </w:div>
    <w:div w:id="1461610984">
      <w:bodyDiv w:val="1"/>
      <w:marLeft w:val="0"/>
      <w:marRight w:val="0"/>
      <w:marTop w:val="0"/>
      <w:marBottom w:val="0"/>
      <w:divBdr>
        <w:top w:val="none" w:sz="0" w:space="0" w:color="auto"/>
        <w:left w:val="none" w:sz="0" w:space="0" w:color="auto"/>
        <w:bottom w:val="none" w:sz="0" w:space="0" w:color="auto"/>
        <w:right w:val="none" w:sz="0" w:space="0" w:color="auto"/>
      </w:divBdr>
    </w:div>
    <w:div w:id="1470318577">
      <w:bodyDiv w:val="1"/>
      <w:marLeft w:val="0"/>
      <w:marRight w:val="0"/>
      <w:marTop w:val="0"/>
      <w:marBottom w:val="0"/>
      <w:divBdr>
        <w:top w:val="none" w:sz="0" w:space="0" w:color="auto"/>
        <w:left w:val="none" w:sz="0" w:space="0" w:color="auto"/>
        <w:bottom w:val="none" w:sz="0" w:space="0" w:color="auto"/>
        <w:right w:val="none" w:sz="0" w:space="0" w:color="auto"/>
      </w:divBdr>
      <w:divsChild>
        <w:div w:id="1374424142">
          <w:marLeft w:val="274"/>
          <w:marRight w:val="0"/>
          <w:marTop w:val="60"/>
          <w:marBottom w:val="0"/>
          <w:divBdr>
            <w:top w:val="none" w:sz="0" w:space="0" w:color="auto"/>
            <w:left w:val="none" w:sz="0" w:space="0" w:color="auto"/>
            <w:bottom w:val="none" w:sz="0" w:space="0" w:color="auto"/>
            <w:right w:val="none" w:sz="0" w:space="0" w:color="auto"/>
          </w:divBdr>
        </w:div>
        <w:div w:id="1611738739">
          <w:marLeft w:val="274"/>
          <w:marRight w:val="0"/>
          <w:marTop w:val="60"/>
          <w:marBottom w:val="0"/>
          <w:divBdr>
            <w:top w:val="none" w:sz="0" w:space="0" w:color="auto"/>
            <w:left w:val="none" w:sz="0" w:space="0" w:color="auto"/>
            <w:bottom w:val="none" w:sz="0" w:space="0" w:color="auto"/>
            <w:right w:val="none" w:sz="0" w:space="0" w:color="auto"/>
          </w:divBdr>
        </w:div>
        <w:div w:id="2114858091">
          <w:marLeft w:val="274"/>
          <w:marRight w:val="0"/>
          <w:marTop w:val="60"/>
          <w:marBottom w:val="0"/>
          <w:divBdr>
            <w:top w:val="none" w:sz="0" w:space="0" w:color="auto"/>
            <w:left w:val="none" w:sz="0" w:space="0" w:color="auto"/>
            <w:bottom w:val="none" w:sz="0" w:space="0" w:color="auto"/>
            <w:right w:val="none" w:sz="0" w:space="0" w:color="auto"/>
          </w:divBdr>
        </w:div>
        <w:div w:id="206332935">
          <w:marLeft w:val="274"/>
          <w:marRight w:val="0"/>
          <w:marTop w:val="120"/>
          <w:marBottom w:val="0"/>
          <w:divBdr>
            <w:top w:val="none" w:sz="0" w:space="0" w:color="auto"/>
            <w:left w:val="none" w:sz="0" w:space="0" w:color="auto"/>
            <w:bottom w:val="none" w:sz="0" w:space="0" w:color="auto"/>
            <w:right w:val="none" w:sz="0" w:space="0" w:color="auto"/>
          </w:divBdr>
        </w:div>
        <w:div w:id="1147547296">
          <w:marLeft w:val="274"/>
          <w:marRight w:val="0"/>
          <w:marTop w:val="120"/>
          <w:marBottom w:val="0"/>
          <w:divBdr>
            <w:top w:val="none" w:sz="0" w:space="0" w:color="auto"/>
            <w:left w:val="none" w:sz="0" w:space="0" w:color="auto"/>
            <w:bottom w:val="none" w:sz="0" w:space="0" w:color="auto"/>
            <w:right w:val="none" w:sz="0" w:space="0" w:color="auto"/>
          </w:divBdr>
        </w:div>
        <w:div w:id="1485078088">
          <w:marLeft w:val="274"/>
          <w:marRight w:val="0"/>
          <w:marTop w:val="120"/>
          <w:marBottom w:val="0"/>
          <w:divBdr>
            <w:top w:val="none" w:sz="0" w:space="0" w:color="auto"/>
            <w:left w:val="none" w:sz="0" w:space="0" w:color="auto"/>
            <w:bottom w:val="none" w:sz="0" w:space="0" w:color="auto"/>
            <w:right w:val="none" w:sz="0" w:space="0" w:color="auto"/>
          </w:divBdr>
        </w:div>
        <w:div w:id="1068500485">
          <w:marLeft w:val="274"/>
          <w:marRight w:val="0"/>
          <w:marTop w:val="120"/>
          <w:marBottom w:val="0"/>
          <w:divBdr>
            <w:top w:val="none" w:sz="0" w:space="0" w:color="auto"/>
            <w:left w:val="none" w:sz="0" w:space="0" w:color="auto"/>
            <w:bottom w:val="none" w:sz="0" w:space="0" w:color="auto"/>
            <w:right w:val="none" w:sz="0" w:space="0" w:color="auto"/>
          </w:divBdr>
        </w:div>
        <w:div w:id="1288928491">
          <w:marLeft w:val="274"/>
          <w:marRight w:val="0"/>
          <w:marTop w:val="120"/>
          <w:marBottom w:val="0"/>
          <w:divBdr>
            <w:top w:val="none" w:sz="0" w:space="0" w:color="auto"/>
            <w:left w:val="none" w:sz="0" w:space="0" w:color="auto"/>
            <w:bottom w:val="none" w:sz="0" w:space="0" w:color="auto"/>
            <w:right w:val="none" w:sz="0" w:space="0" w:color="auto"/>
          </w:divBdr>
        </w:div>
        <w:div w:id="429159244">
          <w:marLeft w:val="274"/>
          <w:marRight w:val="0"/>
          <w:marTop w:val="120"/>
          <w:marBottom w:val="0"/>
          <w:divBdr>
            <w:top w:val="none" w:sz="0" w:space="0" w:color="auto"/>
            <w:left w:val="none" w:sz="0" w:space="0" w:color="auto"/>
            <w:bottom w:val="none" w:sz="0" w:space="0" w:color="auto"/>
            <w:right w:val="none" w:sz="0" w:space="0" w:color="auto"/>
          </w:divBdr>
        </w:div>
        <w:div w:id="1280842524">
          <w:marLeft w:val="274"/>
          <w:marRight w:val="0"/>
          <w:marTop w:val="60"/>
          <w:marBottom w:val="0"/>
          <w:divBdr>
            <w:top w:val="none" w:sz="0" w:space="0" w:color="auto"/>
            <w:left w:val="none" w:sz="0" w:space="0" w:color="auto"/>
            <w:bottom w:val="none" w:sz="0" w:space="0" w:color="auto"/>
            <w:right w:val="none" w:sz="0" w:space="0" w:color="auto"/>
          </w:divBdr>
        </w:div>
        <w:div w:id="1346057527">
          <w:marLeft w:val="274"/>
          <w:marRight w:val="0"/>
          <w:marTop w:val="60"/>
          <w:marBottom w:val="0"/>
          <w:divBdr>
            <w:top w:val="none" w:sz="0" w:space="0" w:color="auto"/>
            <w:left w:val="none" w:sz="0" w:space="0" w:color="auto"/>
            <w:bottom w:val="none" w:sz="0" w:space="0" w:color="auto"/>
            <w:right w:val="none" w:sz="0" w:space="0" w:color="auto"/>
          </w:divBdr>
        </w:div>
        <w:div w:id="429472733">
          <w:marLeft w:val="274"/>
          <w:marRight w:val="0"/>
          <w:marTop w:val="60"/>
          <w:marBottom w:val="0"/>
          <w:divBdr>
            <w:top w:val="none" w:sz="0" w:space="0" w:color="auto"/>
            <w:left w:val="none" w:sz="0" w:space="0" w:color="auto"/>
            <w:bottom w:val="none" w:sz="0" w:space="0" w:color="auto"/>
            <w:right w:val="none" w:sz="0" w:space="0" w:color="auto"/>
          </w:divBdr>
        </w:div>
        <w:div w:id="459035371">
          <w:marLeft w:val="274"/>
          <w:marRight w:val="0"/>
          <w:marTop w:val="60"/>
          <w:marBottom w:val="0"/>
          <w:divBdr>
            <w:top w:val="none" w:sz="0" w:space="0" w:color="auto"/>
            <w:left w:val="none" w:sz="0" w:space="0" w:color="auto"/>
            <w:bottom w:val="none" w:sz="0" w:space="0" w:color="auto"/>
            <w:right w:val="none" w:sz="0" w:space="0" w:color="auto"/>
          </w:divBdr>
        </w:div>
        <w:div w:id="1078746275">
          <w:marLeft w:val="274"/>
          <w:marRight w:val="0"/>
          <w:marTop w:val="60"/>
          <w:marBottom w:val="0"/>
          <w:divBdr>
            <w:top w:val="none" w:sz="0" w:space="0" w:color="auto"/>
            <w:left w:val="none" w:sz="0" w:space="0" w:color="auto"/>
            <w:bottom w:val="none" w:sz="0" w:space="0" w:color="auto"/>
            <w:right w:val="none" w:sz="0" w:space="0" w:color="auto"/>
          </w:divBdr>
        </w:div>
        <w:div w:id="1034774264">
          <w:marLeft w:val="274"/>
          <w:marRight w:val="0"/>
          <w:marTop w:val="60"/>
          <w:marBottom w:val="0"/>
          <w:divBdr>
            <w:top w:val="none" w:sz="0" w:space="0" w:color="auto"/>
            <w:left w:val="none" w:sz="0" w:space="0" w:color="auto"/>
            <w:bottom w:val="none" w:sz="0" w:space="0" w:color="auto"/>
            <w:right w:val="none" w:sz="0" w:space="0" w:color="auto"/>
          </w:divBdr>
        </w:div>
        <w:div w:id="1147624272">
          <w:marLeft w:val="274"/>
          <w:marRight w:val="0"/>
          <w:marTop w:val="60"/>
          <w:marBottom w:val="0"/>
          <w:divBdr>
            <w:top w:val="none" w:sz="0" w:space="0" w:color="auto"/>
            <w:left w:val="none" w:sz="0" w:space="0" w:color="auto"/>
            <w:bottom w:val="none" w:sz="0" w:space="0" w:color="auto"/>
            <w:right w:val="none" w:sz="0" w:space="0" w:color="auto"/>
          </w:divBdr>
        </w:div>
        <w:div w:id="1644575787">
          <w:marLeft w:val="274"/>
          <w:marRight w:val="0"/>
          <w:marTop w:val="60"/>
          <w:marBottom w:val="0"/>
          <w:divBdr>
            <w:top w:val="none" w:sz="0" w:space="0" w:color="auto"/>
            <w:left w:val="none" w:sz="0" w:space="0" w:color="auto"/>
            <w:bottom w:val="none" w:sz="0" w:space="0" w:color="auto"/>
            <w:right w:val="none" w:sz="0" w:space="0" w:color="auto"/>
          </w:divBdr>
        </w:div>
        <w:div w:id="1455248710">
          <w:marLeft w:val="274"/>
          <w:marRight w:val="0"/>
          <w:marTop w:val="60"/>
          <w:marBottom w:val="0"/>
          <w:divBdr>
            <w:top w:val="none" w:sz="0" w:space="0" w:color="auto"/>
            <w:left w:val="none" w:sz="0" w:space="0" w:color="auto"/>
            <w:bottom w:val="none" w:sz="0" w:space="0" w:color="auto"/>
            <w:right w:val="none" w:sz="0" w:space="0" w:color="auto"/>
          </w:divBdr>
        </w:div>
        <w:div w:id="1617561435">
          <w:marLeft w:val="274"/>
          <w:marRight w:val="0"/>
          <w:marTop w:val="60"/>
          <w:marBottom w:val="0"/>
          <w:divBdr>
            <w:top w:val="none" w:sz="0" w:space="0" w:color="auto"/>
            <w:left w:val="none" w:sz="0" w:space="0" w:color="auto"/>
            <w:bottom w:val="none" w:sz="0" w:space="0" w:color="auto"/>
            <w:right w:val="none" w:sz="0" w:space="0" w:color="auto"/>
          </w:divBdr>
        </w:div>
        <w:div w:id="1833448361">
          <w:marLeft w:val="274"/>
          <w:marRight w:val="0"/>
          <w:marTop w:val="60"/>
          <w:marBottom w:val="0"/>
          <w:divBdr>
            <w:top w:val="none" w:sz="0" w:space="0" w:color="auto"/>
            <w:left w:val="none" w:sz="0" w:space="0" w:color="auto"/>
            <w:bottom w:val="none" w:sz="0" w:space="0" w:color="auto"/>
            <w:right w:val="none" w:sz="0" w:space="0" w:color="auto"/>
          </w:divBdr>
        </w:div>
        <w:div w:id="2057584042">
          <w:marLeft w:val="274"/>
          <w:marRight w:val="0"/>
          <w:marTop w:val="60"/>
          <w:marBottom w:val="0"/>
          <w:divBdr>
            <w:top w:val="none" w:sz="0" w:space="0" w:color="auto"/>
            <w:left w:val="none" w:sz="0" w:space="0" w:color="auto"/>
            <w:bottom w:val="none" w:sz="0" w:space="0" w:color="auto"/>
            <w:right w:val="none" w:sz="0" w:space="0" w:color="auto"/>
          </w:divBdr>
        </w:div>
        <w:div w:id="1681934098">
          <w:marLeft w:val="274"/>
          <w:marRight w:val="0"/>
          <w:marTop w:val="60"/>
          <w:marBottom w:val="0"/>
          <w:divBdr>
            <w:top w:val="none" w:sz="0" w:space="0" w:color="auto"/>
            <w:left w:val="none" w:sz="0" w:space="0" w:color="auto"/>
            <w:bottom w:val="none" w:sz="0" w:space="0" w:color="auto"/>
            <w:right w:val="none" w:sz="0" w:space="0" w:color="auto"/>
          </w:divBdr>
        </w:div>
        <w:div w:id="1542866794">
          <w:marLeft w:val="274"/>
          <w:marRight w:val="0"/>
          <w:marTop w:val="60"/>
          <w:marBottom w:val="0"/>
          <w:divBdr>
            <w:top w:val="none" w:sz="0" w:space="0" w:color="auto"/>
            <w:left w:val="none" w:sz="0" w:space="0" w:color="auto"/>
            <w:bottom w:val="none" w:sz="0" w:space="0" w:color="auto"/>
            <w:right w:val="none" w:sz="0" w:space="0" w:color="auto"/>
          </w:divBdr>
        </w:div>
      </w:divsChild>
    </w:div>
    <w:div w:id="1497451982">
      <w:bodyDiv w:val="1"/>
      <w:marLeft w:val="0"/>
      <w:marRight w:val="0"/>
      <w:marTop w:val="0"/>
      <w:marBottom w:val="0"/>
      <w:divBdr>
        <w:top w:val="none" w:sz="0" w:space="0" w:color="auto"/>
        <w:left w:val="none" w:sz="0" w:space="0" w:color="auto"/>
        <w:bottom w:val="none" w:sz="0" w:space="0" w:color="auto"/>
        <w:right w:val="none" w:sz="0" w:space="0" w:color="auto"/>
      </w:divBdr>
    </w:div>
    <w:div w:id="1509563787">
      <w:bodyDiv w:val="1"/>
      <w:marLeft w:val="0"/>
      <w:marRight w:val="0"/>
      <w:marTop w:val="0"/>
      <w:marBottom w:val="0"/>
      <w:divBdr>
        <w:top w:val="none" w:sz="0" w:space="0" w:color="auto"/>
        <w:left w:val="none" w:sz="0" w:space="0" w:color="auto"/>
        <w:bottom w:val="none" w:sz="0" w:space="0" w:color="auto"/>
        <w:right w:val="none" w:sz="0" w:space="0" w:color="auto"/>
      </w:divBdr>
    </w:div>
    <w:div w:id="1561673873">
      <w:bodyDiv w:val="1"/>
      <w:marLeft w:val="0"/>
      <w:marRight w:val="0"/>
      <w:marTop w:val="0"/>
      <w:marBottom w:val="0"/>
      <w:divBdr>
        <w:top w:val="none" w:sz="0" w:space="0" w:color="auto"/>
        <w:left w:val="none" w:sz="0" w:space="0" w:color="auto"/>
        <w:bottom w:val="none" w:sz="0" w:space="0" w:color="auto"/>
        <w:right w:val="none" w:sz="0" w:space="0" w:color="auto"/>
      </w:divBdr>
    </w:div>
    <w:div w:id="1563902573">
      <w:bodyDiv w:val="1"/>
      <w:marLeft w:val="0"/>
      <w:marRight w:val="0"/>
      <w:marTop w:val="0"/>
      <w:marBottom w:val="0"/>
      <w:divBdr>
        <w:top w:val="none" w:sz="0" w:space="0" w:color="auto"/>
        <w:left w:val="none" w:sz="0" w:space="0" w:color="auto"/>
        <w:bottom w:val="none" w:sz="0" w:space="0" w:color="auto"/>
        <w:right w:val="none" w:sz="0" w:space="0" w:color="auto"/>
      </w:divBdr>
      <w:divsChild>
        <w:div w:id="1062753468">
          <w:marLeft w:val="274"/>
          <w:marRight w:val="0"/>
          <w:marTop w:val="60"/>
          <w:marBottom w:val="0"/>
          <w:divBdr>
            <w:top w:val="none" w:sz="0" w:space="0" w:color="auto"/>
            <w:left w:val="none" w:sz="0" w:space="0" w:color="auto"/>
            <w:bottom w:val="none" w:sz="0" w:space="0" w:color="auto"/>
            <w:right w:val="none" w:sz="0" w:space="0" w:color="auto"/>
          </w:divBdr>
        </w:div>
        <w:div w:id="1445880482">
          <w:marLeft w:val="274"/>
          <w:marRight w:val="0"/>
          <w:marTop w:val="60"/>
          <w:marBottom w:val="0"/>
          <w:divBdr>
            <w:top w:val="none" w:sz="0" w:space="0" w:color="auto"/>
            <w:left w:val="none" w:sz="0" w:space="0" w:color="auto"/>
            <w:bottom w:val="none" w:sz="0" w:space="0" w:color="auto"/>
            <w:right w:val="none" w:sz="0" w:space="0" w:color="auto"/>
          </w:divBdr>
        </w:div>
        <w:div w:id="1311709305">
          <w:marLeft w:val="274"/>
          <w:marRight w:val="0"/>
          <w:marTop w:val="60"/>
          <w:marBottom w:val="0"/>
          <w:divBdr>
            <w:top w:val="none" w:sz="0" w:space="0" w:color="auto"/>
            <w:left w:val="none" w:sz="0" w:space="0" w:color="auto"/>
            <w:bottom w:val="none" w:sz="0" w:space="0" w:color="auto"/>
            <w:right w:val="none" w:sz="0" w:space="0" w:color="auto"/>
          </w:divBdr>
        </w:div>
        <w:div w:id="1091897559">
          <w:marLeft w:val="274"/>
          <w:marRight w:val="0"/>
          <w:marTop w:val="120"/>
          <w:marBottom w:val="0"/>
          <w:divBdr>
            <w:top w:val="none" w:sz="0" w:space="0" w:color="auto"/>
            <w:left w:val="none" w:sz="0" w:space="0" w:color="auto"/>
            <w:bottom w:val="none" w:sz="0" w:space="0" w:color="auto"/>
            <w:right w:val="none" w:sz="0" w:space="0" w:color="auto"/>
          </w:divBdr>
        </w:div>
        <w:div w:id="56515417">
          <w:marLeft w:val="274"/>
          <w:marRight w:val="0"/>
          <w:marTop w:val="120"/>
          <w:marBottom w:val="0"/>
          <w:divBdr>
            <w:top w:val="none" w:sz="0" w:space="0" w:color="auto"/>
            <w:left w:val="none" w:sz="0" w:space="0" w:color="auto"/>
            <w:bottom w:val="none" w:sz="0" w:space="0" w:color="auto"/>
            <w:right w:val="none" w:sz="0" w:space="0" w:color="auto"/>
          </w:divBdr>
        </w:div>
        <w:div w:id="418840670">
          <w:marLeft w:val="274"/>
          <w:marRight w:val="0"/>
          <w:marTop w:val="120"/>
          <w:marBottom w:val="0"/>
          <w:divBdr>
            <w:top w:val="none" w:sz="0" w:space="0" w:color="auto"/>
            <w:left w:val="none" w:sz="0" w:space="0" w:color="auto"/>
            <w:bottom w:val="none" w:sz="0" w:space="0" w:color="auto"/>
            <w:right w:val="none" w:sz="0" w:space="0" w:color="auto"/>
          </w:divBdr>
        </w:div>
        <w:div w:id="813718239">
          <w:marLeft w:val="274"/>
          <w:marRight w:val="0"/>
          <w:marTop w:val="120"/>
          <w:marBottom w:val="0"/>
          <w:divBdr>
            <w:top w:val="none" w:sz="0" w:space="0" w:color="auto"/>
            <w:left w:val="none" w:sz="0" w:space="0" w:color="auto"/>
            <w:bottom w:val="none" w:sz="0" w:space="0" w:color="auto"/>
            <w:right w:val="none" w:sz="0" w:space="0" w:color="auto"/>
          </w:divBdr>
        </w:div>
        <w:div w:id="1773545597">
          <w:marLeft w:val="274"/>
          <w:marRight w:val="0"/>
          <w:marTop w:val="120"/>
          <w:marBottom w:val="0"/>
          <w:divBdr>
            <w:top w:val="none" w:sz="0" w:space="0" w:color="auto"/>
            <w:left w:val="none" w:sz="0" w:space="0" w:color="auto"/>
            <w:bottom w:val="none" w:sz="0" w:space="0" w:color="auto"/>
            <w:right w:val="none" w:sz="0" w:space="0" w:color="auto"/>
          </w:divBdr>
        </w:div>
        <w:div w:id="101926168">
          <w:marLeft w:val="274"/>
          <w:marRight w:val="0"/>
          <w:marTop w:val="120"/>
          <w:marBottom w:val="0"/>
          <w:divBdr>
            <w:top w:val="none" w:sz="0" w:space="0" w:color="auto"/>
            <w:left w:val="none" w:sz="0" w:space="0" w:color="auto"/>
            <w:bottom w:val="none" w:sz="0" w:space="0" w:color="auto"/>
            <w:right w:val="none" w:sz="0" w:space="0" w:color="auto"/>
          </w:divBdr>
        </w:div>
        <w:div w:id="1831872268">
          <w:marLeft w:val="274"/>
          <w:marRight w:val="0"/>
          <w:marTop w:val="60"/>
          <w:marBottom w:val="0"/>
          <w:divBdr>
            <w:top w:val="none" w:sz="0" w:space="0" w:color="auto"/>
            <w:left w:val="none" w:sz="0" w:space="0" w:color="auto"/>
            <w:bottom w:val="none" w:sz="0" w:space="0" w:color="auto"/>
            <w:right w:val="none" w:sz="0" w:space="0" w:color="auto"/>
          </w:divBdr>
        </w:div>
        <w:div w:id="346568185">
          <w:marLeft w:val="274"/>
          <w:marRight w:val="0"/>
          <w:marTop w:val="60"/>
          <w:marBottom w:val="0"/>
          <w:divBdr>
            <w:top w:val="none" w:sz="0" w:space="0" w:color="auto"/>
            <w:left w:val="none" w:sz="0" w:space="0" w:color="auto"/>
            <w:bottom w:val="none" w:sz="0" w:space="0" w:color="auto"/>
            <w:right w:val="none" w:sz="0" w:space="0" w:color="auto"/>
          </w:divBdr>
        </w:div>
        <w:div w:id="1830557800">
          <w:marLeft w:val="274"/>
          <w:marRight w:val="0"/>
          <w:marTop w:val="60"/>
          <w:marBottom w:val="0"/>
          <w:divBdr>
            <w:top w:val="none" w:sz="0" w:space="0" w:color="auto"/>
            <w:left w:val="none" w:sz="0" w:space="0" w:color="auto"/>
            <w:bottom w:val="none" w:sz="0" w:space="0" w:color="auto"/>
            <w:right w:val="none" w:sz="0" w:space="0" w:color="auto"/>
          </w:divBdr>
        </w:div>
        <w:div w:id="1000154339">
          <w:marLeft w:val="274"/>
          <w:marRight w:val="0"/>
          <w:marTop w:val="60"/>
          <w:marBottom w:val="0"/>
          <w:divBdr>
            <w:top w:val="none" w:sz="0" w:space="0" w:color="auto"/>
            <w:left w:val="none" w:sz="0" w:space="0" w:color="auto"/>
            <w:bottom w:val="none" w:sz="0" w:space="0" w:color="auto"/>
            <w:right w:val="none" w:sz="0" w:space="0" w:color="auto"/>
          </w:divBdr>
        </w:div>
        <w:div w:id="2093164347">
          <w:marLeft w:val="274"/>
          <w:marRight w:val="0"/>
          <w:marTop w:val="60"/>
          <w:marBottom w:val="0"/>
          <w:divBdr>
            <w:top w:val="none" w:sz="0" w:space="0" w:color="auto"/>
            <w:left w:val="none" w:sz="0" w:space="0" w:color="auto"/>
            <w:bottom w:val="none" w:sz="0" w:space="0" w:color="auto"/>
            <w:right w:val="none" w:sz="0" w:space="0" w:color="auto"/>
          </w:divBdr>
        </w:div>
        <w:div w:id="1269000654">
          <w:marLeft w:val="274"/>
          <w:marRight w:val="0"/>
          <w:marTop w:val="60"/>
          <w:marBottom w:val="0"/>
          <w:divBdr>
            <w:top w:val="none" w:sz="0" w:space="0" w:color="auto"/>
            <w:left w:val="none" w:sz="0" w:space="0" w:color="auto"/>
            <w:bottom w:val="none" w:sz="0" w:space="0" w:color="auto"/>
            <w:right w:val="none" w:sz="0" w:space="0" w:color="auto"/>
          </w:divBdr>
        </w:div>
        <w:div w:id="1543592643">
          <w:marLeft w:val="274"/>
          <w:marRight w:val="0"/>
          <w:marTop w:val="60"/>
          <w:marBottom w:val="0"/>
          <w:divBdr>
            <w:top w:val="none" w:sz="0" w:space="0" w:color="auto"/>
            <w:left w:val="none" w:sz="0" w:space="0" w:color="auto"/>
            <w:bottom w:val="none" w:sz="0" w:space="0" w:color="auto"/>
            <w:right w:val="none" w:sz="0" w:space="0" w:color="auto"/>
          </w:divBdr>
        </w:div>
        <w:div w:id="1702245974">
          <w:marLeft w:val="274"/>
          <w:marRight w:val="0"/>
          <w:marTop w:val="60"/>
          <w:marBottom w:val="0"/>
          <w:divBdr>
            <w:top w:val="none" w:sz="0" w:space="0" w:color="auto"/>
            <w:left w:val="none" w:sz="0" w:space="0" w:color="auto"/>
            <w:bottom w:val="none" w:sz="0" w:space="0" w:color="auto"/>
            <w:right w:val="none" w:sz="0" w:space="0" w:color="auto"/>
          </w:divBdr>
        </w:div>
        <w:div w:id="1875147380">
          <w:marLeft w:val="274"/>
          <w:marRight w:val="0"/>
          <w:marTop w:val="60"/>
          <w:marBottom w:val="0"/>
          <w:divBdr>
            <w:top w:val="none" w:sz="0" w:space="0" w:color="auto"/>
            <w:left w:val="none" w:sz="0" w:space="0" w:color="auto"/>
            <w:bottom w:val="none" w:sz="0" w:space="0" w:color="auto"/>
            <w:right w:val="none" w:sz="0" w:space="0" w:color="auto"/>
          </w:divBdr>
        </w:div>
        <w:div w:id="1991589684">
          <w:marLeft w:val="274"/>
          <w:marRight w:val="0"/>
          <w:marTop w:val="60"/>
          <w:marBottom w:val="0"/>
          <w:divBdr>
            <w:top w:val="none" w:sz="0" w:space="0" w:color="auto"/>
            <w:left w:val="none" w:sz="0" w:space="0" w:color="auto"/>
            <w:bottom w:val="none" w:sz="0" w:space="0" w:color="auto"/>
            <w:right w:val="none" w:sz="0" w:space="0" w:color="auto"/>
          </w:divBdr>
        </w:div>
        <w:div w:id="476075836">
          <w:marLeft w:val="274"/>
          <w:marRight w:val="0"/>
          <w:marTop w:val="60"/>
          <w:marBottom w:val="0"/>
          <w:divBdr>
            <w:top w:val="none" w:sz="0" w:space="0" w:color="auto"/>
            <w:left w:val="none" w:sz="0" w:space="0" w:color="auto"/>
            <w:bottom w:val="none" w:sz="0" w:space="0" w:color="auto"/>
            <w:right w:val="none" w:sz="0" w:space="0" w:color="auto"/>
          </w:divBdr>
        </w:div>
        <w:div w:id="1732264758">
          <w:marLeft w:val="274"/>
          <w:marRight w:val="0"/>
          <w:marTop w:val="60"/>
          <w:marBottom w:val="0"/>
          <w:divBdr>
            <w:top w:val="none" w:sz="0" w:space="0" w:color="auto"/>
            <w:left w:val="none" w:sz="0" w:space="0" w:color="auto"/>
            <w:bottom w:val="none" w:sz="0" w:space="0" w:color="auto"/>
            <w:right w:val="none" w:sz="0" w:space="0" w:color="auto"/>
          </w:divBdr>
        </w:div>
        <w:div w:id="1583565780">
          <w:marLeft w:val="274"/>
          <w:marRight w:val="0"/>
          <w:marTop w:val="60"/>
          <w:marBottom w:val="0"/>
          <w:divBdr>
            <w:top w:val="none" w:sz="0" w:space="0" w:color="auto"/>
            <w:left w:val="none" w:sz="0" w:space="0" w:color="auto"/>
            <w:bottom w:val="none" w:sz="0" w:space="0" w:color="auto"/>
            <w:right w:val="none" w:sz="0" w:space="0" w:color="auto"/>
          </w:divBdr>
        </w:div>
        <w:div w:id="940450172">
          <w:marLeft w:val="274"/>
          <w:marRight w:val="0"/>
          <w:marTop w:val="60"/>
          <w:marBottom w:val="0"/>
          <w:divBdr>
            <w:top w:val="none" w:sz="0" w:space="0" w:color="auto"/>
            <w:left w:val="none" w:sz="0" w:space="0" w:color="auto"/>
            <w:bottom w:val="none" w:sz="0" w:space="0" w:color="auto"/>
            <w:right w:val="none" w:sz="0" w:space="0" w:color="auto"/>
          </w:divBdr>
        </w:div>
      </w:divsChild>
    </w:div>
    <w:div w:id="1572698331">
      <w:bodyDiv w:val="1"/>
      <w:marLeft w:val="0"/>
      <w:marRight w:val="0"/>
      <w:marTop w:val="0"/>
      <w:marBottom w:val="0"/>
      <w:divBdr>
        <w:top w:val="none" w:sz="0" w:space="0" w:color="auto"/>
        <w:left w:val="none" w:sz="0" w:space="0" w:color="auto"/>
        <w:bottom w:val="none" w:sz="0" w:space="0" w:color="auto"/>
        <w:right w:val="none" w:sz="0" w:space="0" w:color="auto"/>
      </w:divBdr>
    </w:div>
    <w:div w:id="1581712522">
      <w:bodyDiv w:val="1"/>
      <w:marLeft w:val="0"/>
      <w:marRight w:val="0"/>
      <w:marTop w:val="0"/>
      <w:marBottom w:val="0"/>
      <w:divBdr>
        <w:top w:val="none" w:sz="0" w:space="0" w:color="auto"/>
        <w:left w:val="none" w:sz="0" w:space="0" w:color="auto"/>
        <w:bottom w:val="none" w:sz="0" w:space="0" w:color="auto"/>
        <w:right w:val="none" w:sz="0" w:space="0" w:color="auto"/>
      </w:divBdr>
    </w:div>
    <w:div w:id="1603686096">
      <w:bodyDiv w:val="1"/>
      <w:marLeft w:val="0"/>
      <w:marRight w:val="0"/>
      <w:marTop w:val="0"/>
      <w:marBottom w:val="0"/>
      <w:divBdr>
        <w:top w:val="none" w:sz="0" w:space="0" w:color="auto"/>
        <w:left w:val="none" w:sz="0" w:space="0" w:color="auto"/>
        <w:bottom w:val="none" w:sz="0" w:space="0" w:color="auto"/>
        <w:right w:val="none" w:sz="0" w:space="0" w:color="auto"/>
      </w:divBdr>
    </w:div>
    <w:div w:id="1617323394">
      <w:bodyDiv w:val="1"/>
      <w:marLeft w:val="0"/>
      <w:marRight w:val="0"/>
      <w:marTop w:val="0"/>
      <w:marBottom w:val="0"/>
      <w:divBdr>
        <w:top w:val="none" w:sz="0" w:space="0" w:color="auto"/>
        <w:left w:val="none" w:sz="0" w:space="0" w:color="auto"/>
        <w:bottom w:val="none" w:sz="0" w:space="0" w:color="auto"/>
        <w:right w:val="none" w:sz="0" w:space="0" w:color="auto"/>
      </w:divBdr>
    </w:div>
    <w:div w:id="1624537134">
      <w:bodyDiv w:val="1"/>
      <w:marLeft w:val="0"/>
      <w:marRight w:val="0"/>
      <w:marTop w:val="0"/>
      <w:marBottom w:val="0"/>
      <w:divBdr>
        <w:top w:val="none" w:sz="0" w:space="0" w:color="auto"/>
        <w:left w:val="none" w:sz="0" w:space="0" w:color="auto"/>
        <w:bottom w:val="none" w:sz="0" w:space="0" w:color="auto"/>
        <w:right w:val="none" w:sz="0" w:space="0" w:color="auto"/>
      </w:divBdr>
    </w:div>
    <w:div w:id="1627001842">
      <w:bodyDiv w:val="1"/>
      <w:marLeft w:val="0"/>
      <w:marRight w:val="0"/>
      <w:marTop w:val="0"/>
      <w:marBottom w:val="0"/>
      <w:divBdr>
        <w:top w:val="none" w:sz="0" w:space="0" w:color="auto"/>
        <w:left w:val="none" w:sz="0" w:space="0" w:color="auto"/>
        <w:bottom w:val="none" w:sz="0" w:space="0" w:color="auto"/>
        <w:right w:val="none" w:sz="0" w:space="0" w:color="auto"/>
      </w:divBdr>
    </w:div>
    <w:div w:id="1636447133">
      <w:bodyDiv w:val="1"/>
      <w:marLeft w:val="0"/>
      <w:marRight w:val="0"/>
      <w:marTop w:val="0"/>
      <w:marBottom w:val="0"/>
      <w:divBdr>
        <w:top w:val="none" w:sz="0" w:space="0" w:color="auto"/>
        <w:left w:val="none" w:sz="0" w:space="0" w:color="auto"/>
        <w:bottom w:val="none" w:sz="0" w:space="0" w:color="auto"/>
        <w:right w:val="none" w:sz="0" w:space="0" w:color="auto"/>
      </w:divBdr>
    </w:div>
    <w:div w:id="1672828672">
      <w:bodyDiv w:val="1"/>
      <w:marLeft w:val="0"/>
      <w:marRight w:val="0"/>
      <w:marTop w:val="0"/>
      <w:marBottom w:val="0"/>
      <w:divBdr>
        <w:top w:val="none" w:sz="0" w:space="0" w:color="auto"/>
        <w:left w:val="none" w:sz="0" w:space="0" w:color="auto"/>
        <w:bottom w:val="none" w:sz="0" w:space="0" w:color="auto"/>
        <w:right w:val="none" w:sz="0" w:space="0" w:color="auto"/>
      </w:divBdr>
    </w:div>
    <w:div w:id="1683363213">
      <w:bodyDiv w:val="1"/>
      <w:marLeft w:val="0"/>
      <w:marRight w:val="0"/>
      <w:marTop w:val="0"/>
      <w:marBottom w:val="0"/>
      <w:divBdr>
        <w:top w:val="none" w:sz="0" w:space="0" w:color="auto"/>
        <w:left w:val="none" w:sz="0" w:space="0" w:color="auto"/>
        <w:bottom w:val="none" w:sz="0" w:space="0" w:color="auto"/>
        <w:right w:val="none" w:sz="0" w:space="0" w:color="auto"/>
      </w:divBdr>
    </w:div>
    <w:div w:id="1725523941">
      <w:bodyDiv w:val="1"/>
      <w:marLeft w:val="0"/>
      <w:marRight w:val="0"/>
      <w:marTop w:val="0"/>
      <w:marBottom w:val="0"/>
      <w:divBdr>
        <w:top w:val="none" w:sz="0" w:space="0" w:color="auto"/>
        <w:left w:val="none" w:sz="0" w:space="0" w:color="auto"/>
        <w:bottom w:val="none" w:sz="0" w:space="0" w:color="auto"/>
        <w:right w:val="none" w:sz="0" w:space="0" w:color="auto"/>
      </w:divBdr>
      <w:divsChild>
        <w:div w:id="1394160673">
          <w:marLeft w:val="274"/>
          <w:marRight w:val="0"/>
          <w:marTop w:val="60"/>
          <w:marBottom w:val="0"/>
          <w:divBdr>
            <w:top w:val="none" w:sz="0" w:space="0" w:color="auto"/>
            <w:left w:val="none" w:sz="0" w:space="0" w:color="auto"/>
            <w:bottom w:val="none" w:sz="0" w:space="0" w:color="auto"/>
            <w:right w:val="none" w:sz="0" w:space="0" w:color="auto"/>
          </w:divBdr>
        </w:div>
        <w:div w:id="1009258952">
          <w:marLeft w:val="274"/>
          <w:marRight w:val="0"/>
          <w:marTop w:val="60"/>
          <w:marBottom w:val="0"/>
          <w:divBdr>
            <w:top w:val="none" w:sz="0" w:space="0" w:color="auto"/>
            <w:left w:val="none" w:sz="0" w:space="0" w:color="auto"/>
            <w:bottom w:val="none" w:sz="0" w:space="0" w:color="auto"/>
            <w:right w:val="none" w:sz="0" w:space="0" w:color="auto"/>
          </w:divBdr>
        </w:div>
        <w:div w:id="67121407">
          <w:marLeft w:val="274"/>
          <w:marRight w:val="0"/>
          <w:marTop w:val="60"/>
          <w:marBottom w:val="0"/>
          <w:divBdr>
            <w:top w:val="none" w:sz="0" w:space="0" w:color="auto"/>
            <w:left w:val="none" w:sz="0" w:space="0" w:color="auto"/>
            <w:bottom w:val="none" w:sz="0" w:space="0" w:color="auto"/>
            <w:right w:val="none" w:sz="0" w:space="0" w:color="auto"/>
          </w:divBdr>
        </w:div>
        <w:div w:id="1010910425">
          <w:marLeft w:val="274"/>
          <w:marRight w:val="0"/>
          <w:marTop w:val="120"/>
          <w:marBottom w:val="0"/>
          <w:divBdr>
            <w:top w:val="none" w:sz="0" w:space="0" w:color="auto"/>
            <w:left w:val="none" w:sz="0" w:space="0" w:color="auto"/>
            <w:bottom w:val="none" w:sz="0" w:space="0" w:color="auto"/>
            <w:right w:val="none" w:sz="0" w:space="0" w:color="auto"/>
          </w:divBdr>
        </w:div>
        <w:div w:id="206836054">
          <w:marLeft w:val="274"/>
          <w:marRight w:val="0"/>
          <w:marTop w:val="120"/>
          <w:marBottom w:val="0"/>
          <w:divBdr>
            <w:top w:val="none" w:sz="0" w:space="0" w:color="auto"/>
            <w:left w:val="none" w:sz="0" w:space="0" w:color="auto"/>
            <w:bottom w:val="none" w:sz="0" w:space="0" w:color="auto"/>
            <w:right w:val="none" w:sz="0" w:space="0" w:color="auto"/>
          </w:divBdr>
        </w:div>
        <w:div w:id="2055040222">
          <w:marLeft w:val="274"/>
          <w:marRight w:val="0"/>
          <w:marTop w:val="120"/>
          <w:marBottom w:val="0"/>
          <w:divBdr>
            <w:top w:val="none" w:sz="0" w:space="0" w:color="auto"/>
            <w:left w:val="none" w:sz="0" w:space="0" w:color="auto"/>
            <w:bottom w:val="none" w:sz="0" w:space="0" w:color="auto"/>
            <w:right w:val="none" w:sz="0" w:space="0" w:color="auto"/>
          </w:divBdr>
        </w:div>
        <w:div w:id="1479835492">
          <w:marLeft w:val="274"/>
          <w:marRight w:val="0"/>
          <w:marTop w:val="120"/>
          <w:marBottom w:val="0"/>
          <w:divBdr>
            <w:top w:val="none" w:sz="0" w:space="0" w:color="auto"/>
            <w:left w:val="none" w:sz="0" w:space="0" w:color="auto"/>
            <w:bottom w:val="none" w:sz="0" w:space="0" w:color="auto"/>
            <w:right w:val="none" w:sz="0" w:space="0" w:color="auto"/>
          </w:divBdr>
        </w:div>
        <w:div w:id="1062602132">
          <w:marLeft w:val="274"/>
          <w:marRight w:val="0"/>
          <w:marTop w:val="120"/>
          <w:marBottom w:val="0"/>
          <w:divBdr>
            <w:top w:val="none" w:sz="0" w:space="0" w:color="auto"/>
            <w:left w:val="none" w:sz="0" w:space="0" w:color="auto"/>
            <w:bottom w:val="none" w:sz="0" w:space="0" w:color="auto"/>
            <w:right w:val="none" w:sz="0" w:space="0" w:color="auto"/>
          </w:divBdr>
        </w:div>
        <w:div w:id="1972323802">
          <w:marLeft w:val="274"/>
          <w:marRight w:val="0"/>
          <w:marTop w:val="120"/>
          <w:marBottom w:val="0"/>
          <w:divBdr>
            <w:top w:val="none" w:sz="0" w:space="0" w:color="auto"/>
            <w:left w:val="none" w:sz="0" w:space="0" w:color="auto"/>
            <w:bottom w:val="none" w:sz="0" w:space="0" w:color="auto"/>
            <w:right w:val="none" w:sz="0" w:space="0" w:color="auto"/>
          </w:divBdr>
        </w:div>
        <w:div w:id="1608848746">
          <w:marLeft w:val="274"/>
          <w:marRight w:val="0"/>
          <w:marTop w:val="60"/>
          <w:marBottom w:val="0"/>
          <w:divBdr>
            <w:top w:val="none" w:sz="0" w:space="0" w:color="auto"/>
            <w:left w:val="none" w:sz="0" w:space="0" w:color="auto"/>
            <w:bottom w:val="none" w:sz="0" w:space="0" w:color="auto"/>
            <w:right w:val="none" w:sz="0" w:space="0" w:color="auto"/>
          </w:divBdr>
        </w:div>
        <w:div w:id="265043552">
          <w:marLeft w:val="274"/>
          <w:marRight w:val="0"/>
          <w:marTop w:val="60"/>
          <w:marBottom w:val="0"/>
          <w:divBdr>
            <w:top w:val="none" w:sz="0" w:space="0" w:color="auto"/>
            <w:left w:val="none" w:sz="0" w:space="0" w:color="auto"/>
            <w:bottom w:val="none" w:sz="0" w:space="0" w:color="auto"/>
            <w:right w:val="none" w:sz="0" w:space="0" w:color="auto"/>
          </w:divBdr>
        </w:div>
        <w:div w:id="386875379">
          <w:marLeft w:val="274"/>
          <w:marRight w:val="0"/>
          <w:marTop w:val="60"/>
          <w:marBottom w:val="0"/>
          <w:divBdr>
            <w:top w:val="none" w:sz="0" w:space="0" w:color="auto"/>
            <w:left w:val="none" w:sz="0" w:space="0" w:color="auto"/>
            <w:bottom w:val="none" w:sz="0" w:space="0" w:color="auto"/>
            <w:right w:val="none" w:sz="0" w:space="0" w:color="auto"/>
          </w:divBdr>
        </w:div>
        <w:div w:id="1016079600">
          <w:marLeft w:val="274"/>
          <w:marRight w:val="0"/>
          <w:marTop w:val="60"/>
          <w:marBottom w:val="0"/>
          <w:divBdr>
            <w:top w:val="none" w:sz="0" w:space="0" w:color="auto"/>
            <w:left w:val="none" w:sz="0" w:space="0" w:color="auto"/>
            <w:bottom w:val="none" w:sz="0" w:space="0" w:color="auto"/>
            <w:right w:val="none" w:sz="0" w:space="0" w:color="auto"/>
          </w:divBdr>
        </w:div>
        <w:div w:id="945116346">
          <w:marLeft w:val="274"/>
          <w:marRight w:val="0"/>
          <w:marTop w:val="60"/>
          <w:marBottom w:val="0"/>
          <w:divBdr>
            <w:top w:val="none" w:sz="0" w:space="0" w:color="auto"/>
            <w:left w:val="none" w:sz="0" w:space="0" w:color="auto"/>
            <w:bottom w:val="none" w:sz="0" w:space="0" w:color="auto"/>
            <w:right w:val="none" w:sz="0" w:space="0" w:color="auto"/>
          </w:divBdr>
        </w:div>
        <w:div w:id="133624">
          <w:marLeft w:val="274"/>
          <w:marRight w:val="0"/>
          <w:marTop w:val="60"/>
          <w:marBottom w:val="0"/>
          <w:divBdr>
            <w:top w:val="none" w:sz="0" w:space="0" w:color="auto"/>
            <w:left w:val="none" w:sz="0" w:space="0" w:color="auto"/>
            <w:bottom w:val="none" w:sz="0" w:space="0" w:color="auto"/>
            <w:right w:val="none" w:sz="0" w:space="0" w:color="auto"/>
          </w:divBdr>
        </w:div>
        <w:div w:id="553736274">
          <w:marLeft w:val="274"/>
          <w:marRight w:val="0"/>
          <w:marTop w:val="60"/>
          <w:marBottom w:val="0"/>
          <w:divBdr>
            <w:top w:val="none" w:sz="0" w:space="0" w:color="auto"/>
            <w:left w:val="none" w:sz="0" w:space="0" w:color="auto"/>
            <w:bottom w:val="none" w:sz="0" w:space="0" w:color="auto"/>
            <w:right w:val="none" w:sz="0" w:space="0" w:color="auto"/>
          </w:divBdr>
        </w:div>
        <w:div w:id="1757165926">
          <w:marLeft w:val="274"/>
          <w:marRight w:val="0"/>
          <w:marTop w:val="60"/>
          <w:marBottom w:val="0"/>
          <w:divBdr>
            <w:top w:val="none" w:sz="0" w:space="0" w:color="auto"/>
            <w:left w:val="none" w:sz="0" w:space="0" w:color="auto"/>
            <w:bottom w:val="none" w:sz="0" w:space="0" w:color="auto"/>
            <w:right w:val="none" w:sz="0" w:space="0" w:color="auto"/>
          </w:divBdr>
        </w:div>
        <w:div w:id="1198855156">
          <w:marLeft w:val="274"/>
          <w:marRight w:val="0"/>
          <w:marTop w:val="60"/>
          <w:marBottom w:val="0"/>
          <w:divBdr>
            <w:top w:val="none" w:sz="0" w:space="0" w:color="auto"/>
            <w:left w:val="none" w:sz="0" w:space="0" w:color="auto"/>
            <w:bottom w:val="none" w:sz="0" w:space="0" w:color="auto"/>
            <w:right w:val="none" w:sz="0" w:space="0" w:color="auto"/>
          </w:divBdr>
        </w:div>
        <w:div w:id="1005209621">
          <w:marLeft w:val="274"/>
          <w:marRight w:val="0"/>
          <w:marTop w:val="60"/>
          <w:marBottom w:val="0"/>
          <w:divBdr>
            <w:top w:val="none" w:sz="0" w:space="0" w:color="auto"/>
            <w:left w:val="none" w:sz="0" w:space="0" w:color="auto"/>
            <w:bottom w:val="none" w:sz="0" w:space="0" w:color="auto"/>
            <w:right w:val="none" w:sz="0" w:space="0" w:color="auto"/>
          </w:divBdr>
        </w:div>
        <w:div w:id="535849260">
          <w:marLeft w:val="274"/>
          <w:marRight w:val="0"/>
          <w:marTop w:val="60"/>
          <w:marBottom w:val="0"/>
          <w:divBdr>
            <w:top w:val="none" w:sz="0" w:space="0" w:color="auto"/>
            <w:left w:val="none" w:sz="0" w:space="0" w:color="auto"/>
            <w:bottom w:val="none" w:sz="0" w:space="0" w:color="auto"/>
            <w:right w:val="none" w:sz="0" w:space="0" w:color="auto"/>
          </w:divBdr>
        </w:div>
        <w:div w:id="1481145653">
          <w:marLeft w:val="274"/>
          <w:marRight w:val="0"/>
          <w:marTop w:val="60"/>
          <w:marBottom w:val="0"/>
          <w:divBdr>
            <w:top w:val="none" w:sz="0" w:space="0" w:color="auto"/>
            <w:left w:val="none" w:sz="0" w:space="0" w:color="auto"/>
            <w:bottom w:val="none" w:sz="0" w:space="0" w:color="auto"/>
            <w:right w:val="none" w:sz="0" w:space="0" w:color="auto"/>
          </w:divBdr>
        </w:div>
        <w:div w:id="703755975">
          <w:marLeft w:val="274"/>
          <w:marRight w:val="0"/>
          <w:marTop w:val="60"/>
          <w:marBottom w:val="0"/>
          <w:divBdr>
            <w:top w:val="none" w:sz="0" w:space="0" w:color="auto"/>
            <w:left w:val="none" w:sz="0" w:space="0" w:color="auto"/>
            <w:bottom w:val="none" w:sz="0" w:space="0" w:color="auto"/>
            <w:right w:val="none" w:sz="0" w:space="0" w:color="auto"/>
          </w:divBdr>
        </w:div>
        <w:div w:id="388773858">
          <w:marLeft w:val="274"/>
          <w:marRight w:val="0"/>
          <w:marTop w:val="60"/>
          <w:marBottom w:val="0"/>
          <w:divBdr>
            <w:top w:val="none" w:sz="0" w:space="0" w:color="auto"/>
            <w:left w:val="none" w:sz="0" w:space="0" w:color="auto"/>
            <w:bottom w:val="none" w:sz="0" w:space="0" w:color="auto"/>
            <w:right w:val="none" w:sz="0" w:space="0" w:color="auto"/>
          </w:divBdr>
        </w:div>
      </w:divsChild>
    </w:div>
    <w:div w:id="1728991924">
      <w:bodyDiv w:val="1"/>
      <w:marLeft w:val="0"/>
      <w:marRight w:val="0"/>
      <w:marTop w:val="0"/>
      <w:marBottom w:val="0"/>
      <w:divBdr>
        <w:top w:val="none" w:sz="0" w:space="0" w:color="auto"/>
        <w:left w:val="none" w:sz="0" w:space="0" w:color="auto"/>
        <w:bottom w:val="none" w:sz="0" w:space="0" w:color="auto"/>
        <w:right w:val="none" w:sz="0" w:space="0" w:color="auto"/>
      </w:divBdr>
    </w:div>
    <w:div w:id="1737975937">
      <w:bodyDiv w:val="1"/>
      <w:marLeft w:val="0"/>
      <w:marRight w:val="0"/>
      <w:marTop w:val="0"/>
      <w:marBottom w:val="0"/>
      <w:divBdr>
        <w:top w:val="none" w:sz="0" w:space="0" w:color="auto"/>
        <w:left w:val="none" w:sz="0" w:space="0" w:color="auto"/>
        <w:bottom w:val="none" w:sz="0" w:space="0" w:color="auto"/>
        <w:right w:val="none" w:sz="0" w:space="0" w:color="auto"/>
      </w:divBdr>
      <w:divsChild>
        <w:div w:id="1844124193">
          <w:marLeft w:val="274"/>
          <w:marRight w:val="0"/>
          <w:marTop w:val="60"/>
          <w:marBottom w:val="0"/>
          <w:divBdr>
            <w:top w:val="none" w:sz="0" w:space="0" w:color="auto"/>
            <w:left w:val="none" w:sz="0" w:space="0" w:color="auto"/>
            <w:bottom w:val="none" w:sz="0" w:space="0" w:color="auto"/>
            <w:right w:val="none" w:sz="0" w:space="0" w:color="auto"/>
          </w:divBdr>
        </w:div>
        <w:div w:id="438725819">
          <w:marLeft w:val="274"/>
          <w:marRight w:val="0"/>
          <w:marTop w:val="60"/>
          <w:marBottom w:val="0"/>
          <w:divBdr>
            <w:top w:val="none" w:sz="0" w:space="0" w:color="auto"/>
            <w:left w:val="none" w:sz="0" w:space="0" w:color="auto"/>
            <w:bottom w:val="none" w:sz="0" w:space="0" w:color="auto"/>
            <w:right w:val="none" w:sz="0" w:space="0" w:color="auto"/>
          </w:divBdr>
        </w:div>
        <w:div w:id="1626352626">
          <w:marLeft w:val="274"/>
          <w:marRight w:val="0"/>
          <w:marTop w:val="60"/>
          <w:marBottom w:val="0"/>
          <w:divBdr>
            <w:top w:val="none" w:sz="0" w:space="0" w:color="auto"/>
            <w:left w:val="none" w:sz="0" w:space="0" w:color="auto"/>
            <w:bottom w:val="none" w:sz="0" w:space="0" w:color="auto"/>
            <w:right w:val="none" w:sz="0" w:space="0" w:color="auto"/>
          </w:divBdr>
        </w:div>
        <w:div w:id="818808254">
          <w:marLeft w:val="274"/>
          <w:marRight w:val="0"/>
          <w:marTop w:val="120"/>
          <w:marBottom w:val="0"/>
          <w:divBdr>
            <w:top w:val="none" w:sz="0" w:space="0" w:color="auto"/>
            <w:left w:val="none" w:sz="0" w:space="0" w:color="auto"/>
            <w:bottom w:val="none" w:sz="0" w:space="0" w:color="auto"/>
            <w:right w:val="none" w:sz="0" w:space="0" w:color="auto"/>
          </w:divBdr>
        </w:div>
        <w:div w:id="500046455">
          <w:marLeft w:val="274"/>
          <w:marRight w:val="0"/>
          <w:marTop w:val="120"/>
          <w:marBottom w:val="0"/>
          <w:divBdr>
            <w:top w:val="none" w:sz="0" w:space="0" w:color="auto"/>
            <w:left w:val="none" w:sz="0" w:space="0" w:color="auto"/>
            <w:bottom w:val="none" w:sz="0" w:space="0" w:color="auto"/>
            <w:right w:val="none" w:sz="0" w:space="0" w:color="auto"/>
          </w:divBdr>
        </w:div>
        <w:div w:id="1246456638">
          <w:marLeft w:val="274"/>
          <w:marRight w:val="0"/>
          <w:marTop w:val="120"/>
          <w:marBottom w:val="0"/>
          <w:divBdr>
            <w:top w:val="none" w:sz="0" w:space="0" w:color="auto"/>
            <w:left w:val="none" w:sz="0" w:space="0" w:color="auto"/>
            <w:bottom w:val="none" w:sz="0" w:space="0" w:color="auto"/>
            <w:right w:val="none" w:sz="0" w:space="0" w:color="auto"/>
          </w:divBdr>
        </w:div>
        <w:div w:id="75171508">
          <w:marLeft w:val="274"/>
          <w:marRight w:val="0"/>
          <w:marTop w:val="120"/>
          <w:marBottom w:val="0"/>
          <w:divBdr>
            <w:top w:val="none" w:sz="0" w:space="0" w:color="auto"/>
            <w:left w:val="none" w:sz="0" w:space="0" w:color="auto"/>
            <w:bottom w:val="none" w:sz="0" w:space="0" w:color="auto"/>
            <w:right w:val="none" w:sz="0" w:space="0" w:color="auto"/>
          </w:divBdr>
        </w:div>
        <w:div w:id="1333679834">
          <w:marLeft w:val="274"/>
          <w:marRight w:val="0"/>
          <w:marTop w:val="120"/>
          <w:marBottom w:val="0"/>
          <w:divBdr>
            <w:top w:val="none" w:sz="0" w:space="0" w:color="auto"/>
            <w:left w:val="none" w:sz="0" w:space="0" w:color="auto"/>
            <w:bottom w:val="none" w:sz="0" w:space="0" w:color="auto"/>
            <w:right w:val="none" w:sz="0" w:space="0" w:color="auto"/>
          </w:divBdr>
        </w:div>
        <w:div w:id="1892302037">
          <w:marLeft w:val="274"/>
          <w:marRight w:val="0"/>
          <w:marTop w:val="120"/>
          <w:marBottom w:val="0"/>
          <w:divBdr>
            <w:top w:val="none" w:sz="0" w:space="0" w:color="auto"/>
            <w:left w:val="none" w:sz="0" w:space="0" w:color="auto"/>
            <w:bottom w:val="none" w:sz="0" w:space="0" w:color="auto"/>
            <w:right w:val="none" w:sz="0" w:space="0" w:color="auto"/>
          </w:divBdr>
        </w:div>
        <w:div w:id="905916802">
          <w:marLeft w:val="274"/>
          <w:marRight w:val="0"/>
          <w:marTop w:val="60"/>
          <w:marBottom w:val="0"/>
          <w:divBdr>
            <w:top w:val="none" w:sz="0" w:space="0" w:color="auto"/>
            <w:left w:val="none" w:sz="0" w:space="0" w:color="auto"/>
            <w:bottom w:val="none" w:sz="0" w:space="0" w:color="auto"/>
            <w:right w:val="none" w:sz="0" w:space="0" w:color="auto"/>
          </w:divBdr>
        </w:div>
        <w:div w:id="994185833">
          <w:marLeft w:val="274"/>
          <w:marRight w:val="0"/>
          <w:marTop w:val="60"/>
          <w:marBottom w:val="0"/>
          <w:divBdr>
            <w:top w:val="none" w:sz="0" w:space="0" w:color="auto"/>
            <w:left w:val="none" w:sz="0" w:space="0" w:color="auto"/>
            <w:bottom w:val="none" w:sz="0" w:space="0" w:color="auto"/>
            <w:right w:val="none" w:sz="0" w:space="0" w:color="auto"/>
          </w:divBdr>
        </w:div>
        <w:div w:id="1815635999">
          <w:marLeft w:val="274"/>
          <w:marRight w:val="0"/>
          <w:marTop w:val="60"/>
          <w:marBottom w:val="0"/>
          <w:divBdr>
            <w:top w:val="none" w:sz="0" w:space="0" w:color="auto"/>
            <w:left w:val="none" w:sz="0" w:space="0" w:color="auto"/>
            <w:bottom w:val="none" w:sz="0" w:space="0" w:color="auto"/>
            <w:right w:val="none" w:sz="0" w:space="0" w:color="auto"/>
          </w:divBdr>
        </w:div>
        <w:div w:id="419838177">
          <w:marLeft w:val="274"/>
          <w:marRight w:val="0"/>
          <w:marTop w:val="60"/>
          <w:marBottom w:val="0"/>
          <w:divBdr>
            <w:top w:val="none" w:sz="0" w:space="0" w:color="auto"/>
            <w:left w:val="none" w:sz="0" w:space="0" w:color="auto"/>
            <w:bottom w:val="none" w:sz="0" w:space="0" w:color="auto"/>
            <w:right w:val="none" w:sz="0" w:space="0" w:color="auto"/>
          </w:divBdr>
        </w:div>
        <w:div w:id="1226600348">
          <w:marLeft w:val="274"/>
          <w:marRight w:val="0"/>
          <w:marTop w:val="60"/>
          <w:marBottom w:val="0"/>
          <w:divBdr>
            <w:top w:val="none" w:sz="0" w:space="0" w:color="auto"/>
            <w:left w:val="none" w:sz="0" w:space="0" w:color="auto"/>
            <w:bottom w:val="none" w:sz="0" w:space="0" w:color="auto"/>
            <w:right w:val="none" w:sz="0" w:space="0" w:color="auto"/>
          </w:divBdr>
        </w:div>
        <w:div w:id="1588927127">
          <w:marLeft w:val="274"/>
          <w:marRight w:val="0"/>
          <w:marTop w:val="60"/>
          <w:marBottom w:val="0"/>
          <w:divBdr>
            <w:top w:val="none" w:sz="0" w:space="0" w:color="auto"/>
            <w:left w:val="none" w:sz="0" w:space="0" w:color="auto"/>
            <w:bottom w:val="none" w:sz="0" w:space="0" w:color="auto"/>
            <w:right w:val="none" w:sz="0" w:space="0" w:color="auto"/>
          </w:divBdr>
        </w:div>
        <w:div w:id="634986533">
          <w:marLeft w:val="274"/>
          <w:marRight w:val="0"/>
          <w:marTop w:val="60"/>
          <w:marBottom w:val="0"/>
          <w:divBdr>
            <w:top w:val="none" w:sz="0" w:space="0" w:color="auto"/>
            <w:left w:val="none" w:sz="0" w:space="0" w:color="auto"/>
            <w:bottom w:val="none" w:sz="0" w:space="0" w:color="auto"/>
            <w:right w:val="none" w:sz="0" w:space="0" w:color="auto"/>
          </w:divBdr>
        </w:div>
        <w:div w:id="1445416275">
          <w:marLeft w:val="274"/>
          <w:marRight w:val="0"/>
          <w:marTop w:val="60"/>
          <w:marBottom w:val="0"/>
          <w:divBdr>
            <w:top w:val="none" w:sz="0" w:space="0" w:color="auto"/>
            <w:left w:val="none" w:sz="0" w:space="0" w:color="auto"/>
            <w:bottom w:val="none" w:sz="0" w:space="0" w:color="auto"/>
            <w:right w:val="none" w:sz="0" w:space="0" w:color="auto"/>
          </w:divBdr>
        </w:div>
        <w:div w:id="1510682185">
          <w:marLeft w:val="274"/>
          <w:marRight w:val="0"/>
          <w:marTop w:val="60"/>
          <w:marBottom w:val="0"/>
          <w:divBdr>
            <w:top w:val="none" w:sz="0" w:space="0" w:color="auto"/>
            <w:left w:val="none" w:sz="0" w:space="0" w:color="auto"/>
            <w:bottom w:val="none" w:sz="0" w:space="0" w:color="auto"/>
            <w:right w:val="none" w:sz="0" w:space="0" w:color="auto"/>
          </w:divBdr>
        </w:div>
        <w:div w:id="1150828642">
          <w:marLeft w:val="274"/>
          <w:marRight w:val="0"/>
          <w:marTop w:val="60"/>
          <w:marBottom w:val="0"/>
          <w:divBdr>
            <w:top w:val="none" w:sz="0" w:space="0" w:color="auto"/>
            <w:left w:val="none" w:sz="0" w:space="0" w:color="auto"/>
            <w:bottom w:val="none" w:sz="0" w:space="0" w:color="auto"/>
            <w:right w:val="none" w:sz="0" w:space="0" w:color="auto"/>
          </w:divBdr>
        </w:div>
        <w:div w:id="1187669951">
          <w:marLeft w:val="274"/>
          <w:marRight w:val="0"/>
          <w:marTop w:val="60"/>
          <w:marBottom w:val="0"/>
          <w:divBdr>
            <w:top w:val="none" w:sz="0" w:space="0" w:color="auto"/>
            <w:left w:val="none" w:sz="0" w:space="0" w:color="auto"/>
            <w:bottom w:val="none" w:sz="0" w:space="0" w:color="auto"/>
            <w:right w:val="none" w:sz="0" w:space="0" w:color="auto"/>
          </w:divBdr>
        </w:div>
        <w:div w:id="2056150373">
          <w:marLeft w:val="274"/>
          <w:marRight w:val="0"/>
          <w:marTop w:val="60"/>
          <w:marBottom w:val="0"/>
          <w:divBdr>
            <w:top w:val="none" w:sz="0" w:space="0" w:color="auto"/>
            <w:left w:val="none" w:sz="0" w:space="0" w:color="auto"/>
            <w:bottom w:val="none" w:sz="0" w:space="0" w:color="auto"/>
            <w:right w:val="none" w:sz="0" w:space="0" w:color="auto"/>
          </w:divBdr>
        </w:div>
        <w:div w:id="646320558">
          <w:marLeft w:val="274"/>
          <w:marRight w:val="0"/>
          <w:marTop w:val="60"/>
          <w:marBottom w:val="0"/>
          <w:divBdr>
            <w:top w:val="none" w:sz="0" w:space="0" w:color="auto"/>
            <w:left w:val="none" w:sz="0" w:space="0" w:color="auto"/>
            <w:bottom w:val="none" w:sz="0" w:space="0" w:color="auto"/>
            <w:right w:val="none" w:sz="0" w:space="0" w:color="auto"/>
          </w:divBdr>
        </w:div>
        <w:div w:id="2090495845">
          <w:marLeft w:val="274"/>
          <w:marRight w:val="0"/>
          <w:marTop w:val="60"/>
          <w:marBottom w:val="0"/>
          <w:divBdr>
            <w:top w:val="none" w:sz="0" w:space="0" w:color="auto"/>
            <w:left w:val="none" w:sz="0" w:space="0" w:color="auto"/>
            <w:bottom w:val="none" w:sz="0" w:space="0" w:color="auto"/>
            <w:right w:val="none" w:sz="0" w:space="0" w:color="auto"/>
          </w:divBdr>
        </w:div>
      </w:divsChild>
    </w:div>
    <w:div w:id="1746760063">
      <w:bodyDiv w:val="1"/>
      <w:marLeft w:val="0"/>
      <w:marRight w:val="0"/>
      <w:marTop w:val="0"/>
      <w:marBottom w:val="0"/>
      <w:divBdr>
        <w:top w:val="none" w:sz="0" w:space="0" w:color="auto"/>
        <w:left w:val="none" w:sz="0" w:space="0" w:color="auto"/>
        <w:bottom w:val="none" w:sz="0" w:space="0" w:color="auto"/>
        <w:right w:val="none" w:sz="0" w:space="0" w:color="auto"/>
      </w:divBdr>
    </w:div>
    <w:div w:id="1748721981">
      <w:bodyDiv w:val="1"/>
      <w:marLeft w:val="0"/>
      <w:marRight w:val="0"/>
      <w:marTop w:val="0"/>
      <w:marBottom w:val="0"/>
      <w:divBdr>
        <w:top w:val="none" w:sz="0" w:space="0" w:color="auto"/>
        <w:left w:val="none" w:sz="0" w:space="0" w:color="auto"/>
        <w:bottom w:val="none" w:sz="0" w:space="0" w:color="auto"/>
        <w:right w:val="none" w:sz="0" w:space="0" w:color="auto"/>
      </w:divBdr>
      <w:divsChild>
        <w:div w:id="906843094">
          <w:marLeft w:val="360"/>
          <w:marRight w:val="0"/>
          <w:marTop w:val="20"/>
          <w:marBottom w:val="120"/>
          <w:divBdr>
            <w:top w:val="none" w:sz="0" w:space="0" w:color="auto"/>
            <w:left w:val="none" w:sz="0" w:space="0" w:color="auto"/>
            <w:bottom w:val="none" w:sz="0" w:space="0" w:color="auto"/>
            <w:right w:val="none" w:sz="0" w:space="0" w:color="auto"/>
          </w:divBdr>
        </w:div>
      </w:divsChild>
    </w:div>
    <w:div w:id="1750343989">
      <w:bodyDiv w:val="1"/>
      <w:marLeft w:val="0"/>
      <w:marRight w:val="0"/>
      <w:marTop w:val="0"/>
      <w:marBottom w:val="0"/>
      <w:divBdr>
        <w:top w:val="none" w:sz="0" w:space="0" w:color="auto"/>
        <w:left w:val="none" w:sz="0" w:space="0" w:color="auto"/>
        <w:bottom w:val="none" w:sz="0" w:space="0" w:color="auto"/>
        <w:right w:val="none" w:sz="0" w:space="0" w:color="auto"/>
      </w:divBdr>
      <w:divsChild>
        <w:div w:id="1464811680">
          <w:marLeft w:val="274"/>
          <w:marRight w:val="0"/>
          <w:marTop w:val="60"/>
          <w:marBottom w:val="0"/>
          <w:divBdr>
            <w:top w:val="none" w:sz="0" w:space="0" w:color="auto"/>
            <w:left w:val="none" w:sz="0" w:space="0" w:color="auto"/>
            <w:bottom w:val="none" w:sz="0" w:space="0" w:color="auto"/>
            <w:right w:val="none" w:sz="0" w:space="0" w:color="auto"/>
          </w:divBdr>
        </w:div>
      </w:divsChild>
    </w:div>
    <w:div w:id="1751192338">
      <w:bodyDiv w:val="1"/>
      <w:marLeft w:val="0"/>
      <w:marRight w:val="0"/>
      <w:marTop w:val="0"/>
      <w:marBottom w:val="0"/>
      <w:divBdr>
        <w:top w:val="none" w:sz="0" w:space="0" w:color="auto"/>
        <w:left w:val="none" w:sz="0" w:space="0" w:color="auto"/>
        <w:bottom w:val="none" w:sz="0" w:space="0" w:color="auto"/>
        <w:right w:val="none" w:sz="0" w:space="0" w:color="auto"/>
      </w:divBdr>
    </w:div>
    <w:div w:id="1766413736">
      <w:bodyDiv w:val="1"/>
      <w:marLeft w:val="0"/>
      <w:marRight w:val="0"/>
      <w:marTop w:val="0"/>
      <w:marBottom w:val="0"/>
      <w:divBdr>
        <w:top w:val="none" w:sz="0" w:space="0" w:color="auto"/>
        <w:left w:val="none" w:sz="0" w:space="0" w:color="auto"/>
        <w:bottom w:val="none" w:sz="0" w:space="0" w:color="auto"/>
        <w:right w:val="none" w:sz="0" w:space="0" w:color="auto"/>
      </w:divBdr>
      <w:divsChild>
        <w:div w:id="176891519">
          <w:marLeft w:val="274"/>
          <w:marRight w:val="0"/>
          <w:marTop w:val="60"/>
          <w:marBottom w:val="0"/>
          <w:divBdr>
            <w:top w:val="none" w:sz="0" w:space="0" w:color="auto"/>
            <w:left w:val="none" w:sz="0" w:space="0" w:color="auto"/>
            <w:bottom w:val="none" w:sz="0" w:space="0" w:color="auto"/>
            <w:right w:val="none" w:sz="0" w:space="0" w:color="auto"/>
          </w:divBdr>
        </w:div>
        <w:div w:id="1180045622">
          <w:marLeft w:val="533"/>
          <w:marRight w:val="0"/>
          <w:marTop w:val="120"/>
          <w:marBottom w:val="0"/>
          <w:divBdr>
            <w:top w:val="none" w:sz="0" w:space="0" w:color="auto"/>
            <w:left w:val="none" w:sz="0" w:space="0" w:color="auto"/>
            <w:bottom w:val="none" w:sz="0" w:space="0" w:color="auto"/>
            <w:right w:val="none" w:sz="0" w:space="0" w:color="auto"/>
          </w:divBdr>
        </w:div>
        <w:div w:id="1347321469">
          <w:marLeft w:val="533"/>
          <w:marRight w:val="0"/>
          <w:marTop w:val="120"/>
          <w:marBottom w:val="0"/>
          <w:divBdr>
            <w:top w:val="none" w:sz="0" w:space="0" w:color="auto"/>
            <w:left w:val="none" w:sz="0" w:space="0" w:color="auto"/>
            <w:bottom w:val="none" w:sz="0" w:space="0" w:color="auto"/>
            <w:right w:val="none" w:sz="0" w:space="0" w:color="auto"/>
          </w:divBdr>
        </w:div>
        <w:div w:id="923878074">
          <w:marLeft w:val="274"/>
          <w:marRight w:val="0"/>
          <w:marTop w:val="60"/>
          <w:marBottom w:val="0"/>
          <w:divBdr>
            <w:top w:val="none" w:sz="0" w:space="0" w:color="auto"/>
            <w:left w:val="none" w:sz="0" w:space="0" w:color="auto"/>
            <w:bottom w:val="none" w:sz="0" w:space="0" w:color="auto"/>
            <w:right w:val="none" w:sz="0" w:space="0" w:color="auto"/>
          </w:divBdr>
        </w:div>
      </w:divsChild>
    </w:div>
    <w:div w:id="1776317864">
      <w:bodyDiv w:val="1"/>
      <w:marLeft w:val="0"/>
      <w:marRight w:val="0"/>
      <w:marTop w:val="0"/>
      <w:marBottom w:val="0"/>
      <w:divBdr>
        <w:top w:val="none" w:sz="0" w:space="0" w:color="auto"/>
        <w:left w:val="none" w:sz="0" w:space="0" w:color="auto"/>
        <w:bottom w:val="none" w:sz="0" w:space="0" w:color="auto"/>
        <w:right w:val="none" w:sz="0" w:space="0" w:color="auto"/>
      </w:divBdr>
    </w:div>
    <w:div w:id="1800950093">
      <w:bodyDiv w:val="1"/>
      <w:marLeft w:val="0"/>
      <w:marRight w:val="0"/>
      <w:marTop w:val="0"/>
      <w:marBottom w:val="0"/>
      <w:divBdr>
        <w:top w:val="none" w:sz="0" w:space="0" w:color="auto"/>
        <w:left w:val="none" w:sz="0" w:space="0" w:color="auto"/>
        <w:bottom w:val="none" w:sz="0" w:space="0" w:color="auto"/>
        <w:right w:val="none" w:sz="0" w:space="0" w:color="auto"/>
      </w:divBdr>
    </w:div>
    <w:div w:id="1818645505">
      <w:bodyDiv w:val="1"/>
      <w:marLeft w:val="0"/>
      <w:marRight w:val="0"/>
      <w:marTop w:val="0"/>
      <w:marBottom w:val="0"/>
      <w:divBdr>
        <w:top w:val="none" w:sz="0" w:space="0" w:color="auto"/>
        <w:left w:val="none" w:sz="0" w:space="0" w:color="auto"/>
        <w:bottom w:val="none" w:sz="0" w:space="0" w:color="auto"/>
        <w:right w:val="none" w:sz="0" w:space="0" w:color="auto"/>
      </w:divBdr>
      <w:divsChild>
        <w:div w:id="1653754134">
          <w:marLeft w:val="533"/>
          <w:marRight w:val="0"/>
          <w:marTop w:val="120"/>
          <w:marBottom w:val="0"/>
          <w:divBdr>
            <w:top w:val="none" w:sz="0" w:space="0" w:color="auto"/>
            <w:left w:val="none" w:sz="0" w:space="0" w:color="auto"/>
            <w:bottom w:val="none" w:sz="0" w:space="0" w:color="auto"/>
            <w:right w:val="none" w:sz="0" w:space="0" w:color="auto"/>
          </w:divBdr>
        </w:div>
      </w:divsChild>
    </w:div>
    <w:div w:id="1861972907">
      <w:bodyDiv w:val="1"/>
      <w:marLeft w:val="0"/>
      <w:marRight w:val="0"/>
      <w:marTop w:val="0"/>
      <w:marBottom w:val="0"/>
      <w:divBdr>
        <w:top w:val="none" w:sz="0" w:space="0" w:color="auto"/>
        <w:left w:val="none" w:sz="0" w:space="0" w:color="auto"/>
        <w:bottom w:val="none" w:sz="0" w:space="0" w:color="auto"/>
        <w:right w:val="none" w:sz="0" w:space="0" w:color="auto"/>
      </w:divBdr>
    </w:div>
    <w:div w:id="1881822012">
      <w:bodyDiv w:val="1"/>
      <w:marLeft w:val="0"/>
      <w:marRight w:val="0"/>
      <w:marTop w:val="0"/>
      <w:marBottom w:val="0"/>
      <w:divBdr>
        <w:top w:val="none" w:sz="0" w:space="0" w:color="auto"/>
        <w:left w:val="none" w:sz="0" w:space="0" w:color="auto"/>
        <w:bottom w:val="none" w:sz="0" w:space="0" w:color="auto"/>
        <w:right w:val="none" w:sz="0" w:space="0" w:color="auto"/>
      </w:divBdr>
      <w:divsChild>
        <w:div w:id="1961494639">
          <w:marLeft w:val="274"/>
          <w:marRight w:val="0"/>
          <w:marTop w:val="60"/>
          <w:marBottom w:val="0"/>
          <w:divBdr>
            <w:top w:val="none" w:sz="0" w:space="0" w:color="auto"/>
            <w:left w:val="none" w:sz="0" w:space="0" w:color="auto"/>
            <w:bottom w:val="none" w:sz="0" w:space="0" w:color="auto"/>
            <w:right w:val="none" w:sz="0" w:space="0" w:color="auto"/>
          </w:divBdr>
        </w:div>
        <w:div w:id="489491794">
          <w:marLeft w:val="274"/>
          <w:marRight w:val="0"/>
          <w:marTop w:val="60"/>
          <w:marBottom w:val="0"/>
          <w:divBdr>
            <w:top w:val="none" w:sz="0" w:space="0" w:color="auto"/>
            <w:left w:val="none" w:sz="0" w:space="0" w:color="auto"/>
            <w:bottom w:val="none" w:sz="0" w:space="0" w:color="auto"/>
            <w:right w:val="none" w:sz="0" w:space="0" w:color="auto"/>
          </w:divBdr>
        </w:div>
        <w:div w:id="32925938">
          <w:marLeft w:val="274"/>
          <w:marRight w:val="0"/>
          <w:marTop w:val="60"/>
          <w:marBottom w:val="0"/>
          <w:divBdr>
            <w:top w:val="none" w:sz="0" w:space="0" w:color="auto"/>
            <w:left w:val="none" w:sz="0" w:space="0" w:color="auto"/>
            <w:bottom w:val="none" w:sz="0" w:space="0" w:color="auto"/>
            <w:right w:val="none" w:sz="0" w:space="0" w:color="auto"/>
          </w:divBdr>
        </w:div>
        <w:div w:id="608701536">
          <w:marLeft w:val="274"/>
          <w:marRight w:val="0"/>
          <w:marTop w:val="120"/>
          <w:marBottom w:val="0"/>
          <w:divBdr>
            <w:top w:val="none" w:sz="0" w:space="0" w:color="auto"/>
            <w:left w:val="none" w:sz="0" w:space="0" w:color="auto"/>
            <w:bottom w:val="none" w:sz="0" w:space="0" w:color="auto"/>
            <w:right w:val="none" w:sz="0" w:space="0" w:color="auto"/>
          </w:divBdr>
        </w:div>
        <w:div w:id="46103533">
          <w:marLeft w:val="274"/>
          <w:marRight w:val="0"/>
          <w:marTop w:val="120"/>
          <w:marBottom w:val="0"/>
          <w:divBdr>
            <w:top w:val="none" w:sz="0" w:space="0" w:color="auto"/>
            <w:left w:val="none" w:sz="0" w:space="0" w:color="auto"/>
            <w:bottom w:val="none" w:sz="0" w:space="0" w:color="auto"/>
            <w:right w:val="none" w:sz="0" w:space="0" w:color="auto"/>
          </w:divBdr>
        </w:div>
        <w:div w:id="1135951999">
          <w:marLeft w:val="274"/>
          <w:marRight w:val="0"/>
          <w:marTop w:val="120"/>
          <w:marBottom w:val="0"/>
          <w:divBdr>
            <w:top w:val="none" w:sz="0" w:space="0" w:color="auto"/>
            <w:left w:val="none" w:sz="0" w:space="0" w:color="auto"/>
            <w:bottom w:val="none" w:sz="0" w:space="0" w:color="auto"/>
            <w:right w:val="none" w:sz="0" w:space="0" w:color="auto"/>
          </w:divBdr>
        </w:div>
        <w:div w:id="1179663856">
          <w:marLeft w:val="274"/>
          <w:marRight w:val="0"/>
          <w:marTop w:val="120"/>
          <w:marBottom w:val="0"/>
          <w:divBdr>
            <w:top w:val="none" w:sz="0" w:space="0" w:color="auto"/>
            <w:left w:val="none" w:sz="0" w:space="0" w:color="auto"/>
            <w:bottom w:val="none" w:sz="0" w:space="0" w:color="auto"/>
            <w:right w:val="none" w:sz="0" w:space="0" w:color="auto"/>
          </w:divBdr>
        </w:div>
        <w:div w:id="1538619413">
          <w:marLeft w:val="274"/>
          <w:marRight w:val="0"/>
          <w:marTop w:val="120"/>
          <w:marBottom w:val="0"/>
          <w:divBdr>
            <w:top w:val="none" w:sz="0" w:space="0" w:color="auto"/>
            <w:left w:val="none" w:sz="0" w:space="0" w:color="auto"/>
            <w:bottom w:val="none" w:sz="0" w:space="0" w:color="auto"/>
            <w:right w:val="none" w:sz="0" w:space="0" w:color="auto"/>
          </w:divBdr>
        </w:div>
        <w:div w:id="1829250137">
          <w:marLeft w:val="274"/>
          <w:marRight w:val="0"/>
          <w:marTop w:val="120"/>
          <w:marBottom w:val="0"/>
          <w:divBdr>
            <w:top w:val="none" w:sz="0" w:space="0" w:color="auto"/>
            <w:left w:val="none" w:sz="0" w:space="0" w:color="auto"/>
            <w:bottom w:val="none" w:sz="0" w:space="0" w:color="auto"/>
            <w:right w:val="none" w:sz="0" w:space="0" w:color="auto"/>
          </w:divBdr>
        </w:div>
        <w:div w:id="1700549320">
          <w:marLeft w:val="274"/>
          <w:marRight w:val="0"/>
          <w:marTop w:val="60"/>
          <w:marBottom w:val="0"/>
          <w:divBdr>
            <w:top w:val="none" w:sz="0" w:space="0" w:color="auto"/>
            <w:left w:val="none" w:sz="0" w:space="0" w:color="auto"/>
            <w:bottom w:val="none" w:sz="0" w:space="0" w:color="auto"/>
            <w:right w:val="none" w:sz="0" w:space="0" w:color="auto"/>
          </w:divBdr>
        </w:div>
        <w:div w:id="2027901345">
          <w:marLeft w:val="274"/>
          <w:marRight w:val="0"/>
          <w:marTop w:val="60"/>
          <w:marBottom w:val="0"/>
          <w:divBdr>
            <w:top w:val="none" w:sz="0" w:space="0" w:color="auto"/>
            <w:left w:val="none" w:sz="0" w:space="0" w:color="auto"/>
            <w:bottom w:val="none" w:sz="0" w:space="0" w:color="auto"/>
            <w:right w:val="none" w:sz="0" w:space="0" w:color="auto"/>
          </w:divBdr>
        </w:div>
        <w:div w:id="930313963">
          <w:marLeft w:val="274"/>
          <w:marRight w:val="0"/>
          <w:marTop w:val="60"/>
          <w:marBottom w:val="0"/>
          <w:divBdr>
            <w:top w:val="none" w:sz="0" w:space="0" w:color="auto"/>
            <w:left w:val="none" w:sz="0" w:space="0" w:color="auto"/>
            <w:bottom w:val="none" w:sz="0" w:space="0" w:color="auto"/>
            <w:right w:val="none" w:sz="0" w:space="0" w:color="auto"/>
          </w:divBdr>
        </w:div>
        <w:div w:id="697898539">
          <w:marLeft w:val="274"/>
          <w:marRight w:val="0"/>
          <w:marTop w:val="60"/>
          <w:marBottom w:val="0"/>
          <w:divBdr>
            <w:top w:val="none" w:sz="0" w:space="0" w:color="auto"/>
            <w:left w:val="none" w:sz="0" w:space="0" w:color="auto"/>
            <w:bottom w:val="none" w:sz="0" w:space="0" w:color="auto"/>
            <w:right w:val="none" w:sz="0" w:space="0" w:color="auto"/>
          </w:divBdr>
        </w:div>
        <w:div w:id="1462387054">
          <w:marLeft w:val="274"/>
          <w:marRight w:val="0"/>
          <w:marTop w:val="60"/>
          <w:marBottom w:val="0"/>
          <w:divBdr>
            <w:top w:val="none" w:sz="0" w:space="0" w:color="auto"/>
            <w:left w:val="none" w:sz="0" w:space="0" w:color="auto"/>
            <w:bottom w:val="none" w:sz="0" w:space="0" w:color="auto"/>
            <w:right w:val="none" w:sz="0" w:space="0" w:color="auto"/>
          </w:divBdr>
        </w:div>
        <w:div w:id="1778131944">
          <w:marLeft w:val="274"/>
          <w:marRight w:val="0"/>
          <w:marTop w:val="60"/>
          <w:marBottom w:val="0"/>
          <w:divBdr>
            <w:top w:val="none" w:sz="0" w:space="0" w:color="auto"/>
            <w:left w:val="none" w:sz="0" w:space="0" w:color="auto"/>
            <w:bottom w:val="none" w:sz="0" w:space="0" w:color="auto"/>
            <w:right w:val="none" w:sz="0" w:space="0" w:color="auto"/>
          </w:divBdr>
        </w:div>
        <w:div w:id="1545025802">
          <w:marLeft w:val="274"/>
          <w:marRight w:val="0"/>
          <w:marTop w:val="60"/>
          <w:marBottom w:val="0"/>
          <w:divBdr>
            <w:top w:val="none" w:sz="0" w:space="0" w:color="auto"/>
            <w:left w:val="none" w:sz="0" w:space="0" w:color="auto"/>
            <w:bottom w:val="none" w:sz="0" w:space="0" w:color="auto"/>
            <w:right w:val="none" w:sz="0" w:space="0" w:color="auto"/>
          </w:divBdr>
        </w:div>
        <w:div w:id="1351562445">
          <w:marLeft w:val="274"/>
          <w:marRight w:val="0"/>
          <w:marTop w:val="60"/>
          <w:marBottom w:val="0"/>
          <w:divBdr>
            <w:top w:val="none" w:sz="0" w:space="0" w:color="auto"/>
            <w:left w:val="none" w:sz="0" w:space="0" w:color="auto"/>
            <w:bottom w:val="none" w:sz="0" w:space="0" w:color="auto"/>
            <w:right w:val="none" w:sz="0" w:space="0" w:color="auto"/>
          </w:divBdr>
        </w:div>
        <w:div w:id="1618872604">
          <w:marLeft w:val="274"/>
          <w:marRight w:val="0"/>
          <w:marTop w:val="60"/>
          <w:marBottom w:val="0"/>
          <w:divBdr>
            <w:top w:val="none" w:sz="0" w:space="0" w:color="auto"/>
            <w:left w:val="none" w:sz="0" w:space="0" w:color="auto"/>
            <w:bottom w:val="none" w:sz="0" w:space="0" w:color="auto"/>
            <w:right w:val="none" w:sz="0" w:space="0" w:color="auto"/>
          </w:divBdr>
        </w:div>
        <w:div w:id="1532763837">
          <w:marLeft w:val="274"/>
          <w:marRight w:val="0"/>
          <w:marTop w:val="60"/>
          <w:marBottom w:val="0"/>
          <w:divBdr>
            <w:top w:val="none" w:sz="0" w:space="0" w:color="auto"/>
            <w:left w:val="none" w:sz="0" w:space="0" w:color="auto"/>
            <w:bottom w:val="none" w:sz="0" w:space="0" w:color="auto"/>
            <w:right w:val="none" w:sz="0" w:space="0" w:color="auto"/>
          </w:divBdr>
        </w:div>
        <w:div w:id="1022131069">
          <w:marLeft w:val="274"/>
          <w:marRight w:val="0"/>
          <w:marTop w:val="60"/>
          <w:marBottom w:val="0"/>
          <w:divBdr>
            <w:top w:val="none" w:sz="0" w:space="0" w:color="auto"/>
            <w:left w:val="none" w:sz="0" w:space="0" w:color="auto"/>
            <w:bottom w:val="none" w:sz="0" w:space="0" w:color="auto"/>
            <w:right w:val="none" w:sz="0" w:space="0" w:color="auto"/>
          </w:divBdr>
        </w:div>
        <w:div w:id="2060855368">
          <w:marLeft w:val="274"/>
          <w:marRight w:val="0"/>
          <w:marTop w:val="60"/>
          <w:marBottom w:val="0"/>
          <w:divBdr>
            <w:top w:val="none" w:sz="0" w:space="0" w:color="auto"/>
            <w:left w:val="none" w:sz="0" w:space="0" w:color="auto"/>
            <w:bottom w:val="none" w:sz="0" w:space="0" w:color="auto"/>
            <w:right w:val="none" w:sz="0" w:space="0" w:color="auto"/>
          </w:divBdr>
        </w:div>
        <w:div w:id="1433552324">
          <w:marLeft w:val="274"/>
          <w:marRight w:val="0"/>
          <w:marTop w:val="60"/>
          <w:marBottom w:val="0"/>
          <w:divBdr>
            <w:top w:val="none" w:sz="0" w:space="0" w:color="auto"/>
            <w:left w:val="none" w:sz="0" w:space="0" w:color="auto"/>
            <w:bottom w:val="none" w:sz="0" w:space="0" w:color="auto"/>
            <w:right w:val="none" w:sz="0" w:space="0" w:color="auto"/>
          </w:divBdr>
        </w:div>
        <w:div w:id="1705785998">
          <w:marLeft w:val="274"/>
          <w:marRight w:val="0"/>
          <w:marTop w:val="60"/>
          <w:marBottom w:val="0"/>
          <w:divBdr>
            <w:top w:val="none" w:sz="0" w:space="0" w:color="auto"/>
            <w:left w:val="none" w:sz="0" w:space="0" w:color="auto"/>
            <w:bottom w:val="none" w:sz="0" w:space="0" w:color="auto"/>
            <w:right w:val="none" w:sz="0" w:space="0" w:color="auto"/>
          </w:divBdr>
        </w:div>
      </w:divsChild>
    </w:div>
    <w:div w:id="1883977969">
      <w:bodyDiv w:val="1"/>
      <w:marLeft w:val="0"/>
      <w:marRight w:val="0"/>
      <w:marTop w:val="0"/>
      <w:marBottom w:val="0"/>
      <w:divBdr>
        <w:top w:val="none" w:sz="0" w:space="0" w:color="auto"/>
        <w:left w:val="none" w:sz="0" w:space="0" w:color="auto"/>
        <w:bottom w:val="none" w:sz="0" w:space="0" w:color="auto"/>
        <w:right w:val="none" w:sz="0" w:space="0" w:color="auto"/>
      </w:divBdr>
    </w:div>
    <w:div w:id="1890263786">
      <w:bodyDiv w:val="1"/>
      <w:marLeft w:val="0"/>
      <w:marRight w:val="0"/>
      <w:marTop w:val="0"/>
      <w:marBottom w:val="0"/>
      <w:divBdr>
        <w:top w:val="none" w:sz="0" w:space="0" w:color="auto"/>
        <w:left w:val="none" w:sz="0" w:space="0" w:color="auto"/>
        <w:bottom w:val="none" w:sz="0" w:space="0" w:color="auto"/>
        <w:right w:val="none" w:sz="0" w:space="0" w:color="auto"/>
      </w:divBdr>
    </w:div>
    <w:div w:id="1890917452">
      <w:bodyDiv w:val="1"/>
      <w:marLeft w:val="0"/>
      <w:marRight w:val="0"/>
      <w:marTop w:val="0"/>
      <w:marBottom w:val="0"/>
      <w:divBdr>
        <w:top w:val="none" w:sz="0" w:space="0" w:color="auto"/>
        <w:left w:val="none" w:sz="0" w:space="0" w:color="auto"/>
        <w:bottom w:val="none" w:sz="0" w:space="0" w:color="auto"/>
        <w:right w:val="none" w:sz="0" w:space="0" w:color="auto"/>
      </w:divBdr>
    </w:div>
    <w:div w:id="1899589221">
      <w:bodyDiv w:val="1"/>
      <w:marLeft w:val="0"/>
      <w:marRight w:val="0"/>
      <w:marTop w:val="0"/>
      <w:marBottom w:val="0"/>
      <w:divBdr>
        <w:top w:val="none" w:sz="0" w:space="0" w:color="auto"/>
        <w:left w:val="none" w:sz="0" w:space="0" w:color="auto"/>
        <w:bottom w:val="none" w:sz="0" w:space="0" w:color="auto"/>
        <w:right w:val="none" w:sz="0" w:space="0" w:color="auto"/>
      </w:divBdr>
    </w:div>
    <w:div w:id="1905409937">
      <w:bodyDiv w:val="1"/>
      <w:marLeft w:val="0"/>
      <w:marRight w:val="0"/>
      <w:marTop w:val="0"/>
      <w:marBottom w:val="0"/>
      <w:divBdr>
        <w:top w:val="none" w:sz="0" w:space="0" w:color="auto"/>
        <w:left w:val="none" w:sz="0" w:space="0" w:color="auto"/>
        <w:bottom w:val="none" w:sz="0" w:space="0" w:color="auto"/>
        <w:right w:val="none" w:sz="0" w:space="0" w:color="auto"/>
      </w:divBdr>
    </w:div>
    <w:div w:id="1923635177">
      <w:bodyDiv w:val="1"/>
      <w:marLeft w:val="0"/>
      <w:marRight w:val="0"/>
      <w:marTop w:val="0"/>
      <w:marBottom w:val="0"/>
      <w:divBdr>
        <w:top w:val="none" w:sz="0" w:space="0" w:color="auto"/>
        <w:left w:val="none" w:sz="0" w:space="0" w:color="auto"/>
        <w:bottom w:val="none" w:sz="0" w:space="0" w:color="auto"/>
        <w:right w:val="none" w:sz="0" w:space="0" w:color="auto"/>
      </w:divBdr>
    </w:div>
    <w:div w:id="1935506161">
      <w:bodyDiv w:val="1"/>
      <w:marLeft w:val="0"/>
      <w:marRight w:val="0"/>
      <w:marTop w:val="0"/>
      <w:marBottom w:val="0"/>
      <w:divBdr>
        <w:top w:val="none" w:sz="0" w:space="0" w:color="auto"/>
        <w:left w:val="none" w:sz="0" w:space="0" w:color="auto"/>
        <w:bottom w:val="none" w:sz="0" w:space="0" w:color="auto"/>
        <w:right w:val="none" w:sz="0" w:space="0" w:color="auto"/>
      </w:divBdr>
    </w:div>
    <w:div w:id="1959482921">
      <w:bodyDiv w:val="1"/>
      <w:marLeft w:val="0"/>
      <w:marRight w:val="0"/>
      <w:marTop w:val="0"/>
      <w:marBottom w:val="0"/>
      <w:divBdr>
        <w:top w:val="none" w:sz="0" w:space="0" w:color="auto"/>
        <w:left w:val="none" w:sz="0" w:space="0" w:color="auto"/>
        <w:bottom w:val="none" w:sz="0" w:space="0" w:color="auto"/>
        <w:right w:val="none" w:sz="0" w:space="0" w:color="auto"/>
      </w:divBdr>
    </w:div>
    <w:div w:id="1969510201">
      <w:bodyDiv w:val="1"/>
      <w:marLeft w:val="0"/>
      <w:marRight w:val="0"/>
      <w:marTop w:val="0"/>
      <w:marBottom w:val="0"/>
      <w:divBdr>
        <w:top w:val="none" w:sz="0" w:space="0" w:color="auto"/>
        <w:left w:val="none" w:sz="0" w:space="0" w:color="auto"/>
        <w:bottom w:val="none" w:sz="0" w:space="0" w:color="auto"/>
        <w:right w:val="none" w:sz="0" w:space="0" w:color="auto"/>
      </w:divBdr>
    </w:div>
    <w:div w:id="1977103112">
      <w:bodyDiv w:val="1"/>
      <w:marLeft w:val="0"/>
      <w:marRight w:val="0"/>
      <w:marTop w:val="0"/>
      <w:marBottom w:val="0"/>
      <w:divBdr>
        <w:top w:val="none" w:sz="0" w:space="0" w:color="auto"/>
        <w:left w:val="none" w:sz="0" w:space="0" w:color="auto"/>
        <w:bottom w:val="none" w:sz="0" w:space="0" w:color="auto"/>
        <w:right w:val="none" w:sz="0" w:space="0" w:color="auto"/>
      </w:divBdr>
    </w:div>
    <w:div w:id="1979677231">
      <w:bodyDiv w:val="1"/>
      <w:marLeft w:val="0"/>
      <w:marRight w:val="0"/>
      <w:marTop w:val="0"/>
      <w:marBottom w:val="0"/>
      <w:divBdr>
        <w:top w:val="none" w:sz="0" w:space="0" w:color="auto"/>
        <w:left w:val="none" w:sz="0" w:space="0" w:color="auto"/>
        <w:bottom w:val="none" w:sz="0" w:space="0" w:color="auto"/>
        <w:right w:val="none" w:sz="0" w:space="0" w:color="auto"/>
      </w:divBdr>
    </w:div>
    <w:div w:id="2003775142">
      <w:bodyDiv w:val="1"/>
      <w:marLeft w:val="0"/>
      <w:marRight w:val="0"/>
      <w:marTop w:val="0"/>
      <w:marBottom w:val="0"/>
      <w:divBdr>
        <w:top w:val="none" w:sz="0" w:space="0" w:color="auto"/>
        <w:left w:val="none" w:sz="0" w:space="0" w:color="auto"/>
        <w:bottom w:val="none" w:sz="0" w:space="0" w:color="auto"/>
        <w:right w:val="none" w:sz="0" w:space="0" w:color="auto"/>
      </w:divBdr>
    </w:div>
    <w:div w:id="2037808825">
      <w:bodyDiv w:val="1"/>
      <w:marLeft w:val="0"/>
      <w:marRight w:val="0"/>
      <w:marTop w:val="0"/>
      <w:marBottom w:val="0"/>
      <w:divBdr>
        <w:top w:val="none" w:sz="0" w:space="0" w:color="auto"/>
        <w:left w:val="none" w:sz="0" w:space="0" w:color="auto"/>
        <w:bottom w:val="none" w:sz="0" w:space="0" w:color="auto"/>
        <w:right w:val="none" w:sz="0" w:space="0" w:color="auto"/>
      </w:divBdr>
    </w:div>
    <w:div w:id="2057387785">
      <w:bodyDiv w:val="1"/>
      <w:marLeft w:val="0"/>
      <w:marRight w:val="0"/>
      <w:marTop w:val="0"/>
      <w:marBottom w:val="0"/>
      <w:divBdr>
        <w:top w:val="none" w:sz="0" w:space="0" w:color="auto"/>
        <w:left w:val="none" w:sz="0" w:space="0" w:color="auto"/>
        <w:bottom w:val="none" w:sz="0" w:space="0" w:color="auto"/>
        <w:right w:val="none" w:sz="0" w:space="0" w:color="auto"/>
      </w:divBdr>
    </w:div>
    <w:div w:id="2065518485">
      <w:bodyDiv w:val="1"/>
      <w:marLeft w:val="0"/>
      <w:marRight w:val="0"/>
      <w:marTop w:val="0"/>
      <w:marBottom w:val="0"/>
      <w:divBdr>
        <w:top w:val="none" w:sz="0" w:space="0" w:color="auto"/>
        <w:left w:val="none" w:sz="0" w:space="0" w:color="auto"/>
        <w:bottom w:val="none" w:sz="0" w:space="0" w:color="auto"/>
        <w:right w:val="none" w:sz="0" w:space="0" w:color="auto"/>
      </w:divBdr>
    </w:div>
    <w:div w:id="2088575729">
      <w:bodyDiv w:val="1"/>
      <w:marLeft w:val="0"/>
      <w:marRight w:val="0"/>
      <w:marTop w:val="0"/>
      <w:marBottom w:val="0"/>
      <w:divBdr>
        <w:top w:val="none" w:sz="0" w:space="0" w:color="auto"/>
        <w:left w:val="none" w:sz="0" w:space="0" w:color="auto"/>
        <w:bottom w:val="none" w:sz="0" w:space="0" w:color="auto"/>
        <w:right w:val="none" w:sz="0" w:space="0" w:color="auto"/>
      </w:divBdr>
      <w:divsChild>
        <w:div w:id="259679829">
          <w:marLeft w:val="533"/>
          <w:marRight w:val="0"/>
          <w:marTop w:val="120"/>
          <w:marBottom w:val="0"/>
          <w:divBdr>
            <w:top w:val="none" w:sz="0" w:space="0" w:color="auto"/>
            <w:left w:val="none" w:sz="0" w:space="0" w:color="auto"/>
            <w:bottom w:val="none" w:sz="0" w:space="0" w:color="auto"/>
            <w:right w:val="none" w:sz="0" w:space="0" w:color="auto"/>
          </w:divBdr>
        </w:div>
      </w:divsChild>
    </w:div>
    <w:div w:id="2098019874">
      <w:bodyDiv w:val="1"/>
      <w:marLeft w:val="0"/>
      <w:marRight w:val="0"/>
      <w:marTop w:val="0"/>
      <w:marBottom w:val="0"/>
      <w:divBdr>
        <w:top w:val="none" w:sz="0" w:space="0" w:color="auto"/>
        <w:left w:val="none" w:sz="0" w:space="0" w:color="auto"/>
        <w:bottom w:val="none" w:sz="0" w:space="0" w:color="auto"/>
        <w:right w:val="none" w:sz="0" w:space="0" w:color="auto"/>
      </w:divBdr>
    </w:div>
    <w:div w:id="2100517946">
      <w:bodyDiv w:val="1"/>
      <w:marLeft w:val="0"/>
      <w:marRight w:val="0"/>
      <w:marTop w:val="0"/>
      <w:marBottom w:val="0"/>
      <w:divBdr>
        <w:top w:val="none" w:sz="0" w:space="0" w:color="auto"/>
        <w:left w:val="none" w:sz="0" w:space="0" w:color="auto"/>
        <w:bottom w:val="none" w:sz="0" w:space="0" w:color="auto"/>
        <w:right w:val="none" w:sz="0" w:space="0" w:color="auto"/>
      </w:divBdr>
    </w:div>
    <w:div w:id="214692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hart" Target="charts/chart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nrc.gov/reactors/operating/licensing/power-uprates/status-power-apps/expected-applications.html" TargetMode="External"/><Relationship Id="rId2" Type="http://schemas.openxmlformats.org/officeDocument/2006/relationships/hyperlink" Target="http://www.nrc.gov/reactors/operating/licensing/power-uprates/status-power-apps/pending-applications.html" TargetMode="External"/><Relationship Id="rId1" Type="http://schemas.openxmlformats.org/officeDocument/2006/relationships/hyperlink" Target="http://www.uwig.org/CRA_SPP_WITF_Wind_Integration_Study_Final_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dcproj\Proj\Energy&amp;Environ\KDitzel17208.00-SO-FUEL\B2019\Assumptions\UnitCapAdj_Nuclear_Uprates-Retires_B2019_04_02_201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cproj\Proj\Energy&amp;Environ\KDitzel17208.00-SO-FUEL\B2019\Assumptions\UnitCapAdj_Nuclear_Uprates-Retires_B2019_04_02_2018.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20192520795939"/>
          <c:y val="3.9426523297491037E-2"/>
          <c:w val="0.87404225044315342"/>
          <c:h val="0.84272965879265094"/>
        </c:manualLayout>
      </c:layout>
      <c:barChart>
        <c:barDir val="col"/>
        <c:grouping val="stacked"/>
        <c:varyColors val="0"/>
        <c:ser>
          <c:idx val="1"/>
          <c:order val="0"/>
          <c:tx>
            <c:strRef>
              <c:f>'replacement Figure'!$C$3</c:f>
              <c:strCache>
                <c:ptCount val="1"/>
                <c:pt idx="0">
                  <c:v>Vertically Integrated / Competitive-Likely</c:v>
                </c:pt>
              </c:strCache>
            </c:strRef>
          </c:tx>
          <c:spPr>
            <a:solidFill>
              <a:schemeClr val="accent1"/>
            </a:solidFill>
            <a:ln>
              <a:solidFill>
                <a:schemeClr val="accent1"/>
              </a:solidFill>
            </a:ln>
            <a:effectLst/>
          </c:spPr>
          <c:invertIfNegative val="0"/>
          <c:cat>
            <c:numRef>
              <c:f>'replacement Figure'!$B$4:$B$39</c:f>
              <c:numCache>
                <c:formatCode>General</c:formatCode>
                <c:ptCount val="36"/>
                <c:pt idx="0">
                  <c:v>2023</c:v>
                </c:pt>
                <c:pt idx="1">
                  <c:v>2024</c:v>
                </c:pt>
                <c:pt idx="2">
                  <c:v>2025</c:v>
                </c:pt>
                <c:pt idx="3">
                  <c:v>2026</c:v>
                </c:pt>
                <c:pt idx="4">
                  <c:v>2027</c:v>
                </c:pt>
                <c:pt idx="5">
                  <c:v>2028</c:v>
                </c:pt>
                <c:pt idx="6">
                  <c:v>2029</c:v>
                </c:pt>
                <c:pt idx="7">
                  <c:v>2030</c:v>
                </c:pt>
                <c:pt idx="8">
                  <c:v>2031</c:v>
                </c:pt>
                <c:pt idx="9">
                  <c:v>2032</c:v>
                </c:pt>
                <c:pt idx="10">
                  <c:v>2033</c:v>
                </c:pt>
                <c:pt idx="11">
                  <c:v>2034</c:v>
                </c:pt>
                <c:pt idx="12">
                  <c:v>2035</c:v>
                </c:pt>
                <c:pt idx="13">
                  <c:v>2036</c:v>
                </c:pt>
                <c:pt idx="14">
                  <c:v>2037</c:v>
                </c:pt>
                <c:pt idx="15">
                  <c:v>2038</c:v>
                </c:pt>
                <c:pt idx="16">
                  <c:v>2039</c:v>
                </c:pt>
                <c:pt idx="17">
                  <c:v>2040</c:v>
                </c:pt>
                <c:pt idx="18">
                  <c:v>2041</c:v>
                </c:pt>
                <c:pt idx="19">
                  <c:v>2042</c:v>
                </c:pt>
                <c:pt idx="20">
                  <c:v>2043</c:v>
                </c:pt>
                <c:pt idx="21">
                  <c:v>2044</c:v>
                </c:pt>
                <c:pt idx="22">
                  <c:v>2045</c:v>
                </c:pt>
                <c:pt idx="23">
                  <c:v>2046</c:v>
                </c:pt>
                <c:pt idx="24">
                  <c:v>2047</c:v>
                </c:pt>
                <c:pt idx="25">
                  <c:v>2048</c:v>
                </c:pt>
                <c:pt idx="26">
                  <c:v>2049</c:v>
                </c:pt>
                <c:pt idx="27">
                  <c:v>2050</c:v>
                </c:pt>
                <c:pt idx="28">
                  <c:v>2051</c:v>
                </c:pt>
                <c:pt idx="29">
                  <c:v>2052</c:v>
                </c:pt>
                <c:pt idx="30">
                  <c:v>2053</c:v>
                </c:pt>
                <c:pt idx="31">
                  <c:v>2054</c:v>
                </c:pt>
                <c:pt idx="32">
                  <c:v>2055</c:v>
                </c:pt>
                <c:pt idx="33">
                  <c:v>2056</c:v>
                </c:pt>
                <c:pt idx="34">
                  <c:v>2057</c:v>
                </c:pt>
                <c:pt idx="35">
                  <c:v>2058</c:v>
                </c:pt>
              </c:numCache>
            </c:numRef>
          </c:cat>
          <c:val>
            <c:numRef>
              <c:f>'replacement Figure'!$C$4:$C$39</c:f>
              <c:numCache>
                <c:formatCode>General</c:formatCode>
                <c:ptCount val="36"/>
                <c:pt idx="0">
                  <c:v>0</c:v>
                </c:pt>
                <c:pt idx="1">
                  <c:v>0</c:v>
                </c:pt>
                <c:pt idx="2">
                  <c:v>0</c:v>
                </c:pt>
                <c:pt idx="3">
                  <c:v>0</c:v>
                </c:pt>
                <c:pt idx="4">
                  <c:v>0</c:v>
                </c:pt>
                <c:pt idx="5">
                  <c:v>0</c:v>
                </c:pt>
                <c:pt idx="6">
                  <c:v>0</c:v>
                </c:pt>
                <c:pt idx="7">
                  <c:v>0</c:v>
                </c:pt>
                <c:pt idx="8">
                  <c:v>1.8914000000000002</c:v>
                </c:pt>
                <c:pt idx="9">
                  <c:v>0</c:v>
                </c:pt>
                <c:pt idx="10">
                  <c:v>2.2368000000000001</c:v>
                </c:pt>
                <c:pt idx="11">
                  <c:v>5.1214666666666675</c:v>
                </c:pt>
                <c:pt idx="12">
                  <c:v>8.5397666666666652</c:v>
                </c:pt>
                <c:pt idx="13">
                  <c:v>0</c:v>
                </c:pt>
                <c:pt idx="14">
                  <c:v>4.0303666666666675</c:v>
                </c:pt>
                <c:pt idx="15">
                  <c:v>1.9340000000000002</c:v>
                </c:pt>
                <c:pt idx="16">
                  <c:v>2.8168500000000001</c:v>
                </c:pt>
                <c:pt idx="17">
                  <c:v>0</c:v>
                </c:pt>
                <c:pt idx="18">
                  <c:v>0.94399999999999995</c:v>
                </c:pt>
                <c:pt idx="19">
                  <c:v>2.0409999999999999</c:v>
                </c:pt>
                <c:pt idx="20">
                  <c:v>2.2309999999999999</c:v>
                </c:pt>
                <c:pt idx="21">
                  <c:v>5.6104676666666666</c:v>
                </c:pt>
                <c:pt idx="22">
                  <c:v>1.2600000000000002</c:v>
                </c:pt>
                <c:pt idx="23">
                  <c:v>2.4860030000000002</c:v>
                </c:pt>
                <c:pt idx="24">
                  <c:v>3.3919980000000005</c:v>
                </c:pt>
                <c:pt idx="25">
                  <c:v>1.3119989999999999</c:v>
                </c:pt>
                <c:pt idx="26">
                  <c:v>1.1520000000000001</c:v>
                </c:pt>
                <c:pt idx="27">
                  <c:v>0</c:v>
                </c:pt>
                <c:pt idx="28">
                  <c:v>0</c:v>
                </c:pt>
                <c:pt idx="29">
                  <c:v>0</c:v>
                </c:pt>
                <c:pt idx="30">
                  <c:v>0</c:v>
                </c:pt>
                <c:pt idx="31">
                  <c:v>0</c:v>
                </c:pt>
                <c:pt idx="32">
                  <c:v>0</c:v>
                </c:pt>
                <c:pt idx="33">
                  <c:v>0</c:v>
                </c:pt>
                <c:pt idx="34">
                  <c:v>0</c:v>
                </c:pt>
                <c:pt idx="35">
                  <c:v>0</c:v>
                </c:pt>
              </c:numCache>
            </c:numRef>
          </c:val>
          <c:extLst>
            <c:ext xmlns:c16="http://schemas.microsoft.com/office/drawing/2014/chart" uri="{C3380CC4-5D6E-409C-BE32-E72D297353CC}">
              <c16:uniqueId val="{00000000-9B2F-4542-B11A-26F19780EF13}"/>
            </c:ext>
          </c:extLst>
        </c:ser>
        <c:ser>
          <c:idx val="0"/>
          <c:order val="1"/>
          <c:tx>
            <c:strRef>
              <c:f>'replacement Figure'!$D$3</c:f>
              <c:strCache>
                <c:ptCount val="1"/>
                <c:pt idx="0">
                  <c:v>Competitive-Unlikely</c:v>
                </c:pt>
              </c:strCache>
            </c:strRef>
          </c:tx>
          <c:spPr>
            <a:noFill/>
            <a:ln>
              <a:solidFill>
                <a:schemeClr val="accent1"/>
              </a:solidFill>
              <a:prstDash val="sysDash"/>
            </a:ln>
            <a:effectLst/>
          </c:spPr>
          <c:invertIfNegative val="0"/>
          <c:cat>
            <c:numRef>
              <c:f>'replacement Figure'!$B$4:$B$39</c:f>
              <c:numCache>
                <c:formatCode>General</c:formatCode>
                <c:ptCount val="36"/>
                <c:pt idx="0">
                  <c:v>2023</c:v>
                </c:pt>
                <c:pt idx="1">
                  <c:v>2024</c:v>
                </c:pt>
                <c:pt idx="2">
                  <c:v>2025</c:v>
                </c:pt>
                <c:pt idx="3">
                  <c:v>2026</c:v>
                </c:pt>
                <c:pt idx="4">
                  <c:v>2027</c:v>
                </c:pt>
                <c:pt idx="5">
                  <c:v>2028</c:v>
                </c:pt>
                <c:pt idx="6">
                  <c:v>2029</c:v>
                </c:pt>
                <c:pt idx="7">
                  <c:v>2030</c:v>
                </c:pt>
                <c:pt idx="8">
                  <c:v>2031</c:v>
                </c:pt>
                <c:pt idx="9">
                  <c:v>2032</c:v>
                </c:pt>
                <c:pt idx="10">
                  <c:v>2033</c:v>
                </c:pt>
                <c:pt idx="11">
                  <c:v>2034</c:v>
                </c:pt>
                <c:pt idx="12">
                  <c:v>2035</c:v>
                </c:pt>
                <c:pt idx="13">
                  <c:v>2036</c:v>
                </c:pt>
                <c:pt idx="14">
                  <c:v>2037</c:v>
                </c:pt>
                <c:pt idx="15">
                  <c:v>2038</c:v>
                </c:pt>
                <c:pt idx="16">
                  <c:v>2039</c:v>
                </c:pt>
                <c:pt idx="17">
                  <c:v>2040</c:v>
                </c:pt>
                <c:pt idx="18">
                  <c:v>2041</c:v>
                </c:pt>
                <c:pt idx="19">
                  <c:v>2042</c:v>
                </c:pt>
                <c:pt idx="20">
                  <c:v>2043</c:v>
                </c:pt>
                <c:pt idx="21">
                  <c:v>2044</c:v>
                </c:pt>
                <c:pt idx="22">
                  <c:v>2045</c:v>
                </c:pt>
                <c:pt idx="23">
                  <c:v>2046</c:v>
                </c:pt>
                <c:pt idx="24">
                  <c:v>2047</c:v>
                </c:pt>
                <c:pt idx="25">
                  <c:v>2048</c:v>
                </c:pt>
                <c:pt idx="26">
                  <c:v>2049</c:v>
                </c:pt>
                <c:pt idx="27">
                  <c:v>2050</c:v>
                </c:pt>
                <c:pt idx="28">
                  <c:v>2051</c:v>
                </c:pt>
                <c:pt idx="29">
                  <c:v>2052</c:v>
                </c:pt>
                <c:pt idx="30">
                  <c:v>2053</c:v>
                </c:pt>
                <c:pt idx="31">
                  <c:v>2054</c:v>
                </c:pt>
                <c:pt idx="32">
                  <c:v>2055</c:v>
                </c:pt>
                <c:pt idx="33">
                  <c:v>2056</c:v>
                </c:pt>
                <c:pt idx="34">
                  <c:v>2057</c:v>
                </c:pt>
                <c:pt idx="35">
                  <c:v>2058</c:v>
                </c:pt>
              </c:numCache>
            </c:numRef>
          </c:cat>
          <c:val>
            <c:numRef>
              <c:f>'replacement Figure'!$D$4:$D$39</c:f>
              <c:numCache>
                <c:formatCode>General</c:formatCode>
                <c:ptCount val="36"/>
                <c:pt idx="0">
                  <c:v>0.78900000000000003</c:v>
                </c:pt>
                <c:pt idx="1">
                  <c:v>0</c:v>
                </c:pt>
                <c:pt idx="2">
                  <c:v>4.2439999999999998</c:v>
                </c:pt>
                <c:pt idx="3">
                  <c:v>2.9689999999999999</c:v>
                </c:pt>
                <c:pt idx="4">
                  <c:v>1.0649999999999999</c:v>
                </c:pt>
                <c:pt idx="5">
                  <c:v>0</c:v>
                </c:pt>
                <c:pt idx="6">
                  <c:v>1.4335</c:v>
                </c:pt>
                <c:pt idx="7">
                  <c:v>1.5095999999999998</c:v>
                </c:pt>
                <c:pt idx="8">
                  <c:v>0</c:v>
                </c:pt>
                <c:pt idx="9">
                  <c:v>0.89500000000000002</c:v>
                </c:pt>
                <c:pt idx="10">
                  <c:v>0</c:v>
                </c:pt>
                <c:pt idx="11">
                  <c:v>1.2927333333333335</c:v>
                </c:pt>
                <c:pt idx="12">
                  <c:v>1.2927333333333335</c:v>
                </c:pt>
                <c:pt idx="13">
                  <c:v>0.87085500000000005</c:v>
                </c:pt>
                <c:pt idx="14">
                  <c:v>2.7101999999999999</c:v>
                </c:pt>
                <c:pt idx="15">
                  <c:v>0.77</c:v>
                </c:pt>
                <c:pt idx="16">
                  <c:v>0.77</c:v>
                </c:pt>
                <c:pt idx="17">
                  <c:v>0</c:v>
                </c:pt>
                <c:pt idx="18">
                  <c:v>1.1579999999999999</c:v>
                </c:pt>
                <c:pt idx="19">
                  <c:v>0</c:v>
                </c:pt>
                <c:pt idx="20">
                  <c:v>1.1354000000000002</c:v>
                </c:pt>
                <c:pt idx="21">
                  <c:v>4.3971999999999998</c:v>
                </c:pt>
                <c:pt idx="22">
                  <c:v>2.2836999999999996</c:v>
                </c:pt>
                <c:pt idx="23">
                  <c:v>1.225001</c:v>
                </c:pt>
                <c:pt idx="24">
                  <c:v>3.4514999999999998</c:v>
                </c:pt>
                <c:pt idx="25">
                  <c:v>0</c:v>
                </c:pt>
                <c:pt idx="26">
                  <c:v>2.33</c:v>
                </c:pt>
                <c:pt idx="27">
                  <c:v>1.1220999999999999</c:v>
                </c:pt>
                <c:pt idx="28">
                  <c:v>3.3322240000000001</c:v>
                </c:pt>
                <c:pt idx="29">
                  <c:v>1.762</c:v>
                </c:pt>
                <c:pt idx="30">
                  <c:v>2.0760000000000001</c:v>
                </c:pt>
                <c:pt idx="31">
                  <c:v>0</c:v>
                </c:pt>
                <c:pt idx="32">
                  <c:v>0</c:v>
                </c:pt>
                <c:pt idx="33">
                  <c:v>0</c:v>
                </c:pt>
                <c:pt idx="34">
                  <c:v>0</c:v>
                </c:pt>
                <c:pt idx="35">
                  <c:v>0</c:v>
                </c:pt>
              </c:numCache>
            </c:numRef>
          </c:val>
          <c:extLst>
            <c:ext xmlns:c16="http://schemas.microsoft.com/office/drawing/2014/chart" uri="{C3380CC4-5D6E-409C-BE32-E72D297353CC}">
              <c16:uniqueId val="{00000001-9B2F-4542-B11A-26F19780EF13}"/>
            </c:ext>
          </c:extLst>
        </c:ser>
        <c:dLbls>
          <c:showLegendKey val="0"/>
          <c:showVal val="0"/>
          <c:showCatName val="0"/>
          <c:showSerName val="0"/>
          <c:showPercent val="0"/>
          <c:showBubbleSize val="0"/>
        </c:dLbls>
        <c:gapWidth val="150"/>
        <c:overlap val="100"/>
        <c:axId val="210258744"/>
        <c:axId val="210259136"/>
      </c:barChart>
      <c:catAx>
        <c:axId val="210258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259136"/>
        <c:crosses val="autoZero"/>
        <c:auto val="1"/>
        <c:lblAlgn val="ctr"/>
        <c:lblOffset val="100"/>
        <c:noMultiLvlLbl val="0"/>
      </c:catAx>
      <c:valAx>
        <c:axId val="210259136"/>
        <c:scaling>
          <c:orientation val="minMax"/>
          <c:max val="10"/>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New Replacement</a:t>
                </a:r>
                <a:r>
                  <a:rPr lang="en-US" b="1" baseline="0"/>
                  <a:t> Nuclear Capacity Limits (GW)</a:t>
                </a:r>
                <a:endParaRPr lang="en-US" b="1"/>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258744"/>
        <c:crosses val="autoZero"/>
        <c:crossBetween val="between"/>
        <c:majorUnit val="2"/>
      </c:valAx>
      <c:spPr>
        <a:noFill/>
        <a:ln>
          <a:noFill/>
        </a:ln>
        <a:effectLst/>
      </c:spPr>
    </c:plotArea>
    <c:legend>
      <c:legendPos val="r"/>
      <c:layout>
        <c:manualLayout>
          <c:xMode val="edge"/>
          <c:yMode val="edge"/>
          <c:x val="0.7205154805488273"/>
          <c:y val="3.9985606637879943E-2"/>
          <c:w val="0.25126164220443958"/>
          <c:h val="0.1737625941918550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52889632319301"/>
          <c:y val="4.3264503441494601E-2"/>
          <c:w val="0.85416706331397696"/>
          <c:h val="0.65829342128694102"/>
        </c:manualLayout>
      </c:layout>
      <c:lineChart>
        <c:grouping val="standard"/>
        <c:varyColors val="0"/>
        <c:ser>
          <c:idx val="0"/>
          <c:order val="0"/>
          <c:tx>
            <c:strRef>
              <c:f>'Nuclear Capacity Figure'!$C$23</c:f>
              <c:strCache>
                <c:ptCount val="1"/>
                <c:pt idx="0">
                  <c:v>B2019 Max Nuclear Cap.</c:v>
                </c:pt>
              </c:strCache>
            </c:strRef>
          </c:tx>
          <c:spPr>
            <a:ln w="28575" cap="rnd">
              <a:solidFill>
                <a:schemeClr val="accent1"/>
              </a:solidFill>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Figure'!$E$23:$AS$23</c:f>
              <c:numCache>
                <c:formatCode>0.0</c:formatCode>
                <c:ptCount val="41"/>
                <c:pt idx="0">
                  <c:v>112.9626633333333</c:v>
                </c:pt>
                <c:pt idx="1">
                  <c:v>112.3549633333333</c:v>
                </c:pt>
                <c:pt idx="2">
                  <c:v>109.8544633333333</c:v>
                </c:pt>
                <c:pt idx="3">
                  <c:v>109.0198633333334</c:v>
                </c:pt>
                <c:pt idx="4">
                  <c:v>107.0458643333333</c:v>
                </c:pt>
                <c:pt idx="5">
                  <c:v>108.4568643333333</c:v>
                </c:pt>
                <c:pt idx="6">
                  <c:v>110.6568643333333</c:v>
                </c:pt>
                <c:pt idx="7">
                  <c:v>108.61286433333331</c:v>
                </c:pt>
                <c:pt idx="8">
                  <c:v>107.8438643333333</c:v>
                </c:pt>
                <c:pt idx="9">
                  <c:v>108.97886433333331</c:v>
                </c:pt>
                <c:pt idx="10">
                  <c:v>111.17886433333329</c:v>
                </c:pt>
                <c:pt idx="11">
                  <c:v>111.9453643333333</c:v>
                </c:pt>
                <c:pt idx="12">
                  <c:v>114.1453643333333</c:v>
                </c:pt>
                <c:pt idx="13">
                  <c:v>116.34536433333329</c:v>
                </c:pt>
                <c:pt idx="14">
                  <c:v>118.5453643333333</c:v>
                </c:pt>
                <c:pt idx="15">
                  <c:v>120.7453643333333</c:v>
                </c:pt>
                <c:pt idx="16">
                  <c:v>122.9453643333333</c:v>
                </c:pt>
                <c:pt idx="17">
                  <c:v>125.1453643333333</c:v>
                </c:pt>
                <c:pt idx="18">
                  <c:v>127.34536433333329</c:v>
                </c:pt>
                <c:pt idx="19">
                  <c:v>129.54536433333331</c:v>
                </c:pt>
                <c:pt idx="20">
                  <c:v>131.7453643333333</c:v>
                </c:pt>
                <c:pt idx="21">
                  <c:v>133.94536433333329</c:v>
                </c:pt>
                <c:pt idx="22">
                  <c:v>136.1453643333333</c:v>
                </c:pt>
                <c:pt idx="23">
                  <c:v>138.34536433333341</c:v>
                </c:pt>
                <c:pt idx="24">
                  <c:v>140.54536433333331</c:v>
                </c:pt>
                <c:pt idx="25">
                  <c:v>142.7453643333333</c:v>
                </c:pt>
                <c:pt idx="26">
                  <c:v>144.94536433333329</c:v>
                </c:pt>
                <c:pt idx="27">
                  <c:v>147.1453643333333</c:v>
                </c:pt>
                <c:pt idx="28">
                  <c:v>149.34536433333341</c:v>
                </c:pt>
                <c:pt idx="29">
                  <c:v>151.54536433333331</c:v>
                </c:pt>
                <c:pt idx="30">
                  <c:v>153.74536433333341</c:v>
                </c:pt>
                <c:pt idx="31">
                  <c:v>155.94536433333329</c:v>
                </c:pt>
                <c:pt idx="32">
                  <c:v>158.14536433333339</c:v>
                </c:pt>
                <c:pt idx="33">
                  <c:v>160.34536433333341</c:v>
                </c:pt>
                <c:pt idx="34">
                  <c:v>162.54536433333331</c:v>
                </c:pt>
                <c:pt idx="35">
                  <c:v>164.74536433333341</c:v>
                </c:pt>
                <c:pt idx="36">
                  <c:v>166.9453643333334</c:v>
                </c:pt>
                <c:pt idx="37">
                  <c:v>169.14536433333339</c:v>
                </c:pt>
                <c:pt idx="38">
                  <c:v>171.34536433333341</c:v>
                </c:pt>
                <c:pt idx="39">
                  <c:v>173.5453643333334</c:v>
                </c:pt>
                <c:pt idx="40">
                  <c:v>175.74536433333341</c:v>
                </c:pt>
              </c:numCache>
            </c:numRef>
          </c:val>
          <c:smooth val="0"/>
          <c:extLst>
            <c:ext xmlns:c16="http://schemas.microsoft.com/office/drawing/2014/chart" uri="{C3380CC4-5D6E-409C-BE32-E72D297353CC}">
              <c16:uniqueId val="{00000000-9F53-438F-B6C0-6AFF54EFC4B7}"/>
            </c:ext>
          </c:extLst>
        </c:ser>
        <c:ser>
          <c:idx val="1"/>
          <c:order val="1"/>
          <c:tx>
            <c:strRef>
              <c:f>'Nuclear Capacity Figure'!$C$24</c:f>
              <c:strCache>
                <c:ptCount val="1"/>
                <c:pt idx="0">
                  <c:v>B2018 Max Nuclear Cap.</c:v>
                </c:pt>
              </c:strCache>
            </c:strRef>
          </c:tx>
          <c:spPr>
            <a:ln w="28575" cap="rnd">
              <a:solidFill>
                <a:schemeClr val="accent1"/>
              </a:solidFill>
              <a:prstDash val="sysDot"/>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Figure'!$E$24:$AS$24</c:f>
              <c:numCache>
                <c:formatCode>0.0</c:formatCode>
                <c:ptCount val="41"/>
                <c:pt idx="0">
                  <c:v>112.17366333333329</c:v>
                </c:pt>
                <c:pt idx="1">
                  <c:v>113.1053633333333</c:v>
                </c:pt>
                <c:pt idx="2">
                  <c:v>114.3022633333333</c:v>
                </c:pt>
                <c:pt idx="3">
                  <c:v>113.2616633333333</c:v>
                </c:pt>
                <c:pt idx="4">
                  <c:v>115.46166333333331</c:v>
                </c:pt>
                <c:pt idx="5">
                  <c:v>117.66166333333339</c:v>
                </c:pt>
                <c:pt idx="6">
                  <c:v>118.71166333333331</c:v>
                </c:pt>
                <c:pt idx="7">
                  <c:v>115.8648633333333</c:v>
                </c:pt>
                <c:pt idx="8">
                  <c:v>115.18086333333331</c:v>
                </c:pt>
                <c:pt idx="9">
                  <c:v>117.38086333333339</c:v>
                </c:pt>
                <c:pt idx="10">
                  <c:v>119.5808633333334</c:v>
                </c:pt>
                <c:pt idx="11">
                  <c:v>120.34736333333331</c:v>
                </c:pt>
                <c:pt idx="12">
                  <c:v>122.54736333333339</c:v>
                </c:pt>
                <c:pt idx="13">
                  <c:v>124.7473633333334</c:v>
                </c:pt>
                <c:pt idx="14">
                  <c:v>126.9473633333333</c:v>
                </c:pt>
                <c:pt idx="15">
                  <c:v>129.14736333333329</c:v>
                </c:pt>
                <c:pt idx="16">
                  <c:v>131.34736333333339</c:v>
                </c:pt>
                <c:pt idx="17">
                  <c:v>133.54736333333341</c:v>
                </c:pt>
                <c:pt idx="18">
                  <c:v>135.74736333333331</c:v>
                </c:pt>
                <c:pt idx="19">
                  <c:v>137.94736333333341</c:v>
                </c:pt>
                <c:pt idx="20">
                  <c:v>140.14736333333329</c:v>
                </c:pt>
                <c:pt idx="21">
                  <c:v>142.34736333333331</c:v>
                </c:pt>
                <c:pt idx="22">
                  <c:v>144.54736333333341</c:v>
                </c:pt>
                <c:pt idx="23">
                  <c:v>146.74736333333331</c:v>
                </c:pt>
                <c:pt idx="24">
                  <c:v>148.94736333333341</c:v>
                </c:pt>
                <c:pt idx="25">
                  <c:v>151.1473633333334</c:v>
                </c:pt>
                <c:pt idx="26">
                  <c:v>153.34736333333339</c:v>
                </c:pt>
                <c:pt idx="27">
                  <c:v>155.54736333333341</c:v>
                </c:pt>
                <c:pt idx="28">
                  <c:v>157.74736333333331</c:v>
                </c:pt>
                <c:pt idx="29">
                  <c:v>159.94736333333341</c:v>
                </c:pt>
                <c:pt idx="30">
                  <c:v>162.1473633333334</c:v>
                </c:pt>
                <c:pt idx="31">
                  <c:v>164.34736333333339</c:v>
                </c:pt>
                <c:pt idx="32">
                  <c:v>166.54736333333341</c:v>
                </c:pt>
                <c:pt idx="33">
                  <c:v>168.74736333333331</c:v>
                </c:pt>
                <c:pt idx="34">
                  <c:v>170.94736333333341</c:v>
                </c:pt>
                <c:pt idx="35">
                  <c:v>173.1473633333334</c:v>
                </c:pt>
                <c:pt idx="36">
                  <c:v>175.34736333333339</c:v>
                </c:pt>
                <c:pt idx="37">
                  <c:v>177.54736333333341</c:v>
                </c:pt>
                <c:pt idx="38">
                  <c:v>179.74736333333331</c:v>
                </c:pt>
                <c:pt idx="39">
                  <c:v>181.94736333333341</c:v>
                </c:pt>
                <c:pt idx="40">
                  <c:v>184.1473633333334</c:v>
                </c:pt>
              </c:numCache>
            </c:numRef>
          </c:val>
          <c:smooth val="0"/>
          <c:extLst>
            <c:ext xmlns:c16="http://schemas.microsoft.com/office/drawing/2014/chart" uri="{C3380CC4-5D6E-409C-BE32-E72D297353CC}">
              <c16:uniqueId val="{00000001-9F53-438F-B6C0-6AFF54EFC4B7}"/>
            </c:ext>
          </c:extLst>
        </c:ser>
        <c:ser>
          <c:idx val="2"/>
          <c:order val="2"/>
          <c:tx>
            <c:strRef>
              <c:f>'Nuclear Capacity Figure'!$C$25</c:f>
              <c:strCache>
                <c:ptCount val="1"/>
                <c:pt idx="0">
                  <c:v>B2019 Existing &amp; Under Const.</c:v>
                </c:pt>
              </c:strCache>
            </c:strRef>
          </c:tx>
          <c:spPr>
            <a:ln w="28575" cap="rnd">
              <a:solidFill>
                <a:schemeClr val="accent3"/>
              </a:solidFill>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Figure'!$E$25:$AS$25</c:f>
              <c:numCache>
                <c:formatCode>0.0</c:formatCode>
                <c:ptCount val="41"/>
                <c:pt idx="0">
                  <c:v>112.9626633333333</c:v>
                </c:pt>
                <c:pt idx="1">
                  <c:v>112.3549633333333</c:v>
                </c:pt>
                <c:pt idx="2">
                  <c:v>109.8544633333333</c:v>
                </c:pt>
                <c:pt idx="3">
                  <c:v>109.0198633333334</c:v>
                </c:pt>
                <c:pt idx="4">
                  <c:v>107.0458643333333</c:v>
                </c:pt>
                <c:pt idx="5">
                  <c:v>106.2568643333333</c:v>
                </c:pt>
                <c:pt idx="6">
                  <c:v>106.2568643333333</c:v>
                </c:pt>
                <c:pt idx="7">
                  <c:v>102.0128643333333</c:v>
                </c:pt>
                <c:pt idx="8">
                  <c:v>99.043864333333346</c:v>
                </c:pt>
                <c:pt idx="9">
                  <c:v>97.978864333333348</c:v>
                </c:pt>
                <c:pt idx="10">
                  <c:v>97.978864333333348</c:v>
                </c:pt>
                <c:pt idx="11">
                  <c:v>96.545364333333339</c:v>
                </c:pt>
                <c:pt idx="12">
                  <c:v>95.035764333333304</c:v>
                </c:pt>
                <c:pt idx="13">
                  <c:v>93.144364333333343</c:v>
                </c:pt>
                <c:pt idx="14">
                  <c:v>92.249364333333347</c:v>
                </c:pt>
                <c:pt idx="15">
                  <c:v>90.012564333333344</c:v>
                </c:pt>
                <c:pt idx="16">
                  <c:v>83.59836433333335</c:v>
                </c:pt>
                <c:pt idx="17">
                  <c:v>73.765864333333312</c:v>
                </c:pt>
                <c:pt idx="18">
                  <c:v>72.895009333333306</c:v>
                </c:pt>
                <c:pt idx="19">
                  <c:v>66.15444266666664</c:v>
                </c:pt>
                <c:pt idx="20">
                  <c:v>63.450442666666632</c:v>
                </c:pt>
                <c:pt idx="21">
                  <c:v>59.863592666666641</c:v>
                </c:pt>
                <c:pt idx="22">
                  <c:v>59.863592666666641</c:v>
                </c:pt>
                <c:pt idx="23">
                  <c:v>57.761592666666651</c:v>
                </c:pt>
                <c:pt idx="24">
                  <c:v>55.720592666666647</c:v>
                </c:pt>
                <c:pt idx="25">
                  <c:v>52.354192666666627</c:v>
                </c:pt>
                <c:pt idx="26">
                  <c:v>42.346525</c:v>
                </c:pt>
                <c:pt idx="27">
                  <c:v>38.802824999999999</c:v>
                </c:pt>
                <c:pt idx="28">
                  <c:v>35.091821000000003</c:v>
                </c:pt>
                <c:pt idx="29">
                  <c:v>28.248322999999981</c:v>
                </c:pt>
                <c:pt idx="30">
                  <c:v>26.936323999999999</c:v>
                </c:pt>
                <c:pt idx="31">
                  <c:v>23.454324</c:v>
                </c:pt>
                <c:pt idx="32">
                  <c:v>22.332224</c:v>
                </c:pt>
                <c:pt idx="33">
                  <c:v>19</c:v>
                </c:pt>
                <c:pt idx="34">
                  <c:v>17.238</c:v>
                </c:pt>
                <c:pt idx="35">
                  <c:v>15.162000000000001</c:v>
                </c:pt>
                <c:pt idx="36">
                  <c:v>15.162000000000001</c:v>
                </c:pt>
                <c:pt idx="37">
                  <c:v>15.162000000000001</c:v>
                </c:pt>
                <c:pt idx="38">
                  <c:v>15.162000000000001</c:v>
                </c:pt>
                <c:pt idx="39">
                  <c:v>15.162000000000001</c:v>
                </c:pt>
                <c:pt idx="40">
                  <c:v>15.162000000000001</c:v>
                </c:pt>
              </c:numCache>
            </c:numRef>
          </c:val>
          <c:smooth val="0"/>
          <c:extLst>
            <c:ext xmlns:c16="http://schemas.microsoft.com/office/drawing/2014/chart" uri="{C3380CC4-5D6E-409C-BE32-E72D297353CC}">
              <c16:uniqueId val="{00000002-9F53-438F-B6C0-6AFF54EFC4B7}"/>
            </c:ext>
          </c:extLst>
        </c:ser>
        <c:ser>
          <c:idx val="3"/>
          <c:order val="3"/>
          <c:tx>
            <c:strRef>
              <c:f>'Nuclear Capacity Figure'!$C$26</c:f>
              <c:strCache>
                <c:ptCount val="1"/>
                <c:pt idx="0">
                  <c:v>B2018 Existing &amp; Under Const.</c:v>
                </c:pt>
              </c:strCache>
            </c:strRef>
          </c:tx>
          <c:spPr>
            <a:ln w="28575" cap="rnd">
              <a:solidFill>
                <a:schemeClr val="accent3"/>
              </a:solidFill>
              <a:prstDash val="sysDot"/>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Figure'!$E$26:$AS$26</c:f>
              <c:numCache>
                <c:formatCode>0.0</c:formatCode>
                <c:ptCount val="41"/>
                <c:pt idx="0">
                  <c:v>112.17366333333329</c:v>
                </c:pt>
                <c:pt idx="1">
                  <c:v>113.1053633333333</c:v>
                </c:pt>
                <c:pt idx="2">
                  <c:v>114.3022633333333</c:v>
                </c:pt>
                <c:pt idx="3">
                  <c:v>113.2616633333333</c:v>
                </c:pt>
                <c:pt idx="4">
                  <c:v>113.2616633333333</c:v>
                </c:pt>
                <c:pt idx="5">
                  <c:v>113.2616633333333</c:v>
                </c:pt>
                <c:pt idx="6">
                  <c:v>112.1116633333333</c:v>
                </c:pt>
                <c:pt idx="7">
                  <c:v>107.06486333333331</c:v>
                </c:pt>
                <c:pt idx="8">
                  <c:v>104.18086333333331</c:v>
                </c:pt>
                <c:pt idx="9">
                  <c:v>104.18086333333331</c:v>
                </c:pt>
                <c:pt idx="10">
                  <c:v>104.18086333333331</c:v>
                </c:pt>
                <c:pt idx="11">
                  <c:v>102.7473633333334</c:v>
                </c:pt>
                <c:pt idx="12">
                  <c:v>101.23776333333331</c:v>
                </c:pt>
                <c:pt idx="13">
                  <c:v>99.346363333333343</c:v>
                </c:pt>
                <c:pt idx="14">
                  <c:v>98.451363333333333</c:v>
                </c:pt>
                <c:pt idx="15">
                  <c:v>95.376563333333308</c:v>
                </c:pt>
                <c:pt idx="16">
                  <c:v>92.440663333333362</c:v>
                </c:pt>
                <c:pt idx="17">
                  <c:v>82.784863333333334</c:v>
                </c:pt>
                <c:pt idx="18">
                  <c:v>78.116008333333284</c:v>
                </c:pt>
                <c:pt idx="19">
                  <c:v>71.436441666666653</c:v>
                </c:pt>
                <c:pt idx="20">
                  <c:v>67.950441666666649</c:v>
                </c:pt>
                <c:pt idx="21">
                  <c:v>66.120441666666622</c:v>
                </c:pt>
                <c:pt idx="22">
                  <c:v>64.251591666666656</c:v>
                </c:pt>
                <c:pt idx="23">
                  <c:v>63.307591666666617</c:v>
                </c:pt>
                <c:pt idx="24">
                  <c:v>60.108591666666641</c:v>
                </c:pt>
                <c:pt idx="25">
                  <c:v>56.726190666666653</c:v>
                </c:pt>
                <c:pt idx="26">
                  <c:v>50.200390666666642</c:v>
                </c:pt>
                <c:pt idx="27">
                  <c:v>46.624623999999997</c:v>
                </c:pt>
                <c:pt idx="28">
                  <c:v>40.629920000000013</c:v>
                </c:pt>
                <c:pt idx="29">
                  <c:v>34.915821999999999</c:v>
                </c:pt>
                <c:pt idx="30">
                  <c:v>30.313824</c:v>
                </c:pt>
                <c:pt idx="31">
                  <c:v>25.688324000000001</c:v>
                </c:pt>
                <c:pt idx="32">
                  <c:v>24.566223999999981</c:v>
                </c:pt>
                <c:pt idx="33">
                  <c:v>21.234000000000009</c:v>
                </c:pt>
                <c:pt idx="34">
                  <c:v>19.472000000000001</c:v>
                </c:pt>
                <c:pt idx="35">
                  <c:v>17.396000000000001</c:v>
                </c:pt>
                <c:pt idx="36">
                  <c:v>17.396000000000001</c:v>
                </c:pt>
                <c:pt idx="37">
                  <c:v>17.396000000000001</c:v>
                </c:pt>
                <c:pt idx="38">
                  <c:v>17.396000000000001</c:v>
                </c:pt>
                <c:pt idx="39">
                  <c:v>17.396000000000001</c:v>
                </c:pt>
                <c:pt idx="40">
                  <c:v>17.396000000000001</c:v>
                </c:pt>
              </c:numCache>
            </c:numRef>
          </c:val>
          <c:smooth val="0"/>
          <c:extLst>
            <c:ext xmlns:c16="http://schemas.microsoft.com/office/drawing/2014/chart" uri="{C3380CC4-5D6E-409C-BE32-E72D297353CC}">
              <c16:uniqueId val="{00000003-9F53-438F-B6C0-6AFF54EFC4B7}"/>
            </c:ext>
          </c:extLst>
        </c:ser>
        <c:ser>
          <c:idx val="4"/>
          <c:order val="4"/>
          <c:tx>
            <c:strRef>
              <c:f>'Nuclear Capacity Figure'!$C$27</c:f>
              <c:strCache>
                <c:ptCount val="1"/>
                <c:pt idx="0">
                  <c:v>B2019 New Greenfield</c:v>
                </c:pt>
              </c:strCache>
            </c:strRef>
          </c:tx>
          <c:spPr>
            <a:ln w="28575" cap="rnd">
              <a:solidFill>
                <a:schemeClr val="accent2"/>
              </a:solidFill>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Figure'!$E$27:$AS$27</c:f>
              <c:numCache>
                <c:formatCode>General</c:formatCode>
                <c:ptCount val="41"/>
                <c:pt idx="0">
                  <c:v>0</c:v>
                </c:pt>
                <c:pt idx="1">
                  <c:v>0</c:v>
                </c:pt>
                <c:pt idx="2">
                  <c:v>0</c:v>
                </c:pt>
                <c:pt idx="3">
                  <c:v>0</c:v>
                </c:pt>
                <c:pt idx="4">
                  <c:v>0</c:v>
                </c:pt>
                <c:pt idx="5">
                  <c:v>2.2000000000000002</c:v>
                </c:pt>
                <c:pt idx="6">
                  <c:v>4.4000000000000004</c:v>
                </c:pt>
                <c:pt idx="7">
                  <c:v>6.6</c:v>
                </c:pt>
                <c:pt idx="8">
                  <c:v>8.8000000000000007</c:v>
                </c:pt>
                <c:pt idx="9">
                  <c:v>11</c:v>
                </c:pt>
                <c:pt idx="10">
                  <c:v>13.2</c:v>
                </c:pt>
                <c:pt idx="11">
                  <c:v>15.4</c:v>
                </c:pt>
                <c:pt idx="12">
                  <c:v>17.599999999999991</c:v>
                </c:pt>
                <c:pt idx="13">
                  <c:v>19.79999999999999</c:v>
                </c:pt>
                <c:pt idx="14">
                  <c:v>21.999999999999989</c:v>
                </c:pt>
                <c:pt idx="15">
                  <c:v>24.2</c:v>
                </c:pt>
                <c:pt idx="16">
                  <c:v>26.399999999999991</c:v>
                </c:pt>
                <c:pt idx="17">
                  <c:v>28.599999999999991</c:v>
                </c:pt>
                <c:pt idx="18">
                  <c:v>30.79999999999999</c:v>
                </c:pt>
                <c:pt idx="19">
                  <c:v>33</c:v>
                </c:pt>
                <c:pt idx="20">
                  <c:v>35.20000000000001</c:v>
                </c:pt>
                <c:pt idx="21">
                  <c:v>37.4</c:v>
                </c:pt>
                <c:pt idx="22">
                  <c:v>39.6</c:v>
                </c:pt>
                <c:pt idx="23">
                  <c:v>41.8</c:v>
                </c:pt>
                <c:pt idx="24">
                  <c:v>44.000000000000007</c:v>
                </c:pt>
                <c:pt idx="25">
                  <c:v>46.20000000000001</c:v>
                </c:pt>
                <c:pt idx="26">
                  <c:v>48.400000000000013</c:v>
                </c:pt>
                <c:pt idx="27">
                  <c:v>50.600000000000023</c:v>
                </c:pt>
                <c:pt idx="28">
                  <c:v>52.8</c:v>
                </c:pt>
                <c:pt idx="29">
                  <c:v>55.000000000000021</c:v>
                </c:pt>
                <c:pt idx="30">
                  <c:v>57.200000000000031</c:v>
                </c:pt>
                <c:pt idx="31">
                  <c:v>59.400000000000027</c:v>
                </c:pt>
                <c:pt idx="32">
                  <c:v>61.60000000000003</c:v>
                </c:pt>
                <c:pt idx="33">
                  <c:v>63.800000000000033</c:v>
                </c:pt>
                <c:pt idx="34">
                  <c:v>66.000000000000028</c:v>
                </c:pt>
                <c:pt idx="35">
                  <c:v>68.200000000000031</c:v>
                </c:pt>
                <c:pt idx="36">
                  <c:v>70.400000000000034</c:v>
                </c:pt>
                <c:pt idx="37">
                  <c:v>72.600000000000009</c:v>
                </c:pt>
                <c:pt idx="38">
                  <c:v>74.80000000000004</c:v>
                </c:pt>
                <c:pt idx="39">
                  <c:v>77.000000000000043</c:v>
                </c:pt>
                <c:pt idx="40">
                  <c:v>79.200000000000045</c:v>
                </c:pt>
              </c:numCache>
            </c:numRef>
          </c:val>
          <c:smooth val="0"/>
          <c:extLst>
            <c:ext xmlns:c16="http://schemas.microsoft.com/office/drawing/2014/chart" uri="{C3380CC4-5D6E-409C-BE32-E72D297353CC}">
              <c16:uniqueId val="{00000004-9F53-438F-B6C0-6AFF54EFC4B7}"/>
            </c:ext>
          </c:extLst>
        </c:ser>
        <c:ser>
          <c:idx val="5"/>
          <c:order val="5"/>
          <c:tx>
            <c:strRef>
              <c:f>'Nuclear Capacity Figure'!$C$28</c:f>
              <c:strCache>
                <c:ptCount val="1"/>
                <c:pt idx="0">
                  <c:v>B2018 New Greenfield</c:v>
                </c:pt>
              </c:strCache>
            </c:strRef>
          </c:tx>
          <c:spPr>
            <a:ln w="28575" cap="rnd">
              <a:solidFill>
                <a:schemeClr val="accent2"/>
              </a:solidFill>
              <a:prstDash val="sysDot"/>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Figure'!$E$28:$AS$28</c:f>
              <c:numCache>
                <c:formatCode>General</c:formatCode>
                <c:ptCount val="41"/>
                <c:pt idx="0">
                  <c:v>0</c:v>
                </c:pt>
                <c:pt idx="1">
                  <c:v>0</c:v>
                </c:pt>
                <c:pt idx="2">
                  <c:v>0</c:v>
                </c:pt>
                <c:pt idx="3">
                  <c:v>0</c:v>
                </c:pt>
                <c:pt idx="4">
                  <c:v>2.2000000000000002</c:v>
                </c:pt>
                <c:pt idx="5">
                  <c:v>4.4000000000000004</c:v>
                </c:pt>
                <c:pt idx="6">
                  <c:v>6.6</c:v>
                </c:pt>
                <c:pt idx="7">
                  <c:v>8.8000000000000007</c:v>
                </c:pt>
                <c:pt idx="8">
                  <c:v>11</c:v>
                </c:pt>
                <c:pt idx="9">
                  <c:v>13.2</c:v>
                </c:pt>
                <c:pt idx="10">
                  <c:v>15.4</c:v>
                </c:pt>
                <c:pt idx="11">
                  <c:v>17.599999999999991</c:v>
                </c:pt>
                <c:pt idx="12">
                  <c:v>19.79999999999999</c:v>
                </c:pt>
                <c:pt idx="13">
                  <c:v>21.999999999999989</c:v>
                </c:pt>
                <c:pt idx="14">
                  <c:v>24.2</c:v>
                </c:pt>
                <c:pt idx="15">
                  <c:v>26.399999999999991</c:v>
                </c:pt>
                <c:pt idx="16">
                  <c:v>28.599999999999991</c:v>
                </c:pt>
                <c:pt idx="17">
                  <c:v>30.79999999999999</c:v>
                </c:pt>
                <c:pt idx="18">
                  <c:v>33</c:v>
                </c:pt>
                <c:pt idx="19">
                  <c:v>35.20000000000001</c:v>
                </c:pt>
                <c:pt idx="20">
                  <c:v>37.4</c:v>
                </c:pt>
                <c:pt idx="21">
                  <c:v>39.6</c:v>
                </c:pt>
                <c:pt idx="22">
                  <c:v>41.8</c:v>
                </c:pt>
                <c:pt idx="23">
                  <c:v>44.000000000000007</c:v>
                </c:pt>
                <c:pt idx="24">
                  <c:v>46.20000000000001</c:v>
                </c:pt>
                <c:pt idx="25">
                  <c:v>48.400000000000013</c:v>
                </c:pt>
                <c:pt idx="26">
                  <c:v>50.600000000000023</c:v>
                </c:pt>
                <c:pt idx="27">
                  <c:v>52.8</c:v>
                </c:pt>
                <c:pt idx="28">
                  <c:v>55.000000000000021</c:v>
                </c:pt>
                <c:pt idx="29">
                  <c:v>57.200000000000031</c:v>
                </c:pt>
                <c:pt idx="30">
                  <c:v>59.400000000000027</c:v>
                </c:pt>
                <c:pt idx="31">
                  <c:v>61.60000000000003</c:v>
                </c:pt>
                <c:pt idx="32">
                  <c:v>63.800000000000033</c:v>
                </c:pt>
                <c:pt idx="33">
                  <c:v>66.000000000000028</c:v>
                </c:pt>
                <c:pt idx="34">
                  <c:v>68.200000000000031</c:v>
                </c:pt>
                <c:pt idx="35">
                  <c:v>70.400000000000034</c:v>
                </c:pt>
                <c:pt idx="36">
                  <c:v>72.600000000000009</c:v>
                </c:pt>
                <c:pt idx="37">
                  <c:v>74.80000000000004</c:v>
                </c:pt>
                <c:pt idx="38">
                  <c:v>77.000000000000043</c:v>
                </c:pt>
                <c:pt idx="39">
                  <c:v>79.200000000000045</c:v>
                </c:pt>
                <c:pt idx="40">
                  <c:v>81.400000000000063</c:v>
                </c:pt>
              </c:numCache>
            </c:numRef>
          </c:val>
          <c:smooth val="0"/>
          <c:extLst>
            <c:ext xmlns:c16="http://schemas.microsoft.com/office/drawing/2014/chart" uri="{C3380CC4-5D6E-409C-BE32-E72D297353CC}">
              <c16:uniqueId val="{00000005-9F53-438F-B6C0-6AFF54EFC4B7}"/>
            </c:ext>
          </c:extLst>
        </c:ser>
        <c:ser>
          <c:idx val="6"/>
          <c:order val="6"/>
          <c:tx>
            <c:strRef>
              <c:f>'Nuclear Capacity Figure'!$C$29</c:f>
              <c:strCache>
                <c:ptCount val="1"/>
                <c:pt idx="0">
                  <c:v>B2019 New Brownfield</c:v>
                </c:pt>
              </c:strCache>
            </c:strRef>
          </c:tx>
          <c:spPr>
            <a:ln w="28575" cap="rnd">
              <a:solidFill>
                <a:schemeClr val="accent6"/>
              </a:solidFill>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Figure'!$E$29:$AS$29</c:f>
              <c:numCache>
                <c:formatCode>0.0</c:formatCode>
                <c:ptCount val="41"/>
                <c:pt idx="0">
                  <c:v>0</c:v>
                </c:pt>
                <c:pt idx="1">
                  <c:v>0</c:v>
                </c:pt>
                <c:pt idx="2">
                  <c:v>0</c:v>
                </c:pt>
                <c:pt idx="3">
                  <c:v>0</c:v>
                </c:pt>
                <c:pt idx="4">
                  <c:v>0</c:v>
                </c:pt>
                <c:pt idx="5">
                  <c:v>0</c:v>
                </c:pt>
                <c:pt idx="6">
                  <c:v>0</c:v>
                </c:pt>
                <c:pt idx="7">
                  <c:v>0</c:v>
                </c:pt>
                <c:pt idx="8">
                  <c:v>0</c:v>
                </c:pt>
                <c:pt idx="9">
                  <c:v>0</c:v>
                </c:pt>
                <c:pt idx="10">
                  <c:v>0</c:v>
                </c:pt>
                <c:pt idx="11">
                  <c:v>0</c:v>
                </c:pt>
                <c:pt idx="12">
                  <c:v>1.5096000000000001</c:v>
                </c:pt>
                <c:pt idx="13">
                  <c:v>3.4009999999999998</c:v>
                </c:pt>
                <c:pt idx="14">
                  <c:v>4.2959999999999976</c:v>
                </c:pt>
                <c:pt idx="15">
                  <c:v>6.5327999999999999</c:v>
                </c:pt>
                <c:pt idx="16">
                  <c:v>12.946999999999999</c:v>
                </c:pt>
                <c:pt idx="17">
                  <c:v>22.779499999999999</c:v>
                </c:pt>
                <c:pt idx="18">
                  <c:v>23.650355000000001</c:v>
                </c:pt>
                <c:pt idx="19">
                  <c:v>30.390921666666671</c:v>
                </c:pt>
                <c:pt idx="20">
                  <c:v>33.094921666666643</c:v>
                </c:pt>
                <c:pt idx="21">
                  <c:v>36.681771666666627</c:v>
                </c:pt>
                <c:pt idx="22">
                  <c:v>36.681771666666627</c:v>
                </c:pt>
                <c:pt idx="23">
                  <c:v>38.783771666666638</c:v>
                </c:pt>
                <c:pt idx="24">
                  <c:v>40.824771666666628</c:v>
                </c:pt>
                <c:pt idx="25">
                  <c:v>44.191171666666641</c:v>
                </c:pt>
                <c:pt idx="26">
                  <c:v>54.198839333333332</c:v>
                </c:pt>
                <c:pt idx="27">
                  <c:v>57.742539333333333</c:v>
                </c:pt>
                <c:pt idx="28">
                  <c:v>61.453543333333307</c:v>
                </c:pt>
                <c:pt idx="29">
                  <c:v>68.297041333333311</c:v>
                </c:pt>
                <c:pt idx="30">
                  <c:v>69.609040333333283</c:v>
                </c:pt>
                <c:pt idx="31">
                  <c:v>73.091040333333311</c:v>
                </c:pt>
                <c:pt idx="32">
                  <c:v>74.213140333333328</c:v>
                </c:pt>
                <c:pt idx="33">
                  <c:v>77.54536433333331</c:v>
                </c:pt>
                <c:pt idx="34">
                  <c:v>79.307364333333311</c:v>
                </c:pt>
                <c:pt idx="35">
                  <c:v>81.383364333333304</c:v>
                </c:pt>
                <c:pt idx="36">
                  <c:v>81.383364333333304</c:v>
                </c:pt>
                <c:pt idx="37">
                  <c:v>81.383364333333304</c:v>
                </c:pt>
                <c:pt idx="38">
                  <c:v>81.383364333333304</c:v>
                </c:pt>
                <c:pt idx="39">
                  <c:v>81.383364333333304</c:v>
                </c:pt>
                <c:pt idx="40">
                  <c:v>81.383364333333304</c:v>
                </c:pt>
              </c:numCache>
            </c:numRef>
          </c:val>
          <c:smooth val="0"/>
          <c:extLst>
            <c:ext xmlns:c16="http://schemas.microsoft.com/office/drawing/2014/chart" uri="{C3380CC4-5D6E-409C-BE32-E72D297353CC}">
              <c16:uniqueId val="{00000006-9F53-438F-B6C0-6AFF54EFC4B7}"/>
            </c:ext>
          </c:extLst>
        </c:ser>
        <c:ser>
          <c:idx val="7"/>
          <c:order val="7"/>
          <c:tx>
            <c:strRef>
              <c:f>'Nuclear Capacity Figure'!$C$30</c:f>
              <c:strCache>
                <c:ptCount val="1"/>
                <c:pt idx="0">
                  <c:v>B2018 New Brownfield</c:v>
                </c:pt>
              </c:strCache>
            </c:strRef>
          </c:tx>
          <c:spPr>
            <a:ln w="28575" cap="rnd">
              <a:solidFill>
                <a:schemeClr val="accent6"/>
              </a:solidFill>
              <a:prstDash val="sysDot"/>
              <a:round/>
            </a:ln>
            <a:effectLst/>
          </c:spPr>
          <c:marker>
            <c:symbol val="none"/>
          </c:marker>
          <c:cat>
            <c:numRef>
              <c:f>'Nuclear Capacity Figure'!$E$2:$AS$2</c:f>
              <c:numCache>
                <c:formatCode>General</c:formatCode>
                <c:ptCount val="41"/>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pt idx="13">
                  <c:v>2031</c:v>
                </c:pt>
                <c:pt idx="14">
                  <c:v>2032</c:v>
                </c:pt>
                <c:pt idx="15">
                  <c:v>2033</c:v>
                </c:pt>
                <c:pt idx="16">
                  <c:v>2034</c:v>
                </c:pt>
                <c:pt idx="17">
                  <c:v>2035</c:v>
                </c:pt>
                <c:pt idx="18">
                  <c:v>2036</c:v>
                </c:pt>
                <c:pt idx="19">
                  <c:v>2037</c:v>
                </c:pt>
                <c:pt idx="20">
                  <c:v>2038</c:v>
                </c:pt>
                <c:pt idx="21">
                  <c:v>2039</c:v>
                </c:pt>
                <c:pt idx="22">
                  <c:v>2040</c:v>
                </c:pt>
                <c:pt idx="23">
                  <c:v>2041</c:v>
                </c:pt>
                <c:pt idx="24">
                  <c:v>2042</c:v>
                </c:pt>
                <c:pt idx="25">
                  <c:v>2043</c:v>
                </c:pt>
                <c:pt idx="26">
                  <c:v>2044</c:v>
                </c:pt>
                <c:pt idx="27">
                  <c:v>2045</c:v>
                </c:pt>
                <c:pt idx="28">
                  <c:v>2046</c:v>
                </c:pt>
                <c:pt idx="29">
                  <c:v>2047</c:v>
                </c:pt>
                <c:pt idx="30">
                  <c:v>2048</c:v>
                </c:pt>
                <c:pt idx="31">
                  <c:v>2049</c:v>
                </c:pt>
                <c:pt idx="32">
                  <c:v>2050</c:v>
                </c:pt>
                <c:pt idx="33">
                  <c:v>2051</c:v>
                </c:pt>
                <c:pt idx="34">
                  <c:v>2052</c:v>
                </c:pt>
                <c:pt idx="35">
                  <c:v>2053</c:v>
                </c:pt>
                <c:pt idx="36">
                  <c:v>2054</c:v>
                </c:pt>
                <c:pt idx="37">
                  <c:v>2055</c:v>
                </c:pt>
                <c:pt idx="38">
                  <c:v>2056</c:v>
                </c:pt>
                <c:pt idx="39">
                  <c:v>2057</c:v>
                </c:pt>
                <c:pt idx="40">
                  <c:v>2058</c:v>
                </c:pt>
              </c:numCache>
            </c:numRef>
          </c:cat>
          <c:val>
            <c:numRef>
              <c:f>'Nuclear Capacity Figure'!$E$30:$AS$30</c:f>
              <c:numCache>
                <c:formatCode>0.0</c:formatCode>
                <c:ptCount val="41"/>
                <c:pt idx="0">
                  <c:v>0</c:v>
                </c:pt>
                <c:pt idx="1">
                  <c:v>0</c:v>
                </c:pt>
                <c:pt idx="2">
                  <c:v>0</c:v>
                </c:pt>
                <c:pt idx="3">
                  <c:v>0</c:v>
                </c:pt>
                <c:pt idx="4">
                  <c:v>0</c:v>
                </c:pt>
                <c:pt idx="5">
                  <c:v>0</c:v>
                </c:pt>
                <c:pt idx="6">
                  <c:v>0</c:v>
                </c:pt>
                <c:pt idx="7">
                  <c:v>0</c:v>
                </c:pt>
                <c:pt idx="8">
                  <c:v>0</c:v>
                </c:pt>
                <c:pt idx="9">
                  <c:v>0</c:v>
                </c:pt>
                <c:pt idx="10">
                  <c:v>0</c:v>
                </c:pt>
                <c:pt idx="11">
                  <c:v>0</c:v>
                </c:pt>
                <c:pt idx="12">
                  <c:v>1.5096000000000001</c:v>
                </c:pt>
                <c:pt idx="13">
                  <c:v>3.4009999999999998</c:v>
                </c:pt>
                <c:pt idx="14">
                  <c:v>4.2959999999999976</c:v>
                </c:pt>
                <c:pt idx="15">
                  <c:v>7.3708</c:v>
                </c:pt>
                <c:pt idx="16">
                  <c:v>10.306699999999999</c:v>
                </c:pt>
                <c:pt idx="17">
                  <c:v>19.962499999999981</c:v>
                </c:pt>
                <c:pt idx="18">
                  <c:v>24.631354999999999</c:v>
                </c:pt>
                <c:pt idx="19">
                  <c:v>31.310921666666669</c:v>
                </c:pt>
                <c:pt idx="20">
                  <c:v>34.796921666666641</c:v>
                </c:pt>
                <c:pt idx="21">
                  <c:v>36.62692166666664</c:v>
                </c:pt>
                <c:pt idx="22">
                  <c:v>38.495771666666641</c:v>
                </c:pt>
                <c:pt idx="23">
                  <c:v>39.439771666666637</c:v>
                </c:pt>
                <c:pt idx="24">
                  <c:v>42.638771666666642</c:v>
                </c:pt>
                <c:pt idx="25">
                  <c:v>46.021172666666651</c:v>
                </c:pt>
                <c:pt idx="26">
                  <c:v>52.54697266666664</c:v>
                </c:pt>
                <c:pt idx="27">
                  <c:v>56.122739333333328</c:v>
                </c:pt>
                <c:pt idx="28">
                  <c:v>62.117443333333313</c:v>
                </c:pt>
                <c:pt idx="29">
                  <c:v>67.831541333333305</c:v>
                </c:pt>
                <c:pt idx="30">
                  <c:v>72.433539333333314</c:v>
                </c:pt>
                <c:pt idx="31">
                  <c:v>77.059039333333288</c:v>
                </c:pt>
                <c:pt idx="32">
                  <c:v>78.181139333333306</c:v>
                </c:pt>
                <c:pt idx="33">
                  <c:v>81.513363333333317</c:v>
                </c:pt>
                <c:pt idx="34">
                  <c:v>83.275363333333289</c:v>
                </c:pt>
                <c:pt idx="35">
                  <c:v>85.35136333333331</c:v>
                </c:pt>
                <c:pt idx="36">
                  <c:v>85.35136333333331</c:v>
                </c:pt>
                <c:pt idx="37">
                  <c:v>85.35136333333331</c:v>
                </c:pt>
                <c:pt idx="38">
                  <c:v>85.35136333333331</c:v>
                </c:pt>
                <c:pt idx="39">
                  <c:v>85.35136333333331</c:v>
                </c:pt>
                <c:pt idx="40">
                  <c:v>85.35136333333331</c:v>
                </c:pt>
              </c:numCache>
            </c:numRef>
          </c:val>
          <c:smooth val="0"/>
          <c:extLst>
            <c:ext xmlns:c16="http://schemas.microsoft.com/office/drawing/2014/chart" uri="{C3380CC4-5D6E-409C-BE32-E72D297353CC}">
              <c16:uniqueId val="{00000007-9F53-438F-B6C0-6AFF54EFC4B7}"/>
            </c:ext>
          </c:extLst>
        </c:ser>
        <c:dLbls>
          <c:showLegendKey val="0"/>
          <c:showVal val="0"/>
          <c:showCatName val="0"/>
          <c:showSerName val="0"/>
          <c:showPercent val="0"/>
          <c:showBubbleSize val="0"/>
        </c:dLbls>
        <c:smooth val="0"/>
        <c:axId val="209971664"/>
        <c:axId val="209968920"/>
      </c:lineChart>
      <c:catAx>
        <c:axId val="209971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968920"/>
        <c:crosses val="autoZero"/>
        <c:auto val="1"/>
        <c:lblAlgn val="ctr"/>
        <c:lblOffset val="100"/>
        <c:noMultiLvlLbl val="0"/>
      </c:catAx>
      <c:valAx>
        <c:axId val="20996892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GW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971664"/>
        <c:crosses val="autoZero"/>
        <c:crossBetween val="between"/>
        <c:majorUnit val="40"/>
      </c:valAx>
      <c:spPr>
        <a:noFill/>
        <a:ln>
          <a:noFill/>
        </a:ln>
        <a:effectLst/>
      </c:spPr>
    </c:plotArea>
    <c:legend>
      <c:legendPos val="b"/>
      <c:layout>
        <c:manualLayout>
          <c:xMode val="edge"/>
          <c:yMode val="edge"/>
          <c:x val="7.1456911636045506E-2"/>
          <c:y val="0.83931278501691697"/>
          <c:w val="0.80430839895013095"/>
          <c:h val="0.16068721498308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BFC56-5287-412F-A0BF-C947E4148025}">
  <ds:schemaRefs>
    <ds:schemaRef ds:uri="http://schemas.openxmlformats.org/officeDocument/2006/bibliography"/>
  </ds:schemaRefs>
</ds:datastoreItem>
</file>

<file path=customXml/itemProps2.xml><?xml version="1.0" encoding="utf-8"?>
<ds:datastoreItem xmlns:ds="http://schemas.openxmlformats.org/officeDocument/2006/customXml" ds:itemID="{52693208-B11B-4349-92E8-9B408081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4958</Words>
  <Characters>28262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33154</CharactersWithSpaces>
  <SharedDoc>false</SharedDoc>
  <HLinks>
    <vt:vector size="750" baseType="variant">
      <vt:variant>
        <vt:i4>2031670</vt:i4>
      </vt:variant>
      <vt:variant>
        <vt:i4>680</vt:i4>
      </vt:variant>
      <vt:variant>
        <vt:i4>0</vt:i4>
      </vt:variant>
      <vt:variant>
        <vt:i4>5</vt:i4>
      </vt:variant>
      <vt:variant>
        <vt:lpwstr/>
      </vt:variant>
      <vt:variant>
        <vt:lpwstr>_Toc311846075</vt:lpwstr>
      </vt:variant>
      <vt:variant>
        <vt:i4>2031670</vt:i4>
      </vt:variant>
      <vt:variant>
        <vt:i4>674</vt:i4>
      </vt:variant>
      <vt:variant>
        <vt:i4>0</vt:i4>
      </vt:variant>
      <vt:variant>
        <vt:i4>5</vt:i4>
      </vt:variant>
      <vt:variant>
        <vt:lpwstr/>
      </vt:variant>
      <vt:variant>
        <vt:lpwstr>_Toc311846074</vt:lpwstr>
      </vt:variant>
      <vt:variant>
        <vt:i4>2031670</vt:i4>
      </vt:variant>
      <vt:variant>
        <vt:i4>668</vt:i4>
      </vt:variant>
      <vt:variant>
        <vt:i4>0</vt:i4>
      </vt:variant>
      <vt:variant>
        <vt:i4>5</vt:i4>
      </vt:variant>
      <vt:variant>
        <vt:lpwstr/>
      </vt:variant>
      <vt:variant>
        <vt:lpwstr>_Toc311846073</vt:lpwstr>
      </vt:variant>
      <vt:variant>
        <vt:i4>2031670</vt:i4>
      </vt:variant>
      <vt:variant>
        <vt:i4>662</vt:i4>
      </vt:variant>
      <vt:variant>
        <vt:i4>0</vt:i4>
      </vt:variant>
      <vt:variant>
        <vt:i4>5</vt:i4>
      </vt:variant>
      <vt:variant>
        <vt:lpwstr/>
      </vt:variant>
      <vt:variant>
        <vt:lpwstr>_Toc311846072</vt:lpwstr>
      </vt:variant>
      <vt:variant>
        <vt:i4>2031670</vt:i4>
      </vt:variant>
      <vt:variant>
        <vt:i4>656</vt:i4>
      </vt:variant>
      <vt:variant>
        <vt:i4>0</vt:i4>
      </vt:variant>
      <vt:variant>
        <vt:i4>5</vt:i4>
      </vt:variant>
      <vt:variant>
        <vt:lpwstr/>
      </vt:variant>
      <vt:variant>
        <vt:lpwstr>_Toc311846071</vt:lpwstr>
      </vt:variant>
      <vt:variant>
        <vt:i4>2031670</vt:i4>
      </vt:variant>
      <vt:variant>
        <vt:i4>650</vt:i4>
      </vt:variant>
      <vt:variant>
        <vt:i4>0</vt:i4>
      </vt:variant>
      <vt:variant>
        <vt:i4>5</vt:i4>
      </vt:variant>
      <vt:variant>
        <vt:lpwstr/>
      </vt:variant>
      <vt:variant>
        <vt:lpwstr>_Toc311846070</vt:lpwstr>
      </vt:variant>
      <vt:variant>
        <vt:i4>1966134</vt:i4>
      </vt:variant>
      <vt:variant>
        <vt:i4>644</vt:i4>
      </vt:variant>
      <vt:variant>
        <vt:i4>0</vt:i4>
      </vt:variant>
      <vt:variant>
        <vt:i4>5</vt:i4>
      </vt:variant>
      <vt:variant>
        <vt:lpwstr/>
      </vt:variant>
      <vt:variant>
        <vt:lpwstr>_Toc311846069</vt:lpwstr>
      </vt:variant>
      <vt:variant>
        <vt:i4>1966134</vt:i4>
      </vt:variant>
      <vt:variant>
        <vt:i4>638</vt:i4>
      </vt:variant>
      <vt:variant>
        <vt:i4>0</vt:i4>
      </vt:variant>
      <vt:variant>
        <vt:i4>5</vt:i4>
      </vt:variant>
      <vt:variant>
        <vt:lpwstr/>
      </vt:variant>
      <vt:variant>
        <vt:lpwstr>_Toc311846068</vt:lpwstr>
      </vt:variant>
      <vt:variant>
        <vt:i4>1966134</vt:i4>
      </vt:variant>
      <vt:variant>
        <vt:i4>632</vt:i4>
      </vt:variant>
      <vt:variant>
        <vt:i4>0</vt:i4>
      </vt:variant>
      <vt:variant>
        <vt:i4>5</vt:i4>
      </vt:variant>
      <vt:variant>
        <vt:lpwstr/>
      </vt:variant>
      <vt:variant>
        <vt:lpwstr>_Toc311846067</vt:lpwstr>
      </vt:variant>
      <vt:variant>
        <vt:i4>1966134</vt:i4>
      </vt:variant>
      <vt:variant>
        <vt:i4>626</vt:i4>
      </vt:variant>
      <vt:variant>
        <vt:i4>0</vt:i4>
      </vt:variant>
      <vt:variant>
        <vt:i4>5</vt:i4>
      </vt:variant>
      <vt:variant>
        <vt:lpwstr/>
      </vt:variant>
      <vt:variant>
        <vt:lpwstr>_Toc311846066</vt:lpwstr>
      </vt:variant>
      <vt:variant>
        <vt:i4>1966134</vt:i4>
      </vt:variant>
      <vt:variant>
        <vt:i4>620</vt:i4>
      </vt:variant>
      <vt:variant>
        <vt:i4>0</vt:i4>
      </vt:variant>
      <vt:variant>
        <vt:i4>5</vt:i4>
      </vt:variant>
      <vt:variant>
        <vt:lpwstr/>
      </vt:variant>
      <vt:variant>
        <vt:lpwstr>_Toc311846065</vt:lpwstr>
      </vt:variant>
      <vt:variant>
        <vt:i4>1966134</vt:i4>
      </vt:variant>
      <vt:variant>
        <vt:i4>614</vt:i4>
      </vt:variant>
      <vt:variant>
        <vt:i4>0</vt:i4>
      </vt:variant>
      <vt:variant>
        <vt:i4>5</vt:i4>
      </vt:variant>
      <vt:variant>
        <vt:lpwstr/>
      </vt:variant>
      <vt:variant>
        <vt:lpwstr>_Toc311846064</vt:lpwstr>
      </vt:variant>
      <vt:variant>
        <vt:i4>1966134</vt:i4>
      </vt:variant>
      <vt:variant>
        <vt:i4>608</vt:i4>
      </vt:variant>
      <vt:variant>
        <vt:i4>0</vt:i4>
      </vt:variant>
      <vt:variant>
        <vt:i4>5</vt:i4>
      </vt:variant>
      <vt:variant>
        <vt:lpwstr/>
      </vt:variant>
      <vt:variant>
        <vt:lpwstr>_Toc311846063</vt:lpwstr>
      </vt:variant>
      <vt:variant>
        <vt:i4>1966134</vt:i4>
      </vt:variant>
      <vt:variant>
        <vt:i4>602</vt:i4>
      </vt:variant>
      <vt:variant>
        <vt:i4>0</vt:i4>
      </vt:variant>
      <vt:variant>
        <vt:i4>5</vt:i4>
      </vt:variant>
      <vt:variant>
        <vt:lpwstr/>
      </vt:variant>
      <vt:variant>
        <vt:lpwstr>_Toc311846062</vt:lpwstr>
      </vt:variant>
      <vt:variant>
        <vt:i4>1966134</vt:i4>
      </vt:variant>
      <vt:variant>
        <vt:i4>596</vt:i4>
      </vt:variant>
      <vt:variant>
        <vt:i4>0</vt:i4>
      </vt:variant>
      <vt:variant>
        <vt:i4>5</vt:i4>
      </vt:variant>
      <vt:variant>
        <vt:lpwstr/>
      </vt:variant>
      <vt:variant>
        <vt:lpwstr>_Toc311846061</vt:lpwstr>
      </vt:variant>
      <vt:variant>
        <vt:i4>1966134</vt:i4>
      </vt:variant>
      <vt:variant>
        <vt:i4>590</vt:i4>
      </vt:variant>
      <vt:variant>
        <vt:i4>0</vt:i4>
      </vt:variant>
      <vt:variant>
        <vt:i4>5</vt:i4>
      </vt:variant>
      <vt:variant>
        <vt:lpwstr/>
      </vt:variant>
      <vt:variant>
        <vt:lpwstr>_Toc311846060</vt:lpwstr>
      </vt:variant>
      <vt:variant>
        <vt:i4>1900598</vt:i4>
      </vt:variant>
      <vt:variant>
        <vt:i4>584</vt:i4>
      </vt:variant>
      <vt:variant>
        <vt:i4>0</vt:i4>
      </vt:variant>
      <vt:variant>
        <vt:i4>5</vt:i4>
      </vt:variant>
      <vt:variant>
        <vt:lpwstr/>
      </vt:variant>
      <vt:variant>
        <vt:lpwstr>_Toc311846059</vt:lpwstr>
      </vt:variant>
      <vt:variant>
        <vt:i4>1900598</vt:i4>
      </vt:variant>
      <vt:variant>
        <vt:i4>578</vt:i4>
      </vt:variant>
      <vt:variant>
        <vt:i4>0</vt:i4>
      </vt:variant>
      <vt:variant>
        <vt:i4>5</vt:i4>
      </vt:variant>
      <vt:variant>
        <vt:lpwstr/>
      </vt:variant>
      <vt:variant>
        <vt:lpwstr>_Toc311846058</vt:lpwstr>
      </vt:variant>
      <vt:variant>
        <vt:i4>1900598</vt:i4>
      </vt:variant>
      <vt:variant>
        <vt:i4>572</vt:i4>
      </vt:variant>
      <vt:variant>
        <vt:i4>0</vt:i4>
      </vt:variant>
      <vt:variant>
        <vt:i4>5</vt:i4>
      </vt:variant>
      <vt:variant>
        <vt:lpwstr/>
      </vt:variant>
      <vt:variant>
        <vt:lpwstr>_Toc311846057</vt:lpwstr>
      </vt:variant>
      <vt:variant>
        <vt:i4>1900598</vt:i4>
      </vt:variant>
      <vt:variant>
        <vt:i4>566</vt:i4>
      </vt:variant>
      <vt:variant>
        <vt:i4>0</vt:i4>
      </vt:variant>
      <vt:variant>
        <vt:i4>5</vt:i4>
      </vt:variant>
      <vt:variant>
        <vt:lpwstr/>
      </vt:variant>
      <vt:variant>
        <vt:lpwstr>_Toc311846056</vt:lpwstr>
      </vt:variant>
      <vt:variant>
        <vt:i4>1900598</vt:i4>
      </vt:variant>
      <vt:variant>
        <vt:i4>560</vt:i4>
      </vt:variant>
      <vt:variant>
        <vt:i4>0</vt:i4>
      </vt:variant>
      <vt:variant>
        <vt:i4>5</vt:i4>
      </vt:variant>
      <vt:variant>
        <vt:lpwstr/>
      </vt:variant>
      <vt:variant>
        <vt:lpwstr>_Toc311846055</vt:lpwstr>
      </vt:variant>
      <vt:variant>
        <vt:i4>1900598</vt:i4>
      </vt:variant>
      <vt:variant>
        <vt:i4>554</vt:i4>
      </vt:variant>
      <vt:variant>
        <vt:i4>0</vt:i4>
      </vt:variant>
      <vt:variant>
        <vt:i4>5</vt:i4>
      </vt:variant>
      <vt:variant>
        <vt:lpwstr/>
      </vt:variant>
      <vt:variant>
        <vt:lpwstr>_Toc311846054</vt:lpwstr>
      </vt:variant>
      <vt:variant>
        <vt:i4>1900598</vt:i4>
      </vt:variant>
      <vt:variant>
        <vt:i4>548</vt:i4>
      </vt:variant>
      <vt:variant>
        <vt:i4>0</vt:i4>
      </vt:variant>
      <vt:variant>
        <vt:i4>5</vt:i4>
      </vt:variant>
      <vt:variant>
        <vt:lpwstr/>
      </vt:variant>
      <vt:variant>
        <vt:lpwstr>_Toc311846053</vt:lpwstr>
      </vt:variant>
      <vt:variant>
        <vt:i4>1900598</vt:i4>
      </vt:variant>
      <vt:variant>
        <vt:i4>542</vt:i4>
      </vt:variant>
      <vt:variant>
        <vt:i4>0</vt:i4>
      </vt:variant>
      <vt:variant>
        <vt:i4>5</vt:i4>
      </vt:variant>
      <vt:variant>
        <vt:lpwstr/>
      </vt:variant>
      <vt:variant>
        <vt:lpwstr>_Toc311846052</vt:lpwstr>
      </vt:variant>
      <vt:variant>
        <vt:i4>1900598</vt:i4>
      </vt:variant>
      <vt:variant>
        <vt:i4>536</vt:i4>
      </vt:variant>
      <vt:variant>
        <vt:i4>0</vt:i4>
      </vt:variant>
      <vt:variant>
        <vt:i4>5</vt:i4>
      </vt:variant>
      <vt:variant>
        <vt:lpwstr/>
      </vt:variant>
      <vt:variant>
        <vt:lpwstr>_Toc311846051</vt:lpwstr>
      </vt:variant>
      <vt:variant>
        <vt:i4>1900598</vt:i4>
      </vt:variant>
      <vt:variant>
        <vt:i4>530</vt:i4>
      </vt:variant>
      <vt:variant>
        <vt:i4>0</vt:i4>
      </vt:variant>
      <vt:variant>
        <vt:i4>5</vt:i4>
      </vt:variant>
      <vt:variant>
        <vt:lpwstr/>
      </vt:variant>
      <vt:variant>
        <vt:lpwstr>_Toc311846050</vt:lpwstr>
      </vt:variant>
      <vt:variant>
        <vt:i4>1835062</vt:i4>
      </vt:variant>
      <vt:variant>
        <vt:i4>524</vt:i4>
      </vt:variant>
      <vt:variant>
        <vt:i4>0</vt:i4>
      </vt:variant>
      <vt:variant>
        <vt:i4>5</vt:i4>
      </vt:variant>
      <vt:variant>
        <vt:lpwstr/>
      </vt:variant>
      <vt:variant>
        <vt:lpwstr>_Toc311846049</vt:lpwstr>
      </vt:variant>
      <vt:variant>
        <vt:i4>1835062</vt:i4>
      </vt:variant>
      <vt:variant>
        <vt:i4>518</vt:i4>
      </vt:variant>
      <vt:variant>
        <vt:i4>0</vt:i4>
      </vt:variant>
      <vt:variant>
        <vt:i4>5</vt:i4>
      </vt:variant>
      <vt:variant>
        <vt:lpwstr/>
      </vt:variant>
      <vt:variant>
        <vt:lpwstr>_Toc311846048</vt:lpwstr>
      </vt:variant>
      <vt:variant>
        <vt:i4>1835062</vt:i4>
      </vt:variant>
      <vt:variant>
        <vt:i4>512</vt:i4>
      </vt:variant>
      <vt:variant>
        <vt:i4>0</vt:i4>
      </vt:variant>
      <vt:variant>
        <vt:i4>5</vt:i4>
      </vt:variant>
      <vt:variant>
        <vt:lpwstr/>
      </vt:variant>
      <vt:variant>
        <vt:lpwstr>_Toc311846047</vt:lpwstr>
      </vt:variant>
      <vt:variant>
        <vt:i4>1835062</vt:i4>
      </vt:variant>
      <vt:variant>
        <vt:i4>506</vt:i4>
      </vt:variant>
      <vt:variant>
        <vt:i4>0</vt:i4>
      </vt:variant>
      <vt:variant>
        <vt:i4>5</vt:i4>
      </vt:variant>
      <vt:variant>
        <vt:lpwstr/>
      </vt:variant>
      <vt:variant>
        <vt:lpwstr>_Toc311846046</vt:lpwstr>
      </vt:variant>
      <vt:variant>
        <vt:i4>1835062</vt:i4>
      </vt:variant>
      <vt:variant>
        <vt:i4>500</vt:i4>
      </vt:variant>
      <vt:variant>
        <vt:i4>0</vt:i4>
      </vt:variant>
      <vt:variant>
        <vt:i4>5</vt:i4>
      </vt:variant>
      <vt:variant>
        <vt:lpwstr/>
      </vt:variant>
      <vt:variant>
        <vt:lpwstr>_Toc311846045</vt:lpwstr>
      </vt:variant>
      <vt:variant>
        <vt:i4>1835062</vt:i4>
      </vt:variant>
      <vt:variant>
        <vt:i4>491</vt:i4>
      </vt:variant>
      <vt:variant>
        <vt:i4>0</vt:i4>
      </vt:variant>
      <vt:variant>
        <vt:i4>5</vt:i4>
      </vt:variant>
      <vt:variant>
        <vt:lpwstr/>
      </vt:variant>
      <vt:variant>
        <vt:lpwstr>_Toc311846044</vt:lpwstr>
      </vt:variant>
      <vt:variant>
        <vt:i4>1835062</vt:i4>
      </vt:variant>
      <vt:variant>
        <vt:i4>485</vt:i4>
      </vt:variant>
      <vt:variant>
        <vt:i4>0</vt:i4>
      </vt:variant>
      <vt:variant>
        <vt:i4>5</vt:i4>
      </vt:variant>
      <vt:variant>
        <vt:lpwstr/>
      </vt:variant>
      <vt:variant>
        <vt:lpwstr>_Toc311846043</vt:lpwstr>
      </vt:variant>
      <vt:variant>
        <vt:i4>1835062</vt:i4>
      </vt:variant>
      <vt:variant>
        <vt:i4>479</vt:i4>
      </vt:variant>
      <vt:variant>
        <vt:i4>0</vt:i4>
      </vt:variant>
      <vt:variant>
        <vt:i4>5</vt:i4>
      </vt:variant>
      <vt:variant>
        <vt:lpwstr/>
      </vt:variant>
      <vt:variant>
        <vt:lpwstr>_Toc311846042</vt:lpwstr>
      </vt:variant>
      <vt:variant>
        <vt:i4>1835062</vt:i4>
      </vt:variant>
      <vt:variant>
        <vt:i4>473</vt:i4>
      </vt:variant>
      <vt:variant>
        <vt:i4>0</vt:i4>
      </vt:variant>
      <vt:variant>
        <vt:i4>5</vt:i4>
      </vt:variant>
      <vt:variant>
        <vt:lpwstr/>
      </vt:variant>
      <vt:variant>
        <vt:lpwstr>_Toc311846041</vt:lpwstr>
      </vt:variant>
      <vt:variant>
        <vt:i4>1835062</vt:i4>
      </vt:variant>
      <vt:variant>
        <vt:i4>467</vt:i4>
      </vt:variant>
      <vt:variant>
        <vt:i4>0</vt:i4>
      </vt:variant>
      <vt:variant>
        <vt:i4>5</vt:i4>
      </vt:variant>
      <vt:variant>
        <vt:lpwstr/>
      </vt:variant>
      <vt:variant>
        <vt:lpwstr>_Toc311846040</vt:lpwstr>
      </vt:variant>
      <vt:variant>
        <vt:i4>1769526</vt:i4>
      </vt:variant>
      <vt:variant>
        <vt:i4>461</vt:i4>
      </vt:variant>
      <vt:variant>
        <vt:i4>0</vt:i4>
      </vt:variant>
      <vt:variant>
        <vt:i4>5</vt:i4>
      </vt:variant>
      <vt:variant>
        <vt:lpwstr/>
      </vt:variant>
      <vt:variant>
        <vt:lpwstr>_Toc311846039</vt:lpwstr>
      </vt:variant>
      <vt:variant>
        <vt:i4>1769526</vt:i4>
      </vt:variant>
      <vt:variant>
        <vt:i4>455</vt:i4>
      </vt:variant>
      <vt:variant>
        <vt:i4>0</vt:i4>
      </vt:variant>
      <vt:variant>
        <vt:i4>5</vt:i4>
      </vt:variant>
      <vt:variant>
        <vt:lpwstr/>
      </vt:variant>
      <vt:variant>
        <vt:lpwstr>_Toc311846038</vt:lpwstr>
      </vt:variant>
      <vt:variant>
        <vt:i4>1769526</vt:i4>
      </vt:variant>
      <vt:variant>
        <vt:i4>449</vt:i4>
      </vt:variant>
      <vt:variant>
        <vt:i4>0</vt:i4>
      </vt:variant>
      <vt:variant>
        <vt:i4>5</vt:i4>
      </vt:variant>
      <vt:variant>
        <vt:lpwstr/>
      </vt:variant>
      <vt:variant>
        <vt:lpwstr>_Toc311846037</vt:lpwstr>
      </vt:variant>
      <vt:variant>
        <vt:i4>1769526</vt:i4>
      </vt:variant>
      <vt:variant>
        <vt:i4>443</vt:i4>
      </vt:variant>
      <vt:variant>
        <vt:i4>0</vt:i4>
      </vt:variant>
      <vt:variant>
        <vt:i4>5</vt:i4>
      </vt:variant>
      <vt:variant>
        <vt:lpwstr/>
      </vt:variant>
      <vt:variant>
        <vt:lpwstr>_Toc311846036</vt:lpwstr>
      </vt:variant>
      <vt:variant>
        <vt:i4>1769526</vt:i4>
      </vt:variant>
      <vt:variant>
        <vt:i4>437</vt:i4>
      </vt:variant>
      <vt:variant>
        <vt:i4>0</vt:i4>
      </vt:variant>
      <vt:variant>
        <vt:i4>5</vt:i4>
      </vt:variant>
      <vt:variant>
        <vt:lpwstr/>
      </vt:variant>
      <vt:variant>
        <vt:lpwstr>_Toc311846035</vt:lpwstr>
      </vt:variant>
      <vt:variant>
        <vt:i4>1769526</vt:i4>
      </vt:variant>
      <vt:variant>
        <vt:i4>431</vt:i4>
      </vt:variant>
      <vt:variant>
        <vt:i4>0</vt:i4>
      </vt:variant>
      <vt:variant>
        <vt:i4>5</vt:i4>
      </vt:variant>
      <vt:variant>
        <vt:lpwstr/>
      </vt:variant>
      <vt:variant>
        <vt:lpwstr>_Toc311846034</vt:lpwstr>
      </vt:variant>
      <vt:variant>
        <vt:i4>1769526</vt:i4>
      </vt:variant>
      <vt:variant>
        <vt:i4>425</vt:i4>
      </vt:variant>
      <vt:variant>
        <vt:i4>0</vt:i4>
      </vt:variant>
      <vt:variant>
        <vt:i4>5</vt:i4>
      </vt:variant>
      <vt:variant>
        <vt:lpwstr/>
      </vt:variant>
      <vt:variant>
        <vt:lpwstr>_Toc311846033</vt:lpwstr>
      </vt:variant>
      <vt:variant>
        <vt:i4>1769526</vt:i4>
      </vt:variant>
      <vt:variant>
        <vt:i4>419</vt:i4>
      </vt:variant>
      <vt:variant>
        <vt:i4>0</vt:i4>
      </vt:variant>
      <vt:variant>
        <vt:i4>5</vt:i4>
      </vt:variant>
      <vt:variant>
        <vt:lpwstr/>
      </vt:variant>
      <vt:variant>
        <vt:lpwstr>_Toc311846032</vt:lpwstr>
      </vt:variant>
      <vt:variant>
        <vt:i4>1769526</vt:i4>
      </vt:variant>
      <vt:variant>
        <vt:i4>413</vt:i4>
      </vt:variant>
      <vt:variant>
        <vt:i4>0</vt:i4>
      </vt:variant>
      <vt:variant>
        <vt:i4>5</vt:i4>
      </vt:variant>
      <vt:variant>
        <vt:lpwstr/>
      </vt:variant>
      <vt:variant>
        <vt:lpwstr>_Toc311846031</vt:lpwstr>
      </vt:variant>
      <vt:variant>
        <vt:i4>1769526</vt:i4>
      </vt:variant>
      <vt:variant>
        <vt:i4>407</vt:i4>
      </vt:variant>
      <vt:variant>
        <vt:i4>0</vt:i4>
      </vt:variant>
      <vt:variant>
        <vt:i4>5</vt:i4>
      </vt:variant>
      <vt:variant>
        <vt:lpwstr/>
      </vt:variant>
      <vt:variant>
        <vt:lpwstr>_Toc311846030</vt:lpwstr>
      </vt:variant>
      <vt:variant>
        <vt:i4>1703990</vt:i4>
      </vt:variant>
      <vt:variant>
        <vt:i4>401</vt:i4>
      </vt:variant>
      <vt:variant>
        <vt:i4>0</vt:i4>
      </vt:variant>
      <vt:variant>
        <vt:i4>5</vt:i4>
      </vt:variant>
      <vt:variant>
        <vt:lpwstr/>
      </vt:variant>
      <vt:variant>
        <vt:lpwstr>_Toc311846029</vt:lpwstr>
      </vt:variant>
      <vt:variant>
        <vt:i4>1703990</vt:i4>
      </vt:variant>
      <vt:variant>
        <vt:i4>395</vt:i4>
      </vt:variant>
      <vt:variant>
        <vt:i4>0</vt:i4>
      </vt:variant>
      <vt:variant>
        <vt:i4>5</vt:i4>
      </vt:variant>
      <vt:variant>
        <vt:lpwstr/>
      </vt:variant>
      <vt:variant>
        <vt:lpwstr>_Toc311846028</vt:lpwstr>
      </vt:variant>
      <vt:variant>
        <vt:i4>1703990</vt:i4>
      </vt:variant>
      <vt:variant>
        <vt:i4>389</vt:i4>
      </vt:variant>
      <vt:variant>
        <vt:i4>0</vt:i4>
      </vt:variant>
      <vt:variant>
        <vt:i4>5</vt:i4>
      </vt:variant>
      <vt:variant>
        <vt:lpwstr/>
      </vt:variant>
      <vt:variant>
        <vt:lpwstr>_Toc311846027</vt:lpwstr>
      </vt:variant>
      <vt:variant>
        <vt:i4>1703990</vt:i4>
      </vt:variant>
      <vt:variant>
        <vt:i4>383</vt:i4>
      </vt:variant>
      <vt:variant>
        <vt:i4>0</vt:i4>
      </vt:variant>
      <vt:variant>
        <vt:i4>5</vt:i4>
      </vt:variant>
      <vt:variant>
        <vt:lpwstr/>
      </vt:variant>
      <vt:variant>
        <vt:lpwstr>_Toc311846026</vt:lpwstr>
      </vt:variant>
      <vt:variant>
        <vt:i4>1703990</vt:i4>
      </vt:variant>
      <vt:variant>
        <vt:i4>377</vt:i4>
      </vt:variant>
      <vt:variant>
        <vt:i4>0</vt:i4>
      </vt:variant>
      <vt:variant>
        <vt:i4>5</vt:i4>
      </vt:variant>
      <vt:variant>
        <vt:lpwstr/>
      </vt:variant>
      <vt:variant>
        <vt:lpwstr>_Toc311846025</vt:lpwstr>
      </vt:variant>
      <vt:variant>
        <vt:i4>1703990</vt:i4>
      </vt:variant>
      <vt:variant>
        <vt:i4>371</vt:i4>
      </vt:variant>
      <vt:variant>
        <vt:i4>0</vt:i4>
      </vt:variant>
      <vt:variant>
        <vt:i4>5</vt:i4>
      </vt:variant>
      <vt:variant>
        <vt:lpwstr/>
      </vt:variant>
      <vt:variant>
        <vt:lpwstr>_Toc311846024</vt:lpwstr>
      </vt:variant>
      <vt:variant>
        <vt:i4>1703990</vt:i4>
      </vt:variant>
      <vt:variant>
        <vt:i4>365</vt:i4>
      </vt:variant>
      <vt:variant>
        <vt:i4>0</vt:i4>
      </vt:variant>
      <vt:variant>
        <vt:i4>5</vt:i4>
      </vt:variant>
      <vt:variant>
        <vt:lpwstr/>
      </vt:variant>
      <vt:variant>
        <vt:lpwstr>_Toc311846023</vt:lpwstr>
      </vt:variant>
      <vt:variant>
        <vt:i4>1703990</vt:i4>
      </vt:variant>
      <vt:variant>
        <vt:i4>359</vt:i4>
      </vt:variant>
      <vt:variant>
        <vt:i4>0</vt:i4>
      </vt:variant>
      <vt:variant>
        <vt:i4>5</vt:i4>
      </vt:variant>
      <vt:variant>
        <vt:lpwstr/>
      </vt:variant>
      <vt:variant>
        <vt:lpwstr>_Toc311846022</vt:lpwstr>
      </vt:variant>
      <vt:variant>
        <vt:i4>1703990</vt:i4>
      </vt:variant>
      <vt:variant>
        <vt:i4>353</vt:i4>
      </vt:variant>
      <vt:variant>
        <vt:i4>0</vt:i4>
      </vt:variant>
      <vt:variant>
        <vt:i4>5</vt:i4>
      </vt:variant>
      <vt:variant>
        <vt:lpwstr/>
      </vt:variant>
      <vt:variant>
        <vt:lpwstr>_Toc311846021</vt:lpwstr>
      </vt:variant>
      <vt:variant>
        <vt:i4>1703990</vt:i4>
      </vt:variant>
      <vt:variant>
        <vt:i4>347</vt:i4>
      </vt:variant>
      <vt:variant>
        <vt:i4>0</vt:i4>
      </vt:variant>
      <vt:variant>
        <vt:i4>5</vt:i4>
      </vt:variant>
      <vt:variant>
        <vt:lpwstr/>
      </vt:variant>
      <vt:variant>
        <vt:lpwstr>_Toc311846020</vt:lpwstr>
      </vt:variant>
      <vt:variant>
        <vt:i4>1638454</vt:i4>
      </vt:variant>
      <vt:variant>
        <vt:i4>341</vt:i4>
      </vt:variant>
      <vt:variant>
        <vt:i4>0</vt:i4>
      </vt:variant>
      <vt:variant>
        <vt:i4>5</vt:i4>
      </vt:variant>
      <vt:variant>
        <vt:lpwstr/>
      </vt:variant>
      <vt:variant>
        <vt:lpwstr>_Toc311846019</vt:lpwstr>
      </vt:variant>
      <vt:variant>
        <vt:i4>1638454</vt:i4>
      </vt:variant>
      <vt:variant>
        <vt:i4>335</vt:i4>
      </vt:variant>
      <vt:variant>
        <vt:i4>0</vt:i4>
      </vt:variant>
      <vt:variant>
        <vt:i4>5</vt:i4>
      </vt:variant>
      <vt:variant>
        <vt:lpwstr/>
      </vt:variant>
      <vt:variant>
        <vt:lpwstr>_Toc311846018</vt:lpwstr>
      </vt:variant>
      <vt:variant>
        <vt:i4>1638454</vt:i4>
      </vt:variant>
      <vt:variant>
        <vt:i4>329</vt:i4>
      </vt:variant>
      <vt:variant>
        <vt:i4>0</vt:i4>
      </vt:variant>
      <vt:variant>
        <vt:i4>5</vt:i4>
      </vt:variant>
      <vt:variant>
        <vt:lpwstr/>
      </vt:variant>
      <vt:variant>
        <vt:lpwstr>_Toc311846017</vt:lpwstr>
      </vt:variant>
      <vt:variant>
        <vt:i4>1638454</vt:i4>
      </vt:variant>
      <vt:variant>
        <vt:i4>323</vt:i4>
      </vt:variant>
      <vt:variant>
        <vt:i4>0</vt:i4>
      </vt:variant>
      <vt:variant>
        <vt:i4>5</vt:i4>
      </vt:variant>
      <vt:variant>
        <vt:lpwstr/>
      </vt:variant>
      <vt:variant>
        <vt:lpwstr>_Toc311846016</vt:lpwstr>
      </vt:variant>
      <vt:variant>
        <vt:i4>1638454</vt:i4>
      </vt:variant>
      <vt:variant>
        <vt:i4>317</vt:i4>
      </vt:variant>
      <vt:variant>
        <vt:i4>0</vt:i4>
      </vt:variant>
      <vt:variant>
        <vt:i4>5</vt:i4>
      </vt:variant>
      <vt:variant>
        <vt:lpwstr/>
      </vt:variant>
      <vt:variant>
        <vt:lpwstr>_Toc311846015</vt:lpwstr>
      </vt:variant>
      <vt:variant>
        <vt:i4>1638454</vt:i4>
      </vt:variant>
      <vt:variant>
        <vt:i4>311</vt:i4>
      </vt:variant>
      <vt:variant>
        <vt:i4>0</vt:i4>
      </vt:variant>
      <vt:variant>
        <vt:i4>5</vt:i4>
      </vt:variant>
      <vt:variant>
        <vt:lpwstr/>
      </vt:variant>
      <vt:variant>
        <vt:lpwstr>_Toc311846014</vt:lpwstr>
      </vt:variant>
      <vt:variant>
        <vt:i4>1638454</vt:i4>
      </vt:variant>
      <vt:variant>
        <vt:i4>305</vt:i4>
      </vt:variant>
      <vt:variant>
        <vt:i4>0</vt:i4>
      </vt:variant>
      <vt:variant>
        <vt:i4>5</vt:i4>
      </vt:variant>
      <vt:variant>
        <vt:lpwstr/>
      </vt:variant>
      <vt:variant>
        <vt:lpwstr>_Toc311846013</vt:lpwstr>
      </vt:variant>
      <vt:variant>
        <vt:i4>1638454</vt:i4>
      </vt:variant>
      <vt:variant>
        <vt:i4>299</vt:i4>
      </vt:variant>
      <vt:variant>
        <vt:i4>0</vt:i4>
      </vt:variant>
      <vt:variant>
        <vt:i4>5</vt:i4>
      </vt:variant>
      <vt:variant>
        <vt:lpwstr/>
      </vt:variant>
      <vt:variant>
        <vt:lpwstr>_Toc311846012</vt:lpwstr>
      </vt:variant>
      <vt:variant>
        <vt:i4>1638454</vt:i4>
      </vt:variant>
      <vt:variant>
        <vt:i4>293</vt:i4>
      </vt:variant>
      <vt:variant>
        <vt:i4>0</vt:i4>
      </vt:variant>
      <vt:variant>
        <vt:i4>5</vt:i4>
      </vt:variant>
      <vt:variant>
        <vt:lpwstr/>
      </vt:variant>
      <vt:variant>
        <vt:lpwstr>_Toc311846011</vt:lpwstr>
      </vt:variant>
      <vt:variant>
        <vt:i4>1638454</vt:i4>
      </vt:variant>
      <vt:variant>
        <vt:i4>284</vt:i4>
      </vt:variant>
      <vt:variant>
        <vt:i4>0</vt:i4>
      </vt:variant>
      <vt:variant>
        <vt:i4>5</vt:i4>
      </vt:variant>
      <vt:variant>
        <vt:lpwstr/>
      </vt:variant>
      <vt:variant>
        <vt:lpwstr>_Toc311846010</vt:lpwstr>
      </vt:variant>
      <vt:variant>
        <vt:i4>1572918</vt:i4>
      </vt:variant>
      <vt:variant>
        <vt:i4>278</vt:i4>
      </vt:variant>
      <vt:variant>
        <vt:i4>0</vt:i4>
      </vt:variant>
      <vt:variant>
        <vt:i4>5</vt:i4>
      </vt:variant>
      <vt:variant>
        <vt:lpwstr/>
      </vt:variant>
      <vt:variant>
        <vt:lpwstr>_Toc311846009</vt:lpwstr>
      </vt:variant>
      <vt:variant>
        <vt:i4>1572918</vt:i4>
      </vt:variant>
      <vt:variant>
        <vt:i4>272</vt:i4>
      </vt:variant>
      <vt:variant>
        <vt:i4>0</vt:i4>
      </vt:variant>
      <vt:variant>
        <vt:i4>5</vt:i4>
      </vt:variant>
      <vt:variant>
        <vt:lpwstr/>
      </vt:variant>
      <vt:variant>
        <vt:lpwstr>_Toc311846008</vt:lpwstr>
      </vt:variant>
      <vt:variant>
        <vt:i4>1572918</vt:i4>
      </vt:variant>
      <vt:variant>
        <vt:i4>266</vt:i4>
      </vt:variant>
      <vt:variant>
        <vt:i4>0</vt:i4>
      </vt:variant>
      <vt:variant>
        <vt:i4>5</vt:i4>
      </vt:variant>
      <vt:variant>
        <vt:lpwstr/>
      </vt:variant>
      <vt:variant>
        <vt:lpwstr>_Toc311846007</vt:lpwstr>
      </vt:variant>
      <vt:variant>
        <vt:i4>1572918</vt:i4>
      </vt:variant>
      <vt:variant>
        <vt:i4>260</vt:i4>
      </vt:variant>
      <vt:variant>
        <vt:i4>0</vt:i4>
      </vt:variant>
      <vt:variant>
        <vt:i4>5</vt:i4>
      </vt:variant>
      <vt:variant>
        <vt:lpwstr/>
      </vt:variant>
      <vt:variant>
        <vt:lpwstr>_Toc311846006</vt:lpwstr>
      </vt:variant>
      <vt:variant>
        <vt:i4>1572918</vt:i4>
      </vt:variant>
      <vt:variant>
        <vt:i4>254</vt:i4>
      </vt:variant>
      <vt:variant>
        <vt:i4>0</vt:i4>
      </vt:variant>
      <vt:variant>
        <vt:i4>5</vt:i4>
      </vt:variant>
      <vt:variant>
        <vt:lpwstr/>
      </vt:variant>
      <vt:variant>
        <vt:lpwstr>_Toc311846005</vt:lpwstr>
      </vt:variant>
      <vt:variant>
        <vt:i4>1572918</vt:i4>
      </vt:variant>
      <vt:variant>
        <vt:i4>248</vt:i4>
      </vt:variant>
      <vt:variant>
        <vt:i4>0</vt:i4>
      </vt:variant>
      <vt:variant>
        <vt:i4>5</vt:i4>
      </vt:variant>
      <vt:variant>
        <vt:lpwstr/>
      </vt:variant>
      <vt:variant>
        <vt:lpwstr>_Toc311846004</vt:lpwstr>
      </vt:variant>
      <vt:variant>
        <vt:i4>1572918</vt:i4>
      </vt:variant>
      <vt:variant>
        <vt:i4>242</vt:i4>
      </vt:variant>
      <vt:variant>
        <vt:i4>0</vt:i4>
      </vt:variant>
      <vt:variant>
        <vt:i4>5</vt:i4>
      </vt:variant>
      <vt:variant>
        <vt:lpwstr/>
      </vt:variant>
      <vt:variant>
        <vt:lpwstr>_Toc311846003</vt:lpwstr>
      </vt:variant>
      <vt:variant>
        <vt:i4>1572918</vt:i4>
      </vt:variant>
      <vt:variant>
        <vt:i4>236</vt:i4>
      </vt:variant>
      <vt:variant>
        <vt:i4>0</vt:i4>
      </vt:variant>
      <vt:variant>
        <vt:i4>5</vt:i4>
      </vt:variant>
      <vt:variant>
        <vt:lpwstr/>
      </vt:variant>
      <vt:variant>
        <vt:lpwstr>_Toc311846002</vt:lpwstr>
      </vt:variant>
      <vt:variant>
        <vt:i4>1572918</vt:i4>
      </vt:variant>
      <vt:variant>
        <vt:i4>230</vt:i4>
      </vt:variant>
      <vt:variant>
        <vt:i4>0</vt:i4>
      </vt:variant>
      <vt:variant>
        <vt:i4>5</vt:i4>
      </vt:variant>
      <vt:variant>
        <vt:lpwstr/>
      </vt:variant>
      <vt:variant>
        <vt:lpwstr>_Toc311846001</vt:lpwstr>
      </vt:variant>
      <vt:variant>
        <vt:i4>1572918</vt:i4>
      </vt:variant>
      <vt:variant>
        <vt:i4>224</vt:i4>
      </vt:variant>
      <vt:variant>
        <vt:i4>0</vt:i4>
      </vt:variant>
      <vt:variant>
        <vt:i4>5</vt:i4>
      </vt:variant>
      <vt:variant>
        <vt:lpwstr/>
      </vt:variant>
      <vt:variant>
        <vt:lpwstr>_Toc311846000</vt:lpwstr>
      </vt:variant>
      <vt:variant>
        <vt:i4>1179711</vt:i4>
      </vt:variant>
      <vt:variant>
        <vt:i4>218</vt:i4>
      </vt:variant>
      <vt:variant>
        <vt:i4>0</vt:i4>
      </vt:variant>
      <vt:variant>
        <vt:i4>5</vt:i4>
      </vt:variant>
      <vt:variant>
        <vt:lpwstr/>
      </vt:variant>
      <vt:variant>
        <vt:lpwstr>_Toc311845999</vt:lpwstr>
      </vt:variant>
      <vt:variant>
        <vt:i4>1179711</vt:i4>
      </vt:variant>
      <vt:variant>
        <vt:i4>212</vt:i4>
      </vt:variant>
      <vt:variant>
        <vt:i4>0</vt:i4>
      </vt:variant>
      <vt:variant>
        <vt:i4>5</vt:i4>
      </vt:variant>
      <vt:variant>
        <vt:lpwstr/>
      </vt:variant>
      <vt:variant>
        <vt:lpwstr>_Toc311845998</vt:lpwstr>
      </vt:variant>
      <vt:variant>
        <vt:i4>1179711</vt:i4>
      </vt:variant>
      <vt:variant>
        <vt:i4>206</vt:i4>
      </vt:variant>
      <vt:variant>
        <vt:i4>0</vt:i4>
      </vt:variant>
      <vt:variant>
        <vt:i4>5</vt:i4>
      </vt:variant>
      <vt:variant>
        <vt:lpwstr/>
      </vt:variant>
      <vt:variant>
        <vt:lpwstr>_Toc311845997</vt:lpwstr>
      </vt:variant>
      <vt:variant>
        <vt:i4>1179711</vt:i4>
      </vt:variant>
      <vt:variant>
        <vt:i4>200</vt:i4>
      </vt:variant>
      <vt:variant>
        <vt:i4>0</vt:i4>
      </vt:variant>
      <vt:variant>
        <vt:i4>5</vt:i4>
      </vt:variant>
      <vt:variant>
        <vt:lpwstr/>
      </vt:variant>
      <vt:variant>
        <vt:lpwstr>_Toc311845996</vt:lpwstr>
      </vt:variant>
      <vt:variant>
        <vt:i4>1179711</vt:i4>
      </vt:variant>
      <vt:variant>
        <vt:i4>194</vt:i4>
      </vt:variant>
      <vt:variant>
        <vt:i4>0</vt:i4>
      </vt:variant>
      <vt:variant>
        <vt:i4>5</vt:i4>
      </vt:variant>
      <vt:variant>
        <vt:lpwstr/>
      </vt:variant>
      <vt:variant>
        <vt:lpwstr>_Toc311845995</vt:lpwstr>
      </vt:variant>
      <vt:variant>
        <vt:i4>1179711</vt:i4>
      </vt:variant>
      <vt:variant>
        <vt:i4>188</vt:i4>
      </vt:variant>
      <vt:variant>
        <vt:i4>0</vt:i4>
      </vt:variant>
      <vt:variant>
        <vt:i4>5</vt:i4>
      </vt:variant>
      <vt:variant>
        <vt:lpwstr/>
      </vt:variant>
      <vt:variant>
        <vt:lpwstr>_Toc311845994</vt:lpwstr>
      </vt:variant>
      <vt:variant>
        <vt:i4>1179711</vt:i4>
      </vt:variant>
      <vt:variant>
        <vt:i4>182</vt:i4>
      </vt:variant>
      <vt:variant>
        <vt:i4>0</vt:i4>
      </vt:variant>
      <vt:variant>
        <vt:i4>5</vt:i4>
      </vt:variant>
      <vt:variant>
        <vt:lpwstr/>
      </vt:variant>
      <vt:variant>
        <vt:lpwstr>_Toc311845993</vt:lpwstr>
      </vt:variant>
      <vt:variant>
        <vt:i4>1179711</vt:i4>
      </vt:variant>
      <vt:variant>
        <vt:i4>176</vt:i4>
      </vt:variant>
      <vt:variant>
        <vt:i4>0</vt:i4>
      </vt:variant>
      <vt:variant>
        <vt:i4>5</vt:i4>
      </vt:variant>
      <vt:variant>
        <vt:lpwstr/>
      </vt:variant>
      <vt:variant>
        <vt:lpwstr>_Toc311845992</vt:lpwstr>
      </vt:variant>
      <vt:variant>
        <vt:i4>1179711</vt:i4>
      </vt:variant>
      <vt:variant>
        <vt:i4>170</vt:i4>
      </vt:variant>
      <vt:variant>
        <vt:i4>0</vt:i4>
      </vt:variant>
      <vt:variant>
        <vt:i4>5</vt:i4>
      </vt:variant>
      <vt:variant>
        <vt:lpwstr/>
      </vt:variant>
      <vt:variant>
        <vt:lpwstr>_Toc311845991</vt:lpwstr>
      </vt:variant>
      <vt:variant>
        <vt:i4>1179711</vt:i4>
      </vt:variant>
      <vt:variant>
        <vt:i4>164</vt:i4>
      </vt:variant>
      <vt:variant>
        <vt:i4>0</vt:i4>
      </vt:variant>
      <vt:variant>
        <vt:i4>5</vt:i4>
      </vt:variant>
      <vt:variant>
        <vt:lpwstr/>
      </vt:variant>
      <vt:variant>
        <vt:lpwstr>_Toc311845990</vt:lpwstr>
      </vt:variant>
      <vt:variant>
        <vt:i4>1245247</vt:i4>
      </vt:variant>
      <vt:variant>
        <vt:i4>158</vt:i4>
      </vt:variant>
      <vt:variant>
        <vt:i4>0</vt:i4>
      </vt:variant>
      <vt:variant>
        <vt:i4>5</vt:i4>
      </vt:variant>
      <vt:variant>
        <vt:lpwstr/>
      </vt:variant>
      <vt:variant>
        <vt:lpwstr>_Toc311845989</vt:lpwstr>
      </vt:variant>
      <vt:variant>
        <vt:i4>1245247</vt:i4>
      </vt:variant>
      <vt:variant>
        <vt:i4>152</vt:i4>
      </vt:variant>
      <vt:variant>
        <vt:i4>0</vt:i4>
      </vt:variant>
      <vt:variant>
        <vt:i4>5</vt:i4>
      </vt:variant>
      <vt:variant>
        <vt:lpwstr/>
      </vt:variant>
      <vt:variant>
        <vt:lpwstr>_Toc311845988</vt:lpwstr>
      </vt:variant>
      <vt:variant>
        <vt:i4>1245247</vt:i4>
      </vt:variant>
      <vt:variant>
        <vt:i4>146</vt:i4>
      </vt:variant>
      <vt:variant>
        <vt:i4>0</vt:i4>
      </vt:variant>
      <vt:variant>
        <vt:i4>5</vt:i4>
      </vt:variant>
      <vt:variant>
        <vt:lpwstr/>
      </vt:variant>
      <vt:variant>
        <vt:lpwstr>_Toc311845987</vt:lpwstr>
      </vt:variant>
      <vt:variant>
        <vt:i4>1245247</vt:i4>
      </vt:variant>
      <vt:variant>
        <vt:i4>140</vt:i4>
      </vt:variant>
      <vt:variant>
        <vt:i4>0</vt:i4>
      </vt:variant>
      <vt:variant>
        <vt:i4>5</vt:i4>
      </vt:variant>
      <vt:variant>
        <vt:lpwstr/>
      </vt:variant>
      <vt:variant>
        <vt:lpwstr>_Toc311845986</vt:lpwstr>
      </vt:variant>
      <vt:variant>
        <vt:i4>1245247</vt:i4>
      </vt:variant>
      <vt:variant>
        <vt:i4>134</vt:i4>
      </vt:variant>
      <vt:variant>
        <vt:i4>0</vt:i4>
      </vt:variant>
      <vt:variant>
        <vt:i4>5</vt:i4>
      </vt:variant>
      <vt:variant>
        <vt:lpwstr/>
      </vt:variant>
      <vt:variant>
        <vt:lpwstr>_Toc311845985</vt:lpwstr>
      </vt:variant>
      <vt:variant>
        <vt:i4>1245247</vt:i4>
      </vt:variant>
      <vt:variant>
        <vt:i4>128</vt:i4>
      </vt:variant>
      <vt:variant>
        <vt:i4>0</vt:i4>
      </vt:variant>
      <vt:variant>
        <vt:i4>5</vt:i4>
      </vt:variant>
      <vt:variant>
        <vt:lpwstr/>
      </vt:variant>
      <vt:variant>
        <vt:lpwstr>_Toc311845984</vt:lpwstr>
      </vt:variant>
      <vt:variant>
        <vt:i4>1245247</vt:i4>
      </vt:variant>
      <vt:variant>
        <vt:i4>122</vt:i4>
      </vt:variant>
      <vt:variant>
        <vt:i4>0</vt:i4>
      </vt:variant>
      <vt:variant>
        <vt:i4>5</vt:i4>
      </vt:variant>
      <vt:variant>
        <vt:lpwstr/>
      </vt:variant>
      <vt:variant>
        <vt:lpwstr>_Toc311845983</vt:lpwstr>
      </vt:variant>
      <vt:variant>
        <vt:i4>1245247</vt:i4>
      </vt:variant>
      <vt:variant>
        <vt:i4>116</vt:i4>
      </vt:variant>
      <vt:variant>
        <vt:i4>0</vt:i4>
      </vt:variant>
      <vt:variant>
        <vt:i4>5</vt:i4>
      </vt:variant>
      <vt:variant>
        <vt:lpwstr/>
      </vt:variant>
      <vt:variant>
        <vt:lpwstr>_Toc311845982</vt:lpwstr>
      </vt:variant>
      <vt:variant>
        <vt:i4>1245247</vt:i4>
      </vt:variant>
      <vt:variant>
        <vt:i4>110</vt:i4>
      </vt:variant>
      <vt:variant>
        <vt:i4>0</vt:i4>
      </vt:variant>
      <vt:variant>
        <vt:i4>5</vt:i4>
      </vt:variant>
      <vt:variant>
        <vt:lpwstr/>
      </vt:variant>
      <vt:variant>
        <vt:lpwstr>_Toc311845981</vt:lpwstr>
      </vt:variant>
      <vt:variant>
        <vt:i4>1245247</vt:i4>
      </vt:variant>
      <vt:variant>
        <vt:i4>104</vt:i4>
      </vt:variant>
      <vt:variant>
        <vt:i4>0</vt:i4>
      </vt:variant>
      <vt:variant>
        <vt:i4>5</vt:i4>
      </vt:variant>
      <vt:variant>
        <vt:lpwstr/>
      </vt:variant>
      <vt:variant>
        <vt:lpwstr>_Toc311845980</vt:lpwstr>
      </vt:variant>
      <vt:variant>
        <vt:i4>1835071</vt:i4>
      </vt:variant>
      <vt:variant>
        <vt:i4>98</vt:i4>
      </vt:variant>
      <vt:variant>
        <vt:i4>0</vt:i4>
      </vt:variant>
      <vt:variant>
        <vt:i4>5</vt:i4>
      </vt:variant>
      <vt:variant>
        <vt:lpwstr/>
      </vt:variant>
      <vt:variant>
        <vt:lpwstr>_Toc311845979</vt:lpwstr>
      </vt:variant>
      <vt:variant>
        <vt:i4>1835071</vt:i4>
      </vt:variant>
      <vt:variant>
        <vt:i4>92</vt:i4>
      </vt:variant>
      <vt:variant>
        <vt:i4>0</vt:i4>
      </vt:variant>
      <vt:variant>
        <vt:i4>5</vt:i4>
      </vt:variant>
      <vt:variant>
        <vt:lpwstr/>
      </vt:variant>
      <vt:variant>
        <vt:lpwstr>_Toc311845978</vt:lpwstr>
      </vt:variant>
      <vt:variant>
        <vt:i4>1835071</vt:i4>
      </vt:variant>
      <vt:variant>
        <vt:i4>86</vt:i4>
      </vt:variant>
      <vt:variant>
        <vt:i4>0</vt:i4>
      </vt:variant>
      <vt:variant>
        <vt:i4>5</vt:i4>
      </vt:variant>
      <vt:variant>
        <vt:lpwstr/>
      </vt:variant>
      <vt:variant>
        <vt:lpwstr>_Toc311845977</vt:lpwstr>
      </vt:variant>
      <vt:variant>
        <vt:i4>1835071</vt:i4>
      </vt:variant>
      <vt:variant>
        <vt:i4>80</vt:i4>
      </vt:variant>
      <vt:variant>
        <vt:i4>0</vt:i4>
      </vt:variant>
      <vt:variant>
        <vt:i4>5</vt:i4>
      </vt:variant>
      <vt:variant>
        <vt:lpwstr/>
      </vt:variant>
      <vt:variant>
        <vt:lpwstr>_Toc311845976</vt:lpwstr>
      </vt:variant>
      <vt:variant>
        <vt:i4>1835071</vt:i4>
      </vt:variant>
      <vt:variant>
        <vt:i4>74</vt:i4>
      </vt:variant>
      <vt:variant>
        <vt:i4>0</vt:i4>
      </vt:variant>
      <vt:variant>
        <vt:i4>5</vt:i4>
      </vt:variant>
      <vt:variant>
        <vt:lpwstr/>
      </vt:variant>
      <vt:variant>
        <vt:lpwstr>_Toc311845975</vt:lpwstr>
      </vt:variant>
      <vt:variant>
        <vt:i4>1835071</vt:i4>
      </vt:variant>
      <vt:variant>
        <vt:i4>68</vt:i4>
      </vt:variant>
      <vt:variant>
        <vt:i4>0</vt:i4>
      </vt:variant>
      <vt:variant>
        <vt:i4>5</vt:i4>
      </vt:variant>
      <vt:variant>
        <vt:lpwstr/>
      </vt:variant>
      <vt:variant>
        <vt:lpwstr>_Toc311845974</vt:lpwstr>
      </vt:variant>
      <vt:variant>
        <vt:i4>1835071</vt:i4>
      </vt:variant>
      <vt:variant>
        <vt:i4>62</vt:i4>
      </vt:variant>
      <vt:variant>
        <vt:i4>0</vt:i4>
      </vt:variant>
      <vt:variant>
        <vt:i4>5</vt:i4>
      </vt:variant>
      <vt:variant>
        <vt:lpwstr/>
      </vt:variant>
      <vt:variant>
        <vt:lpwstr>_Toc311845973</vt:lpwstr>
      </vt:variant>
      <vt:variant>
        <vt:i4>1835071</vt:i4>
      </vt:variant>
      <vt:variant>
        <vt:i4>56</vt:i4>
      </vt:variant>
      <vt:variant>
        <vt:i4>0</vt:i4>
      </vt:variant>
      <vt:variant>
        <vt:i4>5</vt:i4>
      </vt:variant>
      <vt:variant>
        <vt:lpwstr/>
      </vt:variant>
      <vt:variant>
        <vt:lpwstr>_Toc311845972</vt:lpwstr>
      </vt:variant>
      <vt:variant>
        <vt:i4>1835071</vt:i4>
      </vt:variant>
      <vt:variant>
        <vt:i4>50</vt:i4>
      </vt:variant>
      <vt:variant>
        <vt:i4>0</vt:i4>
      </vt:variant>
      <vt:variant>
        <vt:i4>5</vt:i4>
      </vt:variant>
      <vt:variant>
        <vt:lpwstr/>
      </vt:variant>
      <vt:variant>
        <vt:lpwstr>_Toc311845971</vt:lpwstr>
      </vt:variant>
      <vt:variant>
        <vt:i4>1835071</vt:i4>
      </vt:variant>
      <vt:variant>
        <vt:i4>44</vt:i4>
      </vt:variant>
      <vt:variant>
        <vt:i4>0</vt:i4>
      </vt:variant>
      <vt:variant>
        <vt:i4>5</vt:i4>
      </vt:variant>
      <vt:variant>
        <vt:lpwstr/>
      </vt:variant>
      <vt:variant>
        <vt:lpwstr>_Toc311845970</vt:lpwstr>
      </vt:variant>
      <vt:variant>
        <vt:i4>1900607</vt:i4>
      </vt:variant>
      <vt:variant>
        <vt:i4>38</vt:i4>
      </vt:variant>
      <vt:variant>
        <vt:i4>0</vt:i4>
      </vt:variant>
      <vt:variant>
        <vt:i4>5</vt:i4>
      </vt:variant>
      <vt:variant>
        <vt:lpwstr/>
      </vt:variant>
      <vt:variant>
        <vt:lpwstr>_Toc311845969</vt:lpwstr>
      </vt:variant>
      <vt:variant>
        <vt:i4>1900607</vt:i4>
      </vt:variant>
      <vt:variant>
        <vt:i4>32</vt:i4>
      </vt:variant>
      <vt:variant>
        <vt:i4>0</vt:i4>
      </vt:variant>
      <vt:variant>
        <vt:i4>5</vt:i4>
      </vt:variant>
      <vt:variant>
        <vt:lpwstr/>
      </vt:variant>
      <vt:variant>
        <vt:lpwstr>_Toc311845968</vt:lpwstr>
      </vt:variant>
      <vt:variant>
        <vt:i4>1900607</vt:i4>
      </vt:variant>
      <vt:variant>
        <vt:i4>26</vt:i4>
      </vt:variant>
      <vt:variant>
        <vt:i4>0</vt:i4>
      </vt:variant>
      <vt:variant>
        <vt:i4>5</vt:i4>
      </vt:variant>
      <vt:variant>
        <vt:lpwstr/>
      </vt:variant>
      <vt:variant>
        <vt:lpwstr>_Toc311845967</vt:lpwstr>
      </vt:variant>
      <vt:variant>
        <vt:i4>1900607</vt:i4>
      </vt:variant>
      <vt:variant>
        <vt:i4>20</vt:i4>
      </vt:variant>
      <vt:variant>
        <vt:i4>0</vt:i4>
      </vt:variant>
      <vt:variant>
        <vt:i4>5</vt:i4>
      </vt:variant>
      <vt:variant>
        <vt:lpwstr/>
      </vt:variant>
      <vt:variant>
        <vt:lpwstr>_Toc311845966</vt:lpwstr>
      </vt:variant>
      <vt:variant>
        <vt:i4>1900607</vt:i4>
      </vt:variant>
      <vt:variant>
        <vt:i4>14</vt:i4>
      </vt:variant>
      <vt:variant>
        <vt:i4>0</vt:i4>
      </vt:variant>
      <vt:variant>
        <vt:i4>5</vt:i4>
      </vt:variant>
      <vt:variant>
        <vt:lpwstr/>
      </vt:variant>
      <vt:variant>
        <vt:lpwstr>_Toc311845965</vt:lpwstr>
      </vt:variant>
      <vt:variant>
        <vt:i4>1900607</vt:i4>
      </vt:variant>
      <vt:variant>
        <vt:i4>8</vt:i4>
      </vt:variant>
      <vt:variant>
        <vt:i4>0</vt:i4>
      </vt:variant>
      <vt:variant>
        <vt:i4>5</vt:i4>
      </vt:variant>
      <vt:variant>
        <vt:lpwstr/>
      </vt:variant>
      <vt:variant>
        <vt:lpwstr>_Toc311845964</vt:lpwstr>
      </vt:variant>
      <vt:variant>
        <vt:i4>1900607</vt:i4>
      </vt:variant>
      <vt:variant>
        <vt:i4>2</vt:i4>
      </vt:variant>
      <vt:variant>
        <vt:i4>0</vt:i4>
      </vt:variant>
      <vt:variant>
        <vt:i4>5</vt:i4>
      </vt:variant>
      <vt:variant>
        <vt:lpwstr/>
      </vt:variant>
      <vt:variant>
        <vt:lpwstr>_Toc311845963</vt:lpwstr>
      </vt:variant>
      <vt:variant>
        <vt:i4>1376275</vt:i4>
      </vt:variant>
      <vt:variant>
        <vt:i4>33</vt:i4>
      </vt:variant>
      <vt:variant>
        <vt:i4>0</vt:i4>
      </vt:variant>
      <vt:variant>
        <vt:i4>5</vt:i4>
      </vt:variant>
      <vt:variant>
        <vt:lpwstr>http://www.nma.org/pdf/072010_nma_filing.pdf</vt:lpwstr>
      </vt:variant>
      <vt:variant>
        <vt:lpwstr/>
      </vt:variant>
      <vt:variant>
        <vt:i4>852095</vt:i4>
      </vt:variant>
      <vt:variant>
        <vt:i4>30</vt:i4>
      </vt:variant>
      <vt:variant>
        <vt:i4>0</vt:i4>
      </vt:variant>
      <vt:variant>
        <vt:i4>5</vt:i4>
      </vt:variant>
      <vt:variant>
        <vt:lpwstr>http://water.epa.gov/lawsregs/lawsguidance/cwa/316b/upload/factsheet_proposed.pdf</vt:lpwstr>
      </vt:variant>
      <vt:variant>
        <vt:lpwstr/>
      </vt:variant>
      <vt:variant>
        <vt:i4>5636185</vt:i4>
      </vt:variant>
      <vt:variant>
        <vt:i4>27</vt:i4>
      </vt:variant>
      <vt:variant>
        <vt:i4>0</vt:i4>
      </vt:variant>
      <vt:variant>
        <vt:i4>5</vt:i4>
      </vt:variant>
      <vt:variant>
        <vt:lpwstr>http://www.epa.gov/air/ozonepollution/pdfs/20101208motion.pdf</vt:lpwstr>
      </vt:variant>
      <vt:variant>
        <vt:lpwstr/>
      </vt:variant>
      <vt:variant>
        <vt:i4>7798910</vt:i4>
      </vt:variant>
      <vt:variant>
        <vt:i4>24</vt:i4>
      </vt:variant>
      <vt:variant>
        <vt:i4>0</vt:i4>
      </vt:variant>
      <vt:variant>
        <vt:i4>5</vt:i4>
      </vt:variant>
      <vt:variant>
        <vt:lpwstr>http://www.epa.gov/air/ozonepollution/pdfs/2008_03_factsheet.pdf</vt:lpwstr>
      </vt:variant>
      <vt:variant>
        <vt:lpwstr/>
      </vt:variant>
      <vt:variant>
        <vt:i4>983112</vt:i4>
      </vt:variant>
      <vt:variant>
        <vt:i4>21</vt:i4>
      </vt:variant>
      <vt:variant>
        <vt:i4>0</vt:i4>
      </vt:variant>
      <vt:variant>
        <vt:i4>5</vt:i4>
      </vt:variant>
      <vt:variant>
        <vt:lpwstr>http://www.epa.gov/air/particlepollution/health.html</vt:lpwstr>
      </vt:variant>
      <vt:variant>
        <vt:lpwstr/>
      </vt:variant>
      <vt:variant>
        <vt:i4>5636097</vt:i4>
      </vt:variant>
      <vt:variant>
        <vt:i4>18</vt:i4>
      </vt:variant>
      <vt:variant>
        <vt:i4>0</vt:i4>
      </vt:variant>
      <vt:variant>
        <vt:i4>5</vt:i4>
      </vt:variant>
      <vt:variant>
        <vt:lpwstr>http://www.epa.gov/visibility/pdfs/20090115fr.pdf</vt:lpwstr>
      </vt:variant>
      <vt:variant>
        <vt:lpwstr/>
      </vt:variant>
      <vt:variant>
        <vt:i4>6291523</vt:i4>
      </vt:variant>
      <vt:variant>
        <vt:i4>15</vt:i4>
      </vt:variant>
      <vt:variant>
        <vt:i4>0</vt:i4>
      </vt:variant>
      <vt:variant>
        <vt:i4>5</vt:i4>
      </vt:variant>
      <vt:variant>
        <vt:lpwstr>http://www.epa.gov/airmarkets/progsregs/cair/docs/CAIR_Reply_Attachment_1.pdf</vt:lpwstr>
      </vt:variant>
      <vt:variant>
        <vt:lpwstr/>
      </vt:variant>
      <vt:variant>
        <vt:i4>7536721</vt:i4>
      </vt:variant>
      <vt:variant>
        <vt:i4>12</vt:i4>
      </vt:variant>
      <vt:variant>
        <vt:i4>0</vt:i4>
      </vt:variant>
      <vt:variant>
        <vt:i4>5</vt:i4>
      </vt:variant>
      <vt:variant>
        <vt:lpwstr>http://www.epa.gov/visibility/fs_2005_07_20.html</vt:lpwstr>
      </vt:variant>
      <vt:variant>
        <vt:lpwstr/>
      </vt:variant>
      <vt:variant>
        <vt:i4>4587551</vt:i4>
      </vt:variant>
      <vt:variant>
        <vt:i4>9</vt:i4>
      </vt:variant>
      <vt:variant>
        <vt:i4>0</vt:i4>
      </vt:variant>
      <vt:variant>
        <vt:i4>5</vt:i4>
      </vt:variant>
      <vt:variant>
        <vt:lpwstr>http://www.epa.gov/airmarkets/progsregs/cair/docs/CAIRRemandOrder.pdf</vt:lpwstr>
      </vt:variant>
      <vt:variant>
        <vt:lpwstr/>
      </vt:variant>
      <vt:variant>
        <vt:i4>5242965</vt:i4>
      </vt:variant>
      <vt:variant>
        <vt:i4>6</vt:i4>
      </vt:variant>
      <vt:variant>
        <vt:i4>0</vt:i4>
      </vt:variant>
      <vt:variant>
        <vt:i4>5</vt:i4>
      </vt:variant>
      <vt:variant>
        <vt:lpwstr>http://www.eia.doe.gov/oil_gas/rpd/shale_gas.jpg</vt:lpwstr>
      </vt:variant>
      <vt:variant>
        <vt:lpwstr/>
      </vt:variant>
      <vt:variant>
        <vt:i4>5177427</vt:i4>
      </vt:variant>
      <vt:variant>
        <vt:i4>3</vt:i4>
      </vt:variant>
      <vt:variant>
        <vt:i4>0</vt:i4>
      </vt:variant>
      <vt:variant>
        <vt:i4>5</vt:i4>
      </vt:variant>
      <vt:variant>
        <vt:lpwstr>http://web.mit.edu/mitei/research/studies/natural-gas-2011.shtml</vt:lpwstr>
      </vt:variant>
      <vt:variant>
        <vt:lpwstr/>
      </vt:variant>
      <vt:variant>
        <vt:i4>7667756</vt:i4>
      </vt:variant>
      <vt:variant>
        <vt:i4>0</vt:i4>
      </vt:variant>
      <vt:variant>
        <vt:i4>0</vt:i4>
      </vt:variant>
      <vt:variant>
        <vt:i4>5</vt:i4>
      </vt:variant>
      <vt:variant>
        <vt:lpwstr>http://www.mines.edu/Potential-Gas-Committee-reports-unprecedented-increase-in-magnitude-of-U.S.-natural-gas-resource-base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2019-01-29T20:14:00Z</dcterms:created>
  <dcterms:modified xsi:type="dcterms:W3CDTF">2019-01-29T22:02:00Z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