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0D86D" w14:textId="77777777" w:rsidR="00625E0E" w:rsidRPr="00C621E8" w:rsidRDefault="00625E0E" w:rsidP="00625E0E">
      <w:pPr>
        <w:jc w:val="both"/>
        <w:rPr>
          <w:b/>
          <w:bCs/>
          <w:sz w:val="32"/>
          <w:szCs w:val="32"/>
        </w:rPr>
      </w:pPr>
      <w:r w:rsidRPr="00C621E8">
        <w:rPr>
          <w:b/>
          <w:bCs/>
          <w:sz w:val="32"/>
          <w:szCs w:val="32"/>
        </w:rPr>
        <w:t>GALLOWAY &amp; LYNDALL, LLP</w:t>
      </w:r>
    </w:p>
    <w:p w14:paraId="285B8053" w14:textId="77777777" w:rsidR="00625E0E" w:rsidRPr="00C621E8" w:rsidRDefault="00625E0E" w:rsidP="00625E0E">
      <w:pPr>
        <w:jc w:val="both"/>
        <w:rPr>
          <w:b/>
          <w:bCs/>
          <w:sz w:val="22"/>
          <w:szCs w:val="22"/>
        </w:rPr>
      </w:pPr>
      <w:r w:rsidRPr="00C621E8">
        <w:rPr>
          <w:b/>
          <w:bCs/>
        </w:rPr>
        <w:t xml:space="preserve">               </w:t>
      </w:r>
      <w:r w:rsidRPr="00C621E8">
        <w:rPr>
          <w:b/>
          <w:bCs/>
          <w:sz w:val="22"/>
          <w:szCs w:val="22"/>
        </w:rPr>
        <w:t>ATTORNEYS AT LAW</w:t>
      </w:r>
      <w:r w:rsidRPr="00C621E8">
        <w:rPr>
          <w:b/>
          <w:bCs/>
          <w:sz w:val="22"/>
          <w:szCs w:val="22"/>
        </w:rPr>
        <w:tab/>
      </w:r>
    </w:p>
    <w:p w14:paraId="5956C8DE" w14:textId="77777777" w:rsidR="00625E0E" w:rsidRPr="00C84D1A" w:rsidRDefault="00625E0E" w:rsidP="00625E0E">
      <w:pPr>
        <w:ind w:right="-450"/>
        <w:jc w:val="both"/>
        <w:rPr>
          <w:b/>
          <w:bCs/>
          <w:sz w:val="22"/>
          <w:szCs w:val="22"/>
        </w:rPr>
      </w:pPr>
      <w:r w:rsidRPr="00C84D1A">
        <w:rPr>
          <w:bCs/>
          <w:sz w:val="22"/>
          <w:szCs w:val="22"/>
        </w:rPr>
        <w:tab/>
      </w:r>
      <w:r w:rsidRPr="00C84D1A">
        <w:rPr>
          <w:bCs/>
          <w:sz w:val="22"/>
          <w:szCs w:val="22"/>
        </w:rPr>
        <w:tab/>
      </w:r>
    </w:p>
    <w:p w14:paraId="7164C8E2" w14:textId="77777777" w:rsidR="00625E0E" w:rsidRPr="004A4558" w:rsidRDefault="00625E0E" w:rsidP="00625E0E">
      <w:pPr>
        <w:spacing w:line="57" w:lineRule="exact"/>
        <w:jc w:val="both"/>
        <w:rPr>
          <w:b/>
        </w:rPr>
      </w:pPr>
      <w:r w:rsidRPr="004A4558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64317F51" wp14:editId="59EE3E3C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5943600" cy="3619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61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6FEC28" id="Rectangle 2" o:spid="_x0000_s1026" style="position:absolute;margin-left:1in;margin-top:0;width:468pt;height:2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73u5gIAADA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427B76F2" w14:textId="77777777" w:rsidR="00625E0E" w:rsidRPr="00E0239A" w:rsidRDefault="00E0239A" w:rsidP="00625E0E">
      <w:pPr>
        <w:ind w:right="-117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625E0E" w:rsidRPr="00E0239A">
        <w:rPr>
          <w:sz w:val="16"/>
          <w:szCs w:val="16"/>
        </w:rPr>
        <w:t>THE LEWIS-MILLS HOUSE</w:t>
      </w:r>
      <w:r>
        <w:rPr>
          <w:sz w:val="16"/>
          <w:szCs w:val="16"/>
        </w:rPr>
        <w:t xml:space="preserve"> </w:t>
      </w:r>
      <w:r w:rsidR="00625E0E" w:rsidRPr="00E0239A">
        <w:rPr>
          <w:sz w:val="16"/>
          <w:szCs w:val="16"/>
        </w:rPr>
        <w:t xml:space="preserve">■ </w:t>
      </w:r>
      <w:r>
        <w:rPr>
          <w:sz w:val="16"/>
          <w:szCs w:val="16"/>
        </w:rPr>
        <w:t xml:space="preserve">406 NORTH HILL STREET </w:t>
      </w:r>
      <w:r w:rsidR="00625E0E" w:rsidRPr="00E0239A">
        <w:rPr>
          <w:sz w:val="16"/>
          <w:szCs w:val="16"/>
        </w:rPr>
        <w:t>■</w:t>
      </w:r>
      <w:r>
        <w:rPr>
          <w:sz w:val="16"/>
          <w:szCs w:val="16"/>
        </w:rPr>
        <w:t xml:space="preserve"> GRIFFIN, GEORGIA 30223</w:t>
      </w:r>
      <w:r w:rsidR="00625E0E" w:rsidRPr="00E0239A">
        <w:rPr>
          <w:sz w:val="16"/>
          <w:szCs w:val="16"/>
        </w:rPr>
        <w:t xml:space="preserve"> ■ </w:t>
      </w:r>
      <w:r>
        <w:rPr>
          <w:sz w:val="16"/>
          <w:szCs w:val="16"/>
        </w:rPr>
        <w:t xml:space="preserve">(770) 233-6230 </w:t>
      </w:r>
      <w:r w:rsidR="00625E0E" w:rsidRPr="00E0239A">
        <w:rPr>
          <w:sz w:val="16"/>
          <w:szCs w:val="16"/>
        </w:rPr>
        <w:t>■ FACSIMILE (770) 233-6231</w:t>
      </w:r>
    </w:p>
    <w:p w14:paraId="158EEAAC" w14:textId="77777777" w:rsidR="00625E0E" w:rsidRPr="004A4558" w:rsidRDefault="00625E0E" w:rsidP="00625E0E">
      <w:pPr>
        <w:ind w:firstLine="5040"/>
        <w:jc w:val="both"/>
        <w:rPr>
          <w:b/>
        </w:rPr>
      </w:pPr>
    </w:p>
    <w:p w14:paraId="26CD8A46" w14:textId="77777777" w:rsidR="00625E0E" w:rsidRPr="004A4558" w:rsidRDefault="00625E0E" w:rsidP="00625E0E">
      <w:pPr>
        <w:ind w:firstLine="6480"/>
        <w:jc w:val="both"/>
        <w:rPr>
          <w:b/>
          <w:sz w:val="19"/>
          <w:szCs w:val="19"/>
        </w:rPr>
      </w:pPr>
      <w:r w:rsidRPr="004A4558">
        <w:rPr>
          <w:sz w:val="19"/>
          <w:szCs w:val="19"/>
        </w:rPr>
        <w:t>NEWTON M. GALLOWAY</w:t>
      </w:r>
    </w:p>
    <w:p w14:paraId="363E6557" w14:textId="77777777" w:rsidR="00625E0E" w:rsidRDefault="00625E0E" w:rsidP="00625E0E">
      <w:pPr>
        <w:ind w:firstLine="6480"/>
        <w:jc w:val="both"/>
        <w:rPr>
          <w:b/>
          <w:sz w:val="19"/>
          <w:szCs w:val="19"/>
        </w:rPr>
      </w:pPr>
      <w:r w:rsidRPr="004A4558">
        <w:rPr>
          <w:sz w:val="19"/>
          <w:szCs w:val="19"/>
        </w:rPr>
        <w:t>TERRI M. LYNDALL</w:t>
      </w:r>
    </w:p>
    <w:p w14:paraId="12C28024" w14:textId="77777777" w:rsidR="00625E0E" w:rsidRPr="004A4558" w:rsidRDefault="00625E0E" w:rsidP="00625E0E">
      <w:pPr>
        <w:ind w:firstLine="6480"/>
        <w:jc w:val="both"/>
        <w:rPr>
          <w:b/>
        </w:rPr>
      </w:pPr>
      <w:r>
        <w:rPr>
          <w:sz w:val="19"/>
          <w:szCs w:val="19"/>
        </w:rPr>
        <w:t>STEVEN L. JONES</w:t>
      </w:r>
    </w:p>
    <w:p w14:paraId="4ABAAE22" w14:textId="5FC5DAF2" w:rsidR="00625E0E" w:rsidRPr="008C20C7" w:rsidRDefault="00625E0E" w:rsidP="00625E0E">
      <w:pPr>
        <w:jc w:val="both"/>
        <w:rPr>
          <w:b/>
          <w:sz w:val="16"/>
          <w:szCs w:val="16"/>
        </w:rPr>
      </w:pP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b/>
          <w:sz w:val="16"/>
          <w:szCs w:val="16"/>
          <w:lang w:val="en-CA"/>
        </w:rPr>
        <w:fldChar w:fldCharType="begin"/>
      </w:r>
      <w:r w:rsidRPr="008C20C7">
        <w:rPr>
          <w:sz w:val="16"/>
          <w:szCs w:val="16"/>
          <w:lang w:val="en-CA"/>
        </w:rPr>
        <w:instrText xml:space="preserve"> SEQ CHAPTER \h \r 1</w:instrText>
      </w:r>
      <w:r w:rsidRPr="008C20C7">
        <w:rPr>
          <w:b/>
          <w:sz w:val="16"/>
          <w:szCs w:val="16"/>
          <w:lang w:val="en-CA"/>
        </w:rPr>
        <w:fldChar w:fldCharType="end"/>
      </w:r>
    </w:p>
    <w:p w14:paraId="76B72C02" w14:textId="77777777" w:rsidR="00625E0E" w:rsidRDefault="00625E0E" w:rsidP="00625E0E">
      <w:pPr>
        <w:ind w:left="720"/>
        <w:jc w:val="both"/>
      </w:pPr>
      <w:r>
        <w:tab/>
      </w:r>
      <w:r>
        <w:tab/>
      </w:r>
      <w:r>
        <w:tab/>
      </w:r>
    </w:p>
    <w:p w14:paraId="6C204AE0" w14:textId="3300951C" w:rsidR="00625E0E" w:rsidRPr="008C20C7" w:rsidRDefault="00625E0E" w:rsidP="00625E0E">
      <w:pPr>
        <w:jc w:val="both"/>
        <w:rPr>
          <w:b/>
          <w:sz w:val="16"/>
          <w:szCs w:val="16"/>
        </w:rPr>
      </w:pP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sz w:val="16"/>
          <w:szCs w:val="16"/>
        </w:rPr>
        <w:tab/>
      </w:r>
      <w:r w:rsidRPr="008C20C7">
        <w:rPr>
          <w:b/>
          <w:sz w:val="16"/>
          <w:szCs w:val="16"/>
          <w:lang w:val="en-CA"/>
        </w:rPr>
        <w:fldChar w:fldCharType="begin"/>
      </w:r>
      <w:r w:rsidRPr="008C20C7">
        <w:rPr>
          <w:sz w:val="16"/>
          <w:szCs w:val="16"/>
          <w:lang w:val="en-CA"/>
        </w:rPr>
        <w:instrText xml:space="preserve"> SEQ CHAPTER \h \r 1</w:instrText>
      </w:r>
      <w:r w:rsidRPr="008C20C7">
        <w:rPr>
          <w:b/>
          <w:sz w:val="16"/>
          <w:szCs w:val="16"/>
          <w:lang w:val="en-CA"/>
        </w:rPr>
        <w:fldChar w:fldCharType="end"/>
      </w:r>
    </w:p>
    <w:p w14:paraId="2DE560D9" w14:textId="77777777" w:rsidR="00625E0E" w:rsidRDefault="00625E0E" w:rsidP="00625E0E">
      <w:pPr>
        <w:ind w:left="720"/>
        <w:jc w:val="both"/>
      </w:pPr>
      <w:r>
        <w:tab/>
      </w:r>
      <w:r>
        <w:tab/>
      </w:r>
      <w:r>
        <w:tab/>
      </w:r>
    </w:p>
    <w:p w14:paraId="53C126D8" w14:textId="77777777" w:rsidR="00625E0E" w:rsidRPr="00C7132F" w:rsidRDefault="00625E0E" w:rsidP="00625E0E"/>
    <w:p w14:paraId="33FC0748" w14:textId="10F57909" w:rsidR="00447553" w:rsidRDefault="00CF5BB9" w:rsidP="00447553">
      <w:r>
        <w:t xml:space="preserve">January </w:t>
      </w:r>
      <w:r w:rsidR="00FC0B5E">
        <w:t>16</w:t>
      </w:r>
      <w:r>
        <w:t>, 2018</w:t>
      </w:r>
    </w:p>
    <w:p w14:paraId="66B034B0" w14:textId="77777777" w:rsidR="00447553" w:rsidRDefault="00447553" w:rsidP="00447553"/>
    <w:p w14:paraId="10E2347C" w14:textId="77777777" w:rsidR="00447553" w:rsidRDefault="00CF5BB9" w:rsidP="00447553">
      <w:pPr>
        <w:jc w:val="both"/>
      </w:pPr>
      <w:r>
        <w:t>Mr. Reece McAlister</w:t>
      </w:r>
    </w:p>
    <w:p w14:paraId="510425C7" w14:textId="77777777" w:rsidR="00CF5BB9" w:rsidRDefault="00CF5BB9" w:rsidP="00447553">
      <w:pPr>
        <w:jc w:val="both"/>
      </w:pPr>
      <w:r>
        <w:t>Executive Secretary</w:t>
      </w:r>
    </w:p>
    <w:p w14:paraId="272A2DFE" w14:textId="77777777" w:rsidR="00CF5BB9" w:rsidRDefault="00CF5BB9" w:rsidP="00447553">
      <w:pPr>
        <w:jc w:val="both"/>
      </w:pPr>
      <w:r>
        <w:t>Georgia Public Service Commission</w:t>
      </w:r>
    </w:p>
    <w:p w14:paraId="183335EE" w14:textId="77777777" w:rsidR="00CD2ABB" w:rsidRDefault="00CF5BB9" w:rsidP="00447553">
      <w:pPr>
        <w:jc w:val="both"/>
      </w:pPr>
      <w:r>
        <w:t>244 Washington Street, S.W.</w:t>
      </w:r>
    </w:p>
    <w:p w14:paraId="7FA897F7" w14:textId="77777777" w:rsidR="00CF5BB9" w:rsidRDefault="00CD2ABB" w:rsidP="00447553">
      <w:pPr>
        <w:jc w:val="both"/>
      </w:pPr>
      <w:r>
        <w:t>1st Floor</w:t>
      </w:r>
      <w:r w:rsidR="00CF5BB9">
        <w:t xml:space="preserve"> </w:t>
      </w:r>
    </w:p>
    <w:p w14:paraId="01DADAE4" w14:textId="77777777" w:rsidR="00CF5BB9" w:rsidRDefault="00CF5BB9" w:rsidP="00447553">
      <w:pPr>
        <w:jc w:val="both"/>
      </w:pPr>
      <w:r>
        <w:t>Atlanta, GA 30334</w:t>
      </w:r>
    </w:p>
    <w:p w14:paraId="1DBD934E" w14:textId="77777777" w:rsidR="006B58EF" w:rsidRDefault="006B58EF" w:rsidP="00447553"/>
    <w:p w14:paraId="0CC8E437" w14:textId="1724D19F" w:rsidR="00447553" w:rsidRDefault="00447553" w:rsidP="00447553">
      <w:pPr>
        <w:jc w:val="both"/>
        <w:rPr>
          <w:u w:val="single"/>
        </w:rPr>
      </w:pPr>
      <w:r>
        <w:t>RE:</w:t>
      </w:r>
      <w:r>
        <w:tab/>
      </w:r>
      <w:r w:rsidR="00CF5BB9">
        <w:rPr>
          <w:u w:val="single"/>
        </w:rPr>
        <w:t>Docket 20504</w:t>
      </w:r>
      <w:r w:rsidR="008F1DA8">
        <w:rPr>
          <w:u w:val="single"/>
        </w:rPr>
        <w:t>;</w:t>
      </w:r>
      <w:r w:rsidR="00CF5BB9">
        <w:rPr>
          <w:u w:val="single"/>
        </w:rPr>
        <w:t xml:space="preserve"> In re: Investigation of Slamming Complaints</w:t>
      </w:r>
      <w:r w:rsidR="00B730FF">
        <w:rPr>
          <w:u w:val="single"/>
        </w:rPr>
        <w:t xml:space="preserve"> by Commerce Energy, Inc.</w:t>
      </w:r>
      <w:r w:rsidR="00142A81">
        <w:rPr>
          <w:u w:val="single"/>
        </w:rPr>
        <w:t>;</w:t>
      </w:r>
    </w:p>
    <w:p w14:paraId="11E7D365" w14:textId="77777777" w:rsidR="00CF5BB9" w:rsidRPr="00CF5BB9" w:rsidRDefault="00CF5BB9" w:rsidP="00447553">
      <w:pPr>
        <w:jc w:val="both"/>
        <w:rPr>
          <w:u w:val="single"/>
        </w:rPr>
      </w:pPr>
      <w:r>
        <w:tab/>
      </w:r>
      <w:r>
        <w:rPr>
          <w:u w:val="single"/>
        </w:rPr>
        <w:t>Remittance of Unclaimed Funds</w:t>
      </w:r>
    </w:p>
    <w:p w14:paraId="05A59320" w14:textId="77777777" w:rsidR="00447553" w:rsidRDefault="00447553" w:rsidP="00447553">
      <w:pPr>
        <w:jc w:val="both"/>
      </w:pPr>
    </w:p>
    <w:p w14:paraId="62D8C499" w14:textId="77777777" w:rsidR="00CF5BB9" w:rsidRDefault="00447553" w:rsidP="00CF5BB9">
      <w:pPr>
        <w:jc w:val="both"/>
      </w:pPr>
      <w:r>
        <w:t xml:space="preserve">Dear Mr. </w:t>
      </w:r>
      <w:r w:rsidR="00CF5BB9">
        <w:t>McAlister</w:t>
      </w:r>
      <w:r>
        <w:t>:</w:t>
      </w:r>
    </w:p>
    <w:p w14:paraId="30FB10DA" w14:textId="77777777" w:rsidR="00447553" w:rsidRDefault="00447553" w:rsidP="00CF5BB9">
      <w:pPr>
        <w:jc w:val="both"/>
      </w:pPr>
    </w:p>
    <w:p w14:paraId="7AC0FD66" w14:textId="7DB75213" w:rsidR="00B53B13" w:rsidRDefault="00CF5BB9" w:rsidP="00CF5BB9">
      <w:pPr>
        <w:jc w:val="both"/>
      </w:pPr>
      <w:r>
        <w:t xml:space="preserve">On </w:t>
      </w:r>
      <w:r w:rsidR="00C9445F">
        <w:t>January 12</w:t>
      </w:r>
      <w:r>
        <w:t>, 2017, the Georgia Public Service Commission (the “Commission” or the “PSC”) issued its “Order Adopting Joint Stipulation” (the “Order”) in Docket 20504 adopt</w:t>
      </w:r>
      <w:r w:rsidR="00C9445F">
        <w:t>ing</w:t>
      </w:r>
      <w:r>
        <w:t xml:space="preserve"> the “Joint Stipulation” </w:t>
      </w:r>
      <w:r w:rsidR="00C9445F">
        <w:t xml:space="preserve">(collectively, the “Stipulation”) </w:t>
      </w:r>
      <w:r>
        <w:t xml:space="preserve">entered </w:t>
      </w:r>
      <w:r w:rsidR="00D06D3A">
        <w:t>between</w:t>
      </w:r>
      <w:r>
        <w:t xml:space="preserve"> the Commission’s Staff (“Staff”) and Commerce Energy, Inc.</w:t>
      </w:r>
      <w:r w:rsidR="00D06D3A">
        <w:t xml:space="preserve"> (“</w:t>
      </w:r>
      <w:r w:rsidR="004C15CB">
        <w:t>Commerce</w:t>
      </w:r>
      <w:r w:rsidR="00142A81">
        <w:t>/Just Energy</w:t>
      </w:r>
      <w:r w:rsidR="00D06D3A">
        <w:t>”).</w:t>
      </w:r>
      <w:r w:rsidR="008F1DA8">
        <w:rPr>
          <w:rStyle w:val="FootnoteReference"/>
        </w:rPr>
        <w:footnoteReference w:id="1"/>
      </w:r>
      <w:r w:rsidR="00C9445F">
        <w:t xml:space="preserve"> </w:t>
      </w:r>
      <w:r w:rsidR="008F1DA8">
        <w:t xml:space="preserve"> The Stipulation required </w:t>
      </w:r>
      <w:r w:rsidR="004C15CB">
        <w:t>Commerce</w:t>
      </w:r>
      <w:r w:rsidR="00DA6E9F">
        <w:t>/Just Energy</w:t>
      </w:r>
      <w:r w:rsidR="008F1DA8">
        <w:t xml:space="preserve"> to pay certain </w:t>
      </w:r>
      <w:r w:rsidR="00B53B13">
        <w:t xml:space="preserve">funds </w:t>
      </w:r>
      <w:r w:rsidR="008F1DA8">
        <w:t xml:space="preserve">to consumers identified by Staff </w:t>
      </w:r>
      <w:r w:rsidR="00B53B13">
        <w:t>and transmit those fund</w:t>
      </w:r>
      <w:r w:rsidR="00241175">
        <w:t>s along “with a letter</w:t>
      </w:r>
      <w:r w:rsidR="00B53B13">
        <w:t xml:space="preserve"> </w:t>
      </w:r>
      <w:r w:rsidR="00241175">
        <w:t xml:space="preserve">detailing the circumstances that led to the payments being made” </w:t>
      </w:r>
      <w:r w:rsidR="00B53B13">
        <w:t>within thirty (30) days of the filing of the Order</w:t>
      </w:r>
      <w:r w:rsidR="008F1DA8">
        <w:t>.</w:t>
      </w:r>
      <w:r w:rsidR="008F1DA8">
        <w:rPr>
          <w:rStyle w:val="FootnoteReference"/>
        </w:rPr>
        <w:footnoteReference w:id="2"/>
      </w:r>
      <w:r w:rsidR="00B53B13">
        <w:t xml:space="preserve">  Additionally, </w:t>
      </w:r>
      <w:r w:rsidR="00C9445F">
        <w:t xml:space="preserve">Paragraph 14 of the Stipulation provides that </w:t>
      </w:r>
      <w:r w:rsidR="00142A81">
        <w:t>Commerce/Just Energy</w:t>
      </w:r>
      <w:r w:rsidR="00C9445F">
        <w:t xml:space="preserve"> must file monthly reports with the Commission “identifying each consumer by name and the amounts of payments paid to each in compliance with </w:t>
      </w:r>
      <w:proofErr w:type="spellStart"/>
      <w:r w:rsidR="00C9445F">
        <w:t>th</w:t>
      </w:r>
      <w:proofErr w:type="spellEnd"/>
      <w:r w:rsidR="00C9445F">
        <w:t>[e] Stipulation</w:t>
      </w:r>
      <w:r w:rsidR="00CF7867">
        <w:t xml:space="preserve"> . . . until all payments have been satisfied.”</w:t>
      </w:r>
      <w:r w:rsidR="008F1DA8">
        <w:rPr>
          <w:rStyle w:val="FootnoteReference"/>
        </w:rPr>
        <w:footnoteReference w:id="3"/>
      </w:r>
      <w:r w:rsidR="00B53B13">
        <w:t xml:space="preserve"> </w:t>
      </w:r>
      <w:r w:rsidR="00CF7867">
        <w:t xml:space="preserve"> </w:t>
      </w:r>
    </w:p>
    <w:p w14:paraId="7CD4A7D2" w14:textId="77777777" w:rsidR="00B730FF" w:rsidRDefault="00B730FF" w:rsidP="00CF5BB9">
      <w:pPr>
        <w:jc w:val="both"/>
      </w:pPr>
    </w:p>
    <w:p w14:paraId="3638F1AE" w14:textId="6AFB7349" w:rsidR="00CF5BB9" w:rsidRDefault="00142A81" w:rsidP="00CF5BB9">
      <w:pPr>
        <w:jc w:val="both"/>
      </w:pPr>
      <w:r>
        <w:lastRenderedPageBreak/>
        <w:t>Commerce/Just Energy</w:t>
      </w:r>
      <w:r w:rsidR="00B53B13">
        <w:t xml:space="preserve"> complied</w:t>
      </w:r>
      <w:r w:rsidR="00241175">
        <w:t xml:space="preserve"> (and continues to comply) with </w:t>
      </w:r>
      <w:r w:rsidR="00B53B13">
        <w:t>the</w:t>
      </w:r>
      <w:r w:rsidR="00241175">
        <w:t xml:space="preserve">se (and all other) </w:t>
      </w:r>
      <w:r w:rsidR="00B53B13">
        <w:t>Stipulation</w:t>
      </w:r>
      <w:r>
        <w:t xml:space="preserve"> provisions</w:t>
      </w:r>
      <w:r w:rsidR="00B53B13">
        <w:t xml:space="preserve">.  </w:t>
      </w:r>
      <w:r w:rsidR="00CF7867">
        <w:t>Nonetheless</w:t>
      </w:r>
      <w:r w:rsidR="00B730FF">
        <w:t xml:space="preserve"> and</w:t>
      </w:r>
      <w:r w:rsidR="00E21A6B">
        <w:t xml:space="preserve"> </w:t>
      </w:r>
      <w:r w:rsidR="00B53B13">
        <w:t xml:space="preserve">despite </w:t>
      </w:r>
      <w:r>
        <w:t>Commerce/Just Energy</w:t>
      </w:r>
      <w:r w:rsidR="00B53B13">
        <w:t xml:space="preserve">’s best efforts, </w:t>
      </w:r>
      <w:r w:rsidR="007F551C">
        <w:rPr>
          <w:b/>
          <w:i/>
        </w:rPr>
        <w:t>REDACTED</w:t>
      </w:r>
      <w:r w:rsidR="00E21A6B">
        <w:t xml:space="preserve"> payments </w:t>
      </w:r>
      <w:proofErr w:type="gramStart"/>
      <w:r w:rsidR="00E21A6B">
        <w:t>mailed</w:t>
      </w:r>
      <w:proofErr w:type="gramEnd"/>
      <w:r w:rsidR="00E21A6B">
        <w:t xml:space="preserve"> to consumers in accordance with </w:t>
      </w:r>
      <w:r w:rsidR="00B53B13">
        <w:t xml:space="preserve">the Stipulation </w:t>
      </w:r>
      <w:r w:rsidR="00E21A6B">
        <w:t>remain</w:t>
      </w:r>
      <w:r w:rsidR="00CF7867">
        <w:t xml:space="preserve"> unclaimed.  Exhibit “A”</w:t>
      </w:r>
      <w:r w:rsidR="006B58EF">
        <w:t xml:space="preserve"> hereto,</w:t>
      </w:r>
      <w:r w:rsidR="00CF7867">
        <w:t xml:space="preserve"> filed with the Commission pursuant to Commission Utility Rule 515-3-1-.11, identifies the consumers </w:t>
      </w:r>
      <w:r w:rsidR="00E21A6B">
        <w:t xml:space="preserve">whose </w:t>
      </w:r>
      <w:r w:rsidR="00CF7867">
        <w:t>funds</w:t>
      </w:r>
      <w:r w:rsidR="008F1DA8">
        <w:t>,</w:t>
      </w:r>
      <w:r w:rsidR="00E21A6B">
        <w:t xml:space="preserve"> </w:t>
      </w:r>
      <w:r w:rsidR="008F1DA8">
        <w:t xml:space="preserve">and the amounts which, </w:t>
      </w:r>
      <w:r w:rsidR="00E21A6B">
        <w:t>remain unclaimed</w:t>
      </w:r>
      <w:r w:rsidR="008F1DA8">
        <w:t>.</w:t>
      </w:r>
    </w:p>
    <w:p w14:paraId="419C6C43" w14:textId="77777777" w:rsidR="00E21A6B" w:rsidRDefault="00E21A6B" w:rsidP="00CF5BB9">
      <w:pPr>
        <w:jc w:val="both"/>
      </w:pPr>
    </w:p>
    <w:p w14:paraId="28F22E31" w14:textId="77777777" w:rsidR="00B53B13" w:rsidRDefault="00E21A6B" w:rsidP="00CF5BB9">
      <w:pPr>
        <w:jc w:val="both"/>
      </w:pPr>
      <w:r>
        <w:t xml:space="preserve">Under the Disposition of Unclaimed Property Act, O.C.G.A. § 44-12-190, </w:t>
      </w:r>
      <w:r>
        <w:rPr>
          <w:i/>
        </w:rPr>
        <w:t>et seq.</w:t>
      </w:r>
      <w:r>
        <w:t>, (the “Act”) all unclaimed property must be remitted to the Department of Revenue (the “Department”) of the State of Georgia</w:t>
      </w:r>
      <w:r w:rsidR="00241175">
        <w:t xml:space="preserve"> once the funds are considered “abandoned.”</w:t>
      </w:r>
      <w:r>
        <w:t xml:space="preserve">  </w:t>
      </w:r>
      <w:r w:rsidR="00241175">
        <w:t>(</w:t>
      </w:r>
      <w:r w:rsidR="00A0752A">
        <w:t>O.C.G.A. § 44-12-214</w:t>
      </w:r>
      <w:r w:rsidR="00241175">
        <w:t>)</w:t>
      </w:r>
      <w:r w:rsidR="00A0752A">
        <w:t xml:space="preserve">.  </w:t>
      </w:r>
      <w:r w:rsidR="00ED5337">
        <w:t xml:space="preserve">Any </w:t>
      </w:r>
      <w:r>
        <w:t xml:space="preserve">sums which a </w:t>
      </w:r>
      <w:r w:rsidR="00A0752A">
        <w:t>“</w:t>
      </w:r>
      <w:r w:rsidRPr="00A0752A">
        <w:t>utility</w:t>
      </w:r>
      <w:r w:rsidR="00A0752A">
        <w:t>”</w:t>
      </w:r>
      <w:r w:rsidR="00A0752A">
        <w:rPr>
          <w:rStyle w:val="FootnoteReference"/>
        </w:rPr>
        <w:footnoteReference w:id="4"/>
      </w:r>
      <w:r>
        <w:t xml:space="preserve"> has been ordered to refund for utility services rendered in the State of Georgia are not </w:t>
      </w:r>
      <w:r w:rsidR="00241175">
        <w:t>“</w:t>
      </w:r>
      <w:r>
        <w:t>abandoned</w:t>
      </w:r>
      <w:r w:rsidR="00241175">
        <w:t>”</w:t>
      </w:r>
      <w:r>
        <w:t xml:space="preserve"> </w:t>
      </w:r>
      <w:r w:rsidR="00ED5337">
        <w:t>until they remain unclaimed for a period of more than</w:t>
      </w:r>
      <w:r w:rsidR="006B58EF">
        <w:t xml:space="preserve"> five (</w:t>
      </w:r>
      <w:r w:rsidR="00ED5337">
        <w:t>5</w:t>
      </w:r>
      <w:r w:rsidR="006B58EF">
        <w:t>)</w:t>
      </w:r>
      <w:r w:rsidR="00ED5337">
        <w:t xml:space="preserve"> years after they become payable in accordance with the Commission’s Order.</w:t>
      </w:r>
      <w:r w:rsidR="00A0752A">
        <w:t xml:space="preserve">  (O.C.G.A. § 44-12-199(2)).  </w:t>
      </w:r>
    </w:p>
    <w:p w14:paraId="3373208C" w14:textId="77777777" w:rsidR="00B53B13" w:rsidRDefault="00B53B13" w:rsidP="00CF5BB9">
      <w:pPr>
        <w:jc w:val="both"/>
      </w:pPr>
    </w:p>
    <w:p w14:paraId="62B4626A" w14:textId="37BA9858" w:rsidR="00E21A6B" w:rsidRDefault="00ED5337" w:rsidP="00CF5BB9">
      <w:pPr>
        <w:jc w:val="both"/>
      </w:pPr>
      <w:r>
        <w:t xml:space="preserve">Under the Act, however, the Commission </w:t>
      </w:r>
      <w:r w:rsidR="00B93556">
        <w:t xml:space="preserve">by </w:t>
      </w:r>
      <w:r w:rsidR="00B53B13">
        <w:t>o</w:t>
      </w:r>
      <w:r w:rsidR="00B93556">
        <w:t xml:space="preserve">rder </w:t>
      </w:r>
      <w:r>
        <w:t xml:space="preserve">may authorize </w:t>
      </w:r>
      <w:r w:rsidR="00A0752A">
        <w:t>an alternative disposition of the unclaimed funds</w:t>
      </w:r>
      <w:r w:rsidR="00F843AA">
        <w:t>—to an entity other than the Department and/or before the expiration of the five (5) year period</w:t>
      </w:r>
      <w:r w:rsidR="00A0752A">
        <w:t>.  (</w:t>
      </w:r>
      <w:r w:rsidR="00A0752A">
        <w:rPr>
          <w:i/>
        </w:rPr>
        <w:t>Id</w:t>
      </w:r>
      <w:r w:rsidR="00A0752A">
        <w:t xml:space="preserve">.).  </w:t>
      </w:r>
      <w:r w:rsidR="007C2477">
        <w:t>Si</w:t>
      </w:r>
      <w:r w:rsidR="00BC753B">
        <w:t>nce the remaining</w:t>
      </w:r>
      <w:r w:rsidR="00142A81">
        <w:t xml:space="preserve"> unclaimed funds</w:t>
      </w:r>
      <w:r w:rsidR="00BC753B">
        <w:t xml:space="preserve"> total </w:t>
      </w:r>
      <w:r w:rsidR="007F551C">
        <w:rPr>
          <w:b/>
          <w:i/>
        </w:rPr>
        <w:t>REDACTED</w:t>
      </w:r>
      <w:bookmarkStart w:id="0" w:name="_GoBack"/>
      <w:bookmarkEnd w:id="0"/>
      <w:r w:rsidR="00BC753B">
        <w:t xml:space="preserve">, the requirement of holding these funds for five (5) years as opposed to remitting the funds to another source related to home heating would conclude this matter more efficiently.  </w:t>
      </w:r>
      <w:r w:rsidR="00142A81">
        <w:t>Therefore, Commerce/Just Energy</w:t>
      </w:r>
      <w:r w:rsidR="00E21A6B">
        <w:t xml:space="preserve"> believes remitting the unclaimed funds to The Heating Energy Assistance Team, Inc. (“HEAT”), which helps low-income families and individuals pay for utility bills related to home heating</w:t>
      </w:r>
      <w:r w:rsidR="00BC753B">
        <w:t xml:space="preserve"> or any other organization designate by the </w:t>
      </w:r>
      <w:r w:rsidR="00142A81">
        <w:t>Commission</w:t>
      </w:r>
      <w:r w:rsidR="00E21A6B">
        <w:t>, would benefit Georgia consumers</w:t>
      </w:r>
      <w:r w:rsidR="008F1DA8">
        <w:t xml:space="preserve"> and is an equitable use of the </w:t>
      </w:r>
      <w:r w:rsidR="00241175">
        <w:t>unclaimed funds</w:t>
      </w:r>
      <w:r w:rsidR="00E21A6B">
        <w:t xml:space="preserve">.  </w:t>
      </w:r>
    </w:p>
    <w:p w14:paraId="3D306841" w14:textId="77777777" w:rsidR="00E21A6B" w:rsidRDefault="00E21A6B" w:rsidP="00CF5BB9">
      <w:pPr>
        <w:jc w:val="both"/>
      </w:pPr>
    </w:p>
    <w:p w14:paraId="051C6719" w14:textId="3D7228CB" w:rsidR="00CF7867" w:rsidRDefault="00142A81" w:rsidP="00CF5BB9">
      <w:pPr>
        <w:jc w:val="both"/>
      </w:pPr>
      <w:r>
        <w:t>Accordingly</w:t>
      </w:r>
      <w:r w:rsidR="00E21A6B">
        <w:t xml:space="preserve">, </w:t>
      </w:r>
      <w:r>
        <w:t>Commerce/Just Energy</w:t>
      </w:r>
      <w:r w:rsidR="00E21A6B">
        <w:t xml:space="preserve"> respectfully requests that the Commission enter an </w:t>
      </w:r>
      <w:r>
        <w:t>o</w:t>
      </w:r>
      <w:r w:rsidR="00E21A6B">
        <w:t xml:space="preserve">rder pursuant to O.C.G.A. § </w:t>
      </w:r>
      <w:r w:rsidR="006B58EF">
        <w:t>O.C.G.A. § 44-12-199(2)</w:t>
      </w:r>
      <w:r w:rsidR="00E21A6B">
        <w:t xml:space="preserve"> authorizing </w:t>
      </w:r>
      <w:r>
        <w:t>Commerce/Just Energy</w:t>
      </w:r>
      <w:r w:rsidR="00E21A6B">
        <w:t xml:space="preserve"> t</w:t>
      </w:r>
      <w:r w:rsidR="00F843AA">
        <w:t xml:space="preserve">o, immediately after issuance of the requested order, </w:t>
      </w:r>
      <w:r w:rsidR="00E21A6B">
        <w:t xml:space="preserve">remit </w:t>
      </w:r>
      <w:r w:rsidR="008F1DA8">
        <w:t xml:space="preserve">to HEAT the </w:t>
      </w:r>
      <w:r w:rsidR="00E21A6B">
        <w:t xml:space="preserve">unclaimed funds </w:t>
      </w:r>
      <w:r w:rsidR="008F1DA8">
        <w:t>identified in Exhibit “A</w:t>
      </w:r>
      <w:r w:rsidR="00D13EAA">
        <w:t>.</w:t>
      </w:r>
      <w:r w:rsidR="00241175">
        <w:t>”</w:t>
      </w:r>
      <w:r w:rsidR="00F843AA">
        <w:t xml:space="preserve"> </w:t>
      </w:r>
    </w:p>
    <w:p w14:paraId="2DABE99F" w14:textId="77777777" w:rsidR="002F3FE5" w:rsidRDefault="002F3FE5"/>
    <w:p w14:paraId="372E53CD" w14:textId="77777777" w:rsidR="00CF5BB9" w:rsidRDefault="00CF5BB9" w:rsidP="008F1DA8">
      <w:pPr>
        <w:jc w:val="both"/>
      </w:pPr>
      <w:r>
        <w:t>If you have any question or concerns</w:t>
      </w:r>
      <w:r w:rsidR="008F1DA8">
        <w:t xml:space="preserve"> or desire additional information regarding this request</w:t>
      </w:r>
      <w:r>
        <w:t xml:space="preserve">, please to not hesitate to contact me. </w:t>
      </w:r>
    </w:p>
    <w:p w14:paraId="0751AD8D" w14:textId="77777777" w:rsidR="00CF5BB9" w:rsidRDefault="00CF5BB9"/>
    <w:p w14:paraId="1C502BDB" w14:textId="77777777" w:rsidR="00CF5BB9" w:rsidRDefault="00CF5BB9">
      <w:r>
        <w:tab/>
      </w:r>
      <w:r>
        <w:tab/>
      </w:r>
      <w:r>
        <w:tab/>
      </w:r>
      <w:r>
        <w:tab/>
      </w:r>
      <w:r>
        <w:tab/>
      </w:r>
      <w:r>
        <w:tab/>
      </w:r>
      <w:r w:rsidR="00CF7867">
        <w:t>Sincerely</w:t>
      </w:r>
      <w:r>
        <w:t xml:space="preserve">, </w:t>
      </w:r>
    </w:p>
    <w:p w14:paraId="4AAF2A54" w14:textId="77777777" w:rsidR="00CF5BB9" w:rsidRDefault="00CF5BB9"/>
    <w:p w14:paraId="3ECB19DF" w14:textId="745AF3AD" w:rsidR="00FC0B5E" w:rsidRPr="008F6365" w:rsidRDefault="00CF5BB9" w:rsidP="00FC0B5E">
      <w:pPr>
        <w:rPr>
          <w:rFonts w:eastAsia="Times New Roman"/>
          <w:bCs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GALLOWAY &amp; LYNDALL, LLP</w:t>
      </w:r>
    </w:p>
    <w:p w14:paraId="05C43BC3" w14:textId="10AC44B9" w:rsidR="00CF5BB9" w:rsidRDefault="00FC0B5E" w:rsidP="00FC0B5E">
      <w:pPr>
        <w:ind w:left="3600" w:firstLine="720"/>
        <w:rPr>
          <w:b/>
        </w:rPr>
      </w:pPr>
      <w:r w:rsidRPr="00A6179A">
        <w:rPr>
          <w:b/>
          <w:noProof/>
        </w:rPr>
        <w:drawing>
          <wp:inline distT="0" distB="0" distL="0" distR="0" wp14:anchorId="3BD53656" wp14:editId="7D9265DE">
            <wp:extent cx="2686050" cy="825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7040B" w14:textId="77777777" w:rsidR="00CF5BB9" w:rsidRDefault="00CF5BB9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Terri M. Lyndall</w:t>
      </w:r>
    </w:p>
    <w:p w14:paraId="1D11A6B0" w14:textId="42E7CDE1" w:rsidR="00CF5BB9" w:rsidRDefault="00D13EAA">
      <w:r>
        <w:t>TML/</w:t>
      </w:r>
      <w:r w:rsidR="00CF5BB9">
        <w:t xml:space="preserve">SLJ </w:t>
      </w:r>
    </w:p>
    <w:p w14:paraId="49346D1A" w14:textId="77777777" w:rsidR="00CF5BB9" w:rsidRDefault="00CF5BB9">
      <w:r>
        <w:t>Enclosures</w:t>
      </w:r>
    </w:p>
    <w:p w14:paraId="7B4A5D00" w14:textId="77777777" w:rsidR="00CF5BB9" w:rsidRDefault="00CF5BB9"/>
    <w:p w14:paraId="6EDED20B" w14:textId="77777777" w:rsidR="00CF5BB9" w:rsidRPr="00CF5BB9" w:rsidRDefault="00CF5BB9">
      <w:r>
        <w:t>cc: All Parties of Record</w:t>
      </w:r>
    </w:p>
    <w:sectPr w:rsidR="00CF5BB9" w:rsidRPr="00CF5BB9" w:rsidSect="008F1DA8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5BE85" w14:textId="77777777" w:rsidR="00C331F5" w:rsidRDefault="00C331F5" w:rsidP="00CF5BB9">
      <w:r>
        <w:separator/>
      </w:r>
    </w:p>
  </w:endnote>
  <w:endnote w:type="continuationSeparator" w:id="0">
    <w:p w14:paraId="6BFAEB00" w14:textId="77777777" w:rsidR="00C331F5" w:rsidRDefault="00C331F5" w:rsidP="00CF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B060B" w14:textId="77777777" w:rsidR="00C331F5" w:rsidRDefault="00C331F5" w:rsidP="00CF5BB9">
      <w:r>
        <w:separator/>
      </w:r>
    </w:p>
  </w:footnote>
  <w:footnote w:type="continuationSeparator" w:id="0">
    <w:p w14:paraId="0AD39317" w14:textId="77777777" w:rsidR="00C331F5" w:rsidRDefault="00C331F5" w:rsidP="00CF5BB9">
      <w:r>
        <w:continuationSeparator/>
      </w:r>
    </w:p>
  </w:footnote>
  <w:footnote w:id="1">
    <w:p w14:paraId="71BE8A95" w14:textId="38C0F7A3" w:rsidR="008F1DA8" w:rsidRPr="008F1DA8" w:rsidRDefault="008F1DA8" w:rsidP="0024117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 Order Adopting Joint Stipulation, </w:t>
      </w:r>
      <w:r>
        <w:rPr>
          <w:i/>
        </w:rPr>
        <w:t>In re: Investigation of Slamming Complaints by Commerce Energy, Inc.</w:t>
      </w:r>
      <w:r>
        <w:t xml:space="preserve">, Docket 20504, Document 166476 (Jan. 12, 2017). </w:t>
      </w:r>
      <w:r w:rsidR="00CD2ABB">
        <w:t xml:space="preserve"> On January 19, 2017, The Commission authorized Commerce to change its name to that of its parent entity, Just Energy Solutions, Inc. (collectively with its predecessor Commerce</w:t>
      </w:r>
      <w:r w:rsidR="004C15CB">
        <w:t xml:space="preserve"> for the purposes of Docket 20504</w:t>
      </w:r>
      <w:r w:rsidR="00CD2ABB">
        <w:t>, “</w:t>
      </w:r>
      <w:r w:rsidR="004C15CB">
        <w:t>Commerce</w:t>
      </w:r>
      <w:r w:rsidR="00142A81">
        <w:t>/Just Energy</w:t>
      </w:r>
      <w:r w:rsidR="00CD2ABB">
        <w:t xml:space="preserve">”).  Final Order Approving Commerce Energy, Inc.’s Request for a Name Change [to Just Energy Solutions, Inc.], </w:t>
      </w:r>
      <w:r w:rsidR="00CD2ABB">
        <w:rPr>
          <w:i/>
        </w:rPr>
        <w:t>In re: Commerce Energy, Inc.’s Application for a Natural Gas Marketer Certificate of Authority</w:t>
      </w:r>
      <w:r w:rsidR="00CD2ABB">
        <w:t>, Docket 20504, Document 166593 (Jan. 19, 2017).</w:t>
      </w:r>
    </w:p>
  </w:footnote>
  <w:footnote w:id="2">
    <w:p w14:paraId="35D75CEE" w14:textId="77777777" w:rsidR="008F1DA8" w:rsidRPr="008F1DA8" w:rsidRDefault="008F1DA8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>
        <w:rPr>
          <w:i/>
        </w:rPr>
        <w:t>Id</w:t>
      </w:r>
      <w:r>
        <w:t>. at 3, ¶ 8</w:t>
      </w:r>
      <w:r w:rsidR="00241175">
        <w:t>, 10</w:t>
      </w:r>
      <w:r>
        <w:t>.</w:t>
      </w:r>
    </w:p>
  </w:footnote>
  <w:footnote w:id="3">
    <w:p w14:paraId="2214F865" w14:textId="77777777" w:rsidR="008F1DA8" w:rsidRPr="008F1DA8" w:rsidRDefault="008F1DA8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>
        <w:rPr>
          <w:i/>
        </w:rPr>
        <w:t>Id</w:t>
      </w:r>
      <w:r>
        <w:t>. at 3, ¶ 14.</w:t>
      </w:r>
    </w:p>
  </w:footnote>
  <w:footnote w:id="4">
    <w:p w14:paraId="1989FDAE" w14:textId="77777777" w:rsidR="00A0752A" w:rsidRPr="00A0752A" w:rsidRDefault="00A0752A" w:rsidP="008F1DA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 The Act defines a “utility” as “a person who owns or operates for public use any plant, equipment, property, franchise, or license for the transmission of communications or the production, storage, transmission, </w:t>
      </w:r>
      <w:r w:rsidRPr="00A0752A">
        <w:rPr>
          <w:b/>
          <w:u w:val="single"/>
        </w:rPr>
        <w:t>sale</w:t>
      </w:r>
      <w:r>
        <w:t xml:space="preserve">, delivery, or furnishing of electricity, water, steam or </w:t>
      </w:r>
      <w:r>
        <w:rPr>
          <w:b/>
          <w:u w:val="single"/>
        </w:rPr>
        <w:t>gas</w:t>
      </w:r>
      <w:r>
        <w:t xml:space="preserve">.”  O.C.G.A. § 44-12-192(16) (emphasis added).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F99BF" w14:textId="067B3653" w:rsidR="006B58EF" w:rsidRPr="00FC0B5E" w:rsidRDefault="006B58EF">
    <w:pPr>
      <w:pStyle w:val="Header"/>
      <w:rPr>
        <w:b/>
      </w:rPr>
    </w:pPr>
    <w:r>
      <w:t>Mr. Reece McAlister</w:t>
    </w:r>
    <w:r w:rsidR="00FC0B5E">
      <w:tab/>
    </w:r>
    <w:r w:rsidR="00FC0B5E">
      <w:tab/>
    </w:r>
    <w:r w:rsidR="007F551C">
      <w:rPr>
        <w:b/>
      </w:rPr>
      <w:t>PUBLIC DISCLOSURE</w:t>
    </w:r>
  </w:p>
  <w:p w14:paraId="470A0B61" w14:textId="0981EE90" w:rsidR="006B58EF" w:rsidRDefault="006B58EF">
    <w:pPr>
      <w:pStyle w:val="Header"/>
    </w:pPr>
    <w:r>
      <w:t>January</w:t>
    </w:r>
    <w:r w:rsidR="00FC0B5E">
      <w:t xml:space="preserve"> 16</w:t>
    </w:r>
    <w:r>
      <w:t>, 2018</w:t>
    </w:r>
  </w:p>
  <w:p w14:paraId="67635DA8" w14:textId="234E3368" w:rsidR="006B58EF" w:rsidRDefault="006B58EF">
    <w:pPr>
      <w:pStyle w:val="Header"/>
    </w:pPr>
    <w:r>
      <w:t xml:space="preserve">Page </w:t>
    </w:r>
    <w:sdt>
      <w:sdtPr>
        <w:id w:val="-3744127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551C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6A0CD291" w14:textId="77777777" w:rsidR="006B58EF" w:rsidRDefault="006B58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16112" w14:textId="574CB338" w:rsidR="00FC0B5E" w:rsidRPr="00FC0B5E" w:rsidRDefault="007F551C" w:rsidP="00FC0B5E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BB9"/>
    <w:rsid w:val="00142A81"/>
    <w:rsid w:val="001637B0"/>
    <w:rsid w:val="00241175"/>
    <w:rsid w:val="002F3FE5"/>
    <w:rsid w:val="00447553"/>
    <w:rsid w:val="004C15CB"/>
    <w:rsid w:val="00625E0E"/>
    <w:rsid w:val="006B58EF"/>
    <w:rsid w:val="007C2477"/>
    <w:rsid w:val="007F551C"/>
    <w:rsid w:val="008714E3"/>
    <w:rsid w:val="008B0773"/>
    <w:rsid w:val="008F1DA8"/>
    <w:rsid w:val="009F536F"/>
    <w:rsid w:val="00A0752A"/>
    <w:rsid w:val="00B53B13"/>
    <w:rsid w:val="00B730FF"/>
    <w:rsid w:val="00B93556"/>
    <w:rsid w:val="00BC753B"/>
    <w:rsid w:val="00C331F5"/>
    <w:rsid w:val="00C9445F"/>
    <w:rsid w:val="00CC78C6"/>
    <w:rsid w:val="00CD2ABB"/>
    <w:rsid w:val="00CF5BB9"/>
    <w:rsid w:val="00CF7867"/>
    <w:rsid w:val="00D06D3A"/>
    <w:rsid w:val="00D13EAA"/>
    <w:rsid w:val="00DA6E9F"/>
    <w:rsid w:val="00DD1BC7"/>
    <w:rsid w:val="00E0239A"/>
    <w:rsid w:val="00E21A6B"/>
    <w:rsid w:val="00ED5337"/>
    <w:rsid w:val="00F843AA"/>
    <w:rsid w:val="00FC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A9C555D"/>
  <w15:chartTrackingRefBased/>
  <w15:docId w15:val="{9724162E-4511-4102-A221-F27F372A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E0E"/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F5BB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5BB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5BB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B58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58EF"/>
    <w:rPr>
      <w:szCs w:val="20"/>
    </w:rPr>
  </w:style>
  <w:style w:type="paragraph" w:styleId="Footer">
    <w:name w:val="footer"/>
    <w:basedOn w:val="Normal"/>
    <w:link w:val="FooterChar"/>
    <w:uiPriority w:val="99"/>
    <w:unhideWhenUsed/>
    <w:rsid w:val="006B58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58EF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D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ven%20Jones\Documents\Custom%20Office%20Templates\Firm%20Letterhead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 Letterhead2017</Template>
  <TotalTime>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Jones</dc:creator>
  <cp:keywords/>
  <dc:description/>
  <cp:lastModifiedBy>Donna</cp:lastModifiedBy>
  <cp:revision>2</cp:revision>
  <cp:lastPrinted>2018-01-16T15:31:00Z</cp:lastPrinted>
  <dcterms:created xsi:type="dcterms:W3CDTF">2018-01-16T15:32:00Z</dcterms:created>
  <dcterms:modified xsi:type="dcterms:W3CDTF">2018-01-16T15:32:00Z</dcterms:modified>
</cp:coreProperties>
</file>