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8B310A">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DF2AD9">
        <w:rPr>
          <w:rFonts w:ascii="Arial" w:hAnsi="Arial" w:cs="Arial"/>
          <w:b/>
        </w:rPr>
        <w:t>-28</w:t>
      </w:r>
      <w:r w:rsidR="00220C28" w:rsidRPr="000E7830">
        <w:rPr>
          <w:rFonts w:ascii="Arial" w:hAnsi="Arial" w:cs="Arial"/>
          <w:b/>
        </w:rPr>
        <w:t>:</w:t>
      </w:r>
    </w:p>
    <w:p w:rsidR="00DF2AD9" w:rsidRPr="00683AE9" w:rsidRDefault="00DF2AD9" w:rsidP="00DF2AD9">
      <w:pPr>
        <w:rPr>
          <w:rFonts w:ascii="Arial" w:hAnsi="Arial" w:cs="Arial"/>
        </w:rPr>
      </w:pPr>
      <w:r w:rsidRPr="00683AE9">
        <w:rPr>
          <w:rFonts w:ascii="Arial" w:hAnsi="Arial" w:cs="Arial"/>
        </w:rPr>
        <w:t>Do any of the Company’s plants provide flexibility in coal selection of either higher or lower sulfur content coal?  If yes, please provide the tons of higher and lower sulfur content coal acquired for 2007, 2008 and 2009 by year acquired.</w:t>
      </w:r>
    </w:p>
    <w:p w:rsidR="00DF2AD9" w:rsidRDefault="00DF2AD9" w:rsidP="008B310A">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8B310A">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6844A3" w:rsidRDefault="00A56189" w:rsidP="007F739B">
      <w:pPr>
        <w:pStyle w:val="BodyText"/>
        <w:spacing w:after="240"/>
        <w:jc w:val="both"/>
        <w:rPr>
          <w:rFonts w:ascii="Arial" w:hAnsi="Arial" w:cs="Arial"/>
        </w:rPr>
      </w:pPr>
      <w:r>
        <w:rPr>
          <w:rFonts w:ascii="Arial" w:hAnsi="Arial" w:cs="Arial"/>
        </w:rPr>
        <w:t xml:space="preserve">Some of the Company’s plants have the flexibility to burn higher sulfur content coal. </w:t>
      </w:r>
      <w:r w:rsidR="00A30C9A">
        <w:rPr>
          <w:rFonts w:ascii="Arial" w:hAnsi="Arial" w:cs="Arial"/>
        </w:rPr>
        <w:t xml:space="preserve">As stated in </w:t>
      </w:r>
      <w:r w:rsidR="00161A4D">
        <w:rPr>
          <w:rFonts w:ascii="Arial" w:hAnsi="Arial" w:cs="Arial"/>
        </w:rPr>
        <w:t>STF-HPSC-9-25</w:t>
      </w:r>
      <w:r w:rsidR="00A30C9A">
        <w:rPr>
          <w:rFonts w:ascii="Arial" w:hAnsi="Arial" w:cs="Arial"/>
        </w:rPr>
        <w:t xml:space="preserve">, the Company procures the most economical total delivered cost offer assuming the plant can burn the coal and the coal can be delivered. Other market alternatives to low sulfur </w:t>
      </w:r>
      <w:r w:rsidR="007F739B">
        <w:rPr>
          <w:rFonts w:ascii="Arial" w:hAnsi="Arial" w:cs="Arial"/>
        </w:rPr>
        <w:t xml:space="preserve">coal </w:t>
      </w:r>
      <w:r w:rsidR="00085523">
        <w:rPr>
          <w:rFonts w:ascii="Arial" w:hAnsi="Arial" w:cs="Arial"/>
        </w:rPr>
        <w:t>are available</w:t>
      </w:r>
      <w:r w:rsidR="0084547A">
        <w:rPr>
          <w:rFonts w:ascii="Arial" w:hAnsi="Arial" w:cs="Arial"/>
        </w:rPr>
        <w:t>,</w:t>
      </w:r>
      <w:r w:rsidR="00085523">
        <w:rPr>
          <w:rFonts w:ascii="Arial" w:hAnsi="Arial" w:cs="Arial"/>
        </w:rPr>
        <w:t xml:space="preserve"> however those markets may not be as competitive as the lower sulfur markets.  </w:t>
      </w:r>
      <w:r w:rsidR="006844A3">
        <w:rPr>
          <w:rFonts w:ascii="Arial" w:hAnsi="Arial" w:cs="Arial"/>
        </w:rPr>
        <w:t xml:space="preserve">The table below summarizes </w:t>
      </w:r>
      <w:r w:rsidR="00C15D31">
        <w:rPr>
          <w:rFonts w:ascii="Arial" w:hAnsi="Arial" w:cs="Arial"/>
        </w:rPr>
        <w:t xml:space="preserve">the tons shipped </w:t>
      </w:r>
      <w:r w:rsidR="006844A3">
        <w:rPr>
          <w:rFonts w:ascii="Arial" w:hAnsi="Arial" w:cs="Arial"/>
        </w:rPr>
        <w:t xml:space="preserve">by year and by sulfur content. </w:t>
      </w:r>
    </w:p>
    <w:tbl>
      <w:tblPr>
        <w:tblW w:w="7665" w:type="dxa"/>
        <w:tblInd w:w="93" w:type="dxa"/>
        <w:tblLook w:val="04A0"/>
      </w:tblPr>
      <w:tblGrid>
        <w:gridCol w:w="2625"/>
        <w:gridCol w:w="1620"/>
        <w:gridCol w:w="1620"/>
        <w:gridCol w:w="1800"/>
      </w:tblGrid>
      <w:tr w:rsidR="006844A3" w:rsidRPr="006844A3" w:rsidTr="006844A3">
        <w:trPr>
          <w:trHeight w:val="300"/>
        </w:trPr>
        <w:tc>
          <w:tcPr>
            <w:tcW w:w="2625" w:type="dxa"/>
            <w:tcBorders>
              <w:top w:val="nil"/>
              <w:left w:val="nil"/>
              <w:bottom w:val="nil"/>
              <w:right w:val="nil"/>
            </w:tcBorders>
            <w:shd w:val="clear" w:color="auto" w:fill="auto"/>
            <w:noWrap/>
            <w:vAlign w:val="bottom"/>
            <w:hideMark/>
          </w:tcPr>
          <w:p w:rsidR="006844A3" w:rsidRPr="006844A3" w:rsidRDefault="006844A3" w:rsidP="006844A3">
            <w:pPr>
              <w:rPr>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44A3" w:rsidRPr="006844A3" w:rsidRDefault="006844A3" w:rsidP="006844A3">
            <w:pPr>
              <w:jc w:val="right"/>
              <w:rPr>
                <w:b/>
                <w:bCs/>
                <w:color w:val="000000"/>
                <w:sz w:val="22"/>
                <w:szCs w:val="22"/>
              </w:rPr>
            </w:pPr>
            <w:r w:rsidRPr="006844A3">
              <w:rPr>
                <w:b/>
                <w:bCs/>
                <w:color w:val="000000"/>
                <w:sz w:val="22"/>
                <w:szCs w:val="22"/>
              </w:rPr>
              <w:t>2007</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b/>
                <w:bCs/>
                <w:color w:val="000000"/>
                <w:sz w:val="22"/>
                <w:szCs w:val="22"/>
              </w:rPr>
            </w:pPr>
            <w:r w:rsidRPr="006844A3">
              <w:rPr>
                <w:b/>
                <w:bCs/>
                <w:color w:val="000000"/>
                <w:sz w:val="22"/>
                <w:szCs w:val="22"/>
              </w:rPr>
              <w:t>2008</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b/>
                <w:bCs/>
                <w:color w:val="000000"/>
                <w:sz w:val="22"/>
                <w:szCs w:val="22"/>
              </w:rPr>
            </w:pPr>
            <w:r w:rsidRPr="006844A3">
              <w:rPr>
                <w:b/>
                <w:bCs/>
                <w:color w:val="000000"/>
                <w:sz w:val="22"/>
                <w:szCs w:val="22"/>
              </w:rPr>
              <w:t>2009</w:t>
            </w:r>
          </w:p>
        </w:tc>
      </w:tr>
      <w:tr w:rsidR="006844A3" w:rsidRPr="006844A3" w:rsidTr="006844A3">
        <w:trPr>
          <w:trHeight w:val="300"/>
        </w:trPr>
        <w:tc>
          <w:tcPr>
            <w:tcW w:w="2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44A3" w:rsidRPr="006844A3" w:rsidRDefault="006844A3" w:rsidP="006844A3">
            <w:pPr>
              <w:rPr>
                <w:b/>
                <w:bCs/>
                <w:color w:val="000000"/>
                <w:sz w:val="22"/>
                <w:szCs w:val="22"/>
              </w:rPr>
            </w:pPr>
            <w:r w:rsidRPr="006844A3">
              <w:rPr>
                <w:b/>
                <w:bCs/>
                <w:color w:val="000000"/>
                <w:sz w:val="22"/>
                <w:szCs w:val="22"/>
              </w:rPr>
              <w:t>&lt;1% Sulfur</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26,537,510 </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24,209,188 </w:t>
            </w:r>
          </w:p>
        </w:tc>
        <w:tc>
          <w:tcPr>
            <w:tcW w:w="180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22,654,127 </w:t>
            </w:r>
          </w:p>
        </w:tc>
      </w:tr>
      <w:tr w:rsidR="006844A3" w:rsidRPr="006844A3" w:rsidTr="006844A3">
        <w:trPr>
          <w:trHeight w:val="300"/>
        </w:trPr>
        <w:tc>
          <w:tcPr>
            <w:tcW w:w="2625" w:type="dxa"/>
            <w:tcBorders>
              <w:top w:val="nil"/>
              <w:left w:val="single" w:sz="4" w:space="0" w:color="auto"/>
              <w:bottom w:val="single" w:sz="4" w:space="0" w:color="auto"/>
              <w:right w:val="single" w:sz="4" w:space="0" w:color="auto"/>
            </w:tcBorders>
            <w:shd w:val="clear" w:color="auto" w:fill="auto"/>
            <w:noWrap/>
            <w:vAlign w:val="bottom"/>
            <w:hideMark/>
          </w:tcPr>
          <w:p w:rsidR="006844A3" w:rsidRPr="006844A3" w:rsidRDefault="006844A3" w:rsidP="006844A3">
            <w:pPr>
              <w:rPr>
                <w:b/>
                <w:bCs/>
                <w:color w:val="000000"/>
                <w:sz w:val="22"/>
                <w:szCs w:val="22"/>
              </w:rPr>
            </w:pPr>
            <w:r w:rsidRPr="006844A3">
              <w:rPr>
                <w:b/>
                <w:bCs/>
                <w:color w:val="000000"/>
                <w:sz w:val="22"/>
                <w:szCs w:val="22"/>
              </w:rPr>
              <w:t>1-1.5% Sulfur</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12,667,152 </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12,632,010 </w:t>
            </w:r>
          </w:p>
        </w:tc>
        <w:tc>
          <w:tcPr>
            <w:tcW w:w="180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11,209,582 </w:t>
            </w:r>
          </w:p>
        </w:tc>
      </w:tr>
      <w:tr w:rsidR="006844A3" w:rsidRPr="006844A3" w:rsidTr="006844A3">
        <w:trPr>
          <w:trHeight w:val="300"/>
        </w:trPr>
        <w:tc>
          <w:tcPr>
            <w:tcW w:w="2625" w:type="dxa"/>
            <w:tcBorders>
              <w:top w:val="nil"/>
              <w:left w:val="single" w:sz="4" w:space="0" w:color="auto"/>
              <w:bottom w:val="single" w:sz="4" w:space="0" w:color="auto"/>
              <w:right w:val="single" w:sz="4" w:space="0" w:color="auto"/>
            </w:tcBorders>
            <w:shd w:val="clear" w:color="auto" w:fill="auto"/>
            <w:noWrap/>
            <w:vAlign w:val="bottom"/>
            <w:hideMark/>
          </w:tcPr>
          <w:p w:rsidR="006844A3" w:rsidRPr="006844A3" w:rsidRDefault="006844A3" w:rsidP="006844A3">
            <w:pPr>
              <w:rPr>
                <w:b/>
                <w:bCs/>
                <w:color w:val="000000"/>
                <w:sz w:val="22"/>
                <w:szCs w:val="22"/>
              </w:rPr>
            </w:pPr>
            <w:r w:rsidRPr="006844A3">
              <w:rPr>
                <w:b/>
                <w:bCs/>
                <w:color w:val="000000"/>
                <w:sz w:val="22"/>
                <w:szCs w:val="22"/>
              </w:rPr>
              <w:t>1.5-2.0% Sulfur</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1,374,366 </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1,864,597 </w:t>
            </w:r>
          </w:p>
        </w:tc>
        <w:tc>
          <w:tcPr>
            <w:tcW w:w="180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467,468 </w:t>
            </w:r>
          </w:p>
        </w:tc>
      </w:tr>
      <w:tr w:rsidR="006844A3" w:rsidRPr="006844A3" w:rsidTr="006844A3">
        <w:trPr>
          <w:trHeight w:val="300"/>
        </w:trPr>
        <w:tc>
          <w:tcPr>
            <w:tcW w:w="2625" w:type="dxa"/>
            <w:tcBorders>
              <w:top w:val="nil"/>
              <w:left w:val="single" w:sz="4" w:space="0" w:color="auto"/>
              <w:bottom w:val="single" w:sz="4" w:space="0" w:color="auto"/>
              <w:right w:val="single" w:sz="4" w:space="0" w:color="auto"/>
            </w:tcBorders>
            <w:shd w:val="clear" w:color="auto" w:fill="auto"/>
            <w:noWrap/>
            <w:vAlign w:val="bottom"/>
            <w:hideMark/>
          </w:tcPr>
          <w:p w:rsidR="006844A3" w:rsidRPr="006844A3" w:rsidRDefault="006844A3" w:rsidP="006844A3">
            <w:pPr>
              <w:rPr>
                <w:b/>
                <w:bCs/>
                <w:color w:val="000000"/>
                <w:sz w:val="22"/>
                <w:szCs w:val="22"/>
              </w:rPr>
            </w:pPr>
            <w:r w:rsidRPr="006844A3">
              <w:rPr>
                <w:b/>
                <w:bCs/>
                <w:color w:val="000000"/>
                <w:sz w:val="22"/>
                <w:szCs w:val="22"/>
              </w:rPr>
              <w:t>&gt;2% Sulfur</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    </w:t>
            </w:r>
          </w:p>
        </w:tc>
        <w:tc>
          <w:tcPr>
            <w:tcW w:w="162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    </w:t>
            </w:r>
          </w:p>
        </w:tc>
        <w:tc>
          <w:tcPr>
            <w:tcW w:w="1800" w:type="dxa"/>
            <w:tcBorders>
              <w:top w:val="nil"/>
              <w:left w:val="nil"/>
              <w:bottom w:val="single" w:sz="4" w:space="0" w:color="auto"/>
              <w:right w:val="single" w:sz="4" w:space="0" w:color="auto"/>
            </w:tcBorders>
            <w:shd w:val="clear" w:color="auto" w:fill="auto"/>
            <w:noWrap/>
            <w:vAlign w:val="bottom"/>
            <w:hideMark/>
          </w:tcPr>
          <w:p w:rsidR="006844A3" w:rsidRPr="006844A3" w:rsidRDefault="006844A3" w:rsidP="006844A3">
            <w:pPr>
              <w:jc w:val="right"/>
              <w:rPr>
                <w:color w:val="000000"/>
                <w:sz w:val="22"/>
                <w:szCs w:val="22"/>
              </w:rPr>
            </w:pPr>
            <w:r w:rsidRPr="006844A3">
              <w:rPr>
                <w:color w:val="000000"/>
                <w:sz w:val="22"/>
                <w:szCs w:val="22"/>
              </w:rPr>
              <w:t xml:space="preserve">           353,385 </w:t>
            </w:r>
          </w:p>
        </w:tc>
      </w:tr>
    </w:tbl>
    <w:p w:rsidR="006844A3" w:rsidRPr="006844A3" w:rsidRDefault="006844A3" w:rsidP="006844A3">
      <w:pPr>
        <w:pStyle w:val="BodyText"/>
        <w:numPr>
          <w:ilvl w:val="0"/>
          <w:numId w:val="23"/>
        </w:numPr>
        <w:spacing w:after="240"/>
        <w:jc w:val="both"/>
        <w:rPr>
          <w:rFonts w:ascii="Arial" w:hAnsi="Arial" w:cs="Arial"/>
          <w:sz w:val="16"/>
          <w:szCs w:val="16"/>
        </w:rPr>
      </w:pPr>
      <w:r w:rsidRPr="006844A3">
        <w:rPr>
          <w:rFonts w:ascii="Arial" w:hAnsi="Arial" w:cs="Arial"/>
          <w:sz w:val="16"/>
          <w:szCs w:val="16"/>
        </w:rPr>
        <w:t>Tons include spot agreements</w:t>
      </w:r>
    </w:p>
    <w:p w:rsidR="006844A3" w:rsidRPr="006844A3" w:rsidRDefault="006844A3" w:rsidP="006844A3">
      <w:pPr>
        <w:pStyle w:val="BodyText"/>
        <w:numPr>
          <w:ilvl w:val="0"/>
          <w:numId w:val="23"/>
        </w:numPr>
        <w:spacing w:after="240"/>
        <w:jc w:val="both"/>
        <w:rPr>
          <w:rFonts w:ascii="Arial" w:hAnsi="Arial" w:cs="Arial"/>
          <w:sz w:val="16"/>
          <w:szCs w:val="16"/>
        </w:rPr>
      </w:pPr>
      <w:r w:rsidRPr="006844A3">
        <w:rPr>
          <w:rFonts w:ascii="Arial" w:hAnsi="Arial" w:cs="Arial"/>
          <w:sz w:val="16"/>
          <w:szCs w:val="16"/>
        </w:rPr>
        <w:t>Tons are based on 100% ownership</w:t>
      </w:r>
    </w:p>
    <w:p w:rsidR="00390A69" w:rsidRPr="000E7830" w:rsidRDefault="00085523" w:rsidP="007F739B">
      <w:pPr>
        <w:pStyle w:val="BodyText"/>
        <w:spacing w:after="240"/>
        <w:jc w:val="both"/>
        <w:rPr>
          <w:rFonts w:ascii="Arial" w:hAnsi="Arial" w:cs="Arial"/>
        </w:rPr>
      </w:pPr>
      <w:r>
        <w:rPr>
          <w:rFonts w:ascii="Arial" w:hAnsi="Arial" w:cs="Arial"/>
        </w:rPr>
        <w:t xml:space="preserve">The buybooks documenting these </w:t>
      </w:r>
      <w:r w:rsidR="007F739B">
        <w:rPr>
          <w:rFonts w:ascii="Arial" w:hAnsi="Arial" w:cs="Arial"/>
        </w:rPr>
        <w:t xml:space="preserve">purchases </w:t>
      </w:r>
      <w:r w:rsidR="00E01FE6">
        <w:rPr>
          <w:rFonts w:ascii="Arial" w:hAnsi="Arial" w:cs="Arial"/>
        </w:rPr>
        <w:t>will be made</w:t>
      </w:r>
      <w:r w:rsidR="007F739B">
        <w:rPr>
          <w:rFonts w:ascii="Arial" w:hAnsi="Arial" w:cs="Arial"/>
        </w:rPr>
        <w:t xml:space="preserve"> available</w:t>
      </w:r>
      <w:r w:rsidR="0084547A">
        <w:rPr>
          <w:rFonts w:ascii="Arial" w:hAnsi="Arial" w:cs="Arial"/>
        </w:rPr>
        <w:t xml:space="preserve"> for</w:t>
      </w:r>
      <w:r w:rsidR="007F739B">
        <w:rPr>
          <w:rFonts w:ascii="Arial" w:hAnsi="Arial" w:cs="Arial"/>
        </w:rPr>
        <w:t xml:space="preserve"> </w:t>
      </w:r>
      <w:r w:rsidR="00E01FE6">
        <w:rPr>
          <w:rFonts w:ascii="Arial" w:hAnsi="Arial" w:cs="Arial"/>
        </w:rPr>
        <w:t>Staff review upon request</w:t>
      </w:r>
      <w:r w:rsidR="007F739B">
        <w:rPr>
          <w:rFonts w:ascii="Arial" w:hAnsi="Arial" w:cs="Arial"/>
        </w:rPr>
        <w:t xml:space="preserve">. </w:t>
      </w:r>
    </w:p>
    <w:p w:rsidR="00390A69" w:rsidRPr="000E7830" w:rsidRDefault="00390A69" w:rsidP="00390A69">
      <w:pPr>
        <w:pStyle w:val="BodyText"/>
        <w:spacing w:after="240"/>
        <w:ind w:left="1440" w:hanging="1440"/>
        <w:jc w:val="center"/>
        <w:rPr>
          <w:rFonts w:ascii="Arial" w:hAnsi="Arial" w:cs="Arial"/>
        </w:rPr>
      </w:pPr>
    </w:p>
    <w:sectPr w:rsidR="00390A69" w:rsidRPr="000E7830" w:rsidSect="007E2BBD">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523" w:rsidRDefault="00085523">
      <w:r>
        <w:separator/>
      </w:r>
    </w:p>
  </w:endnote>
  <w:endnote w:type="continuationSeparator" w:id="0">
    <w:p w:rsidR="00085523" w:rsidRDefault="000855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41" w:rsidRDefault="002C2A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23" w:rsidRDefault="00085523">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41" w:rsidRDefault="002C2A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523" w:rsidRDefault="00085523">
      <w:r>
        <w:separator/>
      </w:r>
    </w:p>
  </w:footnote>
  <w:footnote w:type="continuationSeparator" w:id="0">
    <w:p w:rsidR="00085523" w:rsidRDefault="00085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41" w:rsidRDefault="002C2A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23" w:rsidRPr="00153C70" w:rsidRDefault="00085523" w:rsidP="004137D2">
    <w:pPr>
      <w:pStyle w:val="Header"/>
      <w:jc w:val="center"/>
    </w:pPr>
    <w:r w:rsidRPr="00153C70">
      <w:t xml:space="preserve">Georgia Power Company </w:t>
    </w:r>
  </w:p>
  <w:p w:rsidR="00085523" w:rsidRDefault="00085523"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085523" w:rsidRPr="00153C70" w:rsidRDefault="00085523" w:rsidP="004137D2">
    <w:pPr>
      <w:pStyle w:val="Header"/>
      <w:jc w:val="center"/>
    </w:pPr>
    <w:r>
      <w:t>STF-HPSC Data Request Set No. 9</w:t>
    </w:r>
  </w:p>
  <w:p w:rsidR="00085523" w:rsidRPr="004137D2" w:rsidRDefault="0008552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41" w:rsidRDefault="002C2A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1D6177"/>
    <w:multiLevelType w:val="hybridMultilevel"/>
    <w:tmpl w:val="5AE4752A"/>
    <w:lvl w:ilvl="0" w:tplc="6B0AC398">
      <w:start w:val="1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2">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5">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8">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9">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190837"/>
    <w:multiLevelType w:val="hybridMultilevel"/>
    <w:tmpl w:val="B8DAFFC4"/>
    <w:lvl w:ilvl="0" w:tplc="978E8F6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2"/>
  </w:num>
  <w:num w:numId="4">
    <w:abstractNumId w:val="18"/>
  </w:num>
  <w:num w:numId="5">
    <w:abstractNumId w:val="6"/>
  </w:num>
  <w:num w:numId="6">
    <w:abstractNumId w:val="11"/>
  </w:num>
  <w:num w:numId="7">
    <w:abstractNumId w:val="2"/>
  </w:num>
  <w:num w:numId="8">
    <w:abstractNumId w:val="16"/>
  </w:num>
  <w:num w:numId="9">
    <w:abstractNumId w:val="19"/>
  </w:num>
  <w:num w:numId="10">
    <w:abstractNumId w:val="7"/>
  </w:num>
  <w:num w:numId="11">
    <w:abstractNumId w:val="20"/>
  </w:num>
  <w:num w:numId="12">
    <w:abstractNumId w:val="13"/>
  </w:num>
  <w:num w:numId="13">
    <w:abstractNumId w:val="14"/>
  </w:num>
  <w:num w:numId="14">
    <w:abstractNumId w:val="8"/>
  </w:num>
  <w:num w:numId="15">
    <w:abstractNumId w:val="3"/>
  </w:num>
  <w:num w:numId="16">
    <w:abstractNumId w:val="17"/>
  </w:num>
  <w:num w:numId="17">
    <w:abstractNumId w:val="15"/>
  </w:num>
  <w:num w:numId="18">
    <w:abstractNumId w:val="4"/>
  </w:num>
  <w:num w:numId="19">
    <w:abstractNumId w:val="0"/>
  </w:num>
  <w:num w:numId="20">
    <w:abstractNumId w:val="10"/>
  </w:num>
  <w:num w:numId="21">
    <w:abstractNumId w:val="21"/>
  </w:num>
  <w:num w:numId="22">
    <w:abstractNumId w:val="9"/>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5601"/>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85523"/>
    <w:rsid w:val="000A6485"/>
    <w:rsid w:val="000C177F"/>
    <w:rsid w:val="000C5388"/>
    <w:rsid w:val="000E0CEE"/>
    <w:rsid w:val="000E7830"/>
    <w:rsid w:val="000F14D0"/>
    <w:rsid w:val="000F6B8D"/>
    <w:rsid w:val="00116832"/>
    <w:rsid w:val="00134DFF"/>
    <w:rsid w:val="00146A40"/>
    <w:rsid w:val="001566D1"/>
    <w:rsid w:val="001600C7"/>
    <w:rsid w:val="00161A4D"/>
    <w:rsid w:val="001679F4"/>
    <w:rsid w:val="00171502"/>
    <w:rsid w:val="00180A85"/>
    <w:rsid w:val="001815DE"/>
    <w:rsid w:val="001B739D"/>
    <w:rsid w:val="001C3F8B"/>
    <w:rsid w:val="001E6783"/>
    <w:rsid w:val="00220C28"/>
    <w:rsid w:val="00224DE1"/>
    <w:rsid w:val="00232178"/>
    <w:rsid w:val="0024160D"/>
    <w:rsid w:val="00251620"/>
    <w:rsid w:val="00282443"/>
    <w:rsid w:val="002860F3"/>
    <w:rsid w:val="002B6F67"/>
    <w:rsid w:val="002C2A41"/>
    <w:rsid w:val="002C6CA8"/>
    <w:rsid w:val="002C7179"/>
    <w:rsid w:val="002D150E"/>
    <w:rsid w:val="002D2040"/>
    <w:rsid w:val="002D41E9"/>
    <w:rsid w:val="00320556"/>
    <w:rsid w:val="00330570"/>
    <w:rsid w:val="00353747"/>
    <w:rsid w:val="00356109"/>
    <w:rsid w:val="00363234"/>
    <w:rsid w:val="003644C6"/>
    <w:rsid w:val="00367FE1"/>
    <w:rsid w:val="00376556"/>
    <w:rsid w:val="003833A9"/>
    <w:rsid w:val="00390A69"/>
    <w:rsid w:val="0039566E"/>
    <w:rsid w:val="003A7983"/>
    <w:rsid w:val="003C13ED"/>
    <w:rsid w:val="003C36CC"/>
    <w:rsid w:val="003C7F0E"/>
    <w:rsid w:val="003F3F11"/>
    <w:rsid w:val="00402268"/>
    <w:rsid w:val="004137D2"/>
    <w:rsid w:val="00422221"/>
    <w:rsid w:val="00422A5C"/>
    <w:rsid w:val="004312B3"/>
    <w:rsid w:val="00443E64"/>
    <w:rsid w:val="00455298"/>
    <w:rsid w:val="00476305"/>
    <w:rsid w:val="00481B0E"/>
    <w:rsid w:val="0048738C"/>
    <w:rsid w:val="00487FDB"/>
    <w:rsid w:val="004975F9"/>
    <w:rsid w:val="004B1A3A"/>
    <w:rsid w:val="004B4849"/>
    <w:rsid w:val="004B4D8D"/>
    <w:rsid w:val="004C422A"/>
    <w:rsid w:val="004C66BB"/>
    <w:rsid w:val="004E765F"/>
    <w:rsid w:val="004F74F0"/>
    <w:rsid w:val="00510D11"/>
    <w:rsid w:val="0051607A"/>
    <w:rsid w:val="00527506"/>
    <w:rsid w:val="00542DF5"/>
    <w:rsid w:val="00545ECD"/>
    <w:rsid w:val="005718CB"/>
    <w:rsid w:val="005743C1"/>
    <w:rsid w:val="005A19CB"/>
    <w:rsid w:val="005A44D6"/>
    <w:rsid w:val="005A5B93"/>
    <w:rsid w:val="005D0C39"/>
    <w:rsid w:val="005F7EA2"/>
    <w:rsid w:val="0061293D"/>
    <w:rsid w:val="00626033"/>
    <w:rsid w:val="00644941"/>
    <w:rsid w:val="00682544"/>
    <w:rsid w:val="00682928"/>
    <w:rsid w:val="00683AEF"/>
    <w:rsid w:val="006844A3"/>
    <w:rsid w:val="006A19F4"/>
    <w:rsid w:val="006D19B3"/>
    <w:rsid w:val="006E6780"/>
    <w:rsid w:val="00705D6D"/>
    <w:rsid w:val="00710BC2"/>
    <w:rsid w:val="00732311"/>
    <w:rsid w:val="00737237"/>
    <w:rsid w:val="00757573"/>
    <w:rsid w:val="007948DC"/>
    <w:rsid w:val="007A03E0"/>
    <w:rsid w:val="007B3E9D"/>
    <w:rsid w:val="007D46F7"/>
    <w:rsid w:val="007E2BBD"/>
    <w:rsid w:val="007E307F"/>
    <w:rsid w:val="007F3915"/>
    <w:rsid w:val="007F739B"/>
    <w:rsid w:val="00826DAA"/>
    <w:rsid w:val="00830A9C"/>
    <w:rsid w:val="008331D6"/>
    <w:rsid w:val="0084018E"/>
    <w:rsid w:val="0084547A"/>
    <w:rsid w:val="00871CB9"/>
    <w:rsid w:val="008755C3"/>
    <w:rsid w:val="00895D12"/>
    <w:rsid w:val="008A7C37"/>
    <w:rsid w:val="008B223A"/>
    <w:rsid w:val="008B310A"/>
    <w:rsid w:val="008C2A2A"/>
    <w:rsid w:val="008D0300"/>
    <w:rsid w:val="008E0570"/>
    <w:rsid w:val="008E43F6"/>
    <w:rsid w:val="008E4EB8"/>
    <w:rsid w:val="008F28B7"/>
    <w:rsid w:val="008F49B1"/>
    <w:rsid w:val="009029F1"/>
    <w:rsid w:val="009354BE"/>
    <w:rsid w:val="00955543"/>
    <w:rsid w:val="00957B03"/>
    <w:rsid w:val="009663FE"/>
    <w:rsid w:val="00992A91"/>
    <w:rsid w:val="009A28FD"/>
    <w:rsid w:val="009B5D49"/>
    <w:rsid w:val="009F0201"/>
    <w:rsid w:val="009F51A2"/>
    <w:rsid w:val="00A0411D"/>
    <w:rsid w:val="00A22822"/>
    <w:rsid w:val="00A30C9A"/>
    <w:rsid w:val="00A558E5"/>
    <w:rsid w:val="00A56189"/>
    <w:rsid w:val="00A60731"/>
    <w:rsid w:val="00A72392"/>
    <w:rsid w:val="00A735DF"/>
    <w:rsid w:val="00A8014F"/>
    <w:rsid w:val="00A80856"/>
    <w:rsid w:val="00A87934"/>
    <w:rsid w:val="00A92F38"/>
    <w:rsid w:val="00AA445B"/>
    <w:rsid w:val="00B12D79"/>
    <w:rsid w:val="00B22C67"/>
    <w:rsid w:val="00B44795"/>
    <w:rsid w:val="00B453C2"/>
    <w:rsid w:val="00B52EDB"/>
    <w:rsid w:val="00B5572F"/>
    <w:rsid w:val="00B6364C"/>
    <w:rsid w:val="00B6391E"/>
    <w:rsid w:val="00B659E4"/>
    <w:rsid w:val="00B67513"/>
    <w:rsid w:val="00BA07C4"/>
    <w:rsid w:val="00BB1ECE"/>
    <w:rsid w:val="00BB6ADC"/>
    <w:rsid w:val="00BD40E0"/>
    <w:rsid w:val="00BD7473"/>
    <w:rsid w:val="00C0535F"/>
    <w:rsid w:val="00C15D31"/>
    <w:rsid w:val="00C26A09"/>
    <w:rsid w:val="00C51650"/>
    <w:rsid w:val="00C548B1"/>
    <w:rsid w:val="00C55257"/>
    <w:rsid w:val="00C570CA"/>
    <w:rsid w:val="00C61CC0"/>
    <w:rsid w:val="00C62767"/>
    <w:rsid w:val="00C7059D"/>
    <w:rsid w:val="00C77C49"/>
    <w:rsid w:val="00C85C55"/>
    <w:rsid w:val="00C92F3B"/>
    <w:rsid w:val="00CB0B80"/>
    <w:rsid w:val="00CB4533"/>
    <w:rsid w:val="00CC2015"/>
    <w:rsid w:val="00CD00E2"/>
    <w:rsid w:val="00CF25EB"/>
    <w:rsid w:val="00D05DF2"/>
    <w:rsid w:val="00D23707"/>
    <w:rsid w:val="00D30A75"/>
    <w:rsid w:val="00D33329"/>
    <w:rsid w:val="00D33D1B"/>
    <w:rsid w:val="00D410E4"/>
    <w:rsid w:val="00D65F1C"/>
    <w:rsid w:val="00D73C43"/>
    <w:rsid w:val="00D75646"/>
    <w:rsid w:val="00D77039"/>
    <w:rsid w:val="00DA6C10"/>
    <w:rsid w:val="00DD25EB"/>
    <w:rsid w:val="00DE4F12"/>
    <w:rsid w:val="00DF2AD9"/>
    <w:rsid w:val="00E01FE6"/>
    <w:rsid w:val="00E03DF8"/>
    <w:rsid w:val="00E32C5F"/>
    <w:rsid w:val="00E337F6"/>
    <w:rsid w:val="00E36043"/>
    <w:rsid w:val="00E37EA1"/>
    <w:rsid w:val="00E57826"/>
    <w:rsid w:val="00E6396D"/>
    <w:rsid w:val="00EA2DB4"/>
    <w:rsid w:val="00EB3137"/>
    <w:rsid w:val="00EC7927"/>
    <w:rsid w:val="00EE7277"/>
    <w:rsid w:val="00EE7D44"/>
    <w:rsid w:val="00F056D2"/>
    <w:rsid w:val="00F069CE"/>
    <w:rsid w:val="00F159AE"/>
    <w:rsid w:val="00F20D68"/>
    <w:rsid w:val="00F513DD"/>
    <w:rsid w:val="00F5256F"/>
    <w:rsid w:val="00F65C9D"/>
    <w:rsid w:val="00F65D0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styleId="CommentReference">
    <w:name w:val="annotation reference"/>
    <w:basedOn w:val="DefaultParagraphFont"/>
    <w:rsid w:val="00E03DF8"/>
    <w:rPr>
      <w:sz w:val="16"/>
      <w:szCs w:val="16"/>
    </w:rPr>
  </w:style>
  <w:style w:type="paragraph" w:styleId="CommentText">
    <w:name w:val="annotation text"/>
    <w:basedOn w:val="Normal"/>
    <w:link w:val="CommentTextChar"/>
    <w:rsid w:val="00E03DF8"/>
    <w:rPr>
      <w:sz w:val="20"/>
    </w:rPr>
  </w:style>
  <w:style w:type="character" w:customStyle="1" w:styleId="CommentTextChar">
    <w:name w:val="Comment Text Char"/>
    <w:basedOn w:val="DefaultParagraphFont"/>
    <w:link w:val="CommentText"/>
    <w:rsid w:val="00E03DF8"/>
  </w:style>
  <w:style w:type="paragraph" w:styleId="CommentSubject">
    <w:name w:val="annotation subject"/>
    <w:basedOn w:val="CommentText"/>
    <w:next w:val="CommentText"/>
    <w:link w:val="CommentSubjectChar"/>
    <w:rsid w:val="00E03DF8"/>
    <w:rPr>
      <w:b/>
      <w:bCs/>
    </w:rPr>
  </w:style>
  <w:style w:type="character" w:customStyle="1" w:styleId="CommentSubjectChar">
    <w:name w:val="Comment Subject Char"/>
    <w:basedOn w:val="CommentTextChar"/>
    <w:link w:val="CommentSubject"/>
    <w:rsid w:val="00E03DF8"/>
    <w:rPr>
      <w:b/>
      <w:bCs/>
    </w:rPr>
  </w:style>
</w:styles>
</file>

<file path=word/webSettings.xml><?xml version="1.0" encoding="utf-8"?>
<w:webSettings xmlns:r="http://schemas.openxmlformats.org/officeDocument/2006/relationships" xmlns:w="http://schemas.openxmlformats.org/wordprocessingml/2006/main">
  <w:divs>
    <w:div w:id="128936536">
      <w:bodyDiv w:val="1"/>
      <w:marLeft w:val="0"/>
      <w:marRight w:val="0"/>
      <w:marTop w:val="0"/>
      <w:marBottom w:val="0"/>
      <w:divBdr>
        <w:top w:val="none" w:sz="0" w:space="0" w:color="auto"/>
        <w:left w:val="none" w:sz="0" w:space="0" w:color="auto"/>
        <w:bottom w:val="none" w:sz="0" w:space="0" w:color="auto"/>
        <w:right w:val="none" w:sz="0" w:space="0" w:color="auto"/>
      </w:divBdr>
    </w:div>
    <w:div w:id="1861359416">
      <w:bodyDiv w:val="1"/>
      <w:marLeft w:val="0"/>
      <w:marRight w:val="0"/>
      <w:marTop w:val="0"/>
      <w:marBottom w:val="0"/>
      <w:divBdr>
        <w:top w:val="none" w:sz="0" w:space="0" w:color="auto"/>
        <w:left w:val="none" w:sz="0" w:space="0" w:color="auto"/>
        <w:bottom w:val="none" w:sz="0" w:space="0" w:color="auto"/>
        <w:right w:val="none" w:sz="0" w:space="0" w:color="auto"/>
      </w:divBdr>
    </w:div>
    <w:div w:id="20455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997</Characters>
  <Application>Microsoft Office Word</Application>
  <DocSecurity>0</DocSecurity>
  <Lines>8</Lines>
  <Paragraphs>2</Paragraphs>
  <ScaleCrop>false</ScaleCrop>
  <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2010-09-22T18:38:00Z</dcterms:created>
  <dcterms:modified xsi:type="dcterms:W3CDTF">2010-09-24T20:48:00Z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